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DD087" w14:textId="77777777" w:rsidR="00180E21" w:rsidRPr="00180E21" w:rsidRDefault="00180E21" w:rsidP="00180E21">
      <w:pPr>
        <w:spacing w:after="0" w:line="240" w:lineRule="auto"/>
        <w:jc w:val="right"/>
        <w:rPr>
          <w:rFonts w:ascii="Arial" w:hAnsi="Arial" w:cs="Arial"/>
          <w:b/>
          <w:bCs/>
          <w:i/>
          <w:iCs/>
          <w:sz w:val="36"/>
          <w:szCs w:val="36"/>
          <w:u w:val="single"/>
        </w:rPr>
      </w:pPr>
      <w:bookmarkStart w:id="0" w:name="_Hlk191737724"/>
      <w:r w:rsidRPr="00180E21">
        <w:rPr>
          <w:rFonts w:ascii="Arial" w:hAnsi="Arial" w:cs="Arial"/>
          <w:b/>
          <w:bCs/>
          <w:i/>
          <w:iCs/>
          <w:sz w:val="36"/>
          <w:szCs w:val="36"/>
          <w:u w:val="single"/>
        </w:rPr>
        <w:t>Original Research Article</w:t>
      </w:r>
    </w:p>
    <w:p w14:paraId="4DAAB54C" w14:textId="77777777" w:rsidR="00180E21" w:rsidRDefault="00180E21" w:rsidP="001E3E8E">
      <w:pPr>
        <w:spacing w:after="0" w:line="240" w:lineRule="auto"/>
        <w:jc w:val="right"/>
        <w:rPr>
          <w:rFonts w:ascii="Arial" w:hAnsi="Arial" w:cs="Arial"/>
          <w:b/>
          <w:bCs/>
          <w:sz w:val="36"/>
          <w:szCs w:val="36"/>
        </w:rPr>
      </w:pPr>
    </w:p>
    <w:p w14:paraId="2F4BA381" w14:textId="6C3F263C" w:rsidR="00A459FA" w:rsidRPr="00D31316" w:rsidRDefault="00C608EF" w:rsidP="001E3E8E">
      <w:pPr>
        <w:spacing w:after="0" w:line="240" w:lineRule="auto"/>
        <w:jc w:val="right"/>
        <w:rPr>
          <w:rFonts w:ascii="Arial" w:hAnsi="Arial" w:cs="Arial"/>
          <w:b/>
          <w:bCs/>
          <w:sz w:val="36"/>
          <w:szCs w:val="36"/>
        </w:rPr>
      </w:pPr>
      <w:r w:rsidRPr="00D31316">
        <w:rPr>
          <w:rFonts w:ascii="Arial" w:hAnsi="Arial" w:cs="Arial"/>
          <w:b/>
          <w:bCs/>
          <w:sz w:val="36"/>
          <w:szCs w:val="36"/>
        </w:rPr>
        <w:t xml:space="preserve">Two Decades </w:t>
      </w:r>
      <w:r w:rsidR="00B32650" w:rsidRPr="00D31316">
        <w:rPr>
          <w:rFonts w:ascii="Arial" w:hAnsi="Arial" w:cs="Arial"/>
          <w:b/>
          <w:bCs/>
          <w:sz w:val="36"/>
          <w:szCs w:val="36"/>
        </w:rPr>
        <w:t>o</w:t>
      </w:r>
      <w:r w:rsidR="00DA2135" w:rsidRPr="00D31316">
        <w:rPr>
          <w:rFonts w:ascii="Arial" w:hAnsi="Arial" w:cs="Arial"/>
          <w:b/>
          <w:bCs/>
          <w:sz w:val="36"/>
          <w:szCs w:val="36"/>
        </w:rPr>
        <w:t xml:space="preserve">f </w:t>
      </w:r>
      <w:r w:rsidR="00A459FA" w:rsidRPr="00D31316">
        <w:rPr>
          <w:rFonts w:ascii="Arial" w:hAnsi="Arial" w:cs="Arial"/>
          <w:b/>
          <w:bCs/>
          <w:sz w:val="36"/>
          <w:szCs w:val="36"/>
        </w:rPr>
        <w:t xml:space="preserve">Geographical Indications </w:t>
      </w:r>
      <w:r w:rsidR="00B32650" w:rsidRPr="00D31316">
        <w:rPr>
          <w:rFonts w:ascii="Arial" w:hAnsi="Arial" w:cs="Arial"/>
          <w:b/>
          <w:bCs/>
          <w:sz w:val="36"/>
          <w:szCs w:val="36"/>
        </w:rPr>
        <w:t>i</w:t>
      </w:r>
      <w:r w:rsidR="00DA2135" w:rsidRPr="00D31316">
        <w:rPr>
          <w:rFonts w:ascii="Arial" w:hAnsi="Arial" w:cs="Arial"/>
          <w:b/>
          <w:bCs/>
          <w:sz w:val="36"/>
          <w:szCs w:val="36"/>
        </w:rPr>
        <w:t xml:space="preserve">n </w:t>
      </w:r>
      <w:r w:rsidR="00A459FA" w:rsidRPr="00D31316">
        <w:rPr>
          <w:rFonts w:ascii="Arial" w:hAnsi="Arial" w:cs="Arial"/>
          <w:b/>
          <w:bCs/>
          <w:sz w:val="36"/>
          <w:szCs w:val="36"/>
        </w:rPr>
        <w:t>India</w:t>
      </w:r>
      <w:r w:rsidR="00DA2135" w:rsidRPr="00D31316">
        <w:rPr>
          <w:rFonts w:ascii="Arial" w:hAnsi="Arial" w:cs="Arial"/>
          <w:b/>
          <w:bCs/>
          <w:sz w:val="36"/>
          <w:szCs w:val="36"/>
        </w:rPr>
        <w:t xml:space="preserve">: </w:t>
      </w:r>
      <w:r w:rsidR="00080EA7" w:rsidRPr="00D31316">
        <w:rPr>
          <w:rFonts w:ascii="Arial" w:hAnsi="Arial" w:cs="Arial"/>
          <w:b/>
          <w:bCs/>
          <w:sz w:val="36"/>
          <w:szCs w:val="36"/>
        </w:rPr>
        <w:t>Analyzing Trends</w:t>
      </w:r>
      <w:r w:rsidR="00DA2135" w:rsidRPr="00D31316">
        <w:rPr>
          <w:rFonts w:ascii="Arial" w:hAnsi="Arial" w:cs="Arial"/>
          <w:b/>
          <w:bCs/>
          <w:sz w:val="36"/>
          <w:szCs w:val="36"/>
        </w:rPr>
        <w:t xml:space="preserve">, </w:t>
      </w:r>
      <w:r w:rsidRPr="00D31316">
        <w:rPr>
          <w:rFonts w:ascii="Arial" w:hAnsi="Arial" w:cs="Arial"/>
          <w:b/>
          <w:bCs/>
          <w:sz w:val="36"/>
          <w:szCs w:val="36"/>
        </w:rPr>
        <w:t xml:space="preserve">Categories </w:t>
      </w:r>
      <w:r w:rsidR="00B32650" w:rsidRPr="00D31316">
        <w:rPr>
          <w:rFonts w:ascii="Arial" w:hAnsi="Arial" w:cs="Arial"/>
          <w:b/>
          <w:bCs/>
          <w:sz w:val="36"/>
          <w:szCs w:val="36"/>
        </w:rPr>
        <w:t>a</w:t>
      </w:r>
      <w:r w:rsidR="00DA2135" w:rsidRPr="00D31316">
        <w:rPr>
          <w:rFonts w:ascii="Arial" w:hAnsi="Arial" w:cs="Arial"/>
          <w:b/>
          <w:bCs/>
          <w:sz w:val="36"/>
          <w:szCs w:val="36"/>
        </w:rPr>
        <w:t xml:space="preserve">nd </w:t>
      </w:r>
      <w:r w:rsidR="00A459FA" w:rsidRPr="00D31316">
        <w:rPr>
          <w:rFonts w:ascii="Arial" w:hAnsi="Arial" w:cs="Arial"/>
          <w:b/>
          <w:bCs/>
          <w:sz w:val="36"/>
          <w:szCs w:val="36"/>
        </w:rPr>
        <w:t>Intellectual Property Implications</w:t>
      </w:r>
    </w:p>
    <w:bookmarkEnd w:id="0"/>
    <w:p w14:paraId="7438A983" w14:textId="77777777" w:rsidR="00876005" w:rsidRPr="00876005" w:rsidRDefault="00876005" w:rsidP="00876005">
      <w:pPr>
        <w:spacing w:after="0" w:line="240" w:lineRule="auto"/>
        <w:jc w:val="right"/>
        <w:rPr>
          <w:rFonts w:ascii="Arial" w:hAnsi="Arial" w:cs="Arial"/>
          <w:b/>
          <w:bCs/>
          <w:sz w:val="36"/>
          <w:szCs w:val="36"/>
        </w:rPr>
      </w:pPr>
    </w:p>
    <w:p w14:paraId="58589B29" w14:textId="1206D3F5" w:rsidR="00972A20" w:rsidRDefault="00972A20" w:rsidP="00876005">
      <w:pPr>
        <w:spacing w:after="0" w:line="240" w:lineRule="auto"/>
        <w:jc w:val="right"/>
        <w:rPr>
          <w:rFonts w:ascii="Arial" w:hAnsi="Arial" w:cs="Arial"/>
          <w:i/>
          <w:iCs/>
          <w:sz w:val="20"/>
          <w:szCs w:val="20"/>
        </w:rPr>
      </w:pPr>
    </w:p>
    <w:p w14:paraId="2AFE0B69" w14:textId="77777777" w:rsidR="00FA070B" w:rsidRDefault="00FA070B" w:rsidP="00876005">
      <w:pPr>
        <w:spacing w:after="0" w:line="240" w:lineRule="auto"/>
        <w:jc w:val="right"/>
        <w:rPr>
          <w:rFonts w:ascii="Arial" w:hAnsi="Arial" w:cs="Arial"/>
          <w:i/>
          <w:iCs/>
          <w:sz w:val="20"/>
          <w:szCs w:val="20"/>
        </w:rPr>
      </w:pPr>
      <w:bookmarkStart w:id="1" w:name="_GoBack"/>
      <w:bookmarkEnd w:id="1"/>
    </w:p>
    <w:p w14:paraId="09C1081C" w14:textId="77777777" w:rsidR="00876005" w:rsidRPr="00876005" w:rsidRDefault="00876005" w:rsidP="00876005">
      <w:pPr>
        <w:spacing w:after="0" w:line="240" w:lineRule="auto"/>
        <w:jc w:val="right"/>
        <w:rPr>
          <w:rFonts w:ascii="Arial" w:hAnsi="Arial" w:cs="Arial"/>
          <w:i/>
          <w:iCs/>
          <w:sz w:val="20"/>
          <w:szCs w:val="20"/>
        </w:rPr>
      </w:pPr>
    </w:p>
    <w:p w14:paraId="679D5430" w14:textId="77777777" w:rsidR="003D7C4D" w:rsidRDefault="003D7C4D" w:rsidP="003D7C4D">
      <w:pPr>
        <w:pStyle w:val="AbstHead"/>
        <w:spacing w:after="0"/>
        <w:jc w:val="both"/>
        <w:rPr>
          <w:rFonts w:ascii="Arial" w:hAnsi="Arial" w:cs="Arial"/>
          <w:b w:val="0"/>
          <w:bCs/>
          <w:i/>
          <w:iCs/>
          <w:sz w:val="20"/>
        </w:rPr>
      </w:pPr>
    </w:p>
    <w:p w14:paraId="366999B8" w14:textId="7C9A492C" w:rsidR="00356C7E" w:rsidRDefault="003D7C4D" w:rsidP="003D7C4D">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0EA5025C" w14:textId="77777777" w:rsidR="003D7C4D" w:rsidRPr="003D7C4D" w:rsidRDefault="003D7C4D" w:rsidP="003D7C4D">
      <w:pPr>
        <w:pStyle w:val="AbstHead"/>
        <w:spacing w:after="0"/>
        <w:jc w:val="both"/>
        <w:rPr>
          <w:rFonts w:ascii="Arial" w:hAnsi="Arial" w:cs="Arial"/>
        </w:rPr>
      </w:pPr>
    </w:p>
    <w:p w14:paraId="07A50C0C" w14:textId="47F9D864" w:rsidR="001C0BFA" w:rsidRPr="003D7C4D" w:rsidRDefault="00650323" w:rsidP="000A2C3A">
      <w:pPr>
        <w:spacing w:after="0" w:line="480" w:lineRule="auto"/>
        <w:jc w:val="both"/>
        <w:rPr>
          <w:rFonts w:ascii="Arial" w:hAnsi="Arial" w:cs="Arial"/>
          <w:sz w:val="20"/>
          <w:szCs w:val="20"/>
        </w:rPr>
      </w:pPr>
      <w:r w:rsidRPr="003D7C4D">
        <w:rPr>
          <w:rFonts w:ascii="Arial" w:hAnsi="Arial" w:cs="Arial"/>
          <w:sz w:val="20"/>
          <w:szCs w:val="20"/>
        </w:rPr>
        <w:t xml:space="preserve">Geographical Indications (GIs), a </w:t>
      </w:r>
      <w:r w:rsidR="00AE3EA7" w:rsidRPr="003D7C4D">
        <w:rPr>
          <w:rFonts w:ascii="Arial" w:hAnsi="Arial" w:cs="Arial"/>
          <w:sz w:val="20"/>
          <w:szCs w:val="20"/>
        </w:rPr>
        <w:t>type</w:t>
      </w:r>
      <w:r w:rsidRPr="003D7C4D">
        <w:rPr>
          <w:rFonts w:ascii="Arial" w:hAnsi="Arial" w:cs="Arial"/>
          <w:sz w:val="20"/>
          <w:szCs w:val="20"/>
        </w:rPr>
        <w:t xml:space="preserve"> of Intellectual Property Rights, connect products to their geographic origins, emphasizing unique qualities and ensuring authenticity for </w:t>
      </w:r>
      <w:r w:rsidR="00EF5440" w:rsidRPr="003D7C4D">
        <w:rPr>
          <w:rFonts w:ascii="Arial" w:hAnsi="Arial" w:cs="Arial"/>
          <w:sz w:val="20"/>
          <w:szCs w:val="20"/>
        </w:rPr>
        <w:t>consumers. It</w:t>
      </w:r>
      <w:r w:rsidR="00146EBC" w:rsidRPr="003D7C4D">
        <w:rPr>
          <w:rFonts w:ascii="Arial" w:hAnsi="Arial" w:cs="Arial"/>
          <w:sz w:val="20"/>
          <w:szCs w:val="20"/>
        </w:rPr>
        <w:t xml:space="preserve"> </w:t>
      </w:r>
      <w:r w:rsidR="000A2C3A" w:rsidRPr="003D7C4D">
        <w:rPr>
          <w:rFonts w:ascii="Arial" w:hAnsi="Arial" w:cs="Arial"/>
          <w:sz w:val="20"/>
          <w:szCs w:val="20"/>
        </w:rPr>
        <w:t xml:space="preserve">also </w:t>
      </w:r>
      <w:r w:rsidR="00F73EFE" w:rsidRPr="003D7C4D">
        <w:rPr>
          <w:rFonts w:ascii="Arial" w:hAnsi="Arial" w:cs="Arial"/>
          <w:sz w:val="20"/>
          <w:szCs w:val="20"/>
        </w:rPr>
        <w:t>enhances</w:t>
      </w:r>
      <w:r w:rsidR="000A2C3A" w:rsidRPr="003D7C4D">
        <w:rPr>
          <w:rFonts w:ascii="Arial" w:hAnsi="Arial" w:cs="Arial"/>
          <w:sz w:val="20"/>
          <w:szCs w:val="20"/>
        </w:rPr>
        <w:t xml:space="preserve"> </w:t>
      </w:r>
      <w:r w:rsidR="00F73EFE" w:rsidRPr="003D7C4D">
        <w:rPr>
          <w:rFonts w:ascii="Arial" w:hAnsi="Arial" w:cs="Arial"/>
          <w:sz w:val="20"/>
          <w:szCs w:val="20"/>
        </w:rPr>
        <w:t xml:space="preserve">the </w:t>
      </w:r>
      <w:r w:rsidR="00085BEF" w:rsidRPr="003D7C4D">
        <w:rPr>
          <w:rFonts w:ascii="Arial" w:hAnsi="Arial" w:cs="Arial"/>
          <w:sz w:val="20"/>
          <w:szCs w:val="20"/>
        </w:rPr>
        <w:t>marketability of the produce.</w:t>
      </w:r>
      <w:r w:rsidRPr="003D7C4D">
        <w:rPr>
          <w:rFonts w:ascii="Arial" w:hAnsi="Arial" w:cs="Arial"/>
          <w:sz w:val="20"/>
          <w:szCs w:val="20"/>
        </w:rPr>
        <w:t xml:space="preserve"> As of 2024, India has registered 643 GIs, including 605 of Indian o</w:t>
      </w:r>
      <w:r w:rsidR="00085BEF" w:rsidRPr="003D7C4D">
        <w:rPr>
          <w:rFonts w:ascii="Arial" w:hAnsi="Arial" w:cs="Arial"/>
          <w:sz w:val="20"/>
          <w:szCs w:val="20"/>
        </w:rPr>
        <w:t xml:space="preserve">rigin and 38 of foreign </w:t>
      </w:r>
      <w:r w:rsidR="00EF5440" w:rsidRPr="003D7C4D">
        <w:rPr>
          <w:rFonts w:ascii="Arial" w:hAnsi="Arial" w:cs="Arial"/>
          <w:sz w:val="20"/>
          <w:szCs w:val="20"/>
        </w:rPr>
        <w:t>origin. These</w:t>
      </w:r>
      <w:r w:rsidRPr="003D7C4D">
        <w:rPr>
          <w:rFonts w:ascii="Arial" w:hAnsi="Arial" w:cs="Arial"/>
          <w:sz w:val="20"/>
          <w:szCs w:val="20"/>
        </w:rPr>
        <w:t xml:space="preserve"> GIs are categorized into five groups: handicrafts, agricultural goods, foodstuffs, manufac</w:t>
      </w:r>
      <w:r w:rsidR="00085BEF" w:rsidRPr="003D7C4D">
        <w:rPr>
          <w:rFonts w:ascii="Arial" w:hAnsi="Arial" w:cs="Arial"/>
          <w:sz w:val="20"/>
          <w:szCs w:val="20"/>
        </w:rPr>
        <w:t xml:space="preserve">tured goods, and natural </w:t>
      </w:r>
      <w:r w:rsidR="00EF5440" w:rsidRPr="003D7C4D">
        <w:rPr>
          <w:rFonts w:ascii="Arial" w:hAnsi="Arial" w:cs="Arial"/>
          <w:sz w:val="20"/>
          <w:szCs w:val="20"/>
        </w:rPr>
        <w:t>goods. Agricultural</w:t>
      </w:r>
      <w:r w:rsidRPr="003D7C4D">
        <w:rPr>
          <w:rFonts w:ascii="Arial" w:hAnsi="Arial" w:cs="Arial"/>
          <w:sz w:val="20"/>
          <w:szCs w:val="20"/>
        </w:rPr>
        <w:t xml:space="preserve"> GIs, the second-largest category after handicrafts, include 197 registrations, </w:t>
      </w:r>
      <w:r w:rsidR="000A2C3A" w:rsidRPr="003D7C4D">
        <w:rPr>
          <w:rFonts w:ascii="Arial" w:hAnsi="Arial" w:cs="Arial"/>
          <w:sz w:val="20"/>
          <w:szCs w:val="20"/>
        </w:rPr>
        <w:t xml:space="preserve">and </w:t>
      </w:r>
      <w:r w:rsidR="00F73EFE" w:rsidRPr="003D7C4D">
        <w:rPr>
          <w:rFonts w:ascii="Arial" w:hAnsi="Arial" w:cs="Arial"/>
          <w:sz w:val="20"/>
          <w:szCs w:val="20"/>
        </w:rPr>
        <w:t>it is</w:t>
      </w:r>
      <w:r w:rsidR="00146EBC" w:rsidRPr="003D7C4D">
        <w:rPr>
          <w:rFonts w:ascii="Arial" w:hAnsi="Arial" w:cs="Arial"/>
          <w:sz w:val="20"/>
          <w:szCs w:val="20"/>
        </w:rPr>
        <w:t xml:space="preserve"> </w:t>
      </w:r>
      <w:r w:rsidR="000A2C3A" w:rsidRPr="003D7C4D">
        <w:rPr>
          <w:rFonts w:ascii="Arial" w:hAnsi="Arial" w:cs="Arial"/>
          <w:sz w:val="20"/>
          <w:szCs w:val="20"/>
        </w:rPr>
        <w:t xml:space="preserve">dominated by </w:t>
      </w:r>
      <w:r w:rsidRPr="003D7C4D">
        <w:rPr>
          <w:rFonts w:ascii="Arial" w:hAnsi="Arial" w:cs="Arial"/>
          <w:sz w:val="20"/>
          <w:szCs w:val="20"/>
        </w:rPr>
        <w:t>fruits (61).Uttar Pradesh, Tamil Nadu, and Maharashtra lead in total GI registrations, while the Southern states</w:t>
      </w:r>
      <w:r w:rsidR="000A2C3A" w:rsidRPr="003D7C4D">
        <w:rPr>
          <w:rFonts w:ascii="Arial" w:hAnsi="Arial" w:cs="Arial"/>
          <w:sz w:val="20"/>
          <w:szCs w:val="20"/>
        </w:rPr>
        <w:t xml:space="preserve"> of Maharashtra, Karnataka</w:t>
      </w:r>
      <w:r w:rsidR="00F73EFE" w:rsidRPr="003D7C4D">
        <w:rPr>
          <w:rFonts w:ascii="Arial" w:hAnsi="Arial" w:cs="Arial"/>
          <w:sz w:val="20"/>
          <w:szCs w:val="20"/>
        </w:rPr>
        <w:t>,</w:t>
      </w:r>
      <w:r w:rsidR="000A2C3A" w:rsidRPr="003D7C4D">
        <w:rPr>
          <w:rFonts w:ascii="Arial" w:hAnsi="Arial" w:cs="Arial"/>
          <w:sz w:val="20"/>
          <w:szCs w:val="20"/>
        </w:rPr>
        <w:t xml:space="preserve"> and Kerela</w:t>
      </w:r>
      <w:r w:rsidRPr="003D7C4D">
        <w:rPr>
          <w:rFonts w:ascii="Arial" w:hAnsi="Arial" w:cs="Arial"/>
          <w:sz w:val="20"/>
          <w:szCs w:val="20"/>
        </w:rPr>
        <w:t xml:space="preserve"> </w:t>
      </w:r>
      <w:r w:rsidR="00F73EFE" w:rsidRPr="003D7C4D">
        <w:rPr>
          <w:rFonts w:ascii="Arial" w:hAnsi="Arial" w:cs="Arial"/>
          <w:sz w:val="20"/>
          <w:szCs w:val="20"/>
        </w:rPr>
        <w:t>dominate</w:t>
      </w:r>
      <w:r w:rsidRPr="003D7C4D">
        <w:rPr>
          <w:rFonts w:ascii="Arial" w:hAnsi="Arial" w:cs="Arial"/>
          <w:sz w:val="20"/>
          <w:szCs w:val="20"/>
        </w:rPr>
        <w:t xml:space="preserve"> in agricultural GI</w:t>
      </w:r>
      <w:r w:rsidR="000A2C3A" w:rsidRPr="003D7C4D">
        <w:rPr>
          <w:rFonts w:ascii="Arial" w:hAnsi="Arial" w:cs="Arial"/>
          <w:sz w:val="20"/>
          <w:szCs w:val="20"/>
        </w:rPr>
        <w:t xml:space="preserve"> </w:t>
      </w:r>
      <w:r w:rsidR="00EF5440" w:rsidRPr="003D7C4D">
        <w:rPr>
          <w:rFonts w:ascii="Arial" w:hAnsi="Arial" w:cs="Arial"/>
          <w:sz w:val="20"/>
          <w:szCs w:val="20"/>
        </w:rPr>
        <w:t>registration. The</w:t>
      </w:r>
      <w:r w:rsidRPr="003D7C4D">
        <w:rPr>
          <w:rFonts w:ascii="Arial" w:hAnsi="Arial" w:cs="Arial"/>
          <w:sz w:val="20"/>
          <w:szCs w:val="20"/>
        </w:rPr>
        <w:t xml:space="preserve"> process of GI registration t</w:t>
      </w:r>
      <w:r w:rsidR="000A2C3A" w:rsidRPr="003D7C4D">
        <w:rPr>
          <w:rFonts w:ascii="Arial" w:hAnsi="Arial" w:cs="Arial"/>
          <w:sz w:val="20"/>
          <w:szCs w:val="20"/>
        </w:rPr>
        <w:t>ook</w:t>
      </w:r>
      <w:r w:rsidRPr="003D7C4D">
        <w:rPr>
          <w:rFonts w:ascii="Arial" w:hAnsi="Arial" w:cs="Arial"/>
          <w:sz w:val="20"/>
          <w:szCs w:val="20"/>
        </w:rPr>
        <w:t xml:space="preserve"> </w:t>
      </w:r>
      <w:r w:rsidR="00AE3EA7" w:rsidRPr="003D7C4D">
        <w:rPr>
          <w:rFonts w:ascii="Arial" w:hAnsi="Arial" w:cs="Arial"/>
          <w:sz w:val="20"/>
          <w:szCs w:val="20"/>
        </w:rPr>
        <w:t>up to five</w:t>
      </w:r>
      <w:r w:rsidRPr="003D7C4D">
        <w:rPr>
          <w:rFonts w:ascii="Arial" w:hAnsi="Arial" w:cs="Arial"/>
          <w:sz w:val="20"/>
          <w:szCs w:val="20"/>
        </w:rPr>
        <w:t xml:space="preserve"> years</w:t>
      </w:r>
      <w:r w:rsidR="000A2C3A" w:rsidRPr="003D7C4D">
        <w:rPr>
          <w:rFonts w:ascii="Arial" w:hAnsi="Arial" w:cs="Arial"/>
          <w:sz w:val="20"/>
          <w:szCs w:val="20"/>
        </w:rPr>
        <w:t xml:space="preserve"> for majority of the </w:t>
      </w:r>
      <w:r w:rsidR="00EF5440" w:rsidRPr="003D7C4D">
        <w:rPr>
          <w:rFonts w:ascii="Arial" w:hAnsi="Arial" w:cs="Arial"/>
          <w:sz w:val="20"/>
          <w:szCs w:val="20"/>
        </w:rPr>
        <w:t>products. Only</w:t>
      </w:r>
      <w:r w:rsidRPr="003D7C4D">
        <w:rPr>
          <w:rFonts w:ascii="Arial" w:hAnsi="Arial" w:cs="Arial"/>
          <w:sz w:val="20"/>
          <w:szCs w:val="20"/>
        </w:rPr>
        <w:t xml:space="preserve"> 275 of the 643 registered GIs ha</w:t>
      </w:r>
      <w:r w:rsidR="000A2C3A" w:rsidRPr="003D7C4D">
        <w:rPr>
          <w:rFonts w:ascii="Arial" w:hAnsi="Arial" w:cs="Arial"/>
          <w:sz w:val="20"/>
          <w:szCs w:val="20"/>
        </w:rPr>
        <w:t>d</w:t>
      </w:r>
      <w:r w:rsidRPr="003D7C4D">
        <w:rPr>
          <w:rFonts w:ascii="Arial" w:hAnsi="Arial" w:cs="Arial"/>
          <w:sz w:val="20"/>
          <w:szCs w:val="20"/>
        </w:rPr>
        <w:t xml:space="preserve"> authorized users, highlighting the underutilization of GI tag</w:t>
      </w:r>
      <w:r w:rsidR="000A2C3A" w:rsidRPr="003D7C4D">
        <w:rPr>
          <w:rFonts w:ascii="Arial" w:hAnsi="Arial" w:cs="Arial"/>
          <w:sz w:val="20"/>
          <w:szCs w:val="20"/>
        </w:rPr>
        <w:t>ging</w:t>
      </w:r>
      <w:r w:rsidRPr="003D7C4D">
        <w:rPr>
          <w:rFonts w:ascii="Arial" w:hAnsi="Arial" w:cs="Arial"/>
          <w:sz w:val="20"/>
          <w:szCs w:val="20"/>
        </w:rPr>
        <w:t xml:space="preserve"> post-registration. Key challenges include administrative delays, low aware</w:t>
      </w:r>
      <w:r w:rsidR="00EF5440" w:rsidRPr="003D7C4D">
        <w:rPr>
          <w:rFonts w:ascii="Arial" w:hAnsi="Arial" w:cs="Arial"/>
          <w:sz w:val="20"/>
          <w:szCs w:val="20"/>
        </w:rPr>
        <w:t>ness, and regional disparities. This</w:t>
      </w:r>
      <w:r w:rsidRPr="003D7C4D">
        <w:rPr>
          <w:rFonts w:ascii="Arial" w:hAnsi="Arial" w:cs="Arial"/>
          <w:sz w:val="20"/>
          <w:szCs w:val="20"/>
        </w:rPr>
        <w:t xml:space="preserve"> study recommends streamlining the registration process, improving stakeholder engagement, and addressing the</w:t>
      </w:r>
      <w:r w:rsidR="000A2C3A" w:rsidRPr="003D7C4D">
        <w:rPr>
          <w:rFonts w:ascii="Arial" w:hAnsi="Arial" w:cs="Arial"/>
          <w:sz w:val="20"/>
          <w:szCs w:val="20"/>
        </w:rPr>
        <w:t xml:space="preserve"> identified </w:t>
      </w:r>
      <w:r w:rsidRPr="003D7C4D">
        <w:rPr>
          <w:rFonts w:ascii="Arial" w:hAnsi="Arial" w:cs="Arial"/>
          <w:sz w:val="20"/>
          <w:szCs w:val="20"/>
        </w:rPr>
        <w:t>gaps</w:t>
      </w:r>
      <w:r w:rsidR="00EF5440" w:rsidRPr="003D7C4D">
        <w:rPr>
          <w:rFonts w:ascii="Arial" w:hAnsi="Arial" w:cs="Arial"/>
          <w:sz w:val="20"/>
          <w:szCs w:val="20"/>
        </w:rPr>
        <w:t xml:space="preserve"> to strengthen the GI framework. Enhancing</w:t>
      </w:r>
      <w:r w:rsidRPr="003D7C4D">
        <w:rPr>
          <w:rFonts w:ascii="Arial" w:hAnsi="Arial" w:cs="Arial"/>
          <w:sz w:val="20"/>
          <w:szCs w:val="20"/>
        </w:rPr>
        <w:t xml:space="preserve"> the system can protect traditional knowledge, boost rural economies, open global market opportunities, and foster sustainable development and cultural preservation</w:t>
      </w:r>
      <w:r w:rsidR="00FA1F12" w:rsidRPr="003D7C4D">
        <w:rPr>
          <w:rFonts w:ascii="Arial" w:hAnsi="Arial" w:cs="Arial"/>
          <w:sz w:val="20"/>
          <w:szCs w:val="20"/>
        </w:rPr>
        <w:t>.</w:t>
      </w:r>
    </w:p>
    <w:p w14:paraId="2358443C" w14:textId="0C3E790F" w:rsidR="003D7C4D" w:rsidRDefault="000A2C3A" w:rsidP="003D7C4D">
      <w:pPr>
        <w:spacing w:after="0" w:line="480" w:lineRule="auto"/>
        <w:jc w:val="both"/>
        <w:rPr>
          <w:rFonts w:ascii="Arial" w:hAnsi="Arial" w:cs="Arial"/>
          <w:b/>
          <w:bCs/>
          <w:i/>
          <w:iCs/>
          <w:sz w:val="20"/>
          <w:szCs w:val="20"/>
        </w:rPr>
      </w:pPr>
      <w:r w:rsidRPr="003D7C4D">
        <w:rPr>
          <w:rFonts w:ascii="Arial" w:hAnsi="Arial" w:cs="Arial"/>
          <w:b/>
          <w:bCs/>
          <w:i/>
          <w:iCs/>
          <w:sz w:val="20"/>
          <w:szCs w:val="20"/>
          <w:lang w:val="en-IN"/>
        </w:rPr>
        <w:t xml:space="preserve">Keywords: </w:t>
      </w:r>
      <w:r w:rsidRPr="003D7C4D">
        <w:rPr>
          <w:rFonts w:ascii="Arial" w:hAnsi="Arial" w:cs="Arial"/>
          <w:bCs/>
          <w:i/>
          <w:iCs/>
          <w:sz w:val="20"/>
          <w:szCs w:val="20"/>
        </w:rPr>
        <w:t xml:space="preserve">Geographical Indication, Agriculture, </w:t>
      </w:r>
      <w:proofErr w:type="spellStart"/>
      <w:r w:rsidR="00351EA5" w:rsidRPr="003D7C4D">
        <w:rPr>
          <w:rFonts w:ascii="Arial" w:hAnsi="Arial" w:cs="Arial"/>
          <w:bCs/>
          <w:i/>
          <w:iCs/>
          <w:sz w:val="20"/>
          <w:szCs w:val="20"/>
        </w:rPr>
        <w:t>Authorised</w:t>
      </w:r>
      <w:proofErr w:type="spellEnd"/>
      <w:r w:rsidRPr="003D7C4D">
        <w:rPr>
          <w:rFonts w:ascii="Arial" w:hAnsi="Arial" w:cs="Arial"/>
          <w:bCs/>
          <w:i/>
          <w:iCs/>
          <w:sz w:val="20"/>
          <w:szCs w:val="20"/>
        </w:rPr>
        <w:t xml:space="preserve"> User, India, GI, Intellectual Property</w:t>
      </w:r>
      <w:r w:rsidRPr="003D7C4D">
        <w:rPr>
          <w:rFonts w:ascii="Arial" w:hAnsi="Arial" w:cs="Arial"/>
          <w:b/>
          <w:bCs/>
          <w:i/>
          <w:iCs/>
          <w:sz w:val="20"/>
          <w:szCs w:val="20"/>
        </w:rPr>
        <w:t xml:space="preserve"> </w:t>
      </w:r>
    </w:p>
    <w:p w14:paraId="296DF1F9" w14:textId="77777777" w:rsidR="003D7C4D" w:rsidRDefault="003D7C4D" w:rsidP="003D7C4D">
      <w:pPr>
        <w:spacing w:after="0" w:line="480" w:lineRule="auto"/>
        <w:jc w:val="both"/>
        <w:rPr>
          <w:rFonts w:ascii="Arial" w:hAnsi="Arial" w:cs="Arial"/>
          <w:b/>
          <w:bCs/>
          <w:i/>
          <w:iCs/>
          <w:sz w:val="20"/>
          <w:szCs w:val="20"/>
        </w:rPr>
      </w:pPr>
    </w:p>
    <w:p w14:paraId="29540F9D" w14:textId="79E89B7F" w:rsidR="003D7C4D" w:rsidRDefault="003D7C4D" w:rsidP="003D7C4D">
      <w:pPr>
        <w:pStyle w:val="AbstHead"/>
        <w:spacing w:after="0" w:line="480" w:lineRule="auto"/>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729F6F1E" w14:textId="4810BE7E" w:rsidR="005252B0" w:rsidRPr="003D7C4D" w:rsidRDefault="001C0BFA" w:rsidP="003D7C4D">
      <w:pPr>
        <w:spacing w:after="0" w:line="480" w:lineRule="auto"/>
        <w:jc w:val="both"/>
        <w:rPr>
          <w:rFonts w:ascii="Arial" w:hAnsi="Arial" w:cs="Arial"/>
          <w:sz w:val="20"/>
          <w:szCs w:val="20"/>
        </w:rPr>
      </w:pPr>
      <w:r w:rsidRPr="003D7C4D">
        <w:rPr>
          <w:rFonts w:ascii="Arial" w:hAnsi="Arial" w:cs="Arial"/>
          <w:sz w:val="20"/>
          <w:szCs w:val="20"/>
        </w:rPr>
        <w:t>Certain products are renowned for their association with their place of origin, such as Champagne from France, Tequila from Mexico, and Darjeeling tea from India. These items have established strong brand identities in the global market, closely tied to their geographical roots</w:t>
      </w:r>
      <w:r w:rsidR="00B5501B" w:rsidRPr="003D7C4D">
        <w:rPr>
          <w:rFonts w:ascii="Arial" w:hAnsi="Arial" w:cs="Arial"/>
          <w:sz w:val="20"/>
          <w:szCs w:val="20"/>
        </w:rPr>
        <w:t xml:space="preserve">. A Geographical Indication </w:t>
      </w:r>
      <w:r w:rsidRPr="003D7C4D">
        <w:rPr>
          <w:rFonts w:ascii="Arial" w:hAnsi="Arial" w:cs="Arial"/>
          <w:sz w:val="20"/>
          <w:szCs w:val="20"/>
        </w:rPr>
        <w:t>is</w:t>
      </w:r>
      <w:r w:rsidR="00B5501B" w:rsidRPr="003D7C4D">
        <w:rPr>
          <w:rFonts w:ascii="Arial" w:hAnsi="Arial" w:cs="Arial"/>
          <w:sz w:val="20"/>
          <w:szCs w:val="20"/>
        </w:rPr>
        <w:t xml:space="preserve"> an I</w:t>
      </w:r>
      <w:r w:rsidR="00146EBC" w:rsidRPr="003D7C4D">
        <w:rPr>
          <w:rFonts w:ascii="Arial" w:hAnsi="Arial" w:cs="Arial"/>
          <w:sz w:val="20"/>
          <w:szCs w:val="20"/>
        </w:rPr>
        <w:t xml:space="preserve">ntellectual </w:t>
      </w:r>
      <w:r w:rsidR="00B5501B" w:rsidRPr="003D7C4D">
        <w:rPr>
          <w:rFonts w:ascii="Arial" w:hAnsi="Arial" w:cs="Arial"/>
          <w:sz w:val="20"/>
          <w:szCs w:val="20"/>
        </w:rPr>
        <w:t>P</w:t>
      </w:r>
      <w:r w:rsidR="00146EBC" w:rsidRPr="003D7C4D">
        <w:rPr>
          <w:rFonts w:ascii="Arial" w:hAnsi="Arial" w:cs="Arial"/>
          <w:sz w:val="20"/>
          <w:szCs w:val="20"/>
        </w:rPr>
        <w:t xml:space="preserve">roperty </w:t>
      </w:r>
      <w:r w:rsidR="00B5501B" w:rsidRPr="003D7C4D">
        <w:rPr>
          <w:rFonts w:ascii="Arial" w:hAnsi="Arial" w:cs="Arial"/>
          <w:sz w:val="20"/>
          <w:szCs w:val="20"/>
        </w:rPr>
        <w:t>R</w:t>
      </w:r>
      <w:r w:rsidR="00146EBC" w:rsidRPr="003D7C4D">
        <w:rPr>
          <w:rFonts w:ascii="Arial" w:hAnsi="Arial" w:cs="Arial"/>
          <w:sz w:val="20"/>
          <w:szCs w:val="20"/>
        </w:rPr>
        <w:t>ight</w:t>
      </w:r>
      <w:r w:rsidR="00B5501B" w:rsidRPr="003D7C4D">
        <w:rPr>
          <w:rFonts w:ascii="Arial" w:hAnsi="Arial" w:cs="Arial"/>
          <w:sz w:val="20"/>
          <w:szCs w:val="20"/>
        </w:rPr>
        <w:t xml:space="preserve"> linking a product to its place of origin.</w:t>
      </w:r>
      <w:r w:rsidR="003F073B" w:rsidRPr="003D7C4D">
        <w:rPr>
          <w:rFonts w:ascii="Arial" w:hAnsi="Arial" w:cs="Arial"/>
          <w:sz w:val="20"/>
          <w:szCs w:val="20"/>
        </w:rPr>
        <w:t xml:space="preserve"> </w:t>
      </w:r>
      <w:r w:rsidR="00B5501B" w:rsidRPr="003D7C4D">
        <w:rPr>
          <w:rFonts w:ascii="Arial" w:hAnsi="Arial" w:cs="Arial"/>
          <w:sz w:val="20"/>
          <w:szCs w:val="20"/>
        </w:rPr>
        <w:t xml:space="preserve">The Paris Convention (1883) and Madrid Agreement (1891) focused on indications of source, while the Lisbon Agreement (1958) </w:t>
      </w:r>
      <w:r w:rsidR="00B5501B" w:rsidRPr="003D7C4D">
        <w:rPr>
          <w:rFonts w:ascii="Arial" w:hAnsi="Arial" w:cs="Arial"/>
          <w:sz w:val="20"/>
          <w:szCs w:val="20"/>
        </w:rPr>
        <w:lastRenderedPageBreak/>
        <w:t>expanded to include appellations of origin. The term "Geographical Indication (GI)" was first legally defined in the WTO's 1994 TRIPS Agreement. Article 22 of the TRIPS Agreement defined GIs as indications identifying goods whose quality, reputation, or characteristics were inherently linked to their geographical origin (Lukose, 2022).</w:t>
      </w:r>
      <w:r w:rsidR="003F073B" w:rsidRPr="003D7C4D">
        <w:rPr>
          <w:rFonts w:ascii="Arial" w:hAnsi="Arial" w:cs="Arial"/>
          <w:sz w:val="20"/>
          <w:szCs w:val="20"/>
        </w:rPr>
        <w:t xml:space="preserve"> </w:t>
      </w:r>
      <w:r w:rsidR="00B5501B" w:rsidRPr="003D7C4D">
        <w:rPr>
          <w:rFonts w:ascii="Arial" w:hAnsi="Arial" w:cs="Arial"/>
          <w:sz w:val="20"/>
          <w:szCs w:val="20"/>
        </w:rPr>
        <w:t xml:space="preserve">The 1997 US patent on Basmati Rice highlighted the need for India to implement a domestic GI protection law, as the TRIPS Agreement mandated protection in the product's origin country (Saikia </w:t>
      </w:r>
      <w:r w:rsidR="00B5501B" w:rsidRPr="003D7C4D">
        <w:rPr>
          <w:rFonts w:ascii="Arial" w:hAnsi="Arial" w:cs="Arial"/>
          <w:i/>
          <w:iCs/>
          <w:sz w:val="20"/>
          <w:szCs w:val="20"/>
        </w:rPr>
        <w:t>et al</w:t>
      </w:r>
      <w:r w:rsidR="00B5501B" w:rsidRPr="003D7C4D">
        <w:rPr>
          <w:rFonts w:ascii="Arial" w:hAnsi="Arial" w:cs="Arial"/>
          <w:sz w:val="20"/>
          <w:szCs w:val="20"/>
        </w:rPr>
        <w:t xml:space="preserve">., 2024). </w:t>
      </w:r>
      <w:r w:rsidR="002E7C0D" w:rsidRPr="003D7C4D">
        <w:rPr>
          <w:rFonts w:ascii="Arial" w:hAnsi="Arial" w:cs="Arial"/>
          <w:sz w:val="20"/>
          <w:szCs w:val="20"/>
        </w:rPr>
        <w:t>India enacted the Geographical Indications of Goods (Registration and Protection) Act in December 1999 to align with WTO requirements</w:t>
      </w:r>
      <w:r w:rsidR="00B5501B" w:rsidRPr="003D7C4D">
        <w:rPr>
          <w:rFonts w:ascii="Arial" w:hAnsi="Arial" w:cs="Arial"/>
          <w:sz w:val="20"/>
          <w:szCs w:val="20"/>
        </w:rPr>
        <w:t>, which came into effect on September 15, 2003</w:t>
      </w:r>
      <w:r w:rsidR="003F073B" w:rsidRPr="003D7C4D">
        <w:rPr>
          <w:rFonts w:ascii="Arial" w:hAnsi="Arial" w:cs="Arial"/>
          <w:sz w:val="20"/>
          <w:szCs w:val="20"/>
        </w:rPr>
        <w:t xml:space="preserve"> </w:t>
      </w:r>
      <w:r w:rsidR="00B5501B" w:rsidRPr="003D7C4D">
        <w:rPr>
          <w:rFonts w:ascii="Arial" w:hAnsi="Arial" w:cs="Arial"/>
          <w:sz w:val="20"/>
          <w:szCs w:val="20"/>
        </w:rPr>
        <w:t xml:space="preserve">(Ahamed </w:t>
      </w:r>
      <w:r w:rsidR="00B5501B" w:rsidRPr="003D7C4D">
        <w:rPr>
          <w:rFonts w:ascii="Arial" w:hAnsi="Arial" w:cs="Arial"/>
          <w:i/>
          <w:iCs/>
          <w:sz w:val="20"/>
          <w:szCs w:val="20"/>
        </w:rPr>
        <w:t>et al</w:t>
      </w:r>
      <w:r w:rsidR="00B5501B" w:rsidRPr="003D7C4D">
        <w:rPr>
          <w:rFonts w:ascii="Arial" w:hAnsi="Arial" w:cs="Arial"/>
          <w:sz w:val="20"/>
          <w:szCs w:val="20"/>
        </w:rPr>
        <w:t>., 2022).</w:t>
      </w:r>
    </w:p>
    <w:p w14:paraId="209F128F" w14:textId="566EC66F" w:rsidR="00356C7E" w:rsidRPr="003D7C4D" w:rsidRDefault="00356C7E" w:rsidP="005F525C">
      <w:pPr>
        <w:spacing w:after="0" w:line="480" w:lineRule="auto"/>
        <w:jc w:val="both"/>
        <w:rPr>
          <w:rFonts w:ascii="Arial" w:hAnsi="Arial" w:cs="Arial"/>
          <w:sz w:val="20"/>
          <w:szCs w:val="20"/>
        </w:rPr>
      </w:pPr>
      <w:r w:rsidRPr="003D7C4D">
        <w:rPr>
          <w:rFonts w:ascii="Arial" w:hAnsi="Arial" w:cs="Arial"/>
          <w:sz w:val="20"/>
          <w:szCs w:val="20"/>
        </w:rPr>
        <w:t>The protection system for GIs significantly impacted the global economic landscape and international trade. For instance, Sorgho and Laure (2014) demonstrated that GIs played a key role in shaping E</w:t>
      </w:r>
      <w:r w:rsidR="000D6D24" w:rsidRPr="003D7C4D">
        <w:rPr>
          <w:rFonts w:ascii="Arial" w:hAnsi="Arial" w:cs="Arial"/>
          <w:sz w:val="20"/>
          <w:szCs w:val="20"/>
        </w:rPr>
        <w:t xml:space="preserve">uropean </w:t>
      </w:r>
      <w:r w:rsidRPr="003D7C4D">
        <w:rPr>
          <w:rFonts w:ascii="Arial" w:hAnsi="Arial" w:cs="Arial"/>
          <w:sz w:val="20"/>
          <w:szCs w:val="20"/>
        </w:rPr>
        <w:t>U</w:t>
      </w:r>
      <w:r w:rsidR="000D6D24" w:rsidRPr="003D7C4D">
        <w:rPr>
          <w:rFonts w:ascii="Arial" w:hAnsi="Arial" w:cs="Arial"/>
          <w:sz w:val="20"/>
          <w:szCs w:val="20"/>
        </w:rPr>
        <w:t>nion</w:t>
      </w:r>
      <w:r w:rsidRPr="003D7C4D">
        <w:rPr>
          <w:rFonts w:ascii="Arial" w:hAnsi="Arial" w:cs="Arial"/>
          <w:sz w:val="20"/>
          <w:szCs w:val="20"/>
        </w:rPr>
        <w:t xml:space="preserve"> trade, leading to both trade creation and diversion. Yin and </w:t>
      </w:r>
      <w:r w:rsidR="003F073B" w:rsidRPr="003D7C4D">
        <w:rPr>
          <w:rFonts w:ascii="Arial" w:hAnsi="Arial" w:cs="Arial"/>
          <w:sz w:val="20"/>
          <w:szCs w:val="20"/>
        </w:rPr>
        <w:t xml:space="preserve">co-workers </w:t>
      </w:r>
      <w:r w:rsidRPr="003D7C4D">
        <w:rPr>
          <w:rFonts w:ascii="Arial" w:hAnsi="Arial" w:cs="Arial"/>
          <w:sz w:val="20"/>
          <w:szCs w:val="20"/>
        </w:rPr>
        <w:t xml:space="preserve">(2024) highlighted that GIs in rural China notably accelerated agricultural growth and improved farmers’ incomes. In the EU, Raimondi </w:t>
      </w:r>
      <w:r w:rsidR="003159EA" w:rsidRPr="003D7C4D">
        <w:rPr>
          <w:rFonts w:ascii="Arial" w:hAnsi="Arial" w:cs="Arial"/>
          <w:i/>
          <w:iCs/>
          <w:sz w:val="20"/>
          <w:szCs w:val="20"/>
        </w:rPr>
        <w:t>et al</w:t>
      </w:r>
      <w:r w:rsidR="004418C2" w:rsidRPr="003D7C4D">
        <w:rPr>
          <w:rFonts w:ascii="Arial" w:hAnsi="Arial" w:cs="Arial"/>
          <w:sz w:val="20"/>
          <w:szCs w:val="20"/>
        </w:rPr>
        <w:t xml:space="preserve"> </w:t>
      </w:r>
      <w:r w:rsidRPr="003D7C4D">
        <w:rPr>
          <w:rFonts w:ascii="Arial" w:hAnsi="Arial" w:cs="Arial"/>
          <w:sz w:val="20"/>
          <w:szCs w:val="20"/>
        </w:rPr>
        <w:t>(2024) discovered that a 10% increase in GIs boosted employment in</w:t>
      </w:r>
      <w:r w:rsidR="005D7377" w:rsidRPr="003D7C4D">
        <w:rPr>
          <w:rFonts w:ascii="Arial" w:hAnsi="Arial" w:cs="Arial"/>
          <w:sz w:val="20"/>
          <w:szCs w:val="20"/>
        </w:rPr>
        <w:t xml:space="preserve"> both agriculture and industry, </w:t>
      </w:r>
      <w:r w:rsidRPr="003D7C4D">
        <w:rPr>
          <w:rFonts w:ascii="Arial" w:hAnsi="Arial" w:cs="Arial"/>
          <w:sz w:val="20"/>
          <w:szCs w:val="20"/>
        </w:rPr>
        <w:t>while also promoting rural development through spillover effects. Furthermore, Zhang and co-workers (2023) reported that GI branding reduced the urban-rural income gap.</w:t>
      </w:r>
      <w:r w:rsidR="003F073B" w:rsidRPr="003D7C4D">
        <w:rPr>
          <w:rFonts w:ascii="Arial" w:hAnsi="Arial" w:cs="Arial"/>
          <w:sz w:val="20"/>
          <w:szCs w:val="20"/>
        </w:rPr>
        <w:t xml:space="preserve"> As per the report of</w:t>
      </w:r>
      <w:r w:rsidR="00F73EFE" w:rsidRPr="003D7C4D">
        <w:rPr>
          <w:rFonts w:ascii="Arial" w:hAnsi="Arial" w:cs="Arial"/>
          <w:sz w:val="20"/>
          <w:szCs w:val="20"/>
        </w:rPr>
        <w:t xml:space="preserve"> World </w:t>
      </w:r>
      <w:r w:rsidR="003F073B" w:rsidRPr="003D7C4D">
        <w:rPr>
          <w:rFonts w:ascii="Arial" w:eastAsia="Segoe UI" w:hAnsi="Arial" w:cs="Arial"/>
          <w:color w:val="000000"/>
          <w:sz w:val="20"/>
          <w:szCs w:val="20"/>
          <w:shd w:val="clear" w:color="auto" w:fill="FFFFFF"/>
        </w:rPr>
        <w:t>Intellectual Property Indicators (2023)</w:t>
      </w:r>
      <w:r w:rsidR="002E7C0D" w:rsidRPr="003D7C4D">
        <w:rPr>
          <w:rFonts w:ascii="Arial" w:eastAsia="Segoe UI" w:hAnsi="Arial" w:cs="Arial"/>
          <w:color w:val="000000"/>
          <w:sz w:val="20"/>
          <w:szCs w:val="20"/>
          <w:shd w:val="clear" w:color="auto" w:fill="FFFFFF"/>
        </w:rPr>
        <w:t>,</w:t>
      </w:r>
      <w:r w:rsidR="003F073B" w:rsidRPr="003D7C4D">
        <w:rPr>
          <w:rFonts w:ascii="Arial" w:eastAsia="Segoe UI" w:hAnsi="Arial" w:cs="Arial"/>
          <w:color w:val="000000"/>
          <w:sz w:val="20"/>
          <w:szCs w:val="20"/>
          <w:shd w:val="clear" w:color="auto" w:fill="FFFFFF"/>
        </w:rPr>
        <w:t xml:space="preserve"> China leads in global GI registrations followed by other </w:t>
      </w:r>
      <w:r w:rsidR="002E7C0D" w:rsidRPr="003D7C4D">
        <w:rPr>
          <w:rFonts w:ascii="Arial" w:eastAsia="Segoe UI" w:hAnsi="Arial" w:cs="Arial"/>
          <w:color w:val="000000"/>
          <w:sz w:val="20"/>
          <w:szCs w:val="20"/>
          <w:shd w:val="clear" w:color="auto" w:fill="FFFFFF"/>
        </w:rPr>
        <w:t>European</w:t>
      </w:r>
      <w:r w:rsidR="000552E1" w:rsidRPr="003D7C4D">
        <w:rPr>
          <w:rFonts w:ascii="Arial" w:eastAsia="Segoe UI" w:hAnsi="Arial" w:cs="Arial"/>
          <w:color w:val="000000"/>
          <w:sz w:val="20"/>
          <w:szCs w:val="20"/>
          <w:shd w:val="clear" w:color="auto" w:fill="FFFFFF"/>
        </w:rPr>
        <w:t xml:space="preserve"> countries like Hungary </w:t>
      </w:r>
      <w:r w:rsidR="002E7C0D" w:rsidRPr="003D7C4D">
        <w:rPr>
          <w:rFonts w:ascii="Arial" w:eastAsia="Segoe UI" w:hAnsi="Arial" w:cs="Arial"/>
          <w:color w:val="000000"/>
          <w:sz w:val="20"/>
          <w:szCs w:val="20"/>
          <w:shd w:val="clear" w:color="auto" w:fill="FFFFFF"/>
        </w:rPr>
        <w:t xml:space="preserve">and </w:t>
      </w:r>
      <w:r w:rsidR="003F073B" w:rsidRPr="003D7C4D">
        <w:rPr>
          <w:rFonts w:ascii="Arial" w:eastAsia="Segoe UI" w:hAnsi="Arial" w:cs="Arial"/>
          <w:color w:val="000000"/>
          <w:sz w:val="20"/>
          <w:szCs w:val="20"/>
          <w:shd w:val="clear" w:color="auto" w:fill="FFFFFF"/>
        </w:rPr>
        <w:t xml:space="preserve">Germany. </w:t>
      </w:r>
      <w:r w:rsidR="002E7C0D" w:rsidRPr="003D7C4D">
        <w:rPr>
          <w:rFonts w:ascii="Arial" w:hAnsi="Arial" w:cs="Arial"/>
          <w:sz w:val="20"/>
          <w:szCs w:val="20"/>
        </w:rPr>
        <w:t>With</w:t>
      </w:r>
      <w:r w:rsidR="003F073B" w:rsidRPr="003D7C4D">
        <w:rPr>
          <w:rFonts w:ascii="Arial" w:hAnsi="Arial" w:cs="Arial"/>
          <w:sz w:val="20"/>
          <w:szCs w:val="20"/>
        </w:rPr>
        <w:t xml:space="preserve"> this </w:t>
      </w:r>
      <w:r w:rsidR="002E7C0D" w:rsidRPr="003D7C4D">
        <w:rPr>
          <w:rFonts w:ascii="Arial" w:hAnsi="Arial" w:cs="Arial"/>
          <w:sz w:val="20"/>
          <w:szCs w:val="20"/>
        </w:rPr>
        <w:t>background,</w:t>
      </w:r>
      <w:r w:rsidR="003F073B" w:rsidRPr="003D7C4D">
        <w:rPr>
          <w:rFonts w:ascii="Arial" w:hAnsi="Arial" w:cs="Arial"/>
          <w:sz w:val="20"/>
          <w:szCs w:val="20"/>
        </w:rPr>
        <w:t xml:space="preserve"> this </w:t>
      </w:r>
      <w:r w:rsidRPr="003D7C4D">
        <w:rPr>
          <w:rFonts w:ascii="Arial" w:hAnsi="Arial" w:cs="Arial"/>
          <w:sz w:val="20"/>
          <w:szCs w:val="20"/>
        </w:rPr>
        <w:t>study explore</w:t>
      </w:r>
      <w:r w:rsidR="003F073B" w:rsidRPr="003D7C4D">
        <w:rPr>
          <w:rFonts w:ascii="Arial" w:hAnsi="Arial" w:cs="Arial"/>
          <w:sz w:val="20"/>
          <w:szCs w:val="20"/>
        </w:rPr>
        <w:t>d</w:t>
      </w:r>
      <w:r w:rsidRPr="003D7C4D">
        <w:rPr>
          <w:rFonts w:ascii="Arial" w:hAnsi="Arial" w:cs="Arial"/>
          <w:sz w:val="20"/>
          <w:szCs w:val="20"/>
        </w:rPr>
        <w:t xml:space="preserve"> the status of GI registration</w:t>
      </w:r>
      <w:r w:rsidR="003F073B" w:rsidRPr="003D7C4D">
        <w:rPr>
          <w:rFonts w:ascii="Arial" w:hAnsi="Arial" w:cs="Arial"/>
          <w:sz w:val="20"/>
          <w:szCs w:val="20"/>
        </w:rPr>
        <w:t>s</w:t>
      </w:r>
      <w:r w:rsidRPr="003D7C4D">
        <w:rPr>
          <w:rFonts w:ascii="Arial" w:hAnsi="Arial" w:cs="Arial"/>
          <w:sz w:val="20"/>
          <w:szCs w:val="20"/>
        </w:rPr>
        <w:t xml:space="preserve"> in India as of July 2024, with an emphasis on the registration of agricultural products. The objectives of the study were: 1) to</w:t>
      </w:r>
      <w:r w:rsidR="002312FC" w:rsidRPr="003D7C4D">
        <w:rPr>
          <w:rFonts w:ascii="Arial" w:hAnsi="Arial" w:cs="Arial"/>
          <w:sz w:val="20"/>
          <w:szCs w:val="20"/>
        </w:rPr>
        <w:t xml:space="preserve"> </w:t>
      </w:r>
      <w:proofErr w:type="spellStart"/>
      <w:r w:rsidR="002312FC" w:rsidRPr="003D7C4D">
        <w:rPr>
          <w:rFonts w:ascii="Arial" w:hAnsi="Arial" w:cs="Arial"/>
          <w:sz w:val="20"/>
          <w:szCs w:val="20"/>
        </w:rPr>
        <w:t>analyse</w:t>
      </w:r>
      <w:proofErr w:type="spellEnd"/>
      <w:r w:rsidR="002312FC" w:rsidRPr="003D7C4D">
        <w:rPr>
          <w:rFonts w:ascii="Arial" w:hAnsi="Arial" w:cs="Arial"/>
          <w:sz w:val="20"/>
          <w:szCs w:val="20"/>
        </w:rPr>
        <w:t xml:space="preserve"> the category-wise distribution of registered GI goods</w:t>
      </w:r>
      <w:r w:rsidRPr="003D7C4D">
        <w:rPr>
          <w:rFonts w:ascii="Arial" w:hAnsi="Arial" w:cs="Arial"/>
          <w:sz w:val="20"/>
          <w:szCs w:val="20"/>
        </w:rPr>
        <w:t>, 2) to</w:t>
      </w:r>
      <w:r w:rsidR="002312FC" w:rsidRPr="003D7C4D">
        <w:rPr>
          <w:rFonts w:ascii="Arial" w:hAnsi="Arial" w:cs="Arial"/>
          <w:sz w:val="20"/>
          <w:szCs w:val="20"/>
        </w:rPr>
        <w:t xml:space="preserve"> identify trend in GI registration over the past 20 years</w:t>
      </w:r>
      <w:r w:rsidRPr="003D7C4D">
        <w:rPr>
          <w:rFonts w:ascii="Arial" w:hAnsi="Arial" w:cs="Arial"/>
          <w:sz w:val="20"/>
          <w:szCs w:val="20"/>
        </w:rPr>
        <w:t>, 3) to find the state-wise distribution of registered GIs, 4) to assess the components of agricultural GI registration, 5) to determine the time duration of the GI registration process, and 6) to identify the status of authorized users. Based on the analysis, this study also</w:t>
      </w:r>
      <w:r w:rsidR="007E04AC" w:rsidRPr="003D7C4D">
        <w:rPr>
          <w:rFonts w:ascii="Arial" w:hAnsi="Arial" w:cs="Arial"/>
          <w:sz w:val="20"/>
          <w:szCs w:val="20"/>
        </w:rPr>
        <w:t xml:space="preserve"> aims to</w:t>
      </w:r>
      <w:r w:rsidRPr="003D7C4D">
        <w:rPr>
          <w:rFonts w:ascii="Arial" w:hAnsi="Arial" w:cs="Arial"/>
          <w:sz w:val="20"/>
          <w:szCs w:val="20"/>
        </w:rPr>
        <w:t xml:space="preserve"> provide policy </w:t>
      </w:r>
      <w:r w:rsidR="007E04AC" w:rsidRPr="003D7C4D">
        <w:rPr>
          <w:rFonts w:ascii="Arial" w:hAnsi="Arial" w:cs="Arial"/>
          <w:sz w:val="20"/>
          <w:szCs w:val="20"/>
        </w:rPr>
        <w:t xml:space="preserve">suggestions </w:t>
      </w:r>
      <w:r w:rsidRPr="003D7C4D">
        <w:rPr>
          <w:rFonts w:ascii="Arial" w:hAnsi="Arial" w:cs="Arial"/>
          <w:sz w:val="20"/>
          <w:szCs w:val="20"/>
        </w:rPr>
        <w:t>for the better utilization and improvement of the GI system.</w:t>
      </w:r>
    </w:p>
    <w:p w14:paraId="12AEFE12" w14:textId="42FB8981" w:rsidR="003D7C4D" w:rsidRDefault="003D7C4D" w:rsidP="003D7C4D">
      <w:pPr>
        <w:pStyle w:val="AbstHead"/>
        <w:spacing w:after="0" w:line="480" w:lineRule="auto"/>
        <w:jc w:val="both"/>
        <w:rPr>
          <w:rFonts w:ascii="Arial" w:hAnsi="Arial" w:cs="Arial"/>
        </w:rPr>
      </w:pPr>
      <w:r>
        <w:rPr>
          <w:rFonts w:ascii="Arial" w:hAnsi="Arial" w:cs="Arial"/>
        </w:rPr>
        <w:t xml:space="preserve">2. methodology </w:t>
      </w:r>
    </w:p>
    <w:p w14:paraId="5C791B0F" w14:textId="46D6FABF" w:rsidR="00356C7E" w:rsidRPr="003D7C4D" w:rsidRDefault="00FA296F" w:rsidP="003D7C4D">
      <w:pPr>
        <w:spacing w:after="0" w:line="480" w:lineRule="auto"/>
        <w:jc w:val="both"/>
        <w:rPr>
          <w:rFonts w:ascii="Arial" w:hAnsi="Arial" w:cs="Arial"/>
          <w:sz w:val="20"/>
          <w:szCs w:val="20"/>
          <w:lang w:val="en-IN"/>
        </w:rPr>
      </w:pPr>
      <w:r w:rsidRPr="003D7C4D">
        <w:rPr>
          <w:rFonts w:ascii="Arial" w:hAnsi="Arial" w:cs="Arial"/>
          <w:sz w:val="20"/>
          <w:szCs w:val="20"/>
        </w:rPr>
        <w:t>This explorative study used secondary data from the official website of Intellectual Property India (IPR India) for the period</w:t>
      </w:r>
      <w:r w:rsidR="001C0BFA" w:rsidRPr="003D7C4D">
        <w:rPr>
          <w:rFonts w:ascii="Arial" w:hAnsi="Arial" w:cs="Arial"/>
          <w:sz w:val="20"/>
          <w:szCs w:val="20"/>
        </w:rPr>
        <w:t xml:space="preserve"> April</w:t>
      </w:r>
      <w:r w:rsidRPr="003D7C4D">
        <w:rPr>
          <w:rFonts w:ascii="Arial" w:hAnsi="Arial" w:cs="Arial"/>
          <w:sz w:val="20"/>
          <w:szCs w:val="20"/>
        </w:rPr>
        <w:t xml:space="preserve"> 2004 to </w:t>
      </w:r>
      <w:r w:rsidR="001C0BFA" w:rsidRPr="003D7C4D">
        <w:rPr>
          <w:rFonts w:ascii="Arial" w:hAnsi="Arial" w:cs="Arial"/>
          <w:sz w:val="20"/>
          <w:szCs w:val="20"/>
        </w:rPr>
        <w:t xml:space="preserve">July </w:t>
      </w:r>
      <w:r w:rsidRPr="003D7C4D">
        <w:rPr>
          <w:rFonts w:ascii="Arial" w:hAnsi="Arial" w:cs="Arial"/>
          <w:sz w:val="20"/>
          <w:szCs w:val="20"/>
        </w:rPr>
        <w:t xml:space="preserve">2024. </w:t>
      </w:r>
      <w:r w:rsidR="001C0BFA" w:rsidRPr="003D7C4D">
        <w:rPr>
          <w:rFonts w:ascii="Arial" w:hAnsi="Arial" w:cs="Arial"/>
          <w:sz w:val="20"/>
          <w:szCs w:val="20"/>
        </w:rPr>
        <w:t>We</w:t>
      </w:r>
      <w:r w:rsidRPr="003D7C4D">
        <w:rPr>
          <w:rFonts w:ascii="Arial" w:hAnsi="Arial" w:cs="Arial"/>
          <w:sz w:val="20"/>
          <w:szCs w:val="20"/>
        </w:rPr>
        <w:t xml:space="preserve"> examined </w:t>
      </w:r>
      <w:r w:rsidR="001C0BFA" w:rsidRPr="003D7C4D">
        <w:rPr>
          <w:rFonts w:ascii="Arial" w:hAnsi="Arial" w:cs="Arial"/>
          <w:sz w:val="20"/>
          <w:szCs w:val="20"/>
        </w:rPr>
        <w:t xml:space="preserve">the </w:t>
      </w:r>
      <w:r w:rsidRPr="003D7C4D">
        <w:rPr>
          <w:rFonts w:ascii="Arial" w:hAnsi="Arial" w:cs="Arial"/>
          <w:sz w:val="20"/>
          <w:szCs w:val="20"/>
        </w:rPr>
        <w:t>trend in GI registration, state-wise and category-wise distributions, time taken for registration, and the status of authorized users, using descriptive statistical tools like tabular and percentage analysis</w:t>
      </w:r>
      <w:r w:rsidR="00356C7E" w:rsidRPr="003D7C4D">
        <w:rPr>
          <w:rFonts w:ascii="Arial" w:hAnsi="Arial" w:cs="Arial"/>
          <w:sz w:val="20"/>
          <w:szCs w:val="20"/>
          <w:lang w:val="en-IN"/>
        </w:rPr>
        <w:t>.</w:t>
      </w:r>
    </w:p>
    <w:p w14:paraId="64FA27EC" w14:textId="73FA557B" w:rsidR="00E73235" w:rsidRPr="003D7C4D" w:rsidRDefault="003D7C4D" w:rsidP="003D7C4D">
      <w:pPr>
        <w:pStyle w:val="Head1"/>
        <w:spacing w:after="0" w:line="480" w:lineRule="auto"/>
        <w:jc w:val="both"/>
        <w:rPr>
          <w:rFonts w:ascii="Arial" w:hAnsi="Arial" w:cs="Arial"/>
        </w:rPr>
      </w:pPr>
      <w:r w:rsidRPr="003D7C4D">
        <w:rPr>
          <w:rFonts w:ascii="Arial" w:hAnsi="Arial" w:cs="Arial"/>
        </w:rPr>
        <w:lastRenderedPageBreak/>
        <w:t>3. results and discussion</w:t>
      </w:r>
    </w:p>
    <w:p w14:paraId="0A7A50F2" w14:textId="53CCE4E1" w:rsidR="00B13E64" w:rsidRPr="003D7C4D" w:rsidRDefault="003D7C4D" w:rsidP="003D7C4D">
      <w:pPr>
        <w:spacing w:after="0" w:line="480" w:lineRule="auto"/>
        <w:jc w:val="both"/>
        <w:rPr>
          <w:rFonts w:ascii="Arial" w:hAnsi="Arial" w:cs="Arial"/>
          <w:b/>
          <w:bCs/>
          <w:sz w:val="24"/>
          <w:szCs w:val="24"/>
          <w:lang w:val="en-IN"/>
        </w:rPr>
      </w:pPr>
      <w:r w:rsidRPr="003D7C4D">
        <w:rPr>
          <w:rFonts w:ascii="Arial" w:hAnsi="Arial" w:cs="Arial"/>
          <w:b/>
          <w:bCs/>
        </w:rPr>
        <w:t>3.1</w:t>
      </w:r>
      <w:r w:rsidR="007E04AC" w:rsidRPr="003D7C4D">
        <w:rPr>
          <w:rFonts w:ascii="Arial" w:hAnsi="Arial" w:cs="Arial"/>
          <w:b/>
          <w:bCs/>
        </w:rPr>
        <w:t xml:space="preserve"> </w:t>
      </w:r>
      <w:r w:rsidR="00B13E64" w:rsidRPr="003D7C4D">
        <w:rPr>
          <w:rFonts w:ascii="Arial" w:hAnsi="Arial" w:cs="Arial"/>
          <w:b/>
          <w:bCs/>
        </w:rPr>
        <w:t>Category-wise distribution of registered GI goods</w:t>
      </w:r>
      <w:r w:rsidRPr="003D7C4D">
        <w:rPr>
          <w:rFonts w:ascii="Arial" w:hAnsi="Arial" w:cs="Arial"/>
          <w:b/>
          <w:bCs/>
          <w:sz w:val="20"/>
          <w:szCs w:val="20"/>
        </w:rPr>
        <w:t xml:space="preserve"> </w:t>
      </w:r>
    </w:p>
    <w:p w14:paraId="36B3F69C" w14:textId="1E9E3E0D" w:rsidR="007E04AC" w:rsidRPr="003D7C4D" w:rsidRDefault="0062077E" w:rsidP="005F525C">
      <w:pPr>
        <w:spacing w:after="0" w:line="480" w:lineRule="auto"/>
        <w:jc w:val="both"/>
        <w:rPr>
          <w:rFonts w:ascii="Arial" w:hAnsi="Arial" w:cs="Arial"/>
          <w:sz w:val="20"/>
          <w:szCs w:val="20"/>
          <w:lang w:val="en-IN"/>
        </w:rPr>
      </w:pPr>
      <w:r w:rsidRPr="003D7C4D">
        <w:rPr>
          <w:rFonts w:ascii="Arial" w:hAnsi="Arial" w:cs="Arial"/>
          <w:sz w:val="20"/>
          <w:szCs w:val="20"/>
          <w:lang w:val="en-IN"/>
        </w:rPr>
        <w:t xml:space="preserve">India's </w:t>
      </w:r>
      <w:r w:rsidR="001C0BFA" w:rsidRPr="003D7C4D">
        <w:rPr>
          <w:rFonts w:ascii="Arial" w:hAnsi="Arial" w:cs="Arial"/>
          <w:sz w:val="20"/>
          <w:szCs w:val="20"/>
        </w:rPr>
        <w:t>GI of Goods (Registration and Protection) Act</w:t>
      </w:r>
      <w:r w:rsidR="001C0BFA" w:rsidRPr="003D7C4D">
        <w:rPr>
          <w:rFonts w:ascii="Arial" w:hAnsi="Arial" w:cs="Arial"/>
          <w:sz w:val="20"/>
          <w:szCs w:val="20"/>
          <w:lang w:val="en-IN"/>
        </w:rPr>
        <w:t xml:space="preserve"> </w:t>
      </w:r>
      <w:r w:rsidRPr="003D7C4D">
        <w:rPr>
          <w:rFonts w:ascii="Arial" w:hAnsi="Arial" w:cs="Arial"/>
          <w:sz w:val="20"/>
          <w:szCs w:val="20"/>
          <w:lang w:val="en-IN"/>
        </w:rPr>
        <w:t>was enacted in 2003, with the first good</w:t>
      </w:r>
      <w:r w:rsidR="005823EF" w:rsidRPr="003D7C4D">
        <w:rPr>
          <w:rFonts w:ascii="Arial" w:hAnsi="Arial" w:cs="Arial"/>
          <w:sz w:val="20"/>
          <w:szCs w:val="20"/>
          <w:lang w:val="en-IN"/>
        </w:rPr>
        <w:t>,</w:t>
      </w:r>
      <w:r w:rsidR="001C0BFA" w:rsidRPr="003D7C4D">
        <w:rPr>
          <w:rFonts w:ascii="Arial" w:hAnsi="Arial" w:cs="Arial"/>
          <w:sz w:val="20"/>
          <w:szCs w:val="20"/>
          <w:lang w:val="en-IN"/>
        </w:rPr>
        <w:t xml:space="preserve"> Darjeeling </w:t>
      </w:r>
      <w:r w:rsidR="00E37894" w:rsidRPr="003D7C4D">
        <w:rPr>
          <w:rFonts w:ascii="Arial" w:hAnsi="Arial" w:cs="Arial"/>
          <w:sz w:val="20"/>
          <w:szCs w:val="20"/>
          <w:lang w:val="en-IN"/>
        </w:rPr>
        <w:t>T</w:t>
      </w:r>
      <w:r w:rsidR="001C0BFA" w:rsidRPr="003D7C4D">
        <w:rPr>
          <w:rFonts w:ascii="Arial" w:hAnsi="Arial" w:cs="Arial"/>
          <w:sz w:val="20"/>
          <w:szCs w:val="20"/>
          <w:lang w:val="en-IN"/>
        </w:rPr>
        <w:t>ea</w:t>
      </w:r>
      <w:r w:rsidR="005823EF" w:rsidRPr="003D7C4D">
        <w:rPr>
          <w:rFonts w:ascii="Arial" w:hAnsi="Arial" w:cs="Arial"/>
          <w:sz w:val="20"/>
          <w:szCs w:val="20"/>
          <w:lang w:val="en-IN"/>
        </w:rPr>
        <w:t>,</w:t>
      </w:r>
      <w:r w:rsidRPr="003D7C4D">
        <w:rPr>
          <w:rFonts w:ascii="Arial" w:hAnsi="Arial" w:cs="Arial"/>
          <w:sz w:val="20"/>
          <w:szCs w:val="20"/>
          <w:lang w:val="en-IN"/>
        </w:rPr>
        <w:t xml:space="preserve"> registered under GI in 2004.</w:t>
      </w:r>
      <w:r w:rsidR="004938BE" w:rsidRPr="003D7C4D">
        <w:rPr>
          <w:rFonts w:ascii="Arial" w:hAnsi="Arial" w:cs="Arial"/>
        </w:rPr>
        <w:t xml:space="preserve"> </w:t>
      </w:r>
      <w:r w:rsidR="004938BE" w:rsidRPr="003D7C4D">
        <w:rPr>
          <w:rFonts w:ascii="Arial" w:hAnsi="Arial" w:cs="Arial"/>
          <w:sz w:val="20"/>
          <w:szCs w:val="20"/>
        </w:rPr>
        <w:t>Between 2004 and 2024, India registered a total of 643 GIs, comprising 605 goods of Indian origin and 38 goods from 15 foreign countries. As per Section 84 of the GI Act, foreign goods with significant recognition in India were eligible for GI registration.</w:t>
      </w:r>
      <w:r w:rsidRPr="003D7C4D">
        <w:rPr>
          <w:rFonts w:ascii="Arial" w:hAnsi="Arial" w:cs="Arial"/>
          <w:sz w:val="20"/>
          <w:szCs w:val="20"/>
          <w:lang w:val="en-IN"/>
        </w:rPr>
        <w:t xml:space="preserve"> For instance, Peruvian Pisco, a distilled beverage from Peru, became the first foreign product to obtain GI status in India with a protected designation of origin. Among convention countries, Italy led with 17 registered goods.</w:t>
      </w:r>
      <w:r w:rsidR="007E04AC" w:rsidRPr="003D7C4D">
        <w:rPr>
          <w:rFonts w:ascii="Arial" w:hAnsi="Arial" w:cs="Arial"/>
          <w:sz w:val="20"/>
          <w:szCs w:val="20"/>
          <w:lang w:val="en-IN"/>
        </w:rPr>
        <w:t xml:space="preserve"> </w:t>
      </w:r>
    </w:p>
    <w:tbl>
      <w:tblPr>
        <w:tblStyle w:val="TableGrid"/>
        <w:tblpPr w:leftFromText="180" w:rightFromText="180" w:vertAnchor="text" w:horzAnchor="margin" w:tblpY="311"/>
        <w:tblW w:w="9299" w:type="dxa"/>
        <w:tblLayout w:type="fixed"/>
        <w:tblLook w:val="04A0" w:firstRow="1" w:lastRow="0" w:firstColumn="1" w:lastColumn="0" w:noHBand="0" w:noVBand="1"/>
      </w:tblPr>
      <w:tblGrid>
        <w:gridCol w:w="1555"/>
        <w:gridCol w:w="1275"/>
        <w:gridCol w:w="1560"/>
        <w:gridCol w:w="992"/>
        <w:gridCol w:w="1417"/>
        <w:gridCol w:w="1276"/>
        <w:gridCol w:w="1224"/>
      </w:tblGrid>
      <w:tr w:rsidR="000B24F6" w:rsidRPr="003D7C4D" w14:paraId="55EA6498" w14:textId="77777777" w:rsidTr="000B24F6">
        <w:tc>
          <w:tcPr>
            <w:tcW w:w="1555" w:type="dxa"/>
          </w:tcPr>
          <w:p w14:paraId="1EA7AFF8" w14:textId="77777777" w:rsidR="007E04AC" w:rsidRPr="003D7C4D" w:rsidRDefault="007E04AC" w:rsidP="007E04AC">
            <w:pPr>
              <w:spacing w:line="480" w:lineRule="auto"/>
              <w:jc w:val="both"/>
              <w:rPr>
                <w:rFonts w:ascii="Arial" w:hAnsi="Arial" w:cs="Arial"/>
                <w:b/>
                <w:bCs/>
                <w:sz w:val="20"/>
                <w:szCs w:val="20"/>
                <w:lang w:val="en-IN"/>
              </w:rPr>
            </w:pPr>
            <w:r w:rsidRPr="003D7C4D">
              <w:rPr>
                <w:rFonts w:ascii="Arial" w:hAnsi="Arial" w:cs="Arial"/>
                <w:b/>
                <w:bCs/>
                <w:kern w:val="0"/>
                <w:sz w:val="20"/>
                <w:szCs w:val="20"/>
                <w:lang w:val="en-IN"/>
              </w:rPr>
              <w:t>Goods category</w:t>
            </w:r>
          </w:p>
        </w:tc>
        <w:tc>
          <w:tcPr>
            <w:tcW w:w="1275" w:type="dxa"/>
          </w:tcPr>
          <w:p w14:paraId="22168EB1" w14:textId="77777777" w:rsidR="007E04AC" w:rsidRPr="003D7C4D" w:rsidRDefault="007E04AC" w:rsidP="003D7C4D">
            <w:pPr>
              <w:spacing w:line="480" w:lineRule="auto"/>
              <w:jc w:val="center"/>
              <w:rPr>
                <w:rFonts w:ascii="Arial" w:hAnsi="Arial" w:cs="Arial"/>
                <w:b/>
                <w:bCs/>
                <w:sz w:val="20"/>
                <w:szCs w:val="20"/>
                <w:lang w:val="en-IN"/>
              </w:rPr>
            </w:pPr>
            <w:r w:rsidRPr="003D7C4D">
              <w:rPr>
                <w:rFonts w:ascii="Arial" w:hAnsi="Arial" w:cs="Arial"/>
                <w:b/>
                <w:bCs/>
                <w:kern w:val="0"/>
                <w:sz w:val="20"/>
                <w:szCs w:val="20"/>
                <w:lang w:val="en-IN"/>
              </w:rPr>
              <w:t>Agricultural</w:t>
            </w:r>
          </w:p>
        </w:tc>
        <w:tc>
          <w:tcPr>
            <w:tcW w:w="1560" w:type="dxa"/>
          </w:tcPr>
          <w:p w14:paraId="566CEEB9" w14:textId="77777777" w:rsidR="007E04AC" w:rsidRPr="003D7C4D" w:rsidRDefault="007E04AC" w:rsidP="003D7C4D">
            <w:pPr>
              <w:spacing w:line="480" w:lineRule="auto"/>
              <w:jc w:val="center"/>
              <w:rPr>
                <w:rFonts w:ascii="Arial" w:hAnsi="Arial" w:cs="Arial"/>
                <w:b/>
                <w:bCs/>
                <w:sz w:val="20"/>
                <w:szCs w:val="20"/>
                <w:lang w:val="en-IN"/>
              </w:rPr>
            </w:pPr>
            <w:r w:rsidRPr="003D7C4D">
              <w:rPr>
                <w:rFonts w:ascii="Arial" w:hAnsi="Arial" w:cs="Arial"/>
                <w:b/>
                <w:bCs/>
                <w:kern w:val="0"/>
                <w:sz w:val="20"/>
                <w:szCs w:val="20"/>
                <w:lang w:val="en-IN"/>
              </w:rPr>
              <w:t>Manufactured</w:t>
            </w:r>
          </w:p>
        </w:tc>
        <w:tc>
          <w:tcPr>
            <w:tcW w:w="992" w:type="dxa"/>
          </w:tcPr>
          <w:p w14:paraId="2C0F018E" w14:textId="77777777" w:rsidR="007E04AC" w:rsidRPr="003D7C4D" w:rsidRDefault="007E04AC" w:rsidP="003D7C4D">
            <w:pPr>
              <w:spacing w:line="480" w:lineRule="auto"/>
              <w:jc w:val="center"/>
              <w:rPr>
                <w:rFonts w:ascii="Arial" w:hAnsi="Arial" w:cs="Arial"/>
                <w:b/>
                <w:bCs/>
                <w:sz w:val="20"/>
                <w:szCs w:val="20"/>
                <w:lang w:val="en-IN"/>
              </w:rPr>
            </w:pPr>
            <w:r w:rsidRPr="003D7C4D">
              <w:rPr>
                <w:rFonts w:ascii="Arial" w:hAnsi="Arial" w:cs="Arial"/>
                <w:b/>
                <w:bCs/>
                <w:kern w:val="0"/>
                <w:sz w:val="20"/>
                <w:szCs w:val="20"/>
                <w:lang w:val="en-IN"/>
              </w:rPr>
              <w:t>Foodstuff</w:t>
            </w:r>
          </w:p>
        </w:tc>
        <w:tc>
          <w:tcPr>
            <w:tcW w:w="1417" w:type="dxa"/>
          </w:tcPr>
          <w:p w14:paraId="56BB6FF6" w14:textId="77777777" w:rsidR="007E04AC" w:rsidRPr="003D7C4D" w:rsidRDefault="007E04AC" w:rsidP="003D7C4D">
            <w:pPr>
              <w:spacing w:line="480" w:lineRule="auto"/>
              <w:jc w:val="center"/>
              <w:rPr>
                <w:rFonts w:ascii="Arial" w:hAnsi="Arial" w:cs="Arial"/>
                <w:b/>
                <w:bCs/>
                <w:sz w:val="20"/>
                <w:szCs w:val="20"/>
                <w:lang w:val="en-IN"/>
              </w:rPr>
            </w:pPr>
            <w:r w:rsidRPr="003D7C4D">
              <w:rPr>
                <w:rFonts w:ascii="Arial" w:hAnsi="Arial" w:cs="Arial"/>
                <w:b/>
                <w:bCs/>
                <w:kern w:val="0"/>
                <w:sz w:val="20"/>
                <w:szCs w:val="20"/>
                <w:lang w:val="en-IN"/>
              </w:rPr>
              <w:t>Handicraft</w:t>
            </w:r>
          </w:p>
        </w:tc>
        <w:tc>
          <w:tcPr>
            <w:tcW w:w="1276" w:type="dxa"/>
          </w:tcPr>
          <w:p w14:paraId="6FC3263A" w14:textId="77777777" w:rsidR="007E04AC" w:rsidRPr="003D7C4D" w:rsidRDefault="007E04AC" w:rsidP="003D7C4D">
            <w:pPr>
              <w:spacing w:line="480" w:lineRule="auto"/>
              <w:jc w:val="center"/>
              <w:rPr>
                <w:rFonts w:ascii="Arial" w:hAnsi="Arial" w:cs="Arial"/>
                <w:b/>
                <w:bCs/>
                <w:sz w:val="20"/>
                <w:szCs w:val="20"/>
                <w:lang w:val="en-IN"/>
              </w:rPr>
            </w:pPr>
            <w:r w:rsidRPr="003D7C4D">
              <w:rPr>
                <w:rFonts w:ascii="Arial" w:hAnsi="Arial" w:cs="Arial"/>
                <w:b/>
                <w:bCs/>
                <w:kern w:val="0"/>
                <w:sz w:val="20"/>
                <w:szCs w:val="20"/>
                <w:lang w:val="en-IN"/>
              </w:rPr>
              <w:t>Natural</w:t>
            </w:r>
          </w:p>
        </w:tc>
        <w:tc>
          <w:tcPr>
            <w:tcW w:w="1224" w:type="dxa"/>
          </w:tcPr>
          <w:p w14:paraId="2C9E748F" w14:textId="77777777" w:rsidR="007E04AC" w:rsidRPr="003D7C4D" w:rsidRDefault="007E04AC" w:rsidP="003D7C4D">
            <w:pPr>
              <w:spacing w:line="480" w:lineRule="auto"/>
              <w:jc w:val="center"/>
              <w:rPr>
                <w:rFonts w:ascii="Arial" w:hAnsi="Arial" w:cs="Arial"/>
                <w:b/>
                <w:bCs/>
                <w:sz w:val="20"/>
                <w:szCs w:val="20"/>
                <w:lang w:val="en-IN"/>
              </w:rPr>
            </w:pPr>
            <w:r w:rsidRPr="003D7C4D">
              <w:rPr>
                <w:rFonts w:ascii="Arial" w:hAnsi="Arial" w:cs="Arial"/>
                <w:b/>
                <w:bCs/>
                <w:kern w:val="0"/>
                <w:sz w:val="20"/>
                <w:szCs w:val="20"/>
                <w:lang w:val="en-IN"/>
              </w:rPr>
              <w:t>Total</w:t>
            </w:r>
          </w:p>
        </w:tc>
      </w:tr>
      <w:tr w:rsidR="000B24F6" w:rsidRPr="003D7C4D" w14:paraId="0DD1B1BF" w14:textId="77777777" w:rsidTr="000B24F6">
        <w:tc>
          <w:tcPr>
            <w:tcW w:w="1555" w:type="dxa"/>
          </w:tcPr>
          <w:p w14:paraId="1C220279" w14:textId="77777777" w:rsidR="007E04AC" w:rsidRPr="003D7C4D" w:rsidRDefault="007E04AC" w:rsidP="007E04AC">
            <w:pPr>
              <w:spacing w:line="480" w:lineRule="auto"/>
              <w:jc w:val="both"/>
              <w:rPr>
                <w:rFonts w:ascii="Arial" w:hAnsi="Arial" w:cs="Arial"/>
                <w:sz w:val="20"/>
                <w:szCs w:val="20"/>
                <w:lang w:val="en-IN"/>
              </w:rPr>
            </w:pPr>
            <w:r w:rsidRPr="003D7C4D">
              <w:rPr>
                <w:rFonts w:ascii="Arial" w:hAnsi="Arial" w:cs="Arial"/>
                <w:kern w:val="0"/>
                <w:sz w:val="20"/>
                <w:szCs w:val="20"/>
                <w:lang w:val="en-IN"/>
              </w:rPr>
              <w:t>India origin</w:t>
            </w:r>
          </w:p>
        </w:tc>
        <w:tc>
          <w:tcPr>
            <w:tcW w:w="1275" w:type="dxa"/>
          </w:tcPr>
          <w:p w14:paraId="5FC59AF8"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197</w:t>
            </w:r>
          </w:p>
        </w:tc>
        <w:tc>
          <w:tcPr>
            <w:tcW w:w="1560" w:type="dxa"/>
          </w:tcPr>
          <w:p w14:paraId="3AD71315"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18</w:t>
            </w:r>
          </w:p>
        </w:tc>
        <w:tc>
          <w:tcPr>
            <w:tcW w:w="992" w:type="dxa"/>
          </w:tcPr>
          <w:p w14:paraId="6803D130"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45</w:t>
            </w:r>
          </w:p>
        </w:tc>
        <w:tc>
          <w:tcPr>
            <w:tcW w:w="1417" w:type="dxa"/>
          </w:tcPr>
          <w:p w14:paraId="757CFFFE"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342</w:t>
            </w:r>
          </w:p>
        </w:tc>
        <w:tc>
          <w:tcPr>
            <w:tcW w:w="1276" w:type="dxa"/>
          </w:tcPr>
          <w:p w14:paraId="5775A025"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03</w:t>
            </w:r>
          </w:p>
        </w:tc>
        <w:tc>
          <w:tcPr>
            <w:tcW w:w="1224" w:type="dxa"/>
          </w:tcPr>
          <w:p w14:paraId="568D826F"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605 (94.1%)</w:t>
            </w:r>
          </w:p>
        </w:tc>
      </w:tr>
      <w:tr w:rsidR="000B24F6" w:rsidRPr="003D7C4D" w14:paraId="5DD88E82" w14:textId="77777777" w:rsidTr="000B24F6">
        <w:tc>
          <w:tcPr>
            <w:tcW w:w="1555" w:type="dxa"/>
          </w:tcPr>
          <w:p w14:paraId="409CA28F" w14:textId="77777777" w:rsidR="007E04AC" w:rsidRPr="003D7C4D" w:rsidRDefault="007E04AC" w:rsidP="007E04AC">
            <w:pPr>
              <w:spacing w:line="480" w:lineRule="auto"/>
              <w:jc w:val="both"/>
              <w:rPr>
                <w:rFonts w:ascii="Arial" w:hAnsi="Arial" w:cs="Arial"/>
                <w:sz w:val="20"/>
                <w:szCs w:val="20"/>
                <w:lang w:val="en-IN"/>
              </w:rPr>
            </w:pPr>
            <w:r w:rsidRPr="003D7C4D">
              <w:rPr>
                <w:rFonts w:ascii="Arial" w:hAnsi="Arial" w:cs="Arial"/>
                <w:kern w:val="0"/>
                <w:sz w:val="20"/>
                <w:szCs w:val="20"/>
                <w:lang w:val="en-IN"/>
              </w:rPr>
              <w:t>Foreign origin</w:t>
            </w:r>
          </w:p>
        </w:tc>
        <w:tc>
          <w:tcPr>
            <w:tcW w:w="1275" w:type="dxa"/>
          </w:tcPr>
          <w:p w14:paraId="54152E4D"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w:t>
            </w:r>
          </w:p>
        </w:tc>
        <w:tc>
          <w:tcPr>
            <w:tcW w:w="1560" w:type="dxa"/>
          </w:tcPr>
          <w:p w14:paraId="4B9E1E75"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32</w:t>
            </w:r>
          </w:p>
        </w:tc>
        <w:tc>
          <w:tcPr>
            <w:tcW w:w="992" w:type="dxa"/>
          </w:tcPr>
          <w:p w14:paraId="0C034A38"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05</w:t>
            </w:r>
          </w:p>
        </w:tc>
        <w:tc>
          <w:tcPr>
            <w:tcW w:w="1417" w:type="dxa"/>
          </w:tcPr>
          <w:p w14:paraId="75430668"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01</w:t>
            </w:r>
          </w:p>
        </w:tc>
        <w:tc>
          <w:tcPr>
            <w:tcW w:w="1276" w:type="dxa"/>
          </w:tcPr>
          <w:p w14:paraId="2759A93C"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w:t>
            </w:r>
          </w:p>
        </w:tc>
        <w:tc>
          <w:tcPr>
            <w:tcW w:w="1224" w:type="dxa"/>
          </w:tcPr>
          <w:p w14:paraId="35BE3A8A"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38 (5.9%)</w:t>
            </w:r>
          </w:p>
        </w:tc>
      </w:tr>
      <w:tr w:rsidR="000B24F6" w:rsidRPr="003D7C4D" w14:paraId="5C8CA771" w14:textId="77777777" w:rsidTr="000B24F6">
        <w:tc>
          <w:tcPr>
            <w:tcW w:w="1555" w:type="dxa"/>
          </w:tcPr>
          <w:p w14:paraId="57DFEAEA" w14:textId="77777777" w:rsidR="007E04AC" w:rsidRPr="003D7C4D" w:rsidRDefault="007E04AC" w:rsidP="007E04AC">
            <w:pPr>
              <w:spacing w:line="480" w:lineRule="auto"/>
              <w:jc w:val="both"/>
              <w:rPr>
                <w:rFonts w:ascii="Arial" w:hAnsi="Arial" w:cs="Arial"/>
                <w:sz w:val="20"/>
                <w:szCs w:val="20"/>
                <w:lang w:val="en-IN"/>
              </w:rPr>
            </w:pPr>
            <w:r w:rsidRPr="003D7C4D">
              <w:rPr>
                <w:rFonts w:ascii="Arial" w:hAnsi="Arial" w:cs="Arial"/>
                <w:kern w:val="0"/>
                <w:sz w:val="20"/>
                <w:szCs w:val="20"/>
                <w:lang w:val="en-IN"/>
              </w:rPr>
              <w:t xml:space="preserve">Total </w:t>
            </w:r>
          </w:p>
        </w:tc>
        <w:tc>
          <w:tcPr>
            <w:tcW w:w="1275" w:type="dxa"/>
          </w:tcPr>
          <w:p w14:paraId="4443FD1B"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197 (30.63%)</w:t>
            </w:r>
          </w:p>
        </w:tc>
        <w:tc>
          <w:tcPr>
            <w:tcW w:w="1560" w:type="dxa"/>
          </w:tcPr>
          <w:p w14:paraId="0257F72F" w14:textId="77777777" w:rsidR="000B24F6" w:rsidRDefault="007E04AC" w:rsidP="003D7C4D">
            <w:pPr>
              <w:spacing w:line="480" w:lineRule="auto"/>
              <w:jc w:val="center"/>
              <w:rPr>
                <w:rFonts w:ascii="Arial" w:hAnsi="Arial" w:cs="Arial"/>
                <w:kern w:val="0"/>
                <w:sz w:val="20"/>
                <w:szCs w:val="20"/>
                <w:lang w:val="en-IN"/>
              </w:rPr>
            </w:pPr>
            <w:r w:rsidRPr="003D7C4D">
              <w:rPr>
                <w:rFonts w:ascii="Arial" w:hAnsi="Arial" w:cs="Arial"/>
                <w:kern w:val="0"/>
                <w:sz w:val="20"/>
                <w:szCs w:val="20"/>
                <w:lang w:val="en-IN"/>
              </w:rPr>
              <w:t xml:space="preserve">50 </w:t>
            </w:r>
          </w:p>
          <w:p w14:paraId="7F51D670" w14:textId="29000F4E"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(7.7%)</w:t>
            </w:r>
          </w:p>
        </w:tc>
        <w:tc>
          <w:tcPr>
            <w:tcW w:w="992" w:type="dxa"/>
          </w:tcPr>
          <w:p w14:paraId="019C7A88"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50 (7.7%)</w:t>
            </w:r>
          </w:p>
        </w:tc>
        <w:tc>
          <w:tcPr>
            <w:tcW w:w="1417" w:type="dxa"/>
          </w:tcPr>
          <w:p w14:paraId="726676F4" w14:textId="77777777" w:rsidR="000B24F6" w:rsidRDefault="007E04AC" w:rsidP="003D7C4D">
            <w:pPr>
              <w:spacing w:line="480" w:lineRule="auto"/>
              <w:jc w:val="center"/>
              <w:rPr>
                <w:rFonts w:ascii="Arial" w:hAnsi="Arial" w:cs="Arial"/>
                <w:kern w:val="0"/>
                <w:sz w:val="20"/>
                <w:szCs w:val="20"/>
                <w:lang w:val="en-IN"/>
              </w:rPr>
            </w:pPr>
            <w:r w:rsidRPr="003D7C4D">
              <w:rPr>
                <w:rFonts w:ascii="Arial" w:hAnsi="Arial" w:cs="Arial"/>
                <w:kern w:val="0"/>
                <w:sz w:val="20"/>
                <w:szCs w:val="20"/>
                <w:lang w:val="en-IN"/>
              </w:rPr>
              <w:t xml:space="preserve">343 </w:t>
            </w:r>
          </w:p>
          <w:p w14:paraId="6B155FFC" w14:textId="03B2835F"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(53.34%)</w:t>
            </w:r>
          </w:p>
        </w:tc>
        <w:tc>
          <w:tcPr>
            <w:tcW w:w="1276" w:type="dxa"/>
          </w:tcPr>
          <w:p w14:paraId="5655EA46" w14:textId="77777777" w:rsidR="000B24F6" w:rsidRDefault="007E04AC" w:rsidP="003D7C4D">
            <w:pPr>
              <w:spacing w:line="480" w:lineRule="auto"/>
              <w:jc w:val="center"/>
              <w:rPr>
                <w:rFonts w:ascii="Arial" w:hAnsi="Arial" w:cs="Arial"/>
                <w:kern w:val="0"/>
                <w:sz w:val="20"/>
                <w:szCs w:val="20"/>
                <w:lang w:val="en-IN"/>
              </w:rPr>
            </w:pPr>
            <w:r w:rsidRPr="003D7C4D">
              <w:rPr>
                <w:rFonts w:ascii="Arial" w:hAnsi="Arial" w:cs="Arial"/>
                <w:kern w:val="0"/>
                <w:sz w:val="20"/>
                <w:szCs w:val="20"/>
                <w:lang w:val="en-IN"/>
              </w:rPr>
              <w:t xml:space="preserve">03 </w:t>
            </w:r>
          </w:p>
          <w:p w14:paraId="2E1049AD" w14:textId="5FEE5C40"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(0.47%)</w:t>
            </w:r>
          </w:p>
        </w:tc>
        <w:tc>
          <w:tcPr>
            <w:tcW w:w="1224" w:type="dxa"/>
          </w:tcPr>
          <w:p w14:paraId="41E72BEB" w14:textId="77777777" w:rsidR="007E04AC" w:rsidRPr="003D7C4D" w:rsidRDefault="007E04AC" w:rsidP="003D7C4D">
            <w:pPr>
              <w:spacing w:line="480" w:lineRule="auto"/>
              <w:jc w:val="center"/>
              <w:rPr>
                <w:rFonts w:ascii="Arial" w:hAnsi="Arial" w:cs="Arial"/>
                <w:sz w:val="20"/>
                <w:szCs w:val="20"/>
                <w:lang w:val="en-IN"/>
              </w:rPr>
            </w:pPr>
            <w:r w:rsidRPr="003D7C4D">
              <w:rPr>
                <w:rFonts w:ascii="Arial" w:hAnsi="Arial" w:cs="Arial"/>
                <w:kern w:val="0"/>
                <w:sz w:val="20"/>
                <w:szCs w:val="20"/>
                <w:lang w:val="en-IN"/>
              </w:rPr>
              <w:t>643 (100%)</w:t>
            </w:r>
          </w:p>
        </w:tc>
      </w:tr>
    </w:tbl>
    <w:p w14:paraId="370F514A" w14:textId="336449EC" w:rsidR="0062077E" w:rsidRPr="003D7C4D" w:rsidRDefault="007E04AC" w:rsidP="007E04AC">
      <w:pPr>
        <w:spacing w:after="0" w:line="480" w:lineRule="auto"/>
        <w:jc w:val="center"/>
        <w:rPr>
          <w:rFonts w:ascii="Arial" w:hAnsi="Arial" w:cs="Arial"/>
          <w:sz w:val="20"/>
          <w:szCs w:val="20"/>
          <w:lang w:val="en-IN"/>
        </w:rPr>
      </w:pPr>
      <w:r w:rsidRPr="003D7C4D">
        <w:rPr>
          <w:rFonts w:ascii="Arial" w:hAnsi="Arial" w:cs="Arial"/>
          <w:b/>
          <w:bCs/>
          <w:kern w:val="0"/>
          <w:sz w:val="20"/>
          <w:szCs w:val="20"/>
          <w:lang w:val="en-IN"/>
        </w:rPr>
        <w:t>Table 1</w:t>
      </w:r>
      <w:r w:rsidRPr="003D7C4D">
        <w:rPr>
          <w:rFonts w:ascii="Arial" w:hAnsi="Arial" w:cs="Arial"/>
          <w:kern w:val="0"/>
          <w:sz w:val="20"/>
          <w:szCs w:val="20"/>
          <w:lang w:val="en-IN"/>
        </w:rPr>
        <w:t xml:space="preserve">: No. </w:t>
      </w:r>
      <w:r w:rsidR="000D6D24" w:rsidRPr="003D7C4D">
        <w:rPr>
          <w:rFonts w:ascii="Arial" w:hAnsi="Arial" w:cs="Arial"/>
          <w:kern w:val="0"/>
          <w:sz w:val="20"/>
          <w:szCs w:val="20"/>
          <w:lang w:val="en-IN"/>
        </w:rPr>
        <w:t>o</w:t>
      </w:r>
      <w:r w:rsidRPr="003D7C4D">
        <w:rPr>
          <w:rFonts w:ascii="Arial" w:hAnsi="Arial" w:cs="Arial"/>
          <w:kern w:val="0"/>
          <w:sz w:val="20"/>
          <w:szCs w:val="20"/>
          <w:lang w:val="en-IN"/>
        </w:rPr>
        <w:t>f Goods registered under the GI Act in India</w:t>
      </w:r>
    </w:p>
    <w:p w14:paraId="46C1ED95" w14:textId="224FC6CB" w:rsidR="00CC6E4A" w:rsidRPr="000B24F6" w:rsidRDefault="002C5837" w:rsidP="0003188C">
      <w:pPr>
        <w:spacing w:after="0" w:line="480" w:lineRule="auto"/>
        <w:jc w:val="both"/>
        <w:rPr>
          <w:rFonts w:ascii="Arial" w:hAnsi="Arial" w:cs="Arial"/>
          <w:sz w:val="20"/>
          <w:szCs w:val="20"/>
          <w:lang w:val="en-IN"/>
        </w:rPr>
      </w:pPr>
      <w:r w:rsidRPr="000B24F6">
        <w:rPr>
          <w:rFonts w:ascii="Arial" w:hAnsi="Arial" w:cs="Arial"/>
          <w:sz w:val="20"/>
          <w:szCs w:val="20"/>
          <w:lang w:val="en-IN"/>
        </w:rPr>
        <w:t>Source: www.ipindia.gov.in</w:t>
      </w:r>
    </w:p>
    <w:p w14:paraId="5A062152" w14:textId="7F255D0D" w:rsidR="00FA296F" w:rsidRPr="000B24F6" w:rsidRDefault="002C5837" w:rsidP="005F525C">
      <w:pPr>
        <w:spacing w:after="0" w:line="480" w:lineRule="auto"/>
        <w:jc w:val="both"/>
        <w:rPr>
          <w:rFonts w:ascii="Arial" w:hAnsi="Arial" w:cs="Arial"/>
          <w:sz w:val="20"/>
          <w:szCs w:val="20"/>
          <w:lang w:val="en-IN"/>
        </w:rPr>
      </w:pPr>
      <w:r w:rsidRPr="000B24F6">
        <w:rPr>
          <w:rFonts w:ascii="Arial" w:hAnsi="Arial" w:cs="Arial"/>
          <w:sz w:val="20"/>
          <w:szCs w:val="20"/>
        </w:rPr>
        <w:t xml:space="preserve">Section 2(1)(f) of the GI Act of 1999 defines "goods" as agricultural, natural, manufactured, handicraft items, or foodstuffs. These goods are classified into five categories: agricultural goods, handicrafts, manufactured goods, foodstuffs, and natural goods, as shown in Table 1. An analysis of registered GIs reveals that handicrafts dominate the GI registry, accounting for 53.34% of the total registrations. Agricultural products follow, contributing 30.63% with 197 entries, making them the second-largest category. Natural goods, such as </w:t>
      </w:r>
      <w:proofErr w:type="spellStart"/>
      <w:r w:rsidRPr="000B24F6">
        <w:rPr>
          <w:rFonts w:ascii="Arial" w:hAnsi="Arial" w:cs="Arial"/>
          <w:sz w:val="20"/>
          <w:szCs w:val="20"/>
        </w:rPr>
        <w:t>Ambaji</w:t>
      </w:r>
      <w:proofErr w:type="spellEnd"/>
      <w:r w:rsidRPr="000B24F6">
        <w:rPr>
          <w:rFonts w:ascii="Arial" w:hAnsi="Arial" w:cs="Arial"/>
          <w:sz w:val="20"/>
          <w:szCs w:val="20"/>
        </w:rPr>
        <w:t xml:space="preserve"> white marble, </w:t>
      </w:r>
      <w:proofErr w:type="spellStart"/>
      <w:r w:rsidRPr="000B24F6">
        <w:rPr>
          <w:rFonts w:ascii="Arial" w:hAnsi="Arial" w:cs="Arial"/>
          <w:sz w:val="20"/>
          <w:szCs w:val="20"/>
        </w:rPr>
        <w:t>Makrana</w:t>
      </w:r>
      <w:proofErr w:type="spellEnd"/>
      <w:r w:rsidRPr="000B24F6">
        <w:rPr>
          <w:rFonts w:ascii="Arial" w:hAnsi="Arial" w:cs="Arial"/>
          <w:sz w:val="20"/>
          <w:szCs w:val="20"/>
        </w:rPr>
        <w:t xml:space="preserve"> marble, and </w:t>
      </w:r>
      <w:proofErr w:type="spellStart"/>
      <w:r w:rsidRPr="000B24F6">
        <w:rPr>
          <w:rFonts w:ascii="Arial" w:hAnsi="Arial" w:cs="Arial"/>
          <w:sz w:val="20"/>
          <w:szCs w:val="20"/>
        </w:rPr>
        <w:t>Chunarbalua</w:t>
      </w:r>
      <w:proofErr w:type="spellEnd"/>
      <w:r w:rsidRPr="000B24F6">
        <w:rPr>
          <w:rFonts w:ascii="Arial" w:hAnsi="Arial" w:cs="Arial"/>
          <w:sz w:val="20"/>
          <w:szCs w:val="20"/>
        </w:rPr>
        <w:t xml:space="preserve"> </w:t>
      </w:r>
      <w:proofErr w:type="spellStart"/>
      <w:r w:rsidRPr="000B24F6">
        <w:rPr>
          <w:rFonts w:ascii="Arial" w:hAnsi="Arial" w:cs="Arial"/>
          <w:sz w:val="20"/>
          <w:szCs w:val="20"/>
        </w:rPr>
        <w:t>Patthar</w:t>
      </w:r>
      <w:proofErr w:type="spellEnd"/>
      <w:r w:rsidRPr="000B24F6">
        <w:rPr>
          <w:rFonts w:ascii="Arial" w:hAnsi="Arial" w:cs="Arial"/>
          <w:sz w:val="20"/>
          <w:szCs w:val="20"/>
        </w:rPr>
        <w:t>, form the smallest category, representing only 0.47% of registrations. Manufactured goods and foodstuffs each constitute 7.78% of the total, with 50 entries in each group. Notably, foreign goods outnumber Indian-origin goods in the manufactured goods category, particularly in wines and spirits.</w:t>
      </w:r>
      <w:r w:rsidR="00BB3B47" w:rsidRPr="000B24F6">
        <w:rPr>
          <w:rFonts w:ascii="Arial" w:hAnsi="Arial" w:cs="Arial"/>
          <w:sz w:val="20"/>
          <w:szCs w:val="20"/>
        </w:rPr>
        <w:t xml:space="preserve"> This is per the global trend</w:t>
      </w:r>
      <w:r w:rsidR="004B2008" w:rsidRPr="000B24F6">
        <w:rPr>
          <w:rFonts w:ascii="Arial" w:hAnsi="Arial" w:cs="Arial"/>
          <w:sz w:val="20"/>
          <w:szCs w:val="20"/>
        </w:rPr>
        <w:t>:</w:t>
      </w:r>
      <w:r w:rsidR="00BB3B47" w:rsidRPr="000B24F6">
        <w:rPr>
          <w:rFonts w:ascii="Arial" w:hAnsi="Arial" w:cs="Arial"/>
          <w:sz w:val="20"/>
          <w:szCs w:val="20"/>
        </w:rPr>
        <w:t xml:space="preserve"> wines and spirits </w:t>
      </w:r>
      <w:r w:rsidR="004B2008" w:rsidRPr="000B24F6">
        <w:rPr>
          <w:rFonts w:ascii="Arial" w:hAnsi="Arial" w:cs="Arial"/>
          <w:sz w:val="20"/>
          <w:szCs w:val="20"/>
        </w:rPr>
        <w:t xml:space="preserve">are </w:t>
      </w:r>
      <w:r w:rsidR="004B2008" w:rsidRPr="000B24F6">
        <w:rPr>
          <w:rFonts w:ascii="Arial" w:eastAsia="Segoe UI" w:hAnsi="Arial" w:cs="Arial"/>
          <w:color w:val="000000"/>
          <w:sz w:val="20"/>
          <w:szCs w:val="20"/>
          <w:shd w:val="clear" w:color="auto" w:fill="FFFFFF"/>
        </w:rPr>
        <w:t>the</w:t>
      </w:r>
      <w:r w:rsidR="00BB3B47" w:rsidRPr="000B24F6">
        <w:rPr>
          <w:rFonts w:ascii="Arial" w:eastAsia="Segoe UI" w:hAnsi="Arial" w:cs="Arial"/>
          <w:color w:val="000000"/>
          <w:sz w:val="20"/>
          <w:szCs w:val="20"/>
          <w:shd w:val="clear" w:color="auto" w:fill="FFFFFF"/>
        </w:rPr>
        <w:t xml:space="preserve"> largest </w:t>
      </w:r>
      <w:r w:rsidR="004B2008" w:rsidRPr="000B24F6">
        <w:rPr>
          <w:rFonts w:ascii="Arial" w:eastAsia="Segoe UI" w:hAnsi="Arial" w:cs="Arial"/>
          <w:color w:val="000000"/>
          <w:sz w:val="20"/>
          <w:szCs w:val="20"/>
          <w:shd w:val="clear" w:color="auto" w:fill="FFFFFF"/>
        </w:rPr>
        <w:t xml:space="preserve">GI </w:t>
      </w:r>
      <w:r w:rsidR="00BB3B47" w:rsidRPr="000B24F6">
        <w:rPr>
          <w:rFonts w:ascii="Arial" w:eastAsia="Segoe UI" w:hAnsi="Arial" w:cs="Arial"/>
          <w:color w:val="000000"/>
          <w:sz w:val="20"/>
          <w:szCs w:val="20"/>
          <w:shd w:val="clear" w:color="auto" w:fill="FFFFFF"/>
        </w:rPr>
        <w:t xml:space="preserve">registered </w:t>
      </w:r>
      <w:r w:rsidR="000D6D24" w:rsidRPr="000B24F6">
        <w:rPr>
          <w:rFonts w:ascii="Arial" w:eastAsia="Segoe UI" w:hAnsi="Arial" w:cs="Arial"/>
          <w:color w:val="000000"/>
          <w:sz w:val="20"/>
          <w:szCs w:val="20"/>
          <w:shd w:val="clear" w:color="auto" w:fill="FFFFFF"/>
        </w:rPr>
        <w:t xml:space="preserve">group. </w:t>
      </w:r>
      <w:r w:rsidRPr="000B24F6">
        <w:rPr>
          <w:rFonts w:ascii="Arial" w:hAnsi="Arial" w:cs="Arial"/>
          <w:sz w:val="20"/>
          <w:szCs w:val="20"/>
        </w:rPr>
        <w:t>However, no natural or agricultural goods from convention countries have been registered as GIs in India.</w:t>
      </w:r>
      <w:r w:rsidR="00BB3B47" w:rsidRPr="000B24F6">
        <w:rPr>
          <w:rFonts w:ascii="Arial" w:hAnsi="Arial" w:cs="Arial"/>
          <w:sz w:val="20"/>
          <w:szCs w:val="20"/>
        </w:rPr>
        <w:t xml:space="preserve"> From the study, we can </w:t>
      </w:r>
      <w:r w:rsidR="0047000F" w:rsidRPr="000B24F6">
        <w:rPr>
          <w:rFonts w:ascii="Arial" w:hAnsi="Arial" w:cs="Arial"/>
          <w:sz w:val="20"/>
          <w:szCs w:val="20"/>
        </w:rPr>
        <w:t>conclude</w:t>
      </w:r>
      <w:r w:rsidR="00BB3B47" w:rsidRPr="000B24F6">
        <w:rPr>
          <w:rFonts w:ascii="Arial" w:hAnsi="Arial" w:cs="Arial"/>
          <w:sz w:val="20"/>
          <w:szCs w:val="20"/>
        </w:rPr>
        <w:t xml:space="preserve"> that the number of goods registered in India is much less compared to global GI registration.</w:t>
      </w:r>
    </w:p>
    <w:p w14:paraId="480D7872" w14:textId="1F839B1A" w:rsidR="00A11A1B" w:rsidRPr="000B24F6" w:rsidRDefault="000B24F6" w:rsidP="0003188C">
      <w:pPr>
        <w:spacing w:after="0" w:line="480" w:lineRule="auto"/>
        <w:ind w:left="720" w:hanging="720"/>
        <w:rPr>
          <w:rFonts w:ascii="Arial" w:hAnsi="Arial" w:cs="Arial"/>
          <w:b/>
          <w:lang w:val="en-IN"/>
        </w:rPr>
      </w:pPr>
      <w:r w:rsidRPr="000B24F6">
        <w:rPr>
          <w:rFonts w:ascii="Arial" w:hAnsi="Arial" w:cs="Arial"/>
          <w:b/>
        </w:rPr>
        <w:t>3.</w:t>
      </w:r>
      <w:r w:rsidR="00A11A1B" w:rsidRPr="000B24F6">
        <w:rPr>
          <w:rFonts w:ascii="Arial" w:hAnsi="Arial" w:cs="Arial"/>
          <w:b/>
        </w:rPr>
        <w:t>2</w:t>
      </w:r>
      <w:r w:rsidR="00A11A1B" w:rsidRPr="000B24F6">
        <w:rPr>
          <w:rFonts w:ascii="Arial" w:hAnsi="Arial" w:cs="Arial"/>
          <w:b/>
          <w:lang w:val="en-IN"/>
        </w:rPr>
        <w:t xml:space="preserve"> Trend in GI registration </w:t>
      </w:r>
    </w:p>
    <w:p w14:paraId="647BF7DE" w14:textId="4A21221E" w:rsidR="00182153" w:rsidRPr="000B24F6" w:rsidRDefault="007F50C1" w:rsidP="005F525C">
      <w:pPr>
        <w:spacing w:after="0" w:line="480" w:lineRule="auto"/>
        <w:jc w:val="both"/>
        <w:rPr>
          <w:rFonts w:ascii="Arial" w:eastAsia="Times New Roman" w:hAnsi="Arial" w:cs="Arial"/>
          <w:kern w:val="0"/>
          <w:sz w:val="20"/>
          <w:szCs w:val="20"/>
        </w:rPr>
      </w:pPr>
      <w:r w:rsidRPr="000B24F6">
        <w:rPr>
          <w:rFonts w:ascii="Arial" w:eastAsia="Times New Roman" w:hAnsi="Arial" w:cs="Arial"/>
          <w:kern w:val="0"/>
          <w:sz w:val="20"/>
          <w:szCs w:val="20"/>
        </w:rPr>
        <w:lastRenderedPageBreak/>
        <w:t xml:space="preserve">The process of registering a Geographical Indication (GI) begins with </w:t>
      </w:r>
      <w:r w:rsidR="00016D5F" w:rsidRPr="000B24F6">
        <w:rPr>
          <w:rFonts w:ascii="Arial" w:eastAsia="Times New Roman" w:hAnsi="Arial" w:cs="Arial"/>
          <w:kern w:val="0"/>
          <w:sz w:val="20"/>
          <w:szCs w:val="20"/>
        </w:rPr>
        <w:t xml:space="preserve">applying </w:t>
      </w:r>
      <w:r w:rsidRPr="000B24F6">
        <w:rPr>
          <w:rFonts w:ascii="Arial" w:eastAsia="Times New Roman" w:hAnsi="Arial" w:cs="Arial"/>
          <w:kern w:val="0"/>
          <w:sz w:val="20"/>
          <w:szCs w:val="20"/>
        </w:rPr>
        <w:t>to the Geographical Indications Registry (GIR) in Chennai, ensuring compliance with Section 2(1)</w:t>
      </w:r>
      <w:r w:rsidR="00BE6F01" w:rsidRPr="000B24F6">
        <w:rPr>
          <w:rFonts w:ascii="Arial" w:eastAsia="Times New Roman" w:hAnsi="Arial" w:cs="Arial"/>
          <w:kern w:val="0"/>
          <w:sz w:val="20"/>
          <w:szCs w:val="20"/>
        </w:rPr>
        <w:t xml:space="preserve"> </w:t>
      </w:r>
      <w:r w:rsidRPr="000B24F6">
        <w:rPr>
          <w:rFonts w:ascii="Arial" w:eastAsia="Times New Roman" w:hAnsi="Arial" w:cs="Arial"/>
          <w:kern w:val="0"/>
          <w:sz w:val="20"/>
          <w:szCs w:val="20"/>
        </w:rPr>
        <w:t>(e) of the GI Act 1999</w:t>
      </w:r>
      <w:r w:rsidR="00A11A1B" w:rsidRPr="000B24F6">
        <w:rPr>
          <w:rFonts w:ascii="Arial" w:eastAsia="Times New Roman" w:hAnsi="Arial" w:cs="Arial"/>
          <w:kern w:val="0"/>
          <w:sz w:val="20"/>
          <w:szCs w:val="20"/>
        </w:rPr>
        <w:t>.</w:t>
      </w:r>
      <w:r w:rsidR="00A11A1B" w:rsidRPr="000B24F6">
        <w:rPr>
          <w:rFonts w:ascii="Arial" w:hAnsi="Arial" w:cs="Arial"/>
        </w:rPr>
        <w:t xml:space="preserve"> </w:t>
      </w:r>
      <w:r w:rsidR="00A11A1B" w:rsidRPr="000B24F6">
        <w:rPr>
          <w:rFonts w:ascii="Arial" w:eastAsia="Times New Roman" w:hAnsi="Arial" w:cs="Arial"/>
          <w:kern w:val="0"/>
          <w:sz w:val="20"/>
          <w:szCs w:val="20"/>
        </w:rPr>
        <w:t>The applicant must represent producers, submit an affidavit, and provide unique features and maps. The applicati</w:t>
      </w:r>
      <w:r w:rsidR="003844CA" w:rsidRPr="000B24F6">
        <w:rPr>
          <w:rFonts w:ascii="Arial" w:eastAsia="Times New Roman" w:hAnsi="Arial" w:cs="Arial"/>
          <w:kern w:val="0"/>
          <w:sz w:val="20"/>
          <w:szCs w:val="20"/>
        </w:rPr>
        <w:t>on is reviewed for deficiencies</w:t>
      </w:r>
      <w:r w:rsidR="00A11A1B" w:rsidRPr="000B24F6">
        <w:rPr>
          <w:rFonts w:ascii="Arial" w:eastAsia="Times New Roman" w:hAnsi="Arial" w:cs="Arial"/>
          <w:kern w:val="0"/>
          <w:sz w:val="20"/>
          <w:szCs w:val="20"/>
        </w:rPr>
        <w:t xml:space="preserve"> and verified by a consultative group, and objections are addressed through responses or hearings. Approved applications are published in the G.I. Journal, with a three-month opposition period. If unopposed, the G.I. is registered for 10 years, with renewal options (Choudhary </w:t>
      </w:r>
      <w:r w:rsidR="00A11A1B" w:rsidRPr="000B24F6">
        <w:rPr>
          <w:rFonts w:ascii="Arial" w:eastAsia="Times New Roman" w:hAnsi="Arial" w:cs="Arial"/>
          <w:i/>
          <w:iCs/>
          <w:kern w:val="0"/>
          <w:sz w:val="20"/>
          <w:szCs w:val="20"/>
        </w:rPr>
        <w:t>et al</w:t>
      </w:r>
      <w:r w:rsidR="00A11A1B" w:rsidRPr="000B24F6">
        <w:rPr>
          <w:rFonts w:ascii="Arial" w:eastAsia="Times New Roman" w:hAnsi="Arial" w:cs="Arial"/>
          <w:kern w:val="0"/>
          <w:sz w:val="20"/>
          <w:szCs w:val="20"/>
        </w:rPr>
        <w:t>., 2017)</w:t>
      </w:r>
      <w:r w:rsidR="00F73EFE" w:rsidRPr="000B24F6">
        <w:rPr>
          <w:rFonts w:ascii="Arial" w:eastAsia="Times New Roman" w:hAnsi="Arial" w:cs="Arial"/>
          <w:kern w:val="0"/>
          <w:sz w:val="20"/>
          <w:szCs w:val="20"/>
        </w:rPr>
        <w:t>.</w:t>
      </w:r>
    </w:p>
    <w:p w14:paraId="00279C00" w14:textId="350B0834" w:rsidR="009D773F" w:rsidRPr="00E27F9E" w:rsidRDefault="008A066D" w:rsidP="005F525C">
      <w:pPr>
        <w:keepNext/>
        <w:spacing w:after="0" w:line="480" w:lineRule="auto"/>
        <w:jc w:val="both"/>
        <w:rPr>
          <w:rFonts w:ascii="Times New Roman" w:hAnsi="Times New Roman" w:cs="Times New Roman"/>
          <w:sz w:val="20"/>
          <w:szCs w:val="20"/>
        </w:rPr>
      </w:pPr>
      <w:r w:rsidRPr="000B24F6">
        <w:rPr>
          <w:rFonts w:ascii="Arial" w:hAnsi="Arial" w:cs="Arial"/>
          <w:sz w:val="20"/>
          <w:szCs w:val="20"/>
        </w:rPr>
        <w:t xml:space="preserve">The graph </w:t>
      </w:r>
      <w:r w:rsidR="00927221" w:rsidRPr="000B24F6">
        <w:rPr>
          <w:rFonts w:ascii="Arial" w:hAnsi="Arial" w:cs="Arial"/>
          <w:sz w:val="20"/>
          <w:szCs w:val="20"/>
        </w:rPr>
        <w:t xml:space="preserve">below </w:t>
      </w:r>
      <w:r w:rsidRPr="000B24F6">
        <w:rPr>
          <w:rFonts w:ascii="Arial" w:hAnsi="Arial" w:cs="Arial"/>
          <w:sz w:val="20"/>
          <w:szCs w:val="20"/>
        </w:rPr>
        <w:t xml:space="preserve">illustrates the trend in GI goods registration over 20 years, from 2004 to 2024, showing a steady increase, particularly after implementing the GI Act, which marked the initial phase of awareness and recognition. The analysis revealed a consistent rise in overall and agricultural goods registrations, with a significant peak in 2022-23, largely attributed to government initiatives and increased international demand for certified products during that period. However, despite India’s rich cultural and agricultural diversity, annual registration numbers remained low, a disappointing fact that underscored the need for </w:t>
      </w:r>
      <w:r w:rsidR="00BB3B47" w:rsidRPr="000B24F6">
        <w:rPr>
          <w:rFonts w:ascii="Arial" w:hAnsi="Arial" w:cs="Arial"/>
          <w:sz w:val="20"/>
          <w:szCs w:val="20"/>
        </w:rPr>
        <w:t>identifying and registering potential products.</w:t>
      </w:r>
    </w:p>
    <w:p w14:paraId="704B6BC4" w14:textId="0CAA3F3E" w:rsidR="00927221" w:rsidRPr="000B24F6" w:rsidRDefault="00927221" w:rsidP="0003188C">
      <w:pPr>
        <w:pStyle w:val="Caption"/>
        <w:keepNext/>
        <w:spacing w:after="0" w:line="480" w:lineRule="auto"/>
        <w:jc w:val="center"/>
        <w:rPr>
          <w:rFonts w:ascii="Arial" w:hAnsi="Arial" w:cs="Arial"/>
          <w:i w:val="0"/>
          <w:iCs w:val="0"/>
          <w:color w:val="000000" w:themeColor="text1"/>
          <w:sz w:val="20"/>
          <w:szCs w:val="20"/>
        </w:rPr>
      </w:pPr>
      <w:r w:rsidRPr="000B24F6">
        <w:rPr>
          <w:rFonts w:ascii="Arial" w:hAnsi="Arial" w:cs="Arial"/>
          <w:b/>
          <w:bCs/>
          <w:i w:val="0"/>
          <w:iCs w:val="0"/>
          <w:color w:val="000000" w:themeColor="text1"/>
          <w:sz w:val="20"/>
          <w:szCs w:val="20"/>
        </w:rPr>
        <w:t>Figure 1</w:t>
      </w:r>
      <w:r w:rsidRPr="000B24F6">
        <w:rPr>
          <w:rFonts w:ascii="Arial" w:hAnsi="Arial" w:cs="Arial"/>
          <w:i w:val="0"/>
          <w:iCs w:val="0"/>
          <w:color w:val="000000" w:themeColor="text1"/>
          <w:sz w:val="20"/>
          <w:szCs w:val="20"/>
        </w:rPr>
        <w:t>: The trend in GI registration over 20 years</w:t>
      </w:r>
    </w:p>
    <w:p w14:paraId="4E974627" w14:textId="1907E2E6" w:rsidR="00182153" w:rsidRPr="000B24F6" w:rsidRDefault="00182153" w:rsidP="0003188C">
      <w:pPr>
        <w:keepNext/>
        <w:spacing w:after="0" w:line="480" w:lineRule="auto"/>
        <w:jc w:val="both"/>
        <w:rPr>
          <w:rFonts w:ascii="Arial" w:hAnsi="Arial" w:cs="Arial"/>
          <w:sz w:val="16"/>
          <w:szCs w:val="16"/>
        </w:rPr>
      </w:pPr>
      <w:r w:rsidRPr="000B24F6">
        <w:rPr>
          <w:rFonts w:ascii="Arial" w:hAnsi="Arial" w:cs="Arial"/>
          <w:noProof/>
          <w:color w:val="00B050"/>
          <w:lang w:val="en-IN" w:eastAsia="en-IN"/>
        </w:rPr>
        <w:drawing>
          <wp:inline distT="0" distB="0" distL="0" distR="0" wp14:anchorId="69D27B27" wp14:editId="2787424E">
            <wp:extent cx="6181725" cy="2247900"/>
            <wp:effectExtent l="0" t="0" r="9525" b="0"/>
            <wp:docPr id="176603286" name="Chart 1">
              <a:extLst xmlns:a="http://schemas.openxmlformats.org/drawingml/2006/main">
                <a:ext uri="{FF2B5EF4-FFF2-40B4-BE49-F238E27FC236}">
                  <a16:creationId xmlns:a16="http://schemas.microsoft.com/office/drawing/2014/main" id="{7E06EA10-AD6F-E32E-484A-B3B02213A4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9D773F" w:rsidRPr="000B24F6">
        <w:rPr>
          <w:rFonts w:ascii="Arial" w:hAnsi="Arial" w:cs="Arial"/>
          <w:sz w:val="20"/>
          <w:szCs w:val="20"/>
        </w:rPr>
        <w:t xml:space="preserve">Source: </w:t>
      </w:r>
      <w:r w:rsidR="007E04AC" w:rsidRPr="000B24F6">
        <w:rPr>
          <w:rFonts w:ascii="Arial" w:hAnsi="Arial" w:cs="Arial"/>
          <w:sz w:val="20"/>
          <w:szCs w:val="20"/>
          <w:lang w:val="en-IN"/>
        </w:rPr>
        <w:t>www.ipindia.gov.in</w:t>
      </w:r>
    </w:p>
    <w:p w14:paraId="488F9BEC" w14:textId="5A21C86E" w:rsidR="002312FC" w:rsidRPr="000B24F6" w:rsidRDefault="000B24F6" w:rsidP="0003188C">
      <w:pPr>
        <w:keepNext/>
        <w:spacing w:after="0" w:line="480" w:lineRule="auto"/>
        <w:jc w:val="both"/>
        <w:rPr>
          <w:rFonts w:ascii="Arial" w:hAnsi="Arial" w:cs="Arial"/>
          <w:b/>
        </w:rPr>
      </w:pPr>
      <w:r w:rsidRPr="000B24F6">
        <w:rPr>
          <w:rFonts w:ascii="Arial" w:hAnsi="Arial" w:cs="Arial"/>
          <w:b/>
          <w:lang w:val="en-IN"/>
        </w:rPr>
        <w:t>3.</w:t>
      </w:r>
      <w:r w:rsidR="002312FC" w:rsidRPr="000B24F6">
        <w:rPr>
          <w:rFonts w:ascii="Arial" w:hAnsi="Arial" w:cs="Arial"/>
          <w:b/>
          <w:lang w:val="en-IN"/>
        </w:rPr>
        <w:t>3</w:t>
      </w:r>
      <w:r w:rsidR="002312FC" w:rsidRPr="000B24F6">
        <w:rPr>
          <w:rFonts w:ascii="Arial" w:hAnsi="Arial" w:cs="Arial"/>
          <w:b/>
        </w:rPr>
        <w:t xml:space="preserve"> </w:t>
      </w:r>
      <w:r w:rsidR="00C12332" w:rsidRPr="000B24F6">
        <w:rPr>
          <w:rFonts w:ascii="Arial" w:hAnsi="Arial" w:cs="Arial"/>
          <w:b/>
        </w:rPr>
        <w:t>S</w:t>
      </w:r>
      <w:r w:rsidR="002312FC" w:rsidRPr="000B24F6">
        <w:rPr>
          <w:rFonts w:ascii="Arial" w:hAnsi="Arial" w:cs="Arial"/>
          <w:b/>
        </w:rPr>
        <w:t>tate-wise distribution of registered GIs</w:t>
      </w:r>
    </w:p>
    <w:p w14:paraId="04EC4A71" w14:textId="3282D132" w:rsidR="00D90C5E" w:rsidRDefault="00D90C5E" w:rsidP="005F525C">
      <w:pPr>
        <w:spacing w:after="0" w:line="480" w:lineRule="auto"/>
        <w:jc w:val="both"/>
        <w:rPr>
          <w:rFonts w:ascii="Arial" w:hAnsi="Arial" w:cs="Arial"/>
          <w:sz w:val="20"/>
          <w:szCs w:val="20"/>
          <w:lang w:val="en-IN"/>
        </w:rPr>
      </w:pPr>
      <w:r w:rsidRPr="000B24F6">
        <w:rPr>
          <w:rFonts w:ascii="Arial" w:hAnsi="Arial" w:cs="Arial"/>
          <w:sz w:val="20"/>
          <w:szCs w:val="20"/>
          <w:lang w:val="en-IN"/>
        </w:rPr>
        <w:t>The graph below highlights the distribution of Geographical Indications (GIs) across various states in India, showcasing both total GIs and agricultural GIs. Uttar Pradesh led with 77 registered GIs, followed by Tamil Nadu (61) and Maharashtra (52), reflecting the</w:t>
      </w:r>
      <w:r w:rsidR="00023B13" w:rsidRPr="000B24F6">
        <w:rPr>
          <w:rFonts w:ascii="Arial" w:hAnsi="Arial" w:cs="Arial"/>
          <w:sz w:val="20"/>
          <w:szCs w:val="20"/>
          <w:lang w:val="en-IN"/>
        </w:rPr>
        <w:t xml:space="preserve"> support for GI registration from these states</w:t>
      </w:r>
      <w:r w:rsidRPr="000B24F6">
        <w:rPr>
          <w:rFonts w:ascii="Arial" w:hAnsi="Arial" w:cs="Arial"/>
          <w:sz w:val="20"/>
          <w:szCs w:val="20"/>
          <w:lang w:val="en-IN"/>
        </w:rPr>
        <w:t>.</w:t>
      </w:r>
      <w:r w:rsidR="00023B13" w:rsidRPr="000B24F6">
        <w:rPr>
          <w:rFonts w:ascii="Arial" w:hAnsi="Arial" w:cs="Arial"/>
          <w:sz w:val="20"/>
          <w:szCs w:val="20"/>
          <w:lang w:val="en-IN"/>
        </w:rPr>
        <w:t xml:space="preserve"> Jharkhand remained the only state with no GI-registered goods.</w:t>
      </w:r>
      <w:r w:rsidRPr="000B24F6">
        <w:rPr>
          <w:rFonts w:ascii="Arial" w:hAnsi="Arial" w:cs="Arial"/>
          <w:sz w:val="20"/>
          <w:szCs w:val="20"/>
          <w:lang w:val="en-IN"/>
        </w:rPr>
        <w:t xml:space="preserve"> Jammu &amp; Kashmir </w:t>
      </w:r>
      <w:r w:rsidR="00023B13" w:rsidRPr="000B24F6">
        <w:rPr>
          <w:rFonts w:ascii="Arial" w:hAnsi="Arial" w:cs="Arial"/>
          <w:sz w:val="20"/>
          <w:szCs w:val="20"/>
          <w:lang w:val="en-IN"/>
        </w:rPr>
        <w:t xml:space="preserve">is the </w:t>
      </w:r>
      <w:r w:rsidR="00F50E32" w:rsidRPr="000B24F6">
        <w:rPr>
          <w:rFonts w:ascii="Arial" w:hAnsi="Arial" w:cs="Arial"/>
          <w:sz w:val="20"/>
          <w:szCs w:val="20"/>
          <w:lang w:val="en-IN"/>
        </w:rPr>
        <w:t>current</w:t>
      </w:r>
      <w:r w:rsidR="00023B13" w:rsidRPr="000B24F6">
        <w:rPr>
          <w:rFonts w:ascii="Arial" w:hAnsi="Arial" w:cs="Arial"/>
          <w:sz w:val="20"/>
          <w:szCs w:val="20"/>
          <w:lang w:val="en-IN"/>
        </w:rPr>
        <w:t xml:space="preserve"> leader in union territories but a major part of the goods were </w:t>
      </w:r>
      <w:r w:rsidR="00F50E32" w:rsidRPr="000B24F6">
        <w:rPr>
          <w:rFonts w:ascii="Arial" w:hAnsi="Arial" w:cs="Arial"/>
          <w:sz w:val="20"/>
          <w:szCs w:val="20"/>
          <w:lang w:val="en-IN"/>
        </w:rPr>
        <w:t>registered</w:t>
      </w:r>
      <w:r w:rsidR="00023B13" w:rsidRPr="000B24F6">
        <w:rPr>
          <w:rFonts w:ascii="Arial" w:hAnsi="Arial" w:cs="Arial"/>
          <w:sz w:val="20"/>
          <w:szCs w:val="20"/>
          <w:lang w:val="en-IN"/>
        </w:rPr>
        <w:t xml:space="preserve"> when it was a state.</w:t>
      </w:r>
      <w:r w:rsidR="00F50E32" w:rsidRPr="000B24F6">
        <w:rPr>
          <w:rFonts w:ascii="Arial" w:hAnsi="Arial" w:cs="Arial"/>
          <w:sz w:val="20"/>
          <w:szCs w:val="20"/>
          <w:lang w:val="en-IN"/>
        </w:rPr>
        <w:t xml:space="preserve"> Andaman and </w:t>
      </w:r>
      <w:r w:rsidR="00F50E32" w:rsidRPr="000B24F6">
        <w:rPr>
          <w:rFonts w:ascii="Arial" w:hAnsi="Arial" w:cs="Arial"/>
          <w:sz w:val="20"/>
          <w:szCs w:val="20"/>
          <w:lang w:val="en-IN"/>
        </w:rPr>
        <w:lastRenderedPageBreak/>
        <w:t>Nicobar Islands and Lakshadweep are the Union territories without any GI registration.</w:t>
      </w:r>
      <w:r w:rsidRPr="000B24F6">
        <w:rPr>
          <w:rFonts w:ascii="Arial" w:hAnsi="Arial" w:cs="Arial"/>
          <w:sz w:val="20"/>
          <w:szCs w:val="20"/>
          <w:lang w:val="en-IN"/>
        </w:rPr>
        <w:t xml:space="preserve"> </w:t>
      </w:r>
      <w:r w:rsidR="00F50E32" w:rsidRPr="000B24F6">
        <w:rPr>
          <w:rFonts w:ascii="Arial" w:hAnsi="Arial" w:cs="Arial"/>
          <w:sz w:val="20"/>
          <w:szCs w:val="20"/>
          <w:lang w:val="en-IN"/>
        </w:rPr>
        <w:t xml:space="preserve">In terms of agricultural GIs, Maharashtra (35), Karnataka (24), Kerala (22), Tamil Nadu, and West Bengal (16 each) contributed the highest, collectively accounting for 57% of agricultural GI registrations. </w:t>
      </w:r>
      <w:r w:rsidRPr="000B24F6">
        <w:rPr>
          <w:rFonts w:ascii="Arial" w:hAnsi="Arial" w:cs="Arial"/>
          <w:sz w:val="20"/>
          <w:szCs w:val="20"/>
          <w:lang w:val="en-IN"/>
        </w:rPr>
        <w:t>The Northeastern region of India demonstrated immense potential for spice crop cultivation due to its favo</w:t>
      </w:r>
      <w:r w:rsidR="00F50E32" w:rsidRPr="000B24F6">
        <w:rPr>
          <w:rFonts w:ascii="Arial" w:hAnsi="Arial" w:cs="Arial"/>
          <w:sz w:val="20"/>
          <w:szCs w:val="20"/>
          <w:lang w:val="en-IN"/>
        </w:rPr>
        <w:t>u</w:t>
      </w:r>
      <w:r w:rsidRPr="000B24F6">
        <w:rPr>
          <w:rFonts w:ascii="Arial" w:hAnsi="Arial" w:cs="Arial"/>
          <w:sz w:val="20"/>
          <w:szCs w:val="20"/>
          <w:lang w:val="en-IN"/>
        </w:rPr>
        <w:t xml:space="preserve">rable agroclimatic conditions (Saikia </w:t>
      </w:r>
      <w:r w:rsidRPr="000B24F6">
        <w:rPr>
          <w:rFonts w:ascii="Arial" w:hAnsi="Arial" w:cs="Arial"/>
          <w:i/>
          <w:iCs/>
          <w:sz w:val="20"/>
          <w:szCs w:val="20"/>
          <w:lang w:val="en-IN"/>
        </w:rPr>
        <w:t>et al</w:t>
      </w:r>
      <w:r w:rsidRPr="000B24F6">
        <w:rPr>
          <w:rFonts w:ascii="Arial" w:hAnsi="Arial" w:cs="Arial"/>
          <w:sz w:val="20"/>
          <w:szCs w:val="20"/>
          <w:lang w:val="en-IN"/>
        </w:rPr>
        <w:t>., 2024). However, despite its biodiversity, cultural heritage, and opportunities in agriculture, horticulture, textiles, and handicrafts, the region recorded a limited number of GI registrations. This underscored the need for grassroots-level initiatives to identify and facilitate the registration of potential GI products (</w:t>
      </w:r>
      <w:proofErr w:type="spellStart"/>
      <w:r w:rsidRPr="000B24F6">
        <w:rPr>
          <w:rFonts w:ascii="Arial" w:hAnsi="Arial" w:cs="Arial"/>
          <w:sz w:val="20"/>
          <w:szCs w:val="20"/>
          <w:lang w:val="en-IN"/>
        </w:rPr>
        <w:t>Pangging</w:t>
      </w:r>
      <w:proofErr w:type="spellEnd"/>
      <w:r w:rsidRPr="000B24F6">
        <w:rPr>
          <w:rFonts w:ascii="Arial" w:hAnsi="Arial" w:cs="Arial"/>
          <w:sz w:val="20"/>
          <w:szCs w:val="20"/>
          <w:lang w:val="en-IN"/>
        </w:rPr>
        <w:t xml:space="preserve"> </w:t>
      </w:r>
      <w:r w:rsidRPr="000B24F6">
        <w:rPr>
          <w:rFonts w:ascii="Arial" w:hAnsi="Arial" w:cs="Arial"/>
          <w:i/>
          <w:iCs/>
          <w:sz w:val="20"/>
          <w:szCs w:val="20"/>
          <w:lang w:val="en-IN"/>
        </w:rPr>
        <w:t>et al.,</w:t>
      </w:r>
      <w:r w:rsidRPr="000B24F6">
        <w:rPr>
          <w:rFonts w:ascii="Arial" w:hAnsi="Arial" w:cs="Arial"/>
          <w:sz w:val="20"/>
          <w:szCs w:val="20"/>
          <w:lang w:val="en-IN"/>
        </w:rPr>
        <w:t xml:space="preserve"> 2023).</w:t>
      </w:r>
      <w:r w:rsidR="00F50E32" w:rsidRPr="000B24F6">
        <w:rPr>
          <w:rFonts w:ascii="Arial" w:hAnsi="Arial" w:cs="Arial"/>
          <w:sz w:val="20"/>
          <w:szCs w:val="20"/>
          <w:lang w:val="en-IN"/>
        </w:rPr>
        <w:t xml:space="preserve"> In general </w:t>
      </w:r>
      <w:r w:rsidRPr="000B24F6">
        <w:rPr>
          <w:rFonts w:ascii="Arial" w:hAnsi="Arial" w:cs="Arial"/>
          <w:sz w:val="20"/>
          <w:szCs w:val="20"/>
          <w:lang w:val="en-IN"/>
        </w:rPr>
        <w:t xml:space="preserve">southern states led in overall </w:t>
      </w:r>
      <w:r w:rsidR="00F50E32" w:rsidRPr="000B24F6">
        <w:rPr>
          <w:rFonts w:ascii="Arial" w:hAnsi="Arial" w:cs="Arial"/>
          <w:sz w:val="20"/>
          <w:szCs w:val="20"/>
          <w:lang w:val="en-IN"/>
        </w:rPr>
        <w:t xml:space="preserve">and agricultural </w:t>
      </w:r>
      <w:r w:rsidRPr="000B24F6">
        <w:rPr>
          <w:rFonts w:ascii="Arial" w:hAnsi="Arial" w:cs="Arial"/>
          <w:sz w:val="20"/>
          <w:szCs w:val="20"/>
          <w:lang w:val="en-IN"/>
        </w:rPr>
        <w:t>GI registrations.</w:t>
      </w:r>
      <w:r w:rsidR="00F50E32" w:rsidRPr="000B24F6">
        <w:rPr>
          <w:rFonts w:ascii="Arial" w:hAnsi="Arial" w:cs="Arial"/>
          <w:sz w:val="20"/>
          <w:szCs w:val="20"/>
          <w:lang w:val="en-IN"/>
        </w:rPr>
        <w:t xml:space="preserve"> From the figure we can see that disparities </w:t>
      </w:r>
      <w:r w:rsidRPr="000B24F6">
        <w:rPr>
          <w:rFonts w:ascii="Arial" w:hAnsi="Arial" w:cs="Arial"/>
          <w:sz w:val="20"/>
          <w:szCs w:val="20"/>
          <w:lang w:val="en-IN"/>
        </w:rPr>
        <w:t>persisted across</w:t>
      </w:r>
      <w:r w:rsidR="00F50E32" w:rsidRPr="000B24F6">
        <w:rPr>
          <w:rFonts w:ascii="Arial" w:hAnsi="Arial" w:cs="Arial"/>
          <w:sz w:val="20"/>
          <w:szCs w:val="20"/>
          <w:lang w:val="en-IN"/>
        </w:rPr>
        <w:t xml:space="preserve"> states</w:t>
      </w:r>
      <w:r w:rsidRPr="000B24F6">
        <w:rPr>
          <w:rFonts w:ascii="Arial" w:hAnsi="Arial" w:cs="Arial"/>
          <w:sz w:val="20"/>
          <w:szCs w:val="20"/>
          <w:lang w:val="en-IN"/>
        </w:rPr>
        <w:t xml:space="preserve">, emphasizing the need for </w:t>
      </w:r>
      <w:r w:rsidR="00F50E32" w:rsidRPr="000B24F6">
        <w:rPr>
          <w:rFonts w:ascii="Arial" w:hAnsi="Arial" w:cs="Arial"/>
          <w:sz w:val="20"/>
          <w:szCs w:val="20"/>
          <w:lang w:val="en-IN"/>
        </w:rPr>
        <w:t xml:space="preserve">promotional activities </w:t>
      </w:r>
      <w:r w:rsidRPr="000B24F6">
        <w:rPr>
          <w:rFonts w:ascii="Arial" w:hAnsi="Arial" w:cs="Arial"/>
          <w:sz w:val="20"/>
          <w:szCs w:val="20"/>
          <w:lang w:val="en-IN"/>
        </w:rPr>
        <w:t>in less-represented states and union territories.</w:t>
      </w:r>
      <w:r w:rsidR="004E7247">
        <w:rPr>
          <w:rFonts w:ascii="Arial" w:hAnsi="Arial" w:cs="Arial"/>
          <w:sz w:val="20"/>
          <w:szCs w:val="20"/>
          <w:lang w:val="en-IN"/>
        </w:rPr>
        <w:t xml:space="preserve"> </w:t>
      </w:r>
    </w:p>
    <w:p w14:paraId="5FA02B9A" w14:textId="77777777" w:rsidR="004E7247" w:rsidRPr="000B24F6" w:rsidRDefault="004E7247" w:rsidP="005F525C">
      <w:pPr>
        <w:spacing w:after="0" w:line="480" w:lineRule="auto"/>
        <w:jc w:val="both"/>
        <w:rPr>
          <w:rFonts w:ascii="Arial" w:hAnsi="Arial" w:cs="Arial"/>
          <w:sz w:val="20"/>
          <w:szCs w:val="20"/>
          <w:lang w:val="en-IN"/>
        </w:rPr>
      </w:pPr>
    </w:p>
    <w:p w14:paraId="2E94F1EA" w14:textId="77777777" w:rsidR="00FD1ECE" w:rsidRPr="000B24F6" w:rsidRDefault="004C4AF4" w:rsidP="002D09DB">
      <w:pPr>
        <w:pStyle w:val="Caption"/>
        <w:keepNext/>
        <w:spacing w:after="0" w:line="480" w:lineRule="auto"/>
        <w:jc w:val="center"/>
        <w:rPr>
          <w:rFonts w:ascii="Arial" w:hAnsi="Arial" w:cs="Arial"/>
          <w:i w:val="0"/>
          <w:iCs w:val="0"/>
          <w:color w:val="000000" w:themeColor="text1"/>
          <w:sz w:val="20"/>
          <w:szCs w:val="20"/>
        </w:rPr>
      </w:pPr>
      <w:r w:rsidRPr="000B24F6">
        <w:rPr>
          <w:rFonts w:ascii="Arial" w:hAnsi="Arial" w:cs="Arial"/>
          <w:b/>
          <w:bCs/>
          <w:i w:val="0"/>
          <w:iCs w:val="0"/>
          <w:color w:val="000000" w:themeColor="text1"/>
          <w:sz w:val="20"/>
          <w:szCs w:val="20"/>
        </w:rPr>
        <w:t>Figure 2</w:t>
      </w:r>
      <w:r w:rsidRPr="000B24F6">
        <w:rPr>
          <w:rFonts w:ascii="Arial" w:hAnsi="Arial" w:cs="Arial"/>
          <w:i w:val="0"/>
          <w:iCs w:val="0"/>
          <w:color w:val="000000" w:themeColor="text1"/>
          <w:sz w:val="20"/>
          <w:szCs w:val="20"/>
        </w:rPr>
        <w:t>: State-wise distribution of Registered GIs in Indi</w:t>
      </w:r>
      <w:r w:rsidR="00FD1ECE" w:rsidRPr="000B24F6">
        <w:rPr>
          <w:rFonts w:ascii="Arial" w:hAnsi="Arial" w:cs="Arial"/>
          <w:i w:val="0"/>
          <w:iCs w:val="0"/>
          <w:color w:val="000000" w:themeColor="text1"/>
          <w:sz w:val="20"/>
          <w:szCs w:val="20"/>
        </w:rPr>
        <w:t xml:space="preserve">a </w:t>
      </w:r>
      <w:r w:rsidRPr="000B24F6">
        <w:rPr>
          <w:rFonts w:ascii="Arial" w:hAnsi="Arial" w:cs="Arial"/>
          <w:noProof/>
          <w:lang w:val="en-IN" w:eastAsia="en-IN"/>
        </w:rPr>
        <w:drawing>
          <wp:inline distT="0" distB="0" distL="0" distR="0" wp14:anchorId="698EE66C" wp14:editId="5DAC1000">
            <wp:extent cx="5878195" cy="2228850"/>
            <wp:effectExtent l="0" t="0" r="8255" b="0"/>
            <wp:docPr id="845040147" name="Chart 1">
              <a:extLst xmlns:a="http://schemas.openxmlformats.org/drawingml/2006/main">
                <a:ext uri="{FF2B5EF4-FFF2-40B4-BE49-F238E27FC236}">
                  <a16:creationId xmlns:a16="http://schemas.microsoft.com/office/drawing/2014/main" id="{AEA921DE-AD90-B025-390D-1B7E497EF2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D1ECE" w:rsidRPr="000B24F6">
        <w:rPr>
          <w:rFonts w:ascii="Arial" w:hAnsi="Arial" w:cs="Arial"/>
          <w:i w:val="0"/>
          <w:iCs w:val="0"/>
          <w:color w:val="000000" w:themeColor="text1"/>
          <w:sz w:val="20"/>
          <w:szCs w:val="20"/>
        </w:rPr>
        <w:t xml:space="preserve">  </w:t>
      </w:r>
    </w:p>
    <w:p w14:paraId="47D14B56" w14:textId="090E3F89" w:rsidR="00FD1ECE" w:rsidRPr="000B24F6" w:rsidRDefault="004C4AF4" w:rsidP="002D09DB">
      <w:pPr>
        <w:pStyle w:val="Caption"/>
        <w:keepNext/>
        <w:spacing w:after="0" w:line="480" w:lineRule="auto"/>
        <w:rPr>
          <w:rFonts w:ascii="Arial" w:hAnsi="Arial" w:cs="Arial"/>
          <w:i w:val="0"/>
          <w:iCs w:val="0"/>
          <w:color w:val="000000" w:themeColor="text1"/>
          <w:sz w:val="20"/>
          <w:szCs w:val="20"/>
        </w:rPr>
      </w:pPr>
      <w:r w:rsidRPr="000B24F6">
        <w:rPr>
          <w:rFonts w:ascii="Arial" w:hAnsi="Arial" w:cs="Arial"/>
          <w:i w:val="0"/>
          <w:iCs w:val="0"/>
          <w:color w:val="000000" w:themeColor="text1"/>
          <w:sz w:val="20"/>
          <w:szCs w:val="20"/>
        </w:rPr>
        <w:t xml:space="preserve">Source: </w:t>
      </w:r>
      <w:r w:rsidR="007E04AC" w:rsidRPr="000B24F6">
        <w:rPr>
          <w:rFonts w:ascii="Arial" w:hAnsi="Arial" w:cs="Arial"/>
          <w:i w:val="0"/>
          <w:iCs w:val="0"/>
          <w:color w:val="000000" w:themeColor="text1"/>
          <w:sz w:val="20"/>
          <w:szCs w:val="20"/>
        </w:rPr>
        <w:t xml:space="preserve">www.ipindia.gov.in </w:t>
      </w:r>
    </w:p>
    <w:p w14:paraId="1347950A" w14:textId="688CC970" w:rsidR="00541E1D" w:rsidRPr="008B686A" w:rsidRDefault="008B686A" w:rsidP="0003188C">
      <w:pPr>
        <w:keepNext/>
        <w:spacing w:after="0" w:line="480" w:lineRule="auto"/>
        <w:jc w:val="both"/>
        <w:rPr>
          <w:rFonts w:ascii="Arial" w:hAnsi="Arial" w:cs="Arial"/>
          <w:sz w:val="24"/>
          <w:szCs w:val="24"/>
        </w:rPr>
      </w:pPr>
      <w:r w:rsidRPr="008B686A">
        <w:rPr>
          <w:rFonts w:ascii="Arial" w:hAnsi="Arial" w:cs="Arial"/>
          <w:b/>
          <w:bCs/>
        </w:rPr>
        <w:t>3.</w:t>
      </w:r>
      <w:r w:rsidR="00541E1D" w:rsidRPr="008B686A">
        <w:rPr>
          <w:rFonts w:ascii="Arial" w:hAnsi="Arial" w:cs="Arial"/>
          <w:b/>
          <w:bCs/>
        </w:rPr>
        <w:t>4</w:t>
      </w:r>
      <w:r w:rsidR="007E04AC" w:rsidRPr="008B686A">
        <w:rPr>
          <w:rFonts w:ascii="Arial" w:hAnsi="Arial" w:cs="Arial"/>
          <w:b/>
          <w:bCs/>
        </w:rPr>
        <w:t xml:space="preserve"> </w:t>
      </w:r>
      <w:r w:rsidR="002C5837" w:rsidRPr="008B686A">
        <w:rPr>
          <w:rFonts w:ascii="Arial" w:hAnsi="Arial" w:cs="Arial"/>
          <w:b/>
          <w:bCs/>
        </w:rPr>
        <w:t xml:space="preserve">Category </w:t>
      </w:r>
      <w:r w:rsidR="00541E1D" w:rsidRPr="008B686A">
        <w:rPr>
          <w:rFonts w:ascii="Arial" w:hAnsi="Arial" w:cs="Arial"/>
          <w:b/>
          <w:bCs/>
        </w:rPr>
        <w:t>of</w:t>
      </w:r>
      <w:r w:rsidR="002C5837" w:rsidRPr="008B686A">
        <w:rPr>
          <w:rFonts w:ascii="Arial" w:hAnsi="Arial" w:cs="Arial"/>
          <w:b/>
          <w:bCs/>
        </w:rPr>
        <w:t xml:space="preserve"> goods within</w:t>
      </w:r>
      <w:r w:rsidR="00541E1D" w:rsidRPr="008B686A">
        <w:rPr>
          <w:rFonts w:ascii="Arial" w:hAnsi="Arial" w:cs="Arial"/>
          <w:b/>
          <w:bCs/>
        </w:rPr>
        <w:t xml:space="preserve"> agricultural GI</w:t>
      </w:r>
      <w:r w:rsidR="002C5837" w:rsidRPr="008B686A">
        <w:rPr>
          <w:rFonts w:ascii="Arial" w:hAnsi="Arial" w:cs="Arial"/>
          <w:b/>
          <w:bCs/>
        </w:rPr>
        <w:t>s</w:t>
      </w:r>
    </w:p>
    <w:p w14:paraId="375B7AB5" w14:textId="11F08BF8" w:rsidR="00B13E64" w:rsidRPr="008B686A" w:rsidRDefault="00945C14" w:rsidP="005F525C">
      <w:pPr>
        <w:pStyle w:val="Caption"/>
        <w:keepNext/>
        <w:spacing w:after="0" w:line="480" w:lineRule="auto"/>
        <w:jc w:val="both"/>
        <w:rPr>
          <w:rFonts w:ascii="Arial" w:hAnsi="Arial" w:cs="Arial"/>
          <w:i w:val="0"/>
          <w:iCs w:val="0"/>
          <w:color w:val="000000" w:themeColor="text1"/>
          <w:sz w:val="20"/>
          <w:szCs w:val="20"/>
          <w:lang w:val="en-IN"/>
        </w:rPr>
      </w:pPr>
      <w:r w:rsidRPr="008B686A">
        <w:rPr>
          <w:rFonts w:ascii="Arial" w:hAnsi="Arial" w:cs="Arial"/>
          <w:i w:val="0"/>
          <w:iCs w:val="0"/>
          <w:color w:val="000000" w:themeColor="text1"/>
          <w:sz w:val="20"/>
          <w:szCs w:val="20"/>
          <w:lang w:val="en-IN"/>
        </w:rPr>
        <w:t xml:space="preserve">The agricultural goods were categorized into four groups namely field crops, horticultural crops, processed agricultural goods, and forest products, </w:t>
      </w:r>
      <w:r w:rsidR="003310EC" w:rsidRPr="008B686A">
        <w:rPr>
          <w:rFonts w:ascii="Arial" w:hAnsi="Arial" w:cs="Arial"/>
          <w:i w:val="0"/>
          <w:iCs w:val="0"/>
          <w:color w:val="000000" w:themeColor="text1"/>
          <w:sz w:val="20"/>
          <w:szCs w:val="20"/>
          <w:lang w:val="en-IN"/>
        </w:rPr>
        <w:t xml:space="preserve">for better </w:t>
      </w:r>
      <w:r w:rsidRPr="008B686A">
        <w:rPr>
          <w:rFonts w:ascii="Arial" w:hAnsi="Arial" w:cs="Arial"/>
          <w:i w:val="0"/>
          <w:iCs w:val="0"/>
          <w:color w:val="000000" w:themeColor="text1"/>
          <w:sz w:val="20"/>
          <w:szCs w:val="20"/>
          <w:lang w:val="en-IN"/>
        </w:rPr>
        <w:t>clarity and comprehensi</w:t>
      </w:r>
      <w:r w:rsidR="003310EC" w:rsidRPr="008B686A">
        <w:rPr>
          <w:rFonts w:ascii="Arial" w:hAnsi="Arial" w:cs="Arial"/>
          <w:i w:val="0"/>
          <w:iCs w:val="0"/>
          <w:color w:val="000000" w:themeColor="text1"/>
          <w:sz w:val="20"/>
          <w:szCs w:val="20"/>
          <w:lang w:val="en-IN"/>
        </w:rPr>
        <w:t>on</w:t>
      </w:r>
      <w:r w:rsidRPr="008B686A">
        <w:rPr>
          <w:rFonts w:ascii="Arial" w:hAnsi="Arial" w:cs="Arial"/>
          <w:i w:val="0"/>
          <w:iCs w:val="0"/>
          <w:color w:val="000000" w:themeColor="text1"/>
          <w:sz w:val="20"/>
          <w:szCs w:val="20"/>
          <w:lang w:val="en-IN"/>
        </w:rPr>
        <w:t xml:space="preserve"> (Figure 3). A significant</w:t>
      </w:r>
      <w:r w:rsidR="003310EC" w:rsidRPr="008B686A">
        <w:rPr>
          <w:rFonts w:ascii="Arial" w:hAnsi="Arial" w:cs="Arial"/>
          <w:i w:val="0"/>
          <w:iCs w:val="0"/>
          <w:color w:val="000000" w:themeColor="text1"/>
          <w:sz w:val="20"/>
          <w:szCs w:val="20"/>
          <w:lang w:val="en-IN"/>
        </w:rPr>
        <w:t xml:space="preserve"> portion</w:t>
      </w:r>
      <w:r w:rsidRPr="008B686A">
        <w:rPr>
          <w:rFonts w:ascii="Arial" w:hAnsi="Arial" w:cs="Arial"/>
          <w:i w:val="0"/>
          <w:iCs w:val="0"/>
          <w:color w:val="000000" w:themeColor="text1"/>
          <w:sz w:val="20"/>
          <w:szCs w:val="20"/>
          <w:lang w:val="en-IN"/>
        </w:rPr>
        <w:t xml:space="preserve"> belonged to the horticultural crops category</w:t>
      </w:r>
      <w:r w:rsidR="003310EC" w:rsidRPr="008B686A">
        <w:rPr>
          <w:rFonts w:ascii="Arial" w:hAnsi="Arial" w:cs="Arial"/>
          <w:i w:val="0"/>
          <w:iCs w:val="0"/>
          <w:color w:val="000000" w:themeColor="text1"/>
          <w:sz w:val="20"/>
          <w:szCs w:val="20"/>
          <w:lang w:val="en-IN"/>
        </w:rPr>
        <w:t xml:space="preserve"> highlighting the importance of horticultural crops in India</w:t>
      </w:r>
      <w:r w:rsidRPr="008B686A">
        <w:rPr>
          <w:rFonts w:ascii="Arial" w:hAnsi="Arial" w:cs="Arial"/>
          <w:i w:val="0"/>
          <w:iCs w:val="0"/>
          <w:color w:val="000000" w:themeColor="text1"/>
          <w:sz w:val="20"/>
          <w:szCs w:val="20"/>
          <w:lang w:val="en-IN"/>
        </w:rPr>
        <w:t>. Field crops represented</w:t>
      </w:r>
      <w:r w:rsidR="00B13E64" w:rsidRPr="008B686A">
        <w:rPr>
          <w:rFonts w:ascii="Arial" w:hAnsi="Arial" w:cs="Arial"/>
          <w:i w:val="0"/>
          <w:iCs w:val="0"/>
          <w:color w:val="000000" w:themeColor="text1"/>
          <w:sz w:val="20"/>
          <w:szCs w:val="20"/>
          <w:lang w:val="en-IN"/>
        </w:rPr>
        <w:t xml:space="preserve"> </w:t>
      </w:r>
      <w:r w:rsidRPr="008B686A">
        <w:rPr>
          <w:rFonts w:ascii="Arial" w:hAnsi="Arial" w:cs="Arial"/>
          <w:i w:val="0"/>
          <w:iCs w:val="0"/>
          <w:color w:val="000000" w:themeColor="text1"/>
          <w:sz w:val="20"/>
          <w:szCs w:val="20"/>
          <w:lang w:val="en-IN"/>
        </w:rPr>
        <w:t>the second-largest category</w:t>
      </w:r>
      <w:r w:rsidR="003310EC" w:rsidRPr="008B686A">
        <w:rPr>
          <w:rFonts w:ascii="Arial" w:hAnsi="Arial" w:cs="Arial"/>
          <w:i w:val="0"/>
          <w:iCs w:val="0"/>
          <w:color w:val="000000" w:themeColor="text1"/>
          <w:sz w:val="20"/>
          <w:szCs w:val="20"/>
          <w:lang w:val="en-IN"/>
        </w:rPr>
        <w:t>, and p</w:t>
      </w:r>
      <w:r w:rsidRPr="008B686A">
        <w:rPr>
          <w:rFonts w:ascii="Arial" w:hAnsi="Arial" w:cs="Arial"/>
          <w:i w:val="0"/>
          <w:iCs w:val="0"/>
          <w:color w:val="000000" w:themeColor="text1"/>
          <w:sz w:val="20"/>
          <w:szCs w:val="20"/>
          <w:lang w:val="en-IN"/>
        </w:rPr>
        <w:t xml:space="preserve">rocessed agricultural goods </w:t>
      </w:r>
      <w:r w:rsidRPr="008B686A">
        <w:rPr>
          <w:rFonts w:ascii="Arial" w:hAnsi="Arial" w:cs="Arial"/>
          <w:i w:val="0"/>
          <w:iCs w:val="0"/>
          <w:color w:val="000000" w:themeColor="text1"/>
          <w:sz w:val="20"/>
          <w:szCs w:val="20"/>
          <w:lang w:val="en-IN"/>
        </w:rPr>
        <w:lastRenderedPageBreak/>
        <w:t xml:space="preserve">formed a minor </w:t>
      </w:r>
      <w:r w:rsidR="003310EC" w:rsidRPr="008B686A">
        <w:rPr>
          <w:rFonts w:ascii="Arial" w:hAnsi="Arial" w:cs="Arial"/>
          <w:i w:val="0"/>
          <w:iCs w:val="0"/>
          <w:color w:val="000000" w:themeColor="text1"/>
          <w:sz w:val="20"/>
          <w:szCs w:val="20"/>
          <w:lang w:val="en-IN"/>
        </w:rPr>
        <w:t>category pointing to the need for improvement. W</w:t>
      </w:r>
      <w:r w:rsidRPr="008B686A">
        <w:rPr>
          <w:rFonts w:ascii="Arial" w:hAnsi="Arial" w:cs="Arial"/>
          <w:i w:val="0"/>
          <w:iCs w:val="0"/>
          <w:color w:val="000000" w:themeColor="text1"/>
          <w:sz w:val="20"/>
          <w:szCs w:val="20"/>
          <w:lang w:val="en-IN"/>
        </w:rPr>
        <w:t>hile forest products constituted the smallest share, comprising only 0.5% (1 product).</w:t>
      </w:r>
    </w:p>
    <w:p w14:paraId="57CFA0E8" w14:textId="7112872E" w:rsidR="003542F8" w:rsidRPr="008B686A" w:rsidRDefault="003542F8" w:rsidP="0028221C">
      <w:pPr>
        <w:pStyle w:val="Caption"/>
        <w:keepNext/>
        <w:spacing w:after="0" w:line="480" w:lineRule="auto"/>
        <w:jc w:val="center"/>
        <w:rPr>
          <w:rFonts w:ascii="Arial" w:hAnsi="Arial" w:cs="Arial"/>
          <w:i w:val="0"/>
          <w:iCs w:val="0"/>
          <w:color w:val="000000" w:themeColor="text1"/>
          <w:sz w:val="20"/>
          <w:szCs w:val="20"/>
        </w:rPr>
      </w:pPr>
      <w:r w:rsidRPr="008B686A">
        <w:rPr>
          <w:rFonts w:ascii="Arial" w:hAnsi="Arial" w:cs="Arial"/>
          <w:b/>
          <w:bCs/>
          <w:i w:val="0"/>
          <w:iCs w:val="0"/>
          <w:color w:val="000000" w:themeColor="text1"/>
          <w:sz w:val="20"/>
          <w:szCs w:val="20"/>
        </w:rPr>
        <w:t xml:space="preserve">Figure </w:t>
      </w:r>
      <w:r w:rsidR="003379A1" w:rsidRPr="008B686A">
        <w:rPr>
          <w:rFonts w:ascii="Arial" w:hAnsi="Arial" w:cs="Arial"/>
          <w:b/>
          <w:bCs/>
          <w:i w:val="0"/>
          <w:iCs w:val="0"/>
          <w:color w:val="000000" w:themeColor="text1"/>
          <w:sz w:val="20"/>
          <w:szCs w:val="20"/>
        </w:rPr>
        <w:t>3</w:t>
      </w:r>
      <w:r w:rsidR="00945C14" w:rsidRPr="008B686A">
        <w:rPr>
          <w:rFonts w:ascii="Arial" w:hAnsi="Arial" w:cs="Arial"/>
          <w:i w:val="0"/>
          <w:iCs w:val="0"/>
          <w:color w:val="000000" w:themeColor="text1"/>
          <w:sz w:val="20"/>
          <w:szCs w:val="20"/>
        </w:rPr>
        <w:t xml:space="preserve">: </w:t>
      </w:r>
      <w:r w:rsidR="00566997" w:rsidRPr="008B686A">
        <w:rPr>
          <w:rFonts w:ascii="Arial" w:hAnsi="Arial" w:cs="Arial"/>
          <w:i w:val="0"/>
          <w:iCs w:val="0"/>
          <w:color w:val="000000" w:themeColor="text1"/>
          <w:sz w:val="20"/>
          <w:szCs w:val="20"/>
        </w:rPr>
        <w:t xml:space="preserve">Agricultural goods category                            </w:t>
      </w:r>
      <w:r w:rsidRPr="008B686A">
        <w:rPr>
          <w:rFonts w:ascii="Arial" w:hAnsi="Arial" w:cs="Arial"/>
          <w:i w:val="0"/>
          <w:iCs w:val="0"/>
          <w:color w:val="000000" w:themeColor="text1"/>
          <w:sz w:val="20"/>
          <w:szCs w:val="20"/>
        </w:rPr>
        <w:t xml:space="preserve"> </w:t>
      </w:r>
      <w:r w:rsidRPr="008B686A">
        <w:rPr>
          <w:rFonts w:ascii="Arial" w:hAnsi="Arial" w:cs="Arial"/>
          <w:b/>
          <w:bCs/>
          <w:i w:val="0"/>
          <w:iCs w:val="0"/>
          <w:color w:val="000000" w:themeColor="text1"/>
          <w:sz w:val="20"/>
          <w:szCs w:val="20"/>
        </w:rPr>
        <w:t xml:space="preserve">Figure </w:t>
      </w:r>
      <w:r w:rsidR="003379A1" w:rsidRPr="008B686A">
        <w:rPr>
          <w:rFonts w:ascii="Arial" w:hAnsi="Arial" w:cs="Arial"/>
          <w:b/>
          <w:bCs/>
          <w:i w:val="0"/>
          <w:iCs w:val="0"/>
          <w:color w:val="000000" w:themeColor="text1"/>
          <w:sz w:val="20"/>
          <w:szCs w:val="20"/>
        </w:rPr>
        <w:t>4</w:t>
      </w:r>
      <w:r w:rsidRPr="008B686A">
        <w:rPr>
          <w:rFonts w:ascii="Arial" w:hAnsi="Arial" w:cs="Arial"/>
          <w:i w:val="0"/>
          <w:iCs w:val="0"/>
          <w:color w:val="000000" w:themeColor="text1"/>
          <w:sz w:val="20"/>
          <w:szCs w:val="20"/>
        </w:rPr>
        <w:t xml:space="preserve">: </w:t>
      </w:r>
      <w:r w:rsidR="00566997" w:rsidRPr="008B686A">
        <w:rPr>
          <w:rFonts w:ascii="Arial" w:hAnsi="Arial" w:cs="Arial"/>
          <w:i w:val="0"/>
          <w:iCs w:val="0"/>
          <w:color w:val="000000" w:themeColor="text1"/>
          <w:sz w:val="20"/>
          <w:szCs w:val="20"/>
        </w:rPr>
        <w:t>Horticultural goods category</w:t>
      </w:r>
    </w:p>
    <w:p w14:paraId="5D62DC1B" w14:textId="091CF8F1" w:rsidR="003542F8" w:rsidRPr="008B686A" w:rsidRDefault="003542F8" w:rsidP="0003188C">
      <w:pPr>
        <w:keepNext/>
        <w:spacing w:after="0" w:line="480" w:lineRule="auto"/>
        <w:rPr>
          <w:rFonts w:ascii="Arial" w:hAnsi="Arial" w:cs="Arial"/>
          <w:sz w:val="16"/>
          <w:szCs w:val="16"/>
        </w:rPr>
      </w:pPr>
      <w:r w:rsidRPr="008B686A">
        <w:rPr>
          <w:rFonts w:ascii="Arial" w:hAnsi="Arial" w:cs="Arial"/>
          <w:i/>
          <w:iCs/>
          <w:noProof/>
          <w:color w:val="000000" w:themeColor="text1"/>
          <w:sz w:val="20"/>
          <w:szCs w:val="20"/>
          <w:lang w:val="en-IN" w:eastAsia="en-IN"/>
        </w:rPr>
        <w:drawing>
          <wp:inline distT="0" distB="0" distL="0" distR="0" wp14:anchorId="685F7BCC" wp14:editId="417DF34C">
            <wp:extent cx="2727960" cy="1962150"/>
            <wp:effectExtent l="0" t="0" r="15240" b="0"/>
            <wp:docPr id="2118429237" name="Chart 1">
              <a:extLst xmlns:a="http://schemas.openxmlformats.org/drawingml/2006/main">
                <a:ext uri="{FF2B5EF4-FFF2-40B4-BE49-F238E27FC236}">
                  <a16:creationId xmlns:a16="http://schemas.microsoft.com/office/drawing/2014/main" id="{A1140EFD-0BA1-D3D6-AE30-1570BBC426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B686A">
        <w:rPr>
          <w:rFonts w:ascii="Arial" w:hAnsi="Arial" w:cs="Arial"/>
        </w:rPr>
        <w:t xml:space="preserve">  </w:t>
      </w:r>
      <w:r w:rsidRPr="008B686A">
        <w:rPr>
          <w:rFonts w:ascii="Arial" w:hAnsi="Arial" w:cs="Arial"/>
          <w:noProof/>
          <w:lang w:val="en-IN" w:eastAsia="en-IN"/>
        </w:rPr>
        <w:drawing>
          <wp:inline distT="0" distB="0" distL="0" distR="0" wp14:anchorId="75DA53EC" wp14:editId="11A18F59">
            <wp:extent cx="2795270" cy="1876425"/>
            <wp:effectExtent l="0" t="0" r="5080" b="9525"/>
            <wp:docPr id="944808881" name="Chart 1">
              <a:extLst xmlns:a="http://schemas.openxmlformats.org/drawingml/2006/main">
                <a:ext uri="{FF2B5EF4-FFF2-40B4-BE49-F238E27FC236}">
                  <a16:creationId xmlns:a16="http://schemas.microsoft.com/office/drawing/2014/main" id="{51F698EB-96D2-80C0-F5D9-E505D0238B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8B686A">
        <w:rPr>
          <w:rFonts w:ascii="Arial" w:hAnsi="Arial" w:cs="Arial"/>
          <w:sz w:val="16"/>
          <w:szCs w:val="16"/>
        </w:rPr>
        <w:t>Source:</w:t>
      </w:r>
      <w:r w:rsidR="007E04AC" w:rsidRPr="008B686A">
        <w:rPr>
          <w:rFonts w:ascii="Arial" w:hAnsi="Arial" w:cs="Arial"/>
          <w:sz w:val="16"/>
          <w:szCs w:val="16"/>
        </w:rPr>
        <w:t xml:space="preserve"> </w:t>
      </w:r>
      <w:r w:rsidR="008E55DD" w:rsidRPr="008B686A">
        <w:rPr>
          <w:rFonts w:ascii="Arial" w:hAnsi="Arial" w:cs="Arial"/>
          <w:sz w:val="16"/>
          <w:szCs w:val="16"/>
          <w:lang w:val="en-IN"/>
        </w:rPr>
        <w:t>www.ipindia.gov.in</w:t>
      </w:r>
      <w:r w:rsidR="007E04AC" w:rsidRPr="008B686A">
        <w:rPr>
          <w:rFonts w:ascii="Arial" w:hAnsi="Arial" w:cs="Arial"/>
          <w:sz w:val="16"/>
          <w:szCs w:val="16"/>
          <w:lang w:val="en-IN"/>
        </w:rPr>
        <w:t xml:space="preserve"> </w:t>
      </w:r>
    </w:p>
    <w:p w14:paraId="431C59EB" w14:textId="56CB7783" w:rsidR="007E04AC" w:rsidRPr="008B686A" w:rsidRDefault="00CF7697" w:rsidP="005F525C">
      <w:pPr>
        <w:spacing w:after="0" w:line="480" w:lineRule="auto"/>
        <w:jc w:val="both"/>
        <w:rPr>
          <w:rFonts w:ascii="Arial" w:hAnsi="Arial" w:cs="Arial"/>
          <w:sz w:val="20"/>
          <w:szCs w:val="20"/>
          <w:lang w:val="en-IN"/>
        </w:rPr>
      </w:pPr>
      <w:r w:rsidRPr="008B686A">
        <w:rPr>
          <w:rFonts w:ascii="Arial" w:hAnsi="Arial" w:cs="Arial"/>
          <w:sz w:val="20"/>
          <w:szCs w:val="20"/>
          <w:lang w:val="en-IN"/>
        </w:rPr>
        <w:t>Table 2.</w:t>
      </w:r>
      <w:r w:rsidR="00C727C9" w:rsidRPr="008B686A">
        <w:rPr>
          <w:rFonts w:ascii="Arial" w:hAnsi="Arial" w:cs="Arial"/>
          <w:sz w:val="20"/>
          <w:szCs w:val="20"/>
          <w:lang w:val="en-IN"/>
        </w:rPr>
        <w:t xml:space="preserve"> also</w:t>
      </w:r>
      <w:r w:rsidRPr="008B686A">
        <w:rPr>
          <w:rFonts w:ascii="Arial" w:hAnsi="Arial" w:cs="Arial"/>
          <w:sz w:val="20"/>
          <w:szCs w:val="20"/>
          <w:lang w:val="en-IN"/>
        </w:rPr>
        <w:t xml:space="preserve"> provides an elaborate list of agricultural GIs. </w:t>
      </w:r>
      <w:r w:rsidR="00C727C9" w:rsidRPr="008B686A">
        <w:rPr>
          <w:rFonts w:ascii="Arial" w:hAnsi="Arial" w:cs="Arial"/>
          <w:sz w:val="20"/>
          <w:szCs w:val="20"/>
          <w:lang w:val="en-IN"/>
        </w:rPr>
        <w:t xml:space="preserve">Within the field crops category, cereals (38) lead in GI registrations, followed by pulses (11) and a single oilseed crop, </w:t>
      </w:r>
      <w:proofErr w:type="spellStart"/>
      <w:r w:rsidR="00C727C9" w:rsidRPr="008B686A">
        <w:rPr>
          <w:rFonts w:ascii="Arial" w:hAnsi="Arial" w:cs="Arial"/>
          <w:sz w:val="20"/>
          <w:szCs w:val="20"/>
          <w:lang w:val="en-IN"/>
        </w:rPr>
        <w:t>Onattukara</w:t>
      </w:r>
      <w:proofErr w:type="spellEnd"/>
      <w:r w:rsidR="00C727C9" w:rsidRPr="008B686A">
        <w:rPr>
          <w:rFonts w:ascii="Arial" w:hAnsi="Arial" w:cs="Arial"/>
          <w:sz w:val="20"/>
          <w:szCs w:val="20"/>
          <w:lang w:val="en-IN"/>
        </w:rPr>
        <w:t xml:space="preserve"> </w:t>
      </w:r>
      <w:proofErr w:type="spellStart"/>
      <w:r w:rsidR="00C727C9" w:rsidRPr="008B686A">
        <w:rPr>
          <w:rFonts w:ascii="Arial" w:hAnsi="Arial" w:cs="Arial"/>
          <w:sz w:val="20"/>
          <w:szCs w:val="20"/>
          <w:lang w:val="en-IN"/>
        </w:rPr>
        <w:t>ellu</w:t>
      </w:r>
      <w:proofErr w:type="spellEnd"/>
      <w:r w:rsidR="00C727C9" w:rsidRPr="008B686A">
        <w:rPr>
          <w:rFonts w:ascii="Arial" w:hAnsi="Arial" w:cs="Arial"/>
          <w:sz w:val="20"/>
          <w:szCs w:val="20"/>
          <w:lang w:val="en-IN"/>
        </w:rPr>
        <w:t xml:space="preserve"> from Kerala. Among cereals, rice (28) holds the largest share, followed by millets (6), with pulses (3) also making significant contributions to agricultural GI registrations. </w:t>
      </w:r>
      <w:r w:rsidRPr="008B686A">
        <w:rPr>
          <w:rFonts w:ascii="Arial" w:hAnsi="Arial" w:cs="Arial"/>
          <w:sz w:val="20"/>
          <w:szCs w:val="20"/>
          <w:lang w:val="en-IN"/>
        </w:rPr>
        <w:t xml:space="preserve">Within the horticultural crop category, fruits (61) emerged as the predominant group (Figure 4), followed by spices (39), plantation crops (17), vegetables (13), medicinal and aromatic crops (8), and </w:t>
      </w:r>
      <w:r w:rsidR="003379A1" w:rsidRPr="008B686A">
        <w:rPr>
          <w:rFonts w:ascii="Arial" w:hAnsi="Arial" w:cs="Arial"/>
          <w:sz w:val="20"/>
          <w:szCs w:val="20"/>
          <w:lang w:val="en-IN"/>
        </w:rPr>
        <w:t xml:space="preserve">flowers (5). Among fruits, mango (16) leads the group, reflecting India's status as the global producer and exporter of mangoes. The GI-certified mango varieties are in high demand in domestic and global markets (Meena </w:t>
      </w:r>
      <w:r w:rsidR="003379A1" w:rsidRPr="008B686A">
        <w:rPr>
          <w:rFonts w:ascii="Arial" w:hAnsi="Arial" w:cs="Arial"/>
          <w:i/>
          <w:iCs/>
          <w:sz w:val="20"/>
          <w:szCs w:val="20"/>
          <w:lang w:val="en-IN"/>
        </w:rPr>
        <w:t>et al.,</w:t>
      </w:r>
      <w:r w:rsidR="003379A1" w:rsidRPr="008B686A">
        <w:rPr>
          <w:rFonts w:ascii="Arial" w:hAnsi="Arial" w:cs="Arial"/>
          <w:sz w:val="20"/>
          <w:szCs w:val="20"/>
          <w:lang w:val="en-IN"/>
        </w:rPr>
        <w:t xml:space="preserve"> 2022). Red chili (14) tops the list in the spices category, valued for its vibrant red colour and spiciness. Notable varieties include Guntur </w:t>
      </w:r>
      <w:proofErr w:type="spellStart"/>
      <w:r w:rsidR="003379A1" w:rsidRPr="008B686A">
        <w:rPr>
          <w:rFonts w:ascii="Arial" w:hAnsi="Arial" w:cs="Arial"/>
          <w:sz w:val="20"/>
          <w:szCs w:val="20"/>
          <w:lang w:val="en-IN"/>
        </w:rPr>
        <w:t>Sannam</w:t>
      </w:r>
      <w:proofErr w:type="spellEnd"/>
      <w:r w:rsidR="003379A1" w:rsidRPr="008B686A">
        <w:rPr>
          <w:rFonts w:ascii="Arial" w:hAnsi="Arial" w:cs="Arial"/>
          <w:sz w:val="20"/>
          <w:szCs w:val="20"/>
          <w:lang w:val="en-IN"/>
        </w:rPr>
        <w:t xml:space="preserve"> chili (Andhra Pradesh), </w:t>
      </w:r>
      <w:proofErr w:type="spellStart"/>
      <w:r w:rsidR="003379A1" w:rsidRPr="008B686A">
        <w:rPr>
          <w:rFonts w:ascii="Arial" w:hAnsi="Arial" w:cs="Arial"/>
          <w:sz w:val="20"/>
          <w:szCs w:val="20"/>
          <w:lang w:val="en-IN"/>
        </w:rPr>
        <w:t>Byadgi</w:t>
      </w:r>
      <w:proofErr w:type="spellEnd"/>
      <w:r w:rsidR="003379A1" w:rsidRPr="008B686A">
        <w:rPr>
          <w:rFonts w:ascii="Arial" w:hAnsi="Arial" w:cs="Arial"/>
          <w:sz w:val="20"/>
          <w:szCs w:val="20"/>
          <w:lang w:val="en-IN"/>
        </w:rPr>
        <w:t xml:space="preserve"> chili (Karnataka), Naga Mirza (Nagaland), and Mizo chili (Mizoram). </w:t>
      </w:r>
      <w:r w:rsidR="00C727C9" w:rsidRPr="008B686A">
        <w:rPr>
          <w:rFonts w:ascii="Arial" w:hAnsi="Arial" w:cs="Arial"/>
          <w:sz w:val="20"/>
          <w:szCs w:val="20"/>
          <w:lang w:val="en-IN"/>
        </w:rPr>
        <w:t xml:space="preserve">The plantation crops category includes prestigious commodities such as Darjeeling tea, </w:t>
      </w:r>
      <w:proofErr w:type="spellStart"/>
      <w:r w:rsidR="00C727C9" w:rsidRPr="008B686A">
        <w:rPr>
          <w:rFonts w:ascii="Arial" w:hAnsi="Arial" w:cs="Arial"/>
          <w:sz w:val="20"/>
          <w:szCs w:val="20"/>
          <w:lang w:val="en-IN"/>
        </w:rPr>
        <w:t>Monsooned</w:t>
      </w:r>
      <w:proofErr w:type="spellEnd"/>
      <w:r w:rsidR="00C727C9" w:rsidRPr="008B686A">
        <w:rPr>
          <w:rFonts w:ascii="Arial" w:hAnsi="Arial" w:cs="Arial"/>
          <w:sz w:val="20"/>
          <w:szCs w:val="20"/>
          <w:lang w:val="en-IN"/>
        </w:rPr>
        <w:t xml:space="preserve"> Malabar Robusta coffee, and Malabar pepper. Among vegetables, brinjal (6) leads, followed by onions (3). Other vegetables with registered varieties include Naga Cucumber and Naga Tree Tomato (Nagaland), </w:t>
      </w:r>
      <w:proofErr w:type="spellStart"/>
      <w:r w:rsidR="00C727C9" w:rsidRPr="008B686A">
        <w:rPr>
          <w:rFonts w:ascii="Arial" w:hAnsi="Arial" w:cs="Arial"/>
          <w:sz w:val="20"/>
          <w:szCs w:val="20"/>
          <w:lang w:val="en-IN"/>
        </w:rPr>
        <w:t>Attappady</w:t>
      </w:r>
      <w:proofErr w:type="spellEnd"/>
      <w:r w:rsidR="00C727C9" w:rsidRPr="008B686A">
        <w:rPr>
          <w:rFonts w:ascii="Arial" w:hAnsi="Arial" w:cs="Arial"/>
          <w:sz w:val="20"/>
          <w:szCs w:val="20"/>
          <w:lang w:val="en-IN"/>
        </w:rPr>
        <w:t xml:space="preserve"> </w:t>
      </w:r>
      <w:proofErr w:type="spellStart"/>
      <w:r w:rsidR="00C727C9" w:rsidRPr="008B686A">
        <w:rPr>
          <w:rFonts w:ascii="Arial" w:hAnsi="Arial" w:cs="Arial"/>
          <w:sz w:val="20"/>
          <w:szCs w:val="20"/>
          <w:lang w:val="en-IN"/>
        </w:rPr>
        <w:t>Aattukombu</w:t>
      </w:r>
      <w:proofErr w:type="spellEnd"/>
      <w:r w:rsidR="00C727C9" w:rsidRPr="008B686A">
        <w:rPr>
          <w:rFonts w:ascii="Arial" w:hAnsi="Arial" w:cs="Arial"/>
          <w:sz w:val="20"/>
          <w:szCs w:val="20"/>
          <w:lang w:val="en-IN"/>
        </w:rPr>
        <w:t xml:space="preserve"> </w:t>
      </w:r>
      <w:proofErr w:type="spellStart"/>
      <w:r w:rsidR="00C727C9" w:rsidRPr="008B686A">
        <w:rPr>
          <w:rFonts w:ascii="Arial" w:hAnsi="Arial" w:cs="Arial"/>
          <w:sz w:val="20"/>
          <w:szCs w:val="20"/>
          <w:lang w:val="en-IN"/>
        </w:rPr>
        <w:t>Avara</w:t>
      </w:r>
      <w:proofErr w:type="spellEnd"/>
      <w:r w:rsidR="00C727C9" w:rsidRPr="008B686A">
        <w:rPr>
          <w:rFonts w:ascii="Arial" w:hAnsi="Arial" w:cs="Arial"/>
          <w:sz w:val="20"/>
          <w:szCs w:val="20"/>
          <w:lang w:val="en-IN"/>
        </w:rPr>
        <w:t xml:space="preserve"> (Kerala), and Sat </w:t>
      </w:r>
      <w:proofErr w:type="spellStart"/>
      <w:r w:rsidR="00C727C9" w:rsidRPr="008B686A">
        <w:rPr>
          <w:rFonts w:ascii="Arial" w:hAnsi="Arial" w:cs="Arial"/>
          <w:sz w:val="20"/>
          <w:szCs w:val="20"/>
          <w:lang w:val="en-IN"/>
        </w:rPr>
        <w:t>Shirancho</w:t>
      </w:r>
      <w:proofErr w:type="spellEnd"/>
      <w:r w:rsidR="00C727C9" w:rsidRPr="008B686A">
        <w:rPr>
          <w:rFonts w:ascii="Arial" w:hAnsi="Arial" w:cs="Arial"/>
          <w:sz w:val="20"/>
          <w:szCs w:val="20"/>
          <w:lang w:val="en-IN"/>
        </w:rPr>
        <w:t xml:space="preserve"> </w:t>
      </w:r>
      <w:proofErr w:type="spellStart"/>
      <w:r w:rsidR="00C727C9" w:rsidRPr="008B686A">
        <w:rPr>
          <w:rFonts w:ascii="Arial" w:hAnsi="Arial" w:cs="Arial"/>
          <w:sz w:val="20"/>
          <w:szCs w:val="20"/>
          <w:lang w:val="en-IN"/>
        </w:rPr>
        <w:t>Bhendo</w:t>
      </w:r>
      <w:proofErr w:type="spellEnd"/>
      <w:r w:rsidR="00C727C9" w:rsidRPr="008B686A">
        <w:rPr>
          <w:rFonts w:ascii="Arial" w:hAnsi="Arial" w:cs="Arial"/>
          <w:sz w:val="20"/>
          <w:szCs w:val="20"/>
          <w:lang w:val="en-IN"/>
        </w:rPr>
        <w:t xml:space="preserve"> (Goa). Despite India being the second-largest </w:t>
      </w:r>
      <w:r w:rsidR="00945A88" w:rsidRPr="008B686A">
        <w:rPr>
          <w:rFonts w:ascii="Arial" w:hAnsi="Arial" w:cs="Arial"/>
          <w:sz w:val="20"/>
          <w:szCs w:val="20"/>
          <w:lang w:val="en-IN"/>
        </w:rPr>
        <w:t>producer</w:t>
      </w:r>
      <w:r w:rsidR="00C727C9" w:rsidRPr="008B686A">
        <w:rPr>
          <w:rFonts w:ascii="Arial" w:hAnsi="Arial" w:cs="Arial"/>
          <w:sz w:val="20"/>
          <w:szCs w:val="20"/>
          <w:lang w:val="en-IN"/>
        </w:rPr>
        <w:t xml:space="preserve"> of vegetables globally, the number of GI-registered vegetables remains limited. Jasmine dominate</w:t>
      </w:r>
      <w:r w:rsidR="00945A88" w:rsidRPr="008B686A">
        <w:rPr>
          <w:rFonts w:ascii="Arial" w:hAnsi="Arial" w:cs="Arial"/>
          <w:sz w:val="20"/>
          <w:szCs w:val="20"/>
          <w:lang w:val="en-IN"/>
        </w:rPr>
        <w:t>d</w:t>
      </w:r>
      <w:r w:rsidR="00C727C9" w:rsidRPr="008B686A">
        <w:rPr>
          <w:rFonts w:ascii="Arial" w:hAnsi="Arial" w:cs="Arial"/>
          <w:sz w:val="20"/>
          <w:szCs w:val="20"/>
          <w:lang w:val="en-IN"/>
        </w:rPr>
        <w:t xml:space="preserve"> the flower category, with notable varieties like Madurai Malli (Tamil Nadu), Udupi </w:t>
      </w:r>
      <w:proofErr w:type="spellStart"/>
      <w:r w:rsidR="00C727C9" w:rsidRPr="008B686A">
        <w:rPr>
          <w:rFonts w:ascii="Arial" w:hAnsi="Arial" w:cs="Arial"/>
          <w:sz w:val="20"/>
          <w:szCs w:val="20"/>
          <w:lang w:val="en-IN"/>
        </w:rPr>
        <w:t>Mallige</w:t>
      </w:r>
      <w:proofErr w:type="spellEnd"/>
      <w:r w:rsidR="00C727C9" w:rsidRPr="008B686A">
        <w:rPr>
          <w:rFonts w:ascii="Arial" w:hAnsi="Arial" w:cs="Arial"/>
          <w:sz w:val="20"/>
          <w:szCs w:val="20"/>
          <w:lang w:val="en-IN"/>
        </w:rPr>
        <w:t xml:space="preserve"> (Karnataka), Mysore </w:t>
      </w:r>
      <w:proofErr w:type="spellStart"/>
      <w:r w:rsidR="00C727C9" w:rsidRPr="008B686A">
        <w:rPr>
          <w:rFonts w:ascii="Arial" w:hAnsi="Arial" w:cs="Arial"/>
          <w:sz w:val="20"/>
          <w:szCs w:val="20"/>
          <w:lang w:val="en-IN"/>
        </w:rPr>
        <w:t>Mallige</w:t>
      </w:r>
      <w:proofErr w:type="spellEnd"/>
      <w:r w:rsidR="00C727C9" w:rsidRPr="008B686A">
        <w:rPr>
          <w:rFonts w:ascii="Arial" w:hAnsi="Arial" w:cs="Arial"/>
          <w:sz w:val="20"/>
          <w:szCs w:val="20"/>
          <w:lang w:val="en-IN"/>
        </w:rPr>
        <w:t xml:space="preserve"> (Karnataka), and </w:t>
      </w:r>
      <w:proofErr w:type="spellStart"/>
      <w:r w:rsidR="00C727C9" w:rsidRPr="008B686A">
        <w:rPr>
          <w:rFonts w:ascii="Arial" w:hAnsi="Arial" w:cs="Arial"/>
          <w:sz w:val="20"/>
          <w:szCs w:val="20"/>
          <w:lang w:val="en-IN"/>
        </w:rPr>
        <w:t>Hadagali</w:t>
      </w:r>
      <w:proofErr w:type="spellEnd"/>
      <w:r w:rsidR="00C727C9" w:rsidRPr="008B686A">
        <w:rPr>
          <w:rFonts w:ascii="Arial" w:hAnsi="Arial" w:cs="Arial"/>
          <w:sz w:val="20"/>
          <w:szCs w:val="20"/>
          <w:lang w:val="en-IN"/>
        </w:rPr>
        <w:t xml:space="preserve"> </w:t>
      </w:r>
      <w:proofErr w:type="spellStart"/>
      <w:r w:rsidR="00C727C9" w:rsidRPr="008B686A">
        <w:rPr>
          <w:rFonts w:ascii="Arial" w:hAnsi="Arial" w:cs="Arial"/>
          <w:sz w:val="20"/>
          <w:szCs w:val="20"/>
          <w:lang w:val="en-IN"/>
        </w:rPr>
        <w:t>Mallige</w:t>
      </w:r>
      <w:proofErr w:type="spellEnd"/>
      <w:r w:rsidR="00C727C9" w:rsidRPr="008B686A">
        <w:rPr>
          <w:rFonts w:ascii="Arial" w:hAnsi="Arial" w:cs="Arial"/>
          <w:sz w:val="20"/>
          <w:szCs w:val="20"/>
          <w:lang w:val="en-IN"/>
        </w:rPr>
        <w:t xml:space="preserve"> (Karnataka), highlighting Karnataka's strong participation. The Ganjam Kewda flower from Odisha is the only other registered flower variety</w:t>
      </w:r>
      <w:r w:rsidR="00945A88" w:rsidRPr="008B686A">
        <w:rPr>
          <w:rFonts w:ascii="Arial" w:hAnsi="Arial" w:cs="Arial"/>
          <w:sz w:val="20"/>
          <w:szCs w:val="20"/>
          <w:lang w:val="en-IN"/>
        </w:rPr>
        <w:t>. F</w:t>
      </w:r>
      <w:r w:rsidR="00C727C9" w:rsidRPr="008B686A">
        <w:rPr>
          <w:rFonts w:ascii="Arial" w:hAnsi="Arial" w:cs="Arial"/>
          <w:sz w:val="20"/>
          <w:szCs w:val="20"/>
          <w:lang w:val="en-IN"/>
        </w:rPr>
        <w:t xml:space="preserve">lowers </w:t>
      </w:r>
      <w:r w:rsidR="00945A88" w:rsidRPr="008B686A">
        <w:rPr>
          <w:rFonts w:ascii="Arial" w:hAnsi="Arial" w:cs="Arial"/>
          <w:sz w:val="20"/>
          <w:szCs w:val="20"/>
          <w:lang w:val="en-IN"/>
        </w:rPr>
        <w:t>form a</w:t>
      </w:r>
      <w:r w:rsidR="00C727C9" w:rsidRPr="008B686A">
        <w:rPr>
          <w:rFonts w:ascii="Arial" w:hAnsi="Arial" w:cs="Arial"/>
          <w:sz w:val="20"/>
          <w:szCs w:val="20"/>
          <w:lang w:val="en-IN"/>
        </w:rPr>
        <w:t xml:space="preserve"> relatively small category with</w:t>
      </w:r>
      <w:r w:rsidR="00945A88" w:rsidRPr="008B686A">
        <w:rPr>
          <w:rFonts w:ascii="Arial" w:hAnsi="Arial" w:cs="Arial"/>
          <w:sz w:val="20"/>
          <w:szCs w:val="20"/>
          <w:lang w:val="en-IN"/>
        </w:rPr>
        <w:t>in horticultural goods</w:t>
      </w:r>
      <w:r w:rsidR="00C727C9" w:rsidRPr="008B686A">
        <w:rPr>
          <w:rFonts w:ascii="Arial" w:hAnsi="Arial" w:cs="Arial"/>
          <w:sz w:val="20"/>
          <w:szCs w:val="20"/>
          <w:lang w:val="en-IN"/>
        </w:rPr>
        <w:t xml:space="preserve">. The </w:t>
      </w:r>
      <w:r w:rsidR="00C727C9" w:rsidRPr="008B686A">
        <w:rPr>
          <w:rFonts w:ascii="Arial" w:hAnsi="Arial" w:cs="Arial"/>
          <w:sz w:val="20"/>
          <w:szCs w:val="20"/>
          <w:lang w:val="en-IN"/>
        </w:rPr>
        <w:lastRenderedPageBreak/>
        <w:t xml:space="preserve">processed agricultural goods category includes specialized products such as </w:t>
      </w:r>
      <w:proofErr w:type="spellStart"/>
      <w:r w:rsidR="00C727C9" w:rsidRPr="008B686A">
        <w:rPr>
          <w:rFonts w:ascii="Arial" w:hAnsi="Arial" w:cs="Arial"/>
          <w:sz w:val="20"/>
          <w:szCs w:val="20"/>
          <w:lang w:val="en-IN"/>
        </w:rPr>
        <w:t>Kumaon</w:t>
      </w:r>
      <w:proofErr w:type="spellEnd"/>
      <w:r w:rsidR="00C727C9" w:rsidRPr="008B686A">
        <w:rPr>
          <w:rFonts w:ascii="Arial" w:hAnsi="Arial" w:cs="Arial"/>
          <w:sz w:val="20"/>
          <w:szCs w:val="20"/>
          <w:lang w:val="en-IN"/>
        </w:rPr>
        <w:t xml:space="preserve"> </w:t>
      </w:r>
      <w:proofErr w:type="spellStart"/>
      <w:r w:rsidR="00C727C9" w:rsidRPr="008B686A">
        <w:rPr>
          <w:rFonts w:ascii="Arial" w:hAnsi="Arial" w:cs="Arial"/>
          <w:sz w:val="20"/>
          <w:szCs w:val="20"/>
          <w:lang w:val="en-IN"/>
        </w:rPr>
        <w:t>Chyura</w:t>
      </w:r>
      <w:proofErr w:type="spellEnd"/>
      <w:r w:rsidR="00C727C9" w:rsidRPr="008B686A">
        <w:rPr>
          <w:rFonts w:ascii="Arial" w:hAnsi="Arial" w:cs="Arial"/>
          <w:sz w:val="20"/>
          <w:szCs w:val="20"/>
          <w:lang w:val="en-IN"/>
        </w:rPr>
        <w:t xml:space="preserve"> oil (Uttarakhand), </w:t>
      </w:r>
      <w:proofErr w:type="spellStart"/>
      <w:r w:rsidR="00C727C9" w:rsidRPr="008B686A">
        <w:rPr>
          <w:rFonts w:ascii="Arial" w:hAnsi="Arial" w:cs="Arial"/>
          <w:sz w:val="20"/>
          <w:szCs w:val="20"/>
          <w:lang w:val="en-IN"/>
        </w:rPr>
        <w:t>Sojat</w:t>
      </w:r>
      <w:proofErr w:type="spellEnd"/>
      <w:r w:rsidR="00C727C9" w:rsidRPr="008B686A">
        <w:rPr>
          <w:rFonts w:ascii="Arial" w:hAnsi="Arial" w:cs="Arial"/>
          <w:sz w:val="20"/>
          <w:szCs w:val="20"/>
          <w:lang w:val="en-IN"/>
        </w:rPr>
        <w:t xml:space="preserve"> Mehndi (Rajasthan), Mithila Makhana (Bihar), and Bodo </w:t>
      </w:r>
      <w:proofErr w:type="spellStart"/>
      <w:r w:rsidR="00C727C9" w:rsidRPr="008B686A">
        <w:rPr>
          <w:rFonts w:ascii="Arial" w:hAnsi="Arial" w:cs="Arial"/>
          <w:sz w:val="20"/>
          <w:szCs w:val="20"/>
          <w:lang w:val="en-IN"/>
        </w:rPr>
        <w:t>Khardwi</w:t>
      </w:r>
      <w:proofErr w:type="spellEnd"/>
      <w:r w:rsidR="00C727C9" w:rsidRPr="008B686A">
        <w:rPr>
          <w:rFonts w:ascii="Arial" w:hAnsi="Arial" w:cs="Arial"/>
          <w:sz w:val="20"/>
          <w:szCs w:val="20"/>
          <w:lang w:val="en-IN"/>
        </w:rPr>
        <w:t xml:space="preserve"> (Assam). Forest products refer to materials sourced from forests that are intended for commercial or direct use. Nilambur Teak from Kerala, India's only GI-certified forest product, underscores the potential for recognizing other unique forest resources.</w:t>
      </w:r>
      <w:r w:rsidR="00945A88" w:rsidRPr="008B686A">
        <w:rPr>
          <w:rFonts w:ascii="Arial" w:hAnsi="Arial" w:cs="Arial"/>
          <w:sz w:val="20"/>
          <w:szCs w:val="20"/>
          <w:lang w:val="en-IN"/>
        </w:rPr>
        <w:t xml:space="preserve"> </w:t>
      </w:r>
      <w:r w:rsidR="00C727C9" w:rsidRPr="008B686A">
        <w:rPr>
          <w:rFonts w:ascii="Arial" w:hAnsi="Arial" w:cs="Arial"/>
          <w:sz w:val="20"/>
          <w:szCs w:val="20"/>
          <w:lang w:val="en-IN"/>
        </w:rPr>
        <w:t>This</w:t>
      </w:r>
      <w:r w:rsidR="00945A88" w:rsidRPr="008B686A">
        <w:rPr>
          <w:rFonts w:ascii="Arial" w:hAnsi="Arial" w:cs="Arial"/>
          <w:sz w:val="20"/>
          <w:szCs w:val="20"/>
          <w:lang w:val="en-IN"/>
        </w:rPr>
        <w:t xml:space="preserve"> category-wise analysis</w:t>
      </w:r>
      <w:r w:rsidR="00C727C9" w:rsidRPr="008B686A">
        <w:rPr>
          <w:rFonts w:ascii="Arial" w:hAnsi="Arial" w:cs="Arial"/>
          <w:sz w:val="20"/>
          <w:szCs w:val="20"/>
          <w:lang w:val="en-IN"/>
        </w:rPr>
        <w:t xml:space="preserve"> highlights the need for greater promotion</w:t>
      </w:r>
      <w:r w:rsidR="00945A88" w:rsidRPr="008B686A">
        <w:rPr>
          <w:rFonts w:ascii="Arial" w:hAnsi="Arial" w:cs="Arial"/>
          <w:sz w:val="20"/>
          <w:szCs w:val="20"/>
          <w:lang w:val="en-IN"/>
        </w:rPr>
        <w:t xml:space="preserve"> of registering </w:t>
      </w:r>
      <w:r w:rsidR="00C727C9" w:rsidRPr="008B686A">
        <w:rPr>
          <w:rFonts w:ascii="Arial" w:hAnsi="Arial" w:cs="Arial"/>
          <w:sz w:val="20"/>
          <w:szCs w:val="20"/>
          <w:lang w:val="en-IN"/>
        </w:rPr>
        <w:t>underrepresented categories.</w:t>
      </w:r>
    </w:p>
    <w:p w14:paraId="4E06E1EA" w14:textId="71431EF9" w:rsidR="00CC6E4A" w:rsidRPr="008B686A" w:rsidRDefault="007E04AC" w:rsidP="002D09DB">
      <w:pPr>
        <w:spacing w:after="0" w:line="480" w:lineRule="auto"/>
        <w:ind w:firstLine="720"/>
        <w:jc w:val="center"/>
        <w:rPr>
          <w:rFonts w:ascii="Arial" w:hAnsi="Arial" w:cs="Arial"/>
          <w:sz w:val="20"/>
          <w:szCs w:val="20"/>
          <w:lang w:val="en-IN"/>
        </w:rPr>
      </w:pPr>
      <w:r w:rsidRPr="008B686A">
        <w:rPr>
          <w:rFonts w:ascii="Arial" w:hAnsi="Arial" w:cs="Arial"/>
          <w:b/>
          <w:bCs/>
          <w:sz w:val="20"/>
          <w:szCs w:val="20"/>
          <w:lang w:val="en-IN"/>
        </w:rPr>
        <w:t>Table 2</w:t>
      </w:r>
      <w:r w:rsidRPr="008B686A">
        <w:rPr>
          <w:rFonts w:ascii="Arial" w:hAnsi="Arial" w:cs="Arial"/>
          <w:sz w:val="20"/>
          <w:szCs w:val="20"/>
          <w:lang w:val="en-IN"/>
        </w:rPr>
        <w:t xml:space="preserve">. </w:t>
      </w:r>
      <w:r w:rsidRPr="008B686A">
        <w:rPr>
          <w:rFonts w:ascii="Arial" w:hAnsi="Arial" w:cs="Arial"/>
          <w:sz w:val="20"/>
          <w:szCs w:val="20"/>
        </w:rPr>
        <w:t xml:space="preserve"> The components of agricultural GI registration</w:t>
      </w:r>
    </w:p>
    <w:tbl>
      <w:tblPr>
        <w:tblStyle w:val="TableGrid"/>
        <w:tblpPr w:leftFromText="180" w:rightFromText="180" w:vertAnchor="text" w:horzAnchor="margin" w:tblpY="33"/>
        <w:tblW w:w="0" w:type="auto"/>
        <w:tblLook w:val="04A0" w:firstRow="1" w:lastRow="0" w:firstColumn="1" w:lastColumn="0" w:noHBand="0" w:noVBand="1"/>
      </w:tblPr>
      <w:tblGrid>
        <w:gridCol w:w="1648"/>
        <w:gridCol w:w="2658"/>
        <w:gridCol w:w="3118"/>
        <w:gridCol w:w="1637"/>
      </w:tblGrid>
      <w:tr w:rsidR="00CC6E4A" w:rsidRPr="008B686A" w14:paraId="6F931C5A" w14:textId="77777777" w:rsidTr="0003188C">
        <w:tc>
          <w:tcPr>
            <w:tcW w:w="1676" w:type="dxa"/>
          </w:tcPr>
          <w:p w14:paraId="7840ED26" w14:textId="77777777" w:rsidR="00CC6E4A" w:rsidRPr="008B686A" w:rsidRDefault="00CC6E4A" w:rsidP="00F73EFE">
            <w:pPr>
              <w:spacing w:line="480" w:lineRule="auto"/>
              <w:jc w:val="center"/>
              <w:rPr>
                <w:rFonts w:ascii="Arial" w:hAnsi="Arial" w:cs="Arial"/>
                <w:b/>
                <w:bCs/>
                <w:color w:val="000000" w:themeColor="text1"/>
                <w:sz w:val="20"/>
                <w:szCs w:val="20"/>
              </w:rPr>
            </w:pPr>
            <w:r w:rsidRPr="008B686A">
              <w:rPr>
                <w:rFonts w:ascii="Arial" w:hAnsi="Arial" w:cs="Arial"/>
                <w:b/>
                <w:bCs/>
                <w:color w:val="000000" w:themeColor="text1"/>
                <w:sz w:val="20"/>
                <w:szCs w:val="20"/>
              </w:rPr>
              <w:t>Category</w:t>
            </w:r>
          </w:p>
        </w:tc>
        <w:tc>
          <w:tcPr>
            <w:tcW w:w="2714" w:type="dxa"/>
          </w:tcPr>
          <w:p w14:paraId="6DD6C755" w14:textId="7AD13A2F" w:rsidR="00CC6E4A" w:rsidRPr="008B686A" w:rsidRDefault="00CC6E4A" w:rsidP="00F73EFE">
            <w:pPr>
              <w:spacing w:line="480" w:lineRule="auto"/>
              <w:jc w:val="center"/>
              <w:rPr>
                <w:rFonts w:ascii="Arial" w:hAnsi="Arial" w:cs="Arial"/>
                <w:b/>
                <w:bCs/>
                <w:color w:val="000000" w:themeColor="text1"/>
                <w:sz w:val="20"/>
                <w:szCs w:val="20"/>
              </w:rPr>
            </w:pPr>
            <w:r w:rsidRPr="008B686A">
              <w:rPr>
                <w:rFonts w:ascii="Arial" w:hAnsi="Arial" w:cs="Arial"/>
                <w:b/>
                <w:bCs/>
                <w:color w:val="000000" w:themeColor="text1"/>
                <w:sz w:val="20"/>
                <w:szCs w:val="20"/>
              </w:rPr>
              <w:t>Major group</w:t>
            </w:r>
            <w:r w:rsidR="00E16224" w:rsidRPr="008B686A">
              <w:rPr>
                <w:rFonts w:ascii="Arial" w:hAnsi="Arial" w:cs="Arial"/>
                <w:b/>
                <w:bCs/>
                <w:color w:val="000000" w:themeColor="text1"/>
                <w:sz w:val="20"/>
                <w:szCs w:val="20"/>
              </w:rPr>
              <w:t xml:space="preserve"> (no. of goods)</w:t>
            </w:r>
          </w:p>
        </w:tc>
        <w:tc>
          <w:tcPr>
            <w:tcW w:w="3260" w:type="dxa"/>
          </w:tcPr>
          <w:p w14:paraId="63AA03E2" w14:textId="1C4FCE5C" w:rsidR="00CC6E4A" w:rsidRPr="008B686A" w:rsidRDefault="00CC6E4A" w:rsidP="00F73EFE">
            <w:pPr>
              <w:spacing w:line="480" w:lineRule="auto"/>
              <w:jc w:val="center"/>
              <w:rPr>
                <w:rFonts w:ascii="Arial" w:hAnsi="Arial" w:cs="Arial"/>
                <w:b/>
                <w:bCs/>
                <w:color w:val="000000" w:themeColor="text1"/>
                <w:sz w:val="20"/>
                <w:szCs w:val="20"/>
              </w:rPr>
            </w:pPr>
            <w:r w:rsidRPr="008B686A">
              <w:rPr>
                <w:rFonts w:ascii="Arial" w:hAnsi="Arial" w:cs="Arial"/>
                <w:b/>
                <w:bCs/>
                <w:color w:val="000000" w:themeColor="text1"/>
                <w:sz w:val="20"/>
                <w:szCs w:val="20"/>
              </w:rPr>
              <w:t>Subgroups</w:t>
            </w:r>
            <w:r w:rsidR="00E16224" w:rsidRPr="008B686A">
              <w:rPr>
                <w:rFonts w:ascii="Arial" w:hAnsi="Arial" w:cs="Arial"/>
                <w:b/>
                <w:bCs/>
                <w:color w:val="000000" w:themeColor="text1"/>
                <w:sz w:val="20"/>
                <w:szCs w:val="20"/>
              </w:rPr>
              <w:t xml:space="preserve"> (no. of goods)</w:t>
            </w:r>
          </w:p>
        </w:tc>
        <w:tc>
          <w:tcPr>
            <w:tcW w:w="1700" w:type="dxa"/>
          </w:tcPr>
          <w:p w14:paraId="0C63E69F" w14:textId="3AC38A5D" w:rsidR="00CC6E4A" w:rsidRPr="008B686A" w:rsidRDefault="00CC6E4A" w:rsidP="00F73EFE">
            <w:pPr>
              <w:spacing w:line="480" w:lineRule="auto"/>
              <w:jc w:val="center"/>
              <w:rPr>
                <w:rFonts w:ascii="Arial" w:hAnsi="Arial" w:cs="Arial"/>
                <w:b/>
                <w:bCs/>
                <w:color w:val="000000" w:themeColor="text1"/>
                <w:sz w:val="20"/>
                <w:szCs w:val="20"/>
              </w:rPr>
            </w:pPr>
            <w:r w:rsidRPr="008B686A">
              <w:rPr>
                <w:rFonts w:ascii="Arial" w:hAnsi="Arial" w:cs="Arial"/>
                <w:b/>
                <w:bCs/>
                <w:color w:val="000000" w:themeColor="text1"/>
                <w:sz w:val="20"/>
                <w:szCs w:val="20"/>
              </w:rPr>
              <w:t xml:space="preserve">Total </w:t>
            </w:r>
            <w:r w:rsidR="00E16224" w:rsidRPr="008B686A">
              <w:rPr>
                <w:rFonts w:ascii="Arial" w:hAnsi="Arial" w:cs="Arial"/>
                <w:b/>
                <w:bCs/>
                <w:color w:val="000000" w:themeColor="text1"/>
                <w:sz w:val="20"/>
                <w:szCs w:val="20"/>
              </w:rPr>
              <w:t>no. of goods</w:t>
            </w:r>
          </w:p>
        </w:tc>
      </w:tr>
      <w:tr w:rsidR="00E16224" w:rsidRPr="008B686A" w14:paraId="681DD88E" w14:textId="77777777" w:rsidTr="0003188C">
        <w:trPr>
          <w:trHeight w:val="485"/>
        </w:trPr>
        <w:tc>
          <w:tcPr>
            <w:tcW w:w="1676" w:type="dxa"/>
            <w:vMerge w:val="restart"/>
          </w:tcPr>
          <w:p w14:paraId="79B3AA8B" w14:textId="77777777" w:rsidR="00E16224" w:rsidRPr="008B686A" w:rsidRDefault="00E16224" w:rsidP="0003188C">
            <w:pPr>
              <w:spacing w:line="480" w:lineRule="auto"/>
              <w:rPr>
                <w:rFonts w:ascii="Arial" w:hAnsi="Arial" w:cs="Arial"/>
                <w:bCs/>
                <w:color w:val="000000" w:themeColor="text1"/>
                <w:sz w:val="20"/>
                <w:szCs w:val="20"/>
              </w:rPr>
            </w:pPr>
            <w:r w:rsidRPr="008B686A">
              <w:rPr>
                <w:rFonts w:ascii="Arial" w:hAnsi="Arial" w:cs="Arial"/>
                <w:color w:val="000000" w:themeColor="text1"/>
                <w:sz w:val="20"/>
                <w:szCs w:val="20"/>
              </w:rPr>
              <w:t>A. Field crops</w:t>
            </w:r>
          </w:p>
        </w:tc>
        <w:tc>
          <w:tcPr>
            <w:tcW w:w="2714" w:type="dxa"/>
          </w:tcPr>
          <w:p w14:paraId="7CA28E74" w14:textId="107BBC0A" w:rsidR="00E16224" w:rsidRPr="008B686A" w:rsidRDefault="00E16224" w:rsidP="0003188C">
            <w:pPr>
              <w:pStyle w:val="ListParagraph"/>
              <w:numPr>
                <w:ilvl w:val="0"/>
                <w:numId w:val="2"/>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Cereals (37)</w:t>
            </w:r>
          </w:p>
        </w:tc>
        <w:tc>
          <w:tcPr>
            <w:tcW w:w="3260" w:type="dxa"/>
          </w:tcPr>
          <w:p w14:paraId="033FF101" w14:textId="77777777" w:rsidR="00E16224" w:rsidRPr="008B686A" w:rsidRDefault="00E16224" w:rsidP="0003188C">
            <w:pPr>
              <w:spacing w:line="480" w:lineRule="auto"/>
              <w:rPr>
                <w:rFonts w:ascii="Arial" w:hAnsi="Arial" w:cs="Arial"/>
                <w:bCs/>
                <w:color w:val="000000" w:themeColor="text1"/>
                <w:sz w:val="20"/>
                <w:szCs w:val="20"/>
              </w:rPr>
            </w:pPr>
            <w:r w:rsidRPr="008B686A">
              <w:rPr>
                <w:rFonts w:ascii="Arial" w:hAnsi="Arial" w:cs="Arial"/>
                <w:bCs/>
                <w:color w:val="000000" w:themeColor="text1"/>
                <w:sz w:val="20"/>
                <w:szCs w:val="20"/>
              </w:rPr>
              <w:t>Rice (28), Millet (6) and Wheat (3)</w:t>
            </w:r>
          </w:p>
        </w:tc>
        <w:tc>
          <w:tcPr>
            <w:tcW w:w="1700" w:type="dxa"/>
            <w:vMerge w:val="restart"/>
          </w:tcPr>
          <w:p w14:paraId="470D6664" w14:textId="6A69FE4C" w:rsidR="00E16224" w:rsidRPr="008B686A" w:rsidRDefault="00E16224"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49</w:t>
            </w:r>
          </w:p>
        </w:tc>
      </w:tr>
      <w:tr w:rsidR="00E16224" w:rsidRPr="008B686A" w14:paraId="51C98899" w14:textId="77777777" w:rsidTr="0003188C">
        <w:tc>
          <w:tcPr>
            <w:tcW w:w="1676" w:type="dxa"/>
            <w:vMerge/>
          </w:tcPr>
          <w:p w14:paraId="5C09A257" w14:textId="77777777" w:rsidR="00E16224" w:rsidRPr="008B686A" w:rsidRDefault="00E16224" w:rsidP="0003188C">
            <w:pPr>
              <w:spacing w:line="480" w:lineRule="auto"/>
              <w:rPr>
                <w:rFonts w:ascii="Arial" w:hAnsi="Arial" w:cs="Arial"/>
                <w:bCs/>
                <w:color w:val="000000" w:themeColor="text1"/>
                <w:sz w:val="20"/>
                <w:szCs w:val="20"/>
              </w:rPr>
            </w:pPr>
          </w:p>
        </w:tc>
        <w:tc>
          <w:tcPr>
            <w:tcW w:w="2714" w:type="dxa"/>
          </w:tcPr>
          <w:p w14:paraId="78A5CCE0" w14:textId="6BB96088" w:rsidR="00E16224" w:rsidRPr="008B686A" w:rsidRDefault="00E16224" w:rsidP="0003188C">
            <w:pPr>
              <w:pStyle w:val="ListParagraph"/>
              <w:numPr>
                <w:ilvl w:val="0"/>
                <w:numId w:val="2"/>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Pulses (11)</w:t>
            </w:r>
          </w:p>
        </w:tc>
        <w:tc>
          <w:tcPr>
            <w:tcW w:w="3260" w:type="dxa"/>
          </w:tcPr>
          <w:p w14:paraId="0BB1B573" w14:textId="77777777" w:rsidR="00E16224" w:rsidRPr="008B686A" w:rsidRDefault="00E16224"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w:t>
            </w:r>
          </w:p>
        </w:tc>
        <w:tc>
          <w:tcPr>
            <w:tcW w:w="1700" w:type="dxa"/>
            <w:vMerge/>
          </w:tcPr>
          <w:p w14:paraId="3B8AAADC" w14:textId="6679A35E" w:rsidR="00E16224" w:rsidRPr="008B686A" w:rsidRDefault="00E16224" w:rsidP="0003188C">
            <w:pPr>
              <w:spacing w:line="480" w:lineRule="auto"/>
              <w:jc w:val="center"/>
              <w:rPr>
                <w:rFonts w:ascii="Arial" w:hAnsi="Arial" w:cs="Arial"/>
                <w:bCs/>
                <w:color w:val="000000" w:themeColor="text1"/>
                <w:sz w:val="20"/>
                <w:szCs w:val="20"/>
              </w:rPr>
            </w:pPr>
          </w:p>
        </w:tc>
      </w:tr>
      <w:tr w:rsidR="00E16224" w:rsidRPr="008B686A" w14:paraId="6B82039F" w14:textId="77777777" w:rsidTr="0003188C">
        <w:tc>
          <w:tcPr>
            <w:tcW w:w="1676" w:type="dxa"/>
            <w:vMerge/>
          </w:tcPr>
          <w:p w14:paraId="3B8A24C8" w14:textId="77777777" w:rsidR="00E16224" w:rsidRPr="008B686A" w:rsidRDefault="00E16224" w:rsidP="0003188C">
            <w:pPr>
              <w:spacing w:line="480" w:lineRule="auto"/>
              <w:rPr>
                <w:rFonts w:ascii="Arial" w:hAnsi="Arial" w:cs="Arial"/>
                <w:bCs/>
                <w:color w:val="000000" w:themeColor="text1"/>
                <w:sz w:val="20"/>
                <w:szCs w:val="20"/>
              </w:rPr>
            </w:pPr>
          </w:p>
        </w:tc>
        <w:tc>
          <w:tcPr>
            <w:tcW w:w="2714" w:type="dxa"/>
          </w:tcPr>
          <w:p w14:paraId="3DB1E645" w14:textId="19336B1A" w:rsidR="00E16224" w:rsidRPr="008B686A" w:rsidRDefault="00E16224" w:rsidP="0003188C">
            <w:pPr>
              <w:pStyle w:val="ListParagraph"/>
              <w:numPr>
                <w:ilvl w:val="0"/>
                <w:numId w:val="2"/>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Oil seed (01)</w:t>
            </w:r>
          </w:p>
        </w:tc>
        <w:tc>
          <w:tcPr>
            <w:tcW w:w="3260" w:type="dxa"/>
          </w:tcPr>
          <w:p w14:paraId="6CDBC832" w14:textId="77777777" w:rsidR="00E16224" w:rsidRPr="008B686A" w:rsidRDefault="00E16224"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w:t>
            </w:r>
          </w:p>
        </w:tc>
        <w:tc>
          <w:tcPr>
            <w:tcW w:w="1700" w:type="dxa"/>
            <w:vMerge/>
          </w:tcPr>
          <w:p w14:paraId="469C0BEB" w14:textId="587083BC" w:rsidR="00E16224" w:rsidRPr="008B686A" w:rsidRDefault="00E16224" w:rsidP="0003188C">
            <w:pPr>
              <w:spacing w:line="480" w:lineRule="auto"/>
              <w:jc w:val="center"/>
              <w:rPr>
                <w:rFonts w:ascii="Arial" w:hAnsi="Arial" w:cs="Arial"/>
                <w:bCs/>
                <w:color w:val="000000" w:themeColor="text1"/>
                <w:sz w:val="20"/>
                <w:szCs w:val="20"/>
              </w:rPr>
            </w:pPr>
          </w:p>
        </w:tc>
      </w:tr>
      <w:tr w:rsidR="00E16224" w:rsidRPr="008B686A" w14:paraId="1C69E17C" w14:textId="77777777" w:rsidTr="0003188C">
        <w:trPr>
          <w:trHeight w:val="1266"/>
        </w:trPr>
        <w:tc>
          <w:tcPr>
            <w:tcW w:w="1676" w:type="dxa"/>
            <w:vMerge w:val="restart"/>
          </w:tcPr>
          <w:p w14:paraId="3A1B46BF" w14:textId="331B5712" w:rsidR="00E16224" w:rsidRPr="008B686A" w:rsidRDefault="00E16224" w:rsidP="0003188C">
            <w:pPr>
              <w:spacing w:line="480" w:lineRule="auto"/>
              <w:rPr>
                <w:rFonts w:ascii="Arial" w:hAnsi="Arial" w:cs="Arial"/>
                <w:color w:val="000000" w:themeColor="text1"/>
                <w:sz w:val="20"/>
                <w:szCs w:val="20"/>
              </w:rPr>
            </w:pPr>
            <w:r w:rsidRPr="008B686A">
              <w:rPr>
                <w:rFonts w:ascii="Arial" w:hAnsi="Arial" w:cs="Arial"/>
                <w:color w:val="000000" w:themeColor="text1"/>
                <w:sz w:val="20"/>
                <w:szCs w:val="20"/>
              </w:rPr>
              <w:t>B. Horticultural crops</w:t>
            </w:r>
          </w:p>
        </w:tc>
        <w:tc>
          <w:tcPr>
            <w:tcW w:w="2714" w:type="dxa"/>
          </w:tcPr>
          <w:p w14:paraId="4375D039" w14:textId="20806ECC" w:rsidR="00E16224" w:rsidRPr="008B686A" w:rsidRDefault="00E16224" w:rsidP="0003188C">
            <w:pPr>
              <w:pStyle w:val="ListParagraph"/>
              <w:numPr>
                <w:ilvl w:val="0"/>
                <w:numId w:val="3"/>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Fruits (61)</w:t>
            </w:r>
          </w:p>
        </w:tc>
        <w:tc>
          <w:tcPr>
            <w:tcW w:w="3260" w:type="dxa"/>
          </w:tcPr>
          <w:p w14:paraId="19C1F573" w14:textId="7A59E22A" w:rsidR="00E16224" w:rsidRPr="008B686A" w:rsidRDefault="00E16224" w:rsidP="0003188C">
            <w:pPr>
              <w:spacing w:line="480" w:lineRule="auto"/>
              <w:rPr>
                <w:rFonts w:ascii="Arial" w:hAnsi="Arial" w:cs="Arial"/>
                <w:bCs/>
                <w:color w:val="000000" w:themeColor="text1"/>
                <w:sz w:val="20"/>
                <w:szCs w:val="20"/>
              </w:rPr>
            </w:pPr>
            <w:r w:rsidRPr="008B686A">
              <w:rPr>
                <w:rFonts w:ascii="Arial" w:hAnsi="Arial" w:cs="Arial"/>
                <w:bCs/>
                <w:color w:val="000000" w:themeColor="text1"/>
                <w:sz w:val="20"/>
                <w:szCs w:val="20"/>
              </w:rPr>
              <w:t>Mango (16), Orange and citrus fruit (12), Banana (08), Others (25)</w:t>
            </w:r>
          </w:p>
        </w:tc>
        <w:tc>
          <w:tcPr>
            <w:tcW w:w="1700" w:type="dxa"/>
            <w:vMerge w:val="restart"/>
          </w:tcPr>
          <w:p w14:paraId="40F1EEFB" w14:textId="419FDE0D" w:rsidR="00E16224" w:rsidRPr="008B686A" w:rsidRDefault="00E16224"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143</w:t>
            </w:r>
          </w:p>
        </w:tc>
      </w:tr>
      <w:tr w:rsidR="00E16224" w:rsidRPr="008B686A" w14:paraId="1523C104" w14:textId="77777777" w:rsidTr="0003188C">
        <w:trPr>
          <w:trHeight w:val="1266"/>
        </w:trPr>
        <w:tc>
          <w:tcPr>
            <w:tcW w:w="1676" w:type="dxa"/>
            <w:vMerge/>
          </w:tcPr>
          <w:p w14:paraId="75D1CF03" w14:textId="36F01326" w:rsidR="00E16224" w:rsidRPr="008B686A" w:rsidRDefault="00E16224" w:rsidP="0003188C">
            <w:pPr>
              <w:spacing w:line="480" w:lineRule="auto"/>
              <w:rPr>
                <w:rFonts w:ascii="Arial" w:hAnsi="Arial" w:cs="Arial"/>
                <w:bCs/>
                <w:color w:val="000000" w:themeColor="text1"/>
                <w:sz w:val="20"/>
                <w:szCs w:val="20"/>
              </w:rPr>
            </w:pPr>
          </w:p>
        </w:tc>
        <w:tc>
          <w:tcPr>
            <w:tcW w:w="2714" w:type="dxa"/>
          </w:tcPr>
          <w:p w14:paraId="0CFFA7CB" w14:textId="3EA475A9" w:rsidR="00E16224" w:rsidRPr="008B686A" w:rsidRDefault="00E16224" w:rsidP="0003188C">
            <w:pPr>
              <w:pStyle w:val="ListParagraph"/>
              <w:numPr>
                <w:ilvl w:val="0"/>
                <w:numId w:val="3"/>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Spices (39)</w:t>
            </w:r>
          </w:p>
        </w:tc>
        <w:tc>
          <w:tcPr>
            <w:tcW w:w="3260" w:type="dxa"/>
          </w:tcPr>
          <w:p w14:paraId="46D4DA68" w14:textId="77777777" w:rsidR="00E16224" w:rsidRPr="008B686A" w:rsidRDefault="00E16224" w:rsidP="0003188C">
            <w:pPr>
              <w:spacing w:line="480" w:lineRule="auto"/>
              <w:rPr>
                <w:rFonts w:ascii="Arial" w:hAnsi="Arial" w:cs="Arial"/>
                <w:bCs/>
                <w:color w:val="000000" w:themeColor="text1"/>
                <w:sz w:val="20"/>
                <w:szCs w:val="20"/>
              </w:rPr>
            </w:pPr>
            <w:r w:rsidRPr="008B686A">
              <w:rPr>
                <w:rFonts w:ascii="Arial" w:hAnsi="Arial" w:cs="Arial"/>
                <w:bCs/>
                <w:color w:val="000000" w:themeColor="text1"/>
                <w:sz w:val="20"/>
                <w:szCs w:val="20"/>
              </w:rPr>
              <w:t>Chilli (14), Turmeric (6), Garlic (3), Cardamom (3), Ginger (3), Coriander (2), Others (8)</w:t>
            </w:r>
          </w:p>
        </w:tc>
        <w:tc>
          <w:tcPr>
            <w:tcW w:w="1700" w:type="dxa"/>
            <w:vMerge/>
          </w:tcPr>
          <w:p w14:paraId="6ECBA271" w14:textId="1133D476" w:rsidR="00E16224" w:rsidRPr="008B686A" w:rsidRDefault="00E16224" w:rsidP="0003188C">
            <w:pPr>
              <w:spacing w:line="480" w:lineRule="auto"/>
              <w:jc w:val="center"/>
              <w:rPr>
                <w:rFonts w:ascii="Arial" w:hAnsi="Arial" w:cs="Arial"/>
                <w:bCs/>
                <w:color w:val="000000" w:themeColor="text1"/>
                <w:sz w:val="20"/>
                <w:szCs w:val="20"/>
              </w:rPr>
            </w:pPr>
          </w:p>
        </w:tc>
      </w:tr>
      <w:tr w:rsidR="00E16224" w:rsidRPr="008B686A" w14:paraId="6D2719D7" w14:textId="77777777" w:rsidTr="0003188C">
        <w:trPr>
          <w:trHeight w:val="930"/>
        </w:trPr>
        <w:tc>
          <w:tcPr>
            <w:tcW w:w="1676" w:type="dxa"/>
            <w:vMerge/>
          </w:tcPr>
          <w:p w14:paraId="17B06297" w14:textId="77777777" w:rsidR="00E16224" w:rsidRPr="008B686A" w:rsidRDefault="00E16224" w:rsidP="0003188C">
            <w:pPr>
              <w:spacing w:line="480" w:lineRule="auto"/>
              <w:rPr>
                <w:rFonts w:ascii="Arial" w:hAnsi="Arial" w:cs="Arial"/>
                <w:bCs/>
                <w:color w:val="000000" w:themeColor="text1"/>
                <w:sz w:val="20"/>
                <w:szCs w:val="20"/>
              </w:rPr>
            </w:pPr>
          </w:p>
        </w:tc>
        <w:tc>
          <w:tcPr>
            <w:tcW w:w="2714" w:type="dxa"/>
          </w:tcPr>
          <w:p w14:paraId="64C2EDCE" w14:textId="5828ECC1" w:rsidR="00E16224" w:rsidRPr="008B686A" w:rsidRDefault="00E16224" w:rsidP="0003188C">
            <w:pPr>
              <w:pStyle w:val="ListParagraph"/>
              <w:numPr>
                <w:ilvl w:val="0"/>
                <w:numId w:val="3"/>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Medicinal &amp; aromatic (8)</w:t>
            </w:r>
          </w:p>
        </w:tc>
        <w:tc>
          <w:tcPr>
            <w:tcW w:w="3260" w:type="dxa"/>
          </w:tcPr>
          <w:p w14:paraId="2529E575" w14:textId="39F08C15" w:rsidR="00E16224" w:rsidRPr="008B686A" w:rsidRDefault="00E16224" w:rsidP="0003188C">
            <w:pPr>
              <w:spacing w:line="480" w:lineRule="auto"/>
              <w:rPr>
                <w:rFonts w:ascii="Arial" w:hAnsi="Arial" w:cs="Arial"/>
                <w:bCs/>
                <w:color w:val="000000" w:themeColor="text1"/>
                <w:sz w:val="20"/>
                <w:szCs w:val="20"/>
              </w:rPr>
            </w:pPr>
            <w:r w:rsidRPr="008B686A">
              <w:rPr>
                <w:rFonts w:ascii="Arial" w:hAnsi="Arial" w:cs="Arial"/>
                <w:bCs/>
                <w:color w:val="000000" w:themeColor="text1"/>
                <w:sz w:val="20"/>
                <w:szCs w:val="20"/>
              </w:rPr>
              <w:t>Medicinal (1), Aromatic (7)</w:t>
            </w:r>
          </w:p>
        </w:tc>
        <w:tc>
          <w:tcPr>
            <w:tcW w:w="1700" w:type="dxa"/>
            <w:vMerge/>
          </w:tcPr>
          <w:p w14:paraId="53548960" w14:textId="4E4D9205" w:rsidR="00E16224" w:rsidRPr="008B686A" w:rsidRDefault="00E16224" w:rsidP="0003188C">
            <w:pPr>
              <w:spacing w:line="480" w:lineRule="auto"/>
              <w:jc w:val="center"/>
              <w:rPr>
                <w:rFonts w:ascii="Arial" w:hAnsi="Arial" w:cs="Arial"/>
                <w:bCs/>
                <w:color w:val="000000" w:themeColor="text1"/>
                <w:sz w:val="20"/>
                <w:szCs w:val="20"/>
              </w:rPr>
            </w:pPr>
          </w:p>
        </w:tc>
      </w:tr>
      <w:tr w:rsidR="00E16224" w:rsidRPr="008B686A" w14:paraId="41BD174C" w14:textId="77777777" w:rsidTr="0003188C">
        <w:trPr>
          <w:trHeight w:val="983"/>
        </w:trPr>
        <w:tc>
          <w:tcPr>
            <w:tcW w:w="1676" w:type="dxa"/>
            <w:vMerge/>
          </w:tcPr>
          <w:p w14:paraId="10173183" w14:textId="77777777" w:rsidR="00E16224" w:rsidRPr="008B686A" w:rsidRDefault="00E16224" w:rsidP="0003188C">
            <w:pPr>
              <w:spacing w:line="480" w:lineRule="auto"/>
              <w:rPr>
                <w:rFonts w:ascii="Arial" w:hAnsi="Arial" w:cs="Arial"/>
                <w:bCs/>
                <w:color w:val="000000" w:themeColor="text1"/>
                <w:sz w:val="20"/>
                <w:szCs w:val="20"/>
              </w:rPr>
            </w:pPr>
          </w:p>
        </w:tc>
        <w:tc>
          <w:tcPr>
            <w:tcW w:w="2714" w:type="dxa"/>
          </w:tcPr>
          <w:p w14:paraId="64D33159" w14:textId="4D1F89CF" w:rsidR="00E16224" w:rsidRPr="008B686A" w:rsidRDefault="00E16224" w:rsidP="0003188C">
            <w:pPr>
              <w:pStyle w:val="ListParagraph"/>
              <w:numPr>
                <w:ilvl w:val="0"/>
                <w:numId w:val="3"/>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Plantation crops (17)</w:t>
            </w:r>
          </w:p>
        </w:tc>
        <w:tc>
          <w:tcPr>
            <w:tcW w:w="3260" w:type="dxa"/>
          </w:tcPr>
          <w:p w14:paraId="15191D78" w14:textId="77777777" w:rsidR="00E16224" w:rsidRPr="008B686A" w:rsidRDefault="00E16224" w:rsidP="0003188C">
            <w:pPr>
              <w:spacing w:line="480" w:lineRule="auto"/>
              <w:rPr>
                <w:rFonts w:ascii="Arial" w:hAnsi="Arial" w:cs="Arial"/>
                <w:bCs/>
                <w:color w:val="000000" w:themeColor="text1"/>
                <w:sz w:val="20"/>
                <w:szCs w:val="20"/>
              </w:rPr>
            </w:pPr>
            <w:r w:rsidRPr="008B686A">
              <w:rPr>
                <w:rFonts w:ascii="Arial" w:hAnsi="Arial" w:cs="Arial"/>
                <w:bCs/>
                <w:color w:val="000000" w:themeColor="text1"/>
                <w:sz w:val="20"/>
                <w:szCs w:val="20"/>
              </w:rPr>
              <w:t>Coffee (7), Tea (6), Cashew (2), Coconut (1), Areca nut (1)</w:t>
            </w:r>
          </w:p>
        </w:tc>
        <w:tc>
          <w:tcPr>
            <w:tcW w:w="1700" w:type="dxa"/>
            <w:vMerge/>
          </w:tcPr>
          <w:p w14:paraId="7F8C3AEA" w14:textId="1C90ED6D" w:rsidR="00E16224" w:rsidRPr="008B686A" w:rsidRDefault="00E16224" w:rsidP="0003188C">
            <w:pPr>
              <w:spacing w:line="480" w:lineRule="auto"/>
              <w:jc w:val="center"/>
              <w:rPr>
                <w:rFonts w:ascii="Arial" w:hAnsi="Arial" w:cs="Arial"/>
                <w:bCs/>
                <w:color w:val="000000" w:themeColor="text1"/>
                <w:sz w:val="20"/>
                <w:szCs w:val="20"/>
              </w:rPr>
            </w:pPr>
          </w:p>
        </w:tc>
      </w:tr>
      <w:tr w:rsidR="00E16224" w:rsidRPr="008B686A" w14:paraId="4C8487BE" w14:textId="77777777" w:rsidTr="0003188C">
        <w:trPr>
          <w:trHeight w:val="470"/>
        </w:trPr>
        <w:tc>
          <w:tcPr>
            <w:tcW w:w="1676" w:type="dxa"/>
            <w:vMerge/>
          </w:tcPr>
          <w:p w14:paraId="0E3394DB" w14:textId="77777777" w:rsidR="00E16224" w:rsidRPr="008B686A" w:rsidRDefault="00E16224" w:rsidP="0003188C">
            <w:pPr>
              <w:spacing w:line="480" w:lineRule="auto"/>
              <w:rPr>
                <w:rFonts w:ascii="Arial" w:hAnsi="Arial" w:cs="Arial"/>
                <w:bCs/>
                <w:color w:val="000000" w:themeColor="text1"/>
                <w:sz w:val="20"/>
                <w:szCs w:val="20"/>
              </w:rPr>
            </w:pPr>
          </w:p>
        </w:tc>
        <w:tc>
          <w:tcPr>
            <w:tcW w:w="2714" w:type="dxa"/>
          </w:tcPr>
          <w:p w14:paraId="6BE24BA8" w14:textId="2F963467" w:rsidR="00E16224" w:rsidRPr="008B686A" w:rsidRDefault="00E16224" w:rsidP="0003188C">
            <w:pPr>
              <w:pStyle w:val="ListParagraph"/>
              <w:numPr>
                <w:ilvl w:val="0"/>
                <w:numId w:val="3"/>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Vegetables (13)</w:t>
            </w:r>
          </w:p>
        </w:tc>
        <w:tc>
          <w:tcPr>
            <w:tcW w:w="3260" w:type="dxa"/>
          </w:tcPr>
          <w:p w14:paraId="637D4B6A" w14:textId="42E3A962" w:rsidR="00E16224" w:rsidRPr="008B686A" w:rsidRDefault="00E16224" w:rsidP="0003188C">
            <w:pPr>
              <w:spacing w:line="480" w:lineRule="auto"/>
              <w:rPr>
                <w:rFonts w:ascii="Arial" w:hAnsi="Arial" w:cs="Arial"/>
                <w:bCs/>
                <w:color w:val="000000" w:themeColor="text1"/>
                <w:sz w:val="20"/>
                <w:szCs w:val="20"/>
              </w:rPr>
            </w:pPr>
            <w:r w:rsidRPr="008B686A">
              <w:rPr>
                <w:rFonts w:ascii="Arial" w:hAnsi="Arial" w:cs="Arial"/>
                <w:bCs/>
                <w:color w:val="000000" w:themeColor="text1"/>
                <w:sz w:val="20"/>
                <w:szCs w:val="20"/>
              </w:rPr>
              <w:t>Brinjal (6), Onion (3), Others (4)</w:t>
            </w:r>
          </w:p>
        </w:tc>
        <w:tc>
          <w:tcPr>
            <w:tcW w:w="1700" w:type="dxa"/>
            <w:vMerge/>
          </w:tcPr>
          <w:p w14:paraId="58C30430" w14:textId="08B7C1B3" w:rsidR="00E16224" w:rsidRPr="008B686A" w:rsidRDefault="00E16224" w:rsidP="0003188C">
            <w:pPr>
              <w:spacing w:line="480" w:lineRule="auto"/>
              <w:jc w:val="center"/>
              <w:rPr>
                <w:rFonts w:ascii="Arial" w:hAnsi="Arial" w:cs="Arial"/>
                <w:bCs/>
                <w:color w:val="000000" w:themeColor="text1"/>
                <w:sz w:val="20"/>
                <w:szCs w:val="20"/>
              </w:rPr>
            </w:pPr>
          </w:p>
        </w:tc>
      </w:tr>
      <w:tr w:rsidR="00E16224" w:rsidRPr="008B686A" w14:paraId="7FE37629" w14:textId="77777777" w:rsidTr="0003188C">
        <w:trPr>
          <w:trHeight w:val="457"/>
        </w:trPr>
        <w:tc>
          <w:tcPr>
            <w:tcW w:w="1676" w:type="dxa"/>
            <w:vMerge/>
          </w:tcPr>
          <w:p w14:paraId="135869DB" w14:textId="77777777" w:rsidR="00E16224" w:rsidRPr="008B686A" w:rsidRDefault="00E16224" w:rsidP="0003188C">
            <w:pPr>
              <w:spacing w:line="480" w:lineRule="auto"/>
              <w:rPr>
                <w:rFonts w:ascii="Arial" w:hAnsi="Arial" w:cs="Arial"/>
                <w:bCs/>
                <w:color w:val="000000" w:themeColor="text1"/>
                <w:sz w:val="20"/>
                <w:szCs w:val="20"/>
              </w:rPr>
            </w:pPr>
          </w:p>
        </w:tc>
        <w:tc>
          <w:tcPr>
            <w:tcW w:w="2714" w:type="dxa"/>
          </w:tcPr>
          <w:p w14:paraId="41E1A444" w14:textId="15417392" w:rsidR="00E16224" w:rsidRPr="008B686A" w:rsidRDefault="00E16224" w:rsidP="0003188C">
            <w:pPr>
              <w:pStyle w:val="ListParagraph"/>
              <w:numPr>
                <w:ilvl w:val="0"/>
                <w:numId w:val="3"/>
              </w:num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Flowers (5)</w:t>
            </w:r>
          </w:p>
        </w:tc>
        <w:tc>
          <w:tcPr>
            <w:tcW w:w="3260" w:type="dxa"/>
          </w:tcPr>
          <w:p w14:paraId="086796E7" w14:textId="379A55A4" w:rsidR="00E16224" w:rsidRPr="008B686A" w:rsidRDefault="00E16224" w:rsidP="0003188C">
            <w:pPr>
              <w:spacing w:line="480" w:lineRule="auto"/>
              <w:jc w:val="both"/>
              <w:rPr>
                <w:rFonts w:ascii="Arial" w:hAnsi="Arial" w:cs="Arial"/>
                <w:bCs/>
                <w:color w:val="000000" w:themeColor="text1"/>
                <w:sz w:val="20"/>
                <w:szCs w:val="20"/>
              </w:rPr>
            </w:pPr>
            <w:r w:rsidRPr="008B686A">
              <w:rPr>
                <w:rFonts w:ascii="Arial" w:hAnsi="Arial" w:cs="Arial"/>
                <w:bCs/>
                <w:color w:val="000000" w:themeColor="text1"/>
                <w:sz w:val="20"/>
                <w:szCs w:val="20"/>
              </w:rPr>
              <w:t xml:space="preserve">Jasmine (4), </w:t>
            </w:r>
            <w:r w:rsidR="00B13E64" w:rsidRPr="008B686A">
              <w:rPr>
                <w:rFonts w:ascii="Arial" w:hAnsi="Arial" w:cs="Arial"/>
                <w:bCs/>
                <w:color w:val="000000" w:themeColor="text1"/>
                <w:sz w:val="20"/>
                <w:szCs w:val="20"/>
              </w:rPr>
              <w:t>O</w:t>
            </w:r>
            <w:r w:rsidRPr="008B686A">
              <w:rPr>
                <w:rFonts w:ascii="Arial" w:hAnsi="Arial" w:cs="Arial"/>
                <w:bCs/>
                <w:color w:val="000000" w:themeColor="text1"/>
                <w:sz w:val="20"/>
                <w:szCs w:val="20"/>
              </w:rPr>
              <w:t>ther (1)</w:t>
            </w:r>
          </w:p>
        </w:tc>
        <w:tc>
          <w:tcPr>
            <w:tcW w:w="1700" w:type="dxa"/>
            <w:vMerge/>
          </w:tcPr>
          <w:p w14:paraId="0914D95D" w14:textId="3A4AC602" w:rsidR="00E16224" w:rsidRPr="008B686A" w:rsidRDefault="00E16224" w:rsidP="0003188C">
            <w:pPr>
              <w:spacing w:line="480" w:lineRule="auto"/>
              <w:jc w:val="center"/>
              <w:rPr>
                <w:rFonts w:ascii="Arial" w:hAnsi="Arial" w:cs="Arial"/>
                <w:bCs/>
                <w:color w:val="000000" w:themeColor="text1"/>
                <w:sz w:val="20"/>
                <w:szCs w:val="20"/>
              </w:rPr>
            </w:pPr>
          </w:p>
        </w:tc>
      </w:tr>
      <w:tr w:rsidR="00CC6E4A" w:rsidRPr="008B686A" w14:paraId="26A7F38A" w14:textId="77777777" w:rsidTr="0003188C">
        <w:trPr>
          <w:trHeight w:val="347"/>
        </w:trPr>
        <w:tc>
          <w:tcPr>
            <w:tcW w:w="1676" w:type="dxa"/>
          </w:tcPr>
          <w:p w14:paraId="708EC112" w14:textId="77777777" w:rsidR="00CC6E4A" w:rsidRPr="008B686A" w:rsidRDefault="00CC6E4A" w:rsidP="0003188C">
            <w:pPr>
              <w:spacing w:line="480" w:lineRule="auto"/>
              <w:rPr>
                <w:rFonts w:ascii="Arial" w:hAnsi="Arial" w:cs="Arial"/>
                <w:bCs/>
                <w:color w:val="000000" w:themeColor="text1"/>
                <w:sz w:val="20"/>
                <w:szCs w:val="20"/>
              </w:rPr>
            </w:pPr>
            <w:r w:rsidRPr="008B686A">
              <w:rPr>
                <w:rFonts w:ascii="Arial" w:hAnsi="Arial" w:cs="Arial"/>
                <w:color w:val="000000" w:themeColor="text1"/>
                <w:sz w:val="20"/>
                <w:szCs w:val="20"/>
              </w:rPr>
              <w:t>C. Processed agricultural goods</w:t>
            </w:r>
          </w:p>
        </w:tc>
        <w:tc>
          <w:tcPr>
            <w:tcW w:w="2714" w:type="dxa"/>
          </w:tcPr>
          <w:p w14:paraId="2F91BDC3" w14:textId="77777777" w:rsidR="00CC6E4A" w:rsidRPr="008B686A" w:rsidRDefault="00CC6E4A"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w:t>
            </w:r>
          </w:p>
        </w:tc>
        <w:tc>
          <w:tcPr>
            <w:tcW w:w="3260" w:type="dxa"/>
          </w:tcPr>
          <w:p w14:paraId="05299CD0" w14:textId="77777777" w:rsidR="00CC6E4A" w:rsidRPr="008B686A" w:rsidRDefault="00CC6E4A"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w:t>
            </w:r>
          </w:p>
        </w:tc>
        <w:tc>
          <w:tcPr>
            <w:tcW w:w="1700" w:type="dxa"/>
          </w:tcPr>
          <w:p w14:paraId="2871892B" w14:textId="77777777" w:rsidR="00CC6E4A" w:rsidRPr="008B686A" w:rsidRDefault="00CC6E4A"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04</w:t>
            </w:r>
          </w:p>
        </w:tc>
      </w:tr>
      <w:tr w:rsidR="00CC6E4A" w:rsidRPr="008B686A" w14:paraId="0F0CF85D" w14:textId="77777777" w:rsidTr="0003188C">
        <w:tc>
          <w:tcPr>
            <w:tcW w:w="1676" w:type="dxa"/>
          </w:tcPr>
          <w:p w14:paraId="1436C276" w14:textId="77777777" w:rsidR="00CC6E4A" w:rsidRPr="008B686A" w:rsidRDefault="00CC6E4A" w:rsidP="0003188C">
            <w:pPr>
              <w:spacing w:line="480" w:lineRule="auto"/>
              <w:rPr>
                <w:rFonts w:ascii="Arial" w:hAnsi="Arial" w:cs="Arial"/>
                <w:bCs/>
                <w:color w:val="000000" w:themeColor="text1"/>
                <w:sz w:val="20"/>
                <w:szCs w:val="20"/>
              </w:rPr>
            </w:pPr>
            <w:r w:rsidRPr="008B686A">
              <w:rPr>
                <w:rFonts w:ascii="Arial" w:hAnsi="Arial" w:cs="Arial"/>
                <w:color w:val="000000" w:themeColor="text1"/>
                <w:sz w:val="20"/>
                <w:szCs w:val="20"/>
              </w:rPr>
              <w:lastRenderedPageBreak/>
              <w:t>D. Forest product</w:t>
            </w:r>
          </w:p>
        </w:tc>
        <w:tc>
          <w:tcPr>
            <w:tcW w:w="2714" w:type="dxa"/>
          </w:tcPr>
          <w:p w14:paraId="13CEEDBB" w14:textId="77777777" w:rsidR="00CC6E4A" w:rsidRPr="008B686A" w:rsidRDefault="00CC6E4A"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w:t>
            </w:r>
          </w:p>
        </w:tc>
        <w:tc>
          <w:tcPr>
            <w:tcW w:w="3260" w:type="dxa"/>
          </w:tcPr>
          <w:p w14:paraId="0482CFA4" w14:textId="77777777" w:rsidR="00CC6E4A" w:rsidRPr="008B686A" w:rsidRDefault="00CC6E4A"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w:t>
            </w:r>
          </w:p>
        </w:tc>
        <w:tc>
          <w:tcPr>
            <w:tcW w:w="1700" w:type="dxa"/>
          </w:tcPr>
          <w:p w14:paraId="29647C9A" w14:textId="0A22F313" w:rsidR="00CC6E4A" w:rsidRPr="008B686A" w:rsidRDefault="00094C9E" w:rsidP="0003188C">
            <w:pPr>
              <w:spacing w:line="480" w:lineRule="auto"/>
              <w:jc w:val="center"/>
              <w:rPr>
                <w:rFonts w:ascii="Arial" w:hAnsi="Arial" w:cs="Arial"/>
                <w:bCs/>
                <w:color w:val="000000" w:themeColor="text1"/>
                <w:sz w:val="20"/>
                <w:szCs w:val="20"/>
              </w:rPr>
            </w:pPr>
            <w:r w:rsidRPr="008B686A">
              <w:rPr>
                <w:rFonts w:ascii="Arial" w:hAnsi="Arial" w:cs="Arial"/>
                <w:bCs/>
                <w:color w:val="000000" w:themeColor="text1"/>
                <w:sz w:val="20"/>
                <w:szCs w:val="20"/>
              </w:rPr>
              <w:t>01</w:t>
            </w:r>
          </w:p>
        </w:tc>
      </w:tr>
      <w:tr w:rsidR="00CC6E4A" w:rsidRPr="008B686A" w14:paraId="2062ACA6" w14:textId="77777777" w:rsidTr="0003188C">
        <w:trPr>
          <w:trHeight w:val="309"/>
        </w:trPr>
        <w:tc>
          <w:tcPr>
            <w:tcW w:w="1676" w:type="dxa"/>
          </w:tcPr>
          <w:p w14:paraId="7FA0C825" w14:textId="77777777" w:rsidR="00CC6E4A" w:rsidRPr="008B686A" w:rsidRDefault="00CC6E4A" w:rsidP="0003188C">
            <w:pPr>
              <w:spacing w:line="480" w:lineRule="auto"/>
              <w:jc w:val="center"/>
              <w:rPr>
                <w:rFonts w:ascii="Arial" w:hAnsi="Arial" w:cs="Arial"/>
                <w:bCs/>
                <w:color w:val="000000" w:themeColor="text1"/>
                <w:sz w:val="20"/>
                <w:szCs w:val="20"/>
              </w:rPr>
            </w:pPr>
            <w:r w:rsidRPr="008B686A">
              <w:rPr>
                <w:rFonts w:ascii="Arial" w:hAnsi="Arial" w:cs="Arial"/>
                <w:color w:val="000000" w:themeColor="text1"/>
                <w:sz w:val="20"/>
                <w:szCs w:val="20"/>
              </w:rPr>
              <w:t>Total</w:t>
            </w:r>
          </w:p>
        </w:tc>
        <w:tc>
          <w:tcPr>
            <w:tcW w:w="2714" w:type="dxa"/>
          </w:tcPr>
          <w:p w14:paraId="562B34C4" w14:textId="77777777" w:rsidR="00CC6E4A" w:rsidRPr="008B686A" w:rsidRDefault="00CC6E4A" w:rsidP="0003188C">
            <w:pPr>
              <w:tabs>
                <w:tab w:val="left" w:pos="425"/>
              </w:tabs>
              <w:spacing w:line="480" w:lineRule="auto"/>
              <w:jc w:val="center"/>
              <w:rPr>
                <w:rFonts w:ascii="Arial" w:eastAsia="Segoe UI" w:hAnsi="Arial" w:cs="Arial"/>
                <w:bCs/>
                <w:color w:val="000000" w:themeColor="text1"/>
                <w:sz w:val="20"/>
                <w:szCs w:val="20"/>
                <w:shd w:val="clear" w:color="auto" w:fill="FFFFFF"/>
                <w:lang w:val="en-IN"/>
              </w:rPr>
            </w:pPr>
            <w:r w:rsidRPr="008B686A">
              <w:rPr>
                <w:rFonts w:ascii="Arial" w:eastAsia="Segoe UI" w:hAnsi="Arial" w:cs="Arial"/>
                <w:bCs/>
                <w:color w:val="000000" w:themeColor="text1"/>
                <w:sz w:val="20"/>
                <w:szCs w:val="20"/>
                <w:shd w:val="clear" w:color="auto" w:fill="FFFFFF"/>
                <w:lang w:val="en-IN"/>
              </w:rPr>
              <w:t>-</w:t>
            </w:r>
          </w:p>
        </w:tc>
        <w:tc>
          <w:tcPr>
            <w:tcW w:w="3260" w:type="dxa"/>
          </w:tcPr>
          <w:p w14:paraId="529430D3" w14:textId="77777777" w:rsidR="00CC6E4A" w:rsidRPr="008B686A" w:rsidRDefault="00CC6E4A" w:rsidP="0003188C">
            <w:pPr>
              <w:tabs>
                <w:tab w:val="left" w:pos="425"/>
              </w:tabs>
              <w:spacing w:line="480" w:lineRule="auto"/>
              <w:jc w:val="center"/>
              <w:rPr>
                <w:rFonts w:ascii="Arial" w:eastAsia="Segoe UI" w:hAnsi="Arial" w:cs="Arial"/>
                <w:bCs/>
                <w:color w:val="000000" w:themeColor="text1"/>
                <w:sz w:val="20"/>
                <w:szCs w:val="20"/>
                <w:shd w:val="clear" w:color="auto" w:fill="FFFFFF"/>
                <w:lang w:val="en-IN"/>
              </w:rPr>
            </w:pPr>
            <w:r w:rsidRPr="008B686A">
              <w:rPr>
                <w:rFonts w:ascii="Arial" w:eastAsia="Segoe UI" w:hAnsi="Arial" w:cs="Arial"/>
                <w:bCs/>
                <w:color w:val="000000" w:themeColor="text1"/>
                <w:sz w:val="20"/>
                <w:szCs w:val="20"/>
                <w:shd w:val="clear" w:color="auto" w:fill="FFFFFF"/>
                <w:lang w:val="en-IN"/>
              </w:rPr>
              <w:t>-</w:t>
            </w:r>
          </w:p>
        </w:tc>
        <w:tc>
          <w:tcPr>
            <w:tcW w:w="1700" w:type="dxa"/>
          </w:tcPr>
          <w:p w14:paraId="1A21DE87" w14:textId="77777777" w:rsidR="00CC6E4A" w:rsidRPr="008B686A" w:rsidRDefault="00CC6E4A" w:rsidP="0003188C">
            <w:pPr>
              <w:tabs>
                <w:tab w:val="left" w:pos="425"/>
              </w:tabs>
              <w:spacing w:line="480" w:lineRule="auto"/>
              <w:jc w:val="center"/>
              <w:rPr>
                <w:rFonts w:ascii="Arial" w:eastAsia="Segoe UI" w:hAnsi="Arial" w:cs="Arial"/>
                <w:bCs/>
                <w:color w:val="000000" w:themeColor="text1"/>
                <w:sz w:val="20"/>
                <w:szCs w:val="20"/>
                <w:shd w:val="clear" w:color="auto" w:fill="FFFFFF"/>
                <w:lang w:val="en-IN"/>
              </w:rPr>
            </w:pPr>
            <w:r w:rsidRPr="008B686A">
              <w:rPr>
                <w:rFonts w:ascii="Arial" w:hAnsi="Arial" w:cs="Arial"/>
                <w:bCs/>
                <w:color w:val="000000" w:themeColor="text1"/>
                <w:sz w:val="20"/>
                <w:szCs w:val="20"/>
              </w:rPr>
              <w:t>197</w:t>
            </w:r>
          </w:p>
        </w:tc>
      </w:tr>
    </w:tbl>
    <w:p w14:paraId="23602650" w14:textId="0705CCE3" w:rsidR="00CC6E4A" w:rsidRPr="008B686A" w:rsidRDefault="007F7536" w:rsidP="0003188C">
      <w:pPr>
        <w:spacing w:after="0" w:line="480" w:lineRule="auto"/>
        <w:jc w:val="both"/>
        <w:rPr>
          <w:rFonts w:ascii="Arial" w:hAnsi="Arial" w:cs="Arial"/>
          <w:sz w:val="20"/>
          <w:szCs w:val="20"/>
          <w:lang w:val="en-IN"/>
        </w:rPr>
      </w:pPr>
      <w:r w:rsidRPr="008B686A">
        <w:rPr>
          <w:rFonts w:ascii="Arial" w:hAnsi="Arial" w:cs="Arial"/>
          <w:sz w:val="20"/>
          <w:szCs w:val="20"/>
          <w:lang w:val="en-IN"/>
        </w:rPr>
        <w:t xml:space="preserve">Source: www.ipindia.gov.in </w:t>
      </w:r>
    </w:p>
    <w:p w14:paraId="1876A6C1" w14:textId="42EC7861" w:rsidR="00BE64C4" w:rsidRPr="008B686A" w:rsidRDefault="008B686A" w:rsidP="0003188C">
      <w:pPr>
        <w:spacing w:after="0" w:line="480" w:lineRule="auto"/>
        <w:jc w:val="both"/>
        <w:rPr>
          <w:rFonts w:ascii="Arial" w:hAnsi="Arial" w:cs="Arial"/>
          <w:b/>
          <w:bCs/>
        </w:rPr>
      </w:pPr>
      <w:r w:rsidRPr="008B686A">
        <w:rPr>
          <w:rFonts w:ascii="Arial" w:hAnsi="Arial" w:cs="Arial"/>
          <w:b/>
          <w:bCs/>
        </w:rPr>
        <w:t>3.</w:t>
      </w:r>
      <w:r w:rsidR="00004A9A" w:rsidRPr="008B686A">
        <w:rPr>
          <w:rFonts w:ascii="Arial" w:hAnsi="Arial" w:cs="Arial"/>
          <w:b/>
          <w:bCs/>
        </w:rPr>
        <w:t>5</w:t>
      </w:r>
      <w:r w:rsidRPr="008B686A">
        <w:rPr>
          <w:rFonts w:ascii="Arial" w:hAnsi="Arial" w:cs="Arial"/>
          <w:b/>
          <w:bCs/>
        </w:rPr>
        <w:t xml:space="preserve"> </w:t>
      </w:r>
      <w:r w:rsidR="00004A9A" w:rsidRPr="008B686A">
        <w:rPr>
          <w:rFonts w:ascii="Arial" w:hAnsi="Arial" w:cs="Arial"/>
          <w:b/>
          <w:bCs/>
        </w:rPr>
        <w:t>Duration of the GI registration process</w:t>
      </w:r>
    </w:p>
    <w:p w14:paraId="04CE0C53" w14:textId="6A4D7AAF" w:rsidR="007F7536" w:rsidRPr="008B686A" w:rsidRDefault="00BE64C4" w:rsidP="005F525C">
      <w:pPr>
        <w:spacing w:after="0" w:line="480" w:lineRule="auto"/>
        <w:jc w:val="both"/>
        <w:rPr>
          <w:rFonts w:ascii="Arial" w:hAnsi="Arial" w:cs="Arial"/>
          <w:b/>
          <w:bCs/>
          <w:sz w:val="20"/>
          <w:szCs w:val="20"/>
        </w:rPr>
      </w:pPr>
      <w:r w:rsidRPr="008B686A">
        <w:rPr>
          <w:rFonts w:ascii="Arial" w:hAnsi="Arial" w:cs="Arial"/>
          <w:sz w:val="20"/>
          <w:szCs w:val="20"/>
        </w:rPr>
        <w:t>Table 3. shows the time taken from application submission to GI registration. Of the 643 registered items, 288 (44.8%) were registered within one to two years, 65 (10.1%) within one year, and 227 (35.3%) in two to five years.</w:t>
      </w:r>
      <w:r w:rsidR="002D09DB" w:rsidRPr="008B686A">
        <w:rPr>
          <w:rFonts w:ascii="Arial" w:hAnsi="Arial" w:cs="Arial"/>
          <w:sz w:val="20"/>
          <w:szCs w:val="20"/>
        </w:rPr>
        <w:t xml:space="preserve"> Most items (80.2%) were certified within one to five years, but some categories, especially food and agricultural products, took five to ten years or more due to documentation issues, legal complexities, and verification requirements.</w:t>
      </w:r>
      <w:r w:rsidRPr="008B686A">
        <w:rPr>
          <w:rFonts w:ascii="Arial" w:hAnsi="Arial" w:cs="Arial"/>
          <w:sz w:val="20"/>
          <w:szCs w:val="20"/>
        </w:rPr>
        <w:t xml:space="preserve"> The requirement for proof of origin in India posed challenges for the agricultural sector and tribal communities, leading to delays. The process highlighted issues such as administrative bottlenecks and the need for additional verification. These delays may have contributed to the lower annual GI registration numbers in India</w:t>
      </w:r>
      <w:r w:rsidRPr="008B686A">
        <w:rPr>
          <w:rFonts w:ascii="Arial" w:hAnsi="Arial" w:cs="Arial"/>
          <w:b/>
          <w:bCs/>
          <w:sz w:val="20"/>
          <w:szCs w:val="20"/>
        </w:rPr>
        <w:t>.</w:t>
      </w:r>
    </w:p>
    <w:tbl>
      <w:tblPr>
        <w:tblStyle w:val="TableGrid"/>
        <w:tblpPr w:leftFromText="180" w:rightFromText="180" w:vertAnchor="text" w:horzAnchor="margin" w:tblpY="239"/>
        <w:tblW w:w="0" w:type="auto"/>
        <w:tblLook w:val="04A0" w:firstRow="1" w:lastRow="0" w:firstColumn="1" w:lastColumn="0" w:noHBand="0" w:noVBand="1"/>
      </w:tblPr>
      <w:tblGrid>
        <w:gridCol w:w="2826"/>
        <w:gridCol w:w="1104"/>
        <w:gridCol w:w="974"/>
        <w:gridCol w:w="985"/>
        <w:gridCol w:w="1231"/>
        <w:gridCol w:w="972"/>
        <w:gridCol w:w="969"/>
      </w:tblGrid>
      <w:tr w:rsidR="007F7536" w:rsidRPr="008B686A" w14:paraId="5A6A81E5" w14:textId="77777777" w:rsidTr="00F73EFE">
        <w:tc>
          <w:tcPr>
            <w:tcW w:w="2972" w:type="dxa"/>
          </w:tcPr>
          <w:p w14:paraId="397DC32E" w14:textId="77777777"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b/>
                <w:bCs/>
                <w:sz w:val="20"/>
                <w:szCs w:val="20"/>
                <w:lang w:val="en-IN"/>
              </w:rPr>
              <w:t>Duration</w:t>
            </w:r>
          </w:p>
        </w:tc>
        <w:tc>
          <w:tcPr>
            <w:tcW w:w="1134" w:type="dxa"/>
          </w:tcPr>
          <w:p w14:paraId="28B58D4F" w14:textId="77777777"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b/>
                <w:bCs/>
                <w:sz w:val="20"/>
                <w:szCs w:val="20"/>
              </w:rPr>
              <w:t>&lt; 1 Year</w:t>
            </w:r>
          </w:p>
        </w:tc>
        <w:tc>
          <w:tcPr>
            <w:tcW w:w="992" w:type="dxa"/>
          </w:tcPr>
          <w:p w14:paraId="57FAE21F" w14:textId="66EE3C93"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b/>
                <w:bCs/>
                <w:sz w:val="20"/>
                <w:szCs w:val="20"/>
              </w:rPr>
              <w:t>1-2 Year</w:t>
            </w:r>
            <w:r w:rsidR="008B686A">
              <w:rPr>
                <w:rFonts w:ascii="Arial" w:hAnsi="Arial" w:cs="Arial"/>
                <w:b/>
                <w:bCs/>
                <w:sz w:val="20"/>
                <w:szCs w:val="20"/>
              </w:rPr>
              <w:t>s</w:t>
            </w:r>
          </w:p>
        </w:tc>
        <w:tc>
          <w:tcPr>
            <w:tcW w:w="993" w:type="dxa"/>
          </w:tcPr>
          <w:p w14:paraId="4EC1919B" w14:textId="5C96C020"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b/>
                <w:bCs/>
                <w:sz w:val="20"/>
                <w:szCs w:val="20"/>
              </w:rPr>
              <w:t>2-5 Year</w:t>
            </w:r>
            <w:r w:rsidR="008B686A">
              <w:rPr>
                <w:rFonts w:ascii="Arial" w:hAnsi="Arial" w:cs="Arial"/>
                <w:b/>
                <w:bCs/>
                <w:sz w:val="20"/>
                <w:szCs w:val="20"/>
              </w:rPr>
              <w:t>s</w:t>
            </w:r>
          </w:p>
        </w:tc>
        <w:tc>
          <w:tcPr>
            <w:tcW w:w="1275" w:type="dxa"/>
          </w:tcPr>
          <w:p w14:paraId="72FBD90C" w14:textId="1E556B9C"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b/>
                <w:bCs/>
                <w:sz w:val="20"/>
                <w:szCs w:val="20"/>
              </w:rPr>
              <w:t>5-10 Year</w:t>
            </w:r>
            <w:r w:rsidR="008B686A">
              <w:rPr>
                <w:rFonts w:ascii="Arial" w:hAnsi="Arial" w:cs="Arial"/>
                <w:b/>
                <w:bCs/>
                <w:sz w:val="20"/>
                <w:szCs w:val="20"/>
              </w:rPr>
              <w:t>s</w:t>
            </w:r>
          </w:p>
        </w:tc>
        <w:tc>
          <w:tcPr>
            <w:tcW w:w="993" w:type="dxa"/>
          </w:tcPr>
          <w:p w14:paraId="42C29739" w14:textId="4E0E0D4C"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b/>
                <w:bCs/>
                <w:sz w:val="20"/>
                <w:szCs w:val="20"/>
              </w:rPr>
              <w:t>&gt;10 Year</w:t>
            </w:r>
            <w:r w:rsidR="008B686A">
              <w:rPr>
                <w:rFonts w:ascii="Arial" w:hAnsi="Arial" w:cs="Arial"/>
                <w:b/>
                <w:bCs/>
                <w:sz w:val="20"/>
                <w:szCs w:val="20"/>
              </w:rPr>
              <w:t>s</w:t>
            </w:r>
          </w:p>
        </w:tc>
        <w:tc>
          <w:tcPr>
            <w:tcW w:w="991" w:type="dxa"/>
          </w:tcPr>
          <w:p w14:paraId="3E3034E8" w14:textId="77777777"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b/>
                <w:bCs/>
                <w:sz w:val="20"/>
                <w:szCs w:val="20"/>
                <w:lang w:val="en-IN"/>
              </w:rPr>
              <w:t>Total</w:t>
            </w:r>
          </w:p>
        </w:tc>
      </w:tr>
      <w:tr w:rsidR="007F7536" w:rsidRPr="008B686A" w14:paraId="4BC77A6B" w14:textId="77777777" w:rsidTr="00F73EFE">
        <w:tc>
          <w:tcPr>
            <w:tcW w:w="2972" w:type="dxa"/>
          </w:tcPr>
          <w:p w14:paraId="43061152" w14:textId="77777777"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sz w:val="20"/>
                <w:szCs w:val="20"/>
              </w:rPr>
              <w:t>Number of goods registered</w:t>
            </w:r>
          </w:p>
        </w:tc>
        <w:tc>
          <w:tcPr>
            <w:tcW w:w="1134" w:type="dxa"/>
          </w:tcPr>
          <w:p w14:paraId="5AD35C8A"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65</w:t>
            </w:r>
          </w:p>
        </w:tc>
        <w:tc>
          <w:tcPr>
            <w:tcW w:w="992" w:type="dxa"/>
          </w:tcPr>
          <w:p w14:paraId="79920D98"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288</w:t>
            </w:r>
          </w:p>
        </w:tc>
        <w:tc>
          <w:tcPr>
            <w:tcW w:w="993" w:type="dxa"/>
          </w:tcPr>
          <w:p w14:paraId="73207CE6"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227</w:t>
            </w:r>
          </w:p>
        </w:tc>
        <w:tc>
          <w:tcPr>
            <w:tcW w:w="1275" w:type="dxa"/>
          </w:tcPr>
          <w:p w14:paraId="406466FC"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51</w:t>
            </w:r>
          </w:p>
        </w:tc>
        <w:tc>
          <w:tcPr>
            <w:tcW w:w="993" w:type="dxa"/>
          </w:tcPr>
          <w:p w14:paraId="66CFACE2"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12</w:t>
            </w:r>
          </w:p>
        </w:tc>
        <w:tc>
          <w:tcPr>
            <w:tcW w:w="991" w:type="dxa"/>
          </w:tcPr>
          <w:p w14:paraId="4828440D"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643</w:t>
            </w:r>
          </w:p>
        </w:tc>
      </w:tr>
      <w:tr w:rsidR="007F7536" w:rsidRPr="008B686A" w14:paraId="3F4A8391" w14:textId="77777777" w:rsidTr="00F73EFE">
        <w:tc>
          <w:tcPr>
            <w:tcW w:w="2972" w:type="dxa"/>
          </w:tcPr>
          <w:p w14:paraId="3EB03097" w14:textId="77777777" w:rsidR="007F7536" w:rsidRPr="008B686A" w:rsidRDefault="007F7536" w:rsidP="002D09DB">
            <w:pPr>
              <w:spacing w:line="480" w:lineRule="auto"/>
              <w:jc w:val="both"/>
              <w:rPr>
                <w:rFonts w:ascii="Arial" w:hAnsi="Arial" w:cs="Arial"/>
                <w:b/>
                <w:bCs/>
                <w:sz w:val="20"/>
                <w:szCs w:val="20"/>
                <w:lang w:val="en-IN"/>
              </w:rPr>
            </w:pPr>
            <w:r w:rsidRPr="008B686A">
              <w:rPr>
                <w:rFonts w:ascii="Arial" w:hAnsi="Arial" w:cs="Arial"/>
                <w:sz w:val="20"/>
                <w:szCs w:val="20"/>
              </w:rPr>
              <w:t xml:space="preserve">Percentage </w:t>
            </w:r>
          </w:p>
        </w:tc>
        <w:tc>
          <w:tcPr>
            <w:tcW w:w="1134" w:type="dxa"/>
          </w:tcPr>
          <w:p w14:paraId="0844E2E8"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10.1%</w:t>
            </w:r>
          </w:p>
        </w:tc>
        <w:tc>
          <w:tcPr>
            <w:tcW w:w="992" w:type="dxa"/>
          </w:tcPr>
          <w:p w14:paraId="55C18DC9"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44.8%</w:t>
            </w:r>
          </w:p>
        </w:tc>
        <w:tc>
          <w:tcPr>
            <w:tcW w:w="993" w:type="dxa"/>
          </w:tcPr>
          <w:p w14:paraId="7D693800"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35.30%</w:t>
            </w:r>
          </w:p>
        </w:tc>
        <w:tc>
          <w:tcPr>
            <w:tcW w:w="1275" w:type="dxa"/>
          </w:tcPr>
          <w:p w14:paraId="48964BFD"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7.9%</w:t>
            </w:r>
          </w:p>
        </w:tc>
        <w:tc>
          <w:tcPr>
            <w:tcW w:w="993" w:type="dxa"/>
          </w:tcPr>
          <w:p w14:paraId="48EE09A4"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1.9%</w:t>
            </w:r>
          </w:p>
        </w:tc>
        <w:tc>
          <w:tcPr>
            <w:tcW w:w="991" w:type="dxa"/>
          </w:tcPr>
          <w:p w14:paraId="6EF4C585" w14:textId="77777777" w:rsidR="007F7536" w:rsidRPr="008B686A" w:rsidRDefault="007F7536" w:rsidP="002D09DB">
            <w:pPr>
              <w:spacing w:line="480" w:lineRule="auto"/>
              <w:jc w:val="center"/>
              <w:rPr>
                <w:rFonts w:ascii="Arial" w:hAnsi="Arial" w:cs="Arial"/>
                <w:sz w:val="20"/>
                <w:szCs w:val="20"/>
                <w:lang w:val="en-IN"/>
              </w:rPr>
            </w:pPr>
            <w:r w:rsidRPr="008B686A">
              <w:rPr>
                <w:rFonts w:ascii="Arial" w:hAnsi="Arial" w:cs="Arial"/>
                <w:sz w:val="20"/>
                <w:szCs w:val="20"/>
                <w:lang w:val="en-IN"/>
              </w:rPr>
              <w:t>100%</w:t>
            </w:r>
          </w:p>
        </w:tc>
      </w:tr>
    </w:tbl>
    <w:p w14:paraId="5C95B362" w14:textId="1D34DE72" w:rsidR="007F7536" w:rsidRPr="008B686A" w:rsidRDefault="007F7536" w:rsidP="002D09DB">
      <w:pPr>
        <w:spacing w:after="0" w:line="480" w:lineRule="auto"/>
        <w:jc w:val="center"/>
        <w:rPr>
          <w:rFonts w:ascii="Arial" w:hAnsi="Arial" w:cs="Arial"/>
          <w:b/>
          <w:bCs/>
          <w:sz w:val="20"/>
          <w:szCs w:val="20"/>
        </w:rPr>
      </w:pPr>
      <w:r w:rsidRPr="008B686A">
        <w:rPr>
          <w:rFonts w:ascii="Arial" w:eastAsia="SimSun" w:hAnsi="Arial" w:cs="Arial"/>
          <w:b/>
          <w:bCs/>
          <w:sz w:val="20"/>
          <w:szCs w:val="20"/>
        </w:rPr>
        <w:t>Table 3</w:t>
      </w:r>
      <w:r w:rsidRPr="008B686A">
        <w:rPr>
          <w:rFonts w:ascii="Arial" w:eastAsia="SimSun" w:hAnsi="Arial" w:cs="Arial"/>
          <w:sz w:val="20"/>
          <w:szCs w:val="20"/>
        </w:rPr>
        <w:t xml:space="preserve">: </w:t>
      </w:r>
      <w:r w:rsidRPr="008B686A">
        <w:rPr>
          <w:rFonts w:ascii="Arial" w:eastAsia="Times New Roman" w:hAnsi="Arial" w:cs="Arial"/>
          <w:kern w:val="0"/>
          <w:sz w:val="20"/>
          <w:szCs w:val="20"/>
        </w:rPr>
        <w:t>Duration of the GI Registration Process for Goods</w:t>
      </w:r>
    </w:p>
    <w:p w14:paraId="476C7DFE" w14:textId="3538AAF1" w:rsidR="00D90C5E" w:rsidRPr="008B686A" w:rsidRDefault="00737557" w:rsidP="0003188C">
      <w:pPr>
        <w:spacing w:after="0" w:line="480" w:lineRule="auto"/>
        <w:jc w:val="both"/>
        <w:rPr>
          <w:rFonts w:ascii="Arial" w:hAnsi="Arial" w:cs="Arial"/>
          <w:sz w:val="20"/>
          <w:szCs w:val="20"/>
          <w:lang w:val="en-IN"/>
        </w:rPr>
      </w:pPr>
      <w:r w:rsidRPr="008B686A">
        <w:rPr>
          <w:rFonts w:ascii="Arial" w:hAnsi="Arial" w:cs="Arial"/>
          <w:sz w:val="20"/>
          <w:szCs w:val="20"/>
          <w:lang w:val="en-IN"/>
        </w:rPr>
        <w:t xml:space="preserve">Source: </w:t>
      </w:r>
      <w:r w:rsidR="007F7536" w:rsidRPr="008B686A">
        <w:rPr>
          <w:rFonts w:ascii="Arial" w:hAnsi="Arial" w:cs="Arial"/>
          <w:sz w:val="20"/>
          <w:szCs w:val="20"/>
          <w:lang w:val="en-IN"/>
        </w:rPr>
        <w:t>www.ipindia.gov.in</w:t>
      </w:r>
    </w:p>
    <w:p w14:paraId="6DE3D18D" w14:textId="71C4021B" w:rsidR="00BE64C4" w:rsidRPr="008B686A" w:rsidRDefault="008B686A" w:rsidP="0003188C">
      <w:pPr>
        <w:spacing w:after="0" w:line="480" w:lineRule="auto"/>
        <w:jc w:val="both"/>
        <w:rPr>
          <w:rFonts w:ascii="Arial" w:hAnsi="Arial" w:cs="Arial"/>
          <w:b/>
          <w:bCs/>
        </w:rPr>
      </w:pPr>
      <w:r w:rsidRPr="008B686A">
        <w:rPr>
          <w:rFonts w:ascii="Arial" w:hAnsi="Arial" w:cs="Arial"/>
          <w:b/>
          <w:bCs/>
        </w:rPr>
        <w:t>3.</w:t>
      </w:r>
      <w:r w:rsidR="00BE64C4" w:rsidRPr="008B686A">
        <w:rPr>
          <w:rFonts w:ascii="Arial" w:hAnsi="Arial" w:cs="Arial"/>
          <w:b/>
          <w:bCs/>
        </w:rPr>
        <w:t>6 Status of authorized users</w:t>
      </w:r>
    </w:p>
    <w:p w14:paraId="2D55F4C1" w14:textId="77777777" w:rsidR="007F7536" w:rsidRPr="008B686A" w:rsidRDefault="000C41C7" w:rsidP="005F525C">
      <w:pPr>
        <w:spacing w:after="0" w:line="480" w:lineRule="auto"/>
        <w:jc w:val="both"/>
        <w:rPr>
          <w:rFonts w:ascii="Arial" w:eastAsia="Times New Roman" w:hAnsi="Arial" w:cs="Arial"/>
          <w:color w:val="000000"/>
          <w:kern w:val="0"/>
          <w:sz w:val="20"/>
          <w:szCs w:val="20"/>
          <w:lang w:val="en-IN" w:eastAsia="en-IN"/>
        </w:rPr>
      </w:pPr>
      <w:r w:rsidRPr="008B686A">
        <w:rPr>
          <w:rFonts w:ascii="Arial" w:hAnsi="Arial" w:cs="Arial"/>
          <w:sz w:val="20"/>
          <w:szCs w:val="20"/>
        </w:rPr>
        <w:t>Out of 634 registered GI goods, only 275 had approximately 29,624 authorized users, reflecting a significant lack of awareness among producers about the GI authorization process. According to the GI Goods (Registration and Protection) Act of 1999, “Any person who claimed to be the producer of goods for which a geographical indication (GI) had been registered could apply to be registered as an authorized user.” This status granted exclusive ownership rights, protected the goods from infringement, and allowed producers to claim associated benefits. However, more than half of the registered goods lacked authorized users, with only 95 out of 197 agricultural goods having registered users despite a total of 15,934 users in this sector. A similar pattern was observed across other categories, highlighting the challenges of limited awareness and underutilization of GI authorization.</w:t>
      </w:r>
      <w:r w:rsidR="007F7536" w:rsidRPr="008B686A">
        <w:rPr>
          <w:rFonts w:ascii="Arial" w:eastAsia="Times New Roman" w:hAnsi="Arial" w:cs="Arial"/>
          <w:color w:val="000000"/>
          <w:kern w:val="0"/>
          <w:sz w:val="20"/>
          <w:szCs w:val="20"/>
          <w:lang w:val="en-IN" w:eastAsia="en-IN"/>
        </w:rPr>
        <w:t xml:space="preserve"> </w:t>
      </w:r>
    </w:p>
    <w:tbl>
      <w:tblPr>
        <w:tblStyle w:val="TableGrid"/>
        <w:tblpPr w:leftFromText="180" w:rightFromText="180" w:vertAnchor="text" w:horzAnchor="margin" w:tblpY="324"/>
        <w:tblW w:w="0" w:type="auto"/>
        <w:tblLook w:val="04A0" w:firstRow="1" w:lastRow="0" w:firstColumn="1" w:lastColumn="0" w:noHBand="0" w:noVBand="1"/>
      </w:tblPr>
      <w:tblGrid>
        <w:gridCol w:w="1869"/>
        <w:gridCol w:w="1206"/>
        <w:gridCol w:w="1339"/>
        <w:gridCol w:w="1204"/>
        <w:gridCol w:w="1528"/>
        <w:gridCol w:w="965"/>
        <w:gridCol w:w="950"/>
      </w:tblGrid>
      <w:tr w:rsidR="007F7536" w:rsidRPr="008B686A" w14:paraId="6AE63B7A" w14:textId="77777777" w:rsidTr="00F73EFE">
        <w:tc>
          <w:tcPr>
            <w:tcW w:w="2203" w:type="dxa"/>
          </w:tcPr>
          <w:p w14:paraId="314C819F"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b/>
                <w:bCs/>
                <w:color w:val="000000"/>
                <w:kern w:val="0"/>
                <w:sz w:val="20"/>
                <w:szCs w:val="20"/>
                <w:lang w:val="en-IN" w:eastAsia="en-IN"/>
              </w:rPr>
              <w:lastRenderedPageBreak/>
              <w:t>Category</w:t>
            </w:r>
          </w:p>
        </w:tc>
        <w:tc>
          <w:tcPr>
            <w:tcW w:w="1161" w:type="dxa"/>
          </w:tcPr>
          <w:p w14:paraId="5F158F8B"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b/>
                <w:bCs/>
                <w:color w:val="000000"/>
                <w:kern w:val="0"/>
                <w:sz w:val="20"/>
                <w:szCs w:val="20"/>
                <w:lang w:val="en-IN" w:eastAsia="en-IN"/>
              </w:rPr>
              <w:t>Handicraft</w:t>
            </w:r>
          </w:p>
        </w:tc>
        <w:tc>
          <w:tcPr>
            <w:tcW w:w="1283" w:type="dxa"/>
          </w:tcPr>
          <w:p w14:paraId="5930BF15"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b/>
                <w:bCs/>
                <w:color w:val="000000"/>
                <w:kern w:val="0"/>
                <w:sz w:val="20"/>
                <w:szCs w:val="20"/>
                <w:lang w:val="en-IN" w:eastAsia="en-IN"/>
              </w:rPr>
              <w:t>Agricultural</w:t>
            </w:r>
          </w:p>
        </w:tc>
        <w:tc>
          <w:tcPr>
            <w:tcW w:w="1444" w:type="dxa"/>
          </w:tcPr>
          <w:p w14:paraId="3E1F5E92"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b/>
                <w:bCs/>
                <w:color w:val="000000"/>
                <w:kern w:val="0"/>
                <w:sz w:val="20"/>
                <w:szCs w:val="20"/>
                <w:lang w:val="en-IN" w:eastAsia="en-IN"/>
              </w:rPr>
              <w:t>Food Stuff</w:t>
            </w:r>
          </w:p>
        </w:tc>
        <w:tc>
          <w:tcPr>
            <w:tcW w:w="1275" w:type="dxa"/>
          </w:tcPr>
          <w:p w14:paraId="547BEDFD"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b/>
                <w:bCs/>
                <w:color w:val="000000"/>
                <w:kern w:val="0"/>
                <w:sz w:val="20"/>
                <w:szCs w:val="20"/>
                <w:lang w:val="en-IN" w:eastAsia="en-IN"/>
              </w:rPr>
              <w:t>Manufactured</w:t>
            </w:r>
          </w:p>
        </w:tc>
        <w:tc>
          <w:tcPr>
            <w:tcW w:w="993" w:type="dxa"/>
          </w:tcPr>
          <w:p w14:paraId="3165F2C8"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b/>
                <w:bCs/>
                <w:color w:val="000000"/>
                <w:kern w:val="0"/>
                <w:sz w:val="20"/>
                <w:szCs w:val="20"/>
                <w:lang w:val="en-IN" w:eastAsia="en-IN"/>
              </w:rPr>
              <w:t>Natural</w:t>
            </w:r>
          </w:p>
        </w:tc>
        <w:tc>
          <w:tcPr>
            <w:tcW w:w="1035" w:type="dxa"/>
          </w:tcPr>
          <w:p w14:paraId="2F1F9D67"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hAnsi="Arial" w:cs="Arial"/>
                <w:b/>
                <w:bCs/>
                <w:sz w:val="20"/>
                <w:szCs w:val="20"/>
                <w:lang w:val="en-IN"/>
              </w:rPr>
              <w:t>Total</w:t>
            </w:r>
          </w:p>
        </w:tc>
      </w:tr>
      <w:tr w:rsidR="007F7536" w:rsidRPr="008B686A" w14:paraId="1D16CDDA" w14:textId="77777777" w:rsidTr="00F73EFE">
        <w:tc>
          <w:tcPr>
            <w:tcW w:w="2203" w:type="dxa"/>
          </w:tcPr>
          <w:p w14:paraId="1D84A6F7"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color w:val="000000"/>
                <w:kern w:val="0"/>
                <w:sz w:val="20"/>
                <w:szCs w:val="20"/>
                <w:lang w:val="en-IN" w:eastAsia="en-IN"/>
              </w:rPr>
              <w:t>No. of Authorised users</w:t>
            </w:r>
          </w:p>
        </w:tc>
        <w:tc>
          <w:tcPr>
            <w:tcW w:w="1161" w:type="dxa"/>
          </w:tcPr>
          <w:p w14:paraId="05061E16"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12944</w:t>
            </w:r>
          </w:p>
        </w:tc>
        <w:tc>
          <w:tcPr>
            <w:tcW w:w="1283" w:type="dxa"/>
          </w:tcPr>
          <w:p w14:paraId="56BCE8FD"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15934</w:t>
            </w:r>
          </w:p>
        </w:tc>
        <w:tc>
          <w:tcPr>
            <w:tcW w:w="1444" w:type="dxa"/>
          </w:tcPr>
          <w:p w14:paraId="28431830"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543</w:t>
            </w:r>
          </w:p>
        </w:tc>
        <w:tc>
          <w:tcPr>
            <w:tcW w:w="1275" w:type="dxa"/>
          </w:tcPr>
          <w:p w14:paraId="3103C0F4"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185</w:t>
            </w:r>
          </w:p>
        </w:tc>
        <w:tc>
          <w:tcPr>
            <w:tcW w:w="993" w:type="dxa"/>
          </w:tcPr>
          <w:p w14:paraId="780E3079"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18</w:t>
            </w:r>
          </w:p>
        </w:tc>
        <w:tc>
          <w:tcPr>
            <w:tcW w:w="1035" w:type="dxa"/>
          </w:tcPr>
          <w:p w14:paraId="53667802"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b/>
                <w:bCs/>
                <w:color w:val="000000"/>
                <w:kern w:val="0"/>
                <w:sz w:val="20"/>
                <w:szCs w:val="20"/>
                <w:lang w:val="en-IN" w:eastAsia="en-IN"/>
              </w:rPr>
              <w:t>29624</w:t>
            </w:r>
          </w:p>
        </w:tc>
      </w:tr>
      <w:tr w:rsidR="007F7536" w:rsidRPr="008B686A" w14:paraId="254C5086" w14:textId="77777777" w:rsidTr="00F73EFE">
        <w:tc>
          <w:tcPr>
            <w:tcW w:w="2203" w:type="dxa"/>
          </w:tcPr>
          <w:p w14:paraId="0EE3F7F8" w14:textId="77777777" w:rsidR="007F7536" w:rsidRPr="008B686A" w:rsidRDefault="007F7536" w:rsidP="007F7536">
            <w:pPr>
              <w:spacing w:line="480" w:lineRule="auto"/>
              <w:jc w:val="both"/>
              <w:rPr>
                <w:rFonts w:ascii="Arial" w:hAnsi="Arial" w:cs="Arial"/>
                <w:b/>
                <w:bCs/>
                <w:sz w:val="20"/>
                <w:szCs w:val="20"/>
                <w:lang w:val="en-IN"/>
              </w:rPr>
            </w:pPr>
            <w:r w:rsidRPr="008B686A">
              <w:rPr>
                <w:rFonts w:ascii="Arial" w:eastAsia="Times New Roman" w:hAnsi="Arial" w:cs="Arial"/>
                <w:color w:val="000000"/>
                <w:kern w:val="0"/>
                <w:sz w:val="20"/>
                <w:szCs w:val="20"/>
                <w:lang w:val="en-IN" w:eastAsia="en-IN"/>
              </w:rPr>
              <w:t>Number of Goods</w:t>
            </w:r>
          </w:p>
        </w:tc>
        <w:tc>
          <w:tcPr>
            <w:tcW w:w="1161" w:type="dxa"/>
          </w:tcPr>
          <w:p w14:paraId="5AAC9B6A"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155</w:t>
            </w:r>
          </w:p>
        </w:tc>
        <w:tc>
          <w:tcPr>
            <w:tcW w:w="1283" w:type="dxa"/>
          </w:tcPr>
          <w:p w14:paraId="2AD325CC"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95</w:t>
            </w:r>
          </w:p>
        </w:tc>
        <w:tc>
          <w:tcPr>
            <w:tcW w:w="1444" w:type="dxa"/>
          </w:tcPr>
          <w:p w14:paraId="015DD95B"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18</w:t>
            </w:r>
          </w:p>
        </w:tc>
        <w:tc>
          <w:tcPr>
            <w:tcW w:w="1275" w:type="dxa"/>
          </w:tcPr>
          <w:p w14:paraId="08682E29"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5</w:t>
            </w:r>
          </w:p>
        </w:tc>
        <w:tc>
          <w:tcPr>
            <w:tcW w:w="993" w:type="dxa"/>
          </w:tcPr>
          <w:p w14:paraId="1FBF93EB"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color w:val="000000"/>
                <w:kern w:val="0"/>
                <w:sz w:val="20"/>
                <w:szCs w:val="20"/>
                <w:lang w:val="en-IN" w:eastAsia="en-IN"/>
              </w:rPr>
              <w:t>2</w:t>
            </w:r>
          </w:p>
        </w:tc>
        <w:tc>
          <w:tcPr>
            <w:tcW w:w="1035" w:type="dxa"/>
          </w:tcPr>
          <w:p w14:paraId="139A661E" w14:textId="77777777" w:rsidR="007F7536" w:rsidRPr="008B686A" w:rsidRDefault="007F7536" w:rsidP="007F7536">
            <w:pPr>
              <w:spacing w:line="480" w:lineRule="auto"/>
              <w:jc w:val="center"/>
              <w:rPr>
                <w:rFonts w:ascii="Arial" w:hAnsi="Arial" w:cs="Arial"/>
                <w:sz w:val="20"/>
                <w:szCs w:val="20"/>
                <w:lang w:val="en-IN"/>
              </w:rPr>
            </w:pPr>
            <w:r w:rsidRPr="008B686A">
              <w:rPr>
                <w:rFonts w:ascii="Arial" w:eastAsia="Times New Roman" w:hAnsi="Arial" w:cs="Arial"/>
                <w:b/>
                <w:bCs/>
                <w:color w:val="000000"/>
                <w:kern w:val="0"/>
                <w:sz w:val="20"/>
                <w:szCs w:val="20"/>
                <w:lang w:val="en-IN" w:eastAsia="en-IN"/>
              </w:rPr>
              <w:t>275</w:t>
            </w:r>
          </w:p>
        </w:tc>
      </w:tr>
    </w:tbl>
    <w:p w14:paraId="6DFFD7CD" w14:textId="7BB9E8AC" w:rsidR="00BE64C4" w:rsidRPr="008B686A" w:rsidRDefault="007F7536" w:rsidP="007F7536">
      <w:pPr>
        <w:spacing w:after="0" w:line="480" w:lineRule="auto"/>
        <w:ind w:firstLine="720"/>
        <w:jc w:val="center"/>
        <w:rPr>
          <w:rFonts w:ascii="Arial" w:hAnsi="Arial" w:cs="Arial"/>
          <w:sz w:val="20"/>
          <w:szCs w:val="20"/>
          <w:lang w:val="en-IN"/>
        </w:rPr>
      </w:pPr>
      <w:r w:rsidRPr="008B686A">
        <w:rPr>
          <w:rFonts w:ascii="Arial" w:eastAsia="Times New Roman" w:hAnsi="Arial" w:cs="Arial"/>
          <w:b/>
          <w:bCs/>
          <w:color w:val="000000"/>
          <w:kern w:val="0"/>
          <w:sz w:val="20"/>
          <w:szCs w:val="20"/>
          <w:lang w:val="en-IN" w:eastAsia="en-IN"/>
        </w:rPr>
        <w:t xml:space="preserve"> Table 4</w:t>
      </w:r>
      <w:r w:rsidRPr="008B686A">
        <w:rPr>
          <w:rFonts w:ascii="Arial" w:eastAsia="Times New Roman" w:hAnsi="Arial" w:cs="Arial"/>
          <w:color w:val="000000"/>
          <w:kern w:val="0"/>
          <w:sz w:val="20"/>
          <w:szCs w:val="20"/>
          <w:lang w:val="en-IN" w:eastAsia="en-IN"/>
        </w:rPr>
        <w:t>: Status of Authorised Users</w:t>
      </w:r>
    </w:p>
    <w:p w14:paraId="6BD4BCE6" w14:textId="0340E68D" w:rsidR="00FA296F" w:rsidRPr="008B686A" w:rsidRDefault="008E55DD" w:rsidP="0003188C">
      <w:pPr>
        <w:spacing w:after="0" w:line="480" w:lineRule="auto"/>
        <w:jc w:val="both"/>
        <w:rPr>
          <w:rFonts w:ascii="Arial" w:hAnsi="Arial" w:cs="Arial"/>
          <w:sz w:val="20"/>
          <w:szCs w:val="20"/>
          <w:lang w:val="en-IN"/>
        </w:rPr>
      </w:pPr>
      <w:r w:rsidRPr="008B686A">
        <w:rPr>
          <w:rFonts w:ascii="Arial" w:hAnsi="Arial" w:cs="Arial"/>
          <w:sz w:val="20"/>
          <w:szCs w:val="20"/>
          <w:lang w:val="en-IN"/>
        </w:rPr>
        <w:t xml:space="preserve">Source: </w:t>
      </w:r>
      <w:r w:rsidR="007F7536" w:rsidRPr="008B686A">
        <w:rPr>
          <w:rFonts w:ascii="Arial" w:hAnsi="Arial" w:cs="Arial"/>
          <w:sz w:val="20"/>
          <w:szCs w:val="20"/>
          <w:lang w:val="en-IN"/>
        </w:rPr>
        <w:t xml:space="preserve">www.ipindia.gov.in </w:t>
      </w:r>
    </w:p>
    <w:p w14:paraId="7FE7CFF1" w14:textId="451DD212" w:rsidR="008E55DD" w:rsidRPr="008B686A" w:rsidRDefault="008B686A" w:rsidP="008B686A">
      <w:pPr>
        <w:pStyle w:val="ConcHead"/>
        <w:spacing w:after="0" w:line="480" w:lineRule="auto"/>
        <w:jc w:val="both"/>
        <w:rPr>
          <w:rFonts w:ascii="Arial" w:hAnsi="Arial" w:cs="Arial"/>
        </w:rPr>
      </w:pPr>
      <w:r>
        <w:rPr>
          <w:rFonts w:ascii="Arial" w:hAnsi="Arial" w:cs="Arial"/>
        </w:rPr>
        <w:t xml:space="preserve">4. </w:t>
      </w:r>
      <w:r w:rsidRPr="00FB3A86">
        <w:rPr>
          <w:rFonts w:ascii="Arial" w:hAnsi="Arial" w:cs="Arial"/>
        </w:rPr>
        <w:t>Conclusion</w:t>
      </w:r>
    </w:p>
    <w:p w14:paraId="5BC0E89E" w14:textId="1130AF66" w:rsidR="00150747" w:rsidRDefault="00150747" w:rsidP="005F525C">
      <w:pPr>
        <w:spacing w:after="0" w:line="480" w:lineRule="auto"/>
        <w:jc w:val="both"/>
        <w:rPr>
          <w:rFonts w:ascii="Arial" w:hAnsi="Arial" w:cs="Arial"/>
          <w:sz w:val="20"/>
          <w:szCs w:val="20"/>
          <w:lang w:val="en-IN"/>
        </w:rPr>
      </w:pPr>
      <w:r w:rsidRPr="008B686A">
        <w:rPr>
          <w:rFonts w:ascii="Arial" w:hAnsi="Arial" w:cs="Arial"/>
          <w:sz w:val="20"/>
          <w:szCs w:val="20"/>
          <w:lang w:val="en-IN"/>
        </w:rPr>
        <w:t>Geographical Indications (GIs) played a crucial role in preserving cultural heritage, boosting local economies, and enhancing the value of regionally unique products in India. Despite notable progress in GI registrations, particularly in handicrafts and agriculture, annual registration numbers remained disappointingly low, highlighting the need for stronger efforts to protect and promote India’s rich cultural and agricultural diversity. Southern states performed better due to higher awareness and supportive policies, while other regions lagged</w:t>
      </w:r>
      <w:r w:rsidR="000D6D24" w:rsidRPr="008B686A">
        <w:rPr>
          <w:rFonts w:ascii="Arial" w:hAnsi="Arial" w:cs="Arial"/>
          <w:sz w:val="20"/>
          <w:szCs w:val="20"/>
          <w:lang w:val="en-IN"/>
        </w:rPr>
        <w:t xml:space="preserve"> behind</w:t>
      </w:r>
      <w:r w:rsidRPr="008B686A">
        <w:rPr>
          <w:rFonts w:ascii="Arial" w:hAnsi="Arial" w:cs="Arial"/>
          <w:sz w:val="20"/>
          <w:szCs w:val="20"/>
          <w:lang w:val="en-IN"/>
        </w:rPr>
        <w:t>. India also faced challenges such as slow post-registration processes, weak protection mechanisms, and inadequate marketing of GI products. Delays in registration, particularly for agricultural goods, were often caused by documentation issues, legal complexities, and verification requirements, further exacerbated by a lack of awareness among producers about the GI authorization process.</w:t>
      </w:r>
      <w:r w:rsidR="002E7C0D" w:rsidRPr="008B686A">
        <w:rPr>
          <w:rFonts w:ascii="Arial" w:hAnsi="Arial" w:cs="Arial"/>
          <w:sz w:val="20"/>
          <w:szCs w:val="20"/>
          <w:lang w:val="en-IN"/>
        </w:rPr>
        <w:t xml:space="preserve"> Targeted policy interventions are necessary to address these issues</w:t>
      </w:r>
      <w:r w:rsidRPr="008B686A">
        <w:rPr>
          <w:rFonts w:ascii="Arial" w:hAnsi="Arial" w:cs="Arial"/>
          <w:sz w:val="20"/>
          <w:szCs w:val="20"/>
          <w:lang w:val="en-IN"/>
        </w:rPr>
        <w:t>. Streamlining the registration process, increasing awareness in underrepresented areas, and promoting the benefits of GIs to authori</w:t>
      </w:r>
      <w:r w:rsidR="00FA1F12" w:rsidRPr="008B686A">
        <w:rPr>
          <w:rFonts w:ascii="Arial" w:hAnsi="Arial" w:cs="Arial"/>
          <w:sz w:val="20"/>
          <w:szCs w:val="20"/>
          <w:lang w:val="en-IN"/>
        </w:rPr>
        <w:t>s</w:t>
      </w:r>
      <w:r w:rsidRPr="008B686A">
        <w:rPr>
          <w:rFonts w:ascii="Arial" w:hAnsi="Arial" w:cs="Arial"/>
          <w:sz w:val="20"/>
          <w:szCs w:val="20"/>
          <w:lang w:val="en-IN"/>
        </w:rPr>
        <w:t>ed users</w:t>
      </w:r>
      <w:r w:rsidR="004C4AF4" w:rsidRPr="008B686A">
        <w:rPr>
          <w:rFonts w:ascii="Arial" w:hAnsi="Arial" w:cs="Arial"/>
          <w:sz w:val="20"/>
          <w:szCs w:val="20"/>
          <w:lang w:val="en-IN"/>
        </w:rPr>
        <w:t xml:space="preserve"> </w:t>
      </w:r>
      <w:r w:rsidR="00FA1F12" w:rsidRPr="008B686A">
        <w:rPr>
          <w:rFonts w:ascii="Arial" w:hAnsi="Arial" w:cs="Arial"/>
          <w:sz w:val="20"/>
          <w:szCs w:val="20"/>
          <w:lang w:val="en-IN"/>
        </w:rPr>
        <w:t>are</w:t>
      </w:r>
      <w:r w:rsidRPr="008B686A">
        <w:rPr>
          <w:rFonts w:ascii="Arial" w:hAnsi="Arial" w:cs="Arial"/>
          <w:sz w:val="20"/>
          <w:szCs w:val="20"/>
          <w:lang w:val="en-IN"/>
        </w:rPr>
        <w:t xml:space="preserve"> essential. Expanding GI recognition to a broader range of agricultural and forest products </w:t>
      </w:r>
      <w:r w:rsidR="004C4AF4" w:rsidRPr="008B686A">
        <w:rPr>
          <w:rFonts w:ascii="Arial" w:hAnsi="Arial" w:cs="Arial"/>
          <w:sz w:val="20"/>
          <w:szCs w:val="20"/>
          <w:lang w:val="en-IN"/>
        </w:rPr>
        <w:t xml:space="preserve">will </w:t>
      </w:r>
      <w:r w:rsidRPr="008B686A">
        <w:rPr>
          <w:rFonts w:ascii="Arial" w:hAnsi="Arial" w:cs="Arial"/>
          <w:sz w:val="20"/>
          <w:szCs w:val="20"/>
          <w:lang w:val="en-IN"/>
        </w:rPr>
        <w:t xml:space="preserve">preserve traditional knowledge and biodiversity while opening up global market opportunities. This </w:t>
      </w:r>
      <w:r w:rsidR="004C4AF4" w:rsidRPr="008B686A">
        <w:rPr>
          <w:rFonts w:ascii="Arial" w:hAnsi="Arial" w:cs="Arial"/>
          <w:sz w:val="20"/>
          <w:szCs w:val="20"/>
          <w:lang w:val="en-IN"/>
        </w:rPr>
        <w:t>will</w:t>
      </w:r>
      <w:r w:rsidRPr="008B686A">
        <w:rPr>
          <w:rFonts w:ascii="Arial" w:hAnsi="Arial" w:cs="Arial"/>
          <w:sz w:val="20"/>
          <w:szCs w:val="20"/>
          <w:lang w:val="en-IN"/>
        </w:rPr>
        <w:t xml:space="preserve"> </w:t>
      </w:r>
      <w:r w:rsidR="004C4AF4" w:rsidRPr="008B686A">
        <w:rPr>
          <w:rFonts w:ascii="Arial" w:hAnsi="Arial" w:cs="Arial"/>
          <w:sz w:val="20"/>
          <w:szCs w:val="20"/>
          <w:lang w:val="en-IN"/>
        </w:rPr>
        <w:t>support</w:t>
      </w:r>
      <w:r w:rsidRPr="008B686A">
        <w:rPr>
          <w:rFonts w:ascii="Arial" w:hAnsi="Arial" w:cs="Arial"/>
          <w:sz w:val="20"/>
          <w:szCs w:val="20"/>
          <w:lang w:val="en-IN"/>
        </w:rPr>
        <w:t xml:space="preserve"> sustainable development and economic growth for local communities. A more strategic and streamlined approach was required to ensure the long-term sustainability of GI products</w:t>
      </w:r>
      <w:r w:rsidR="004C4AF4" w:rsidRPr="008B686A">
        <w:rPr>
          <w:rFonts w:ascii="Arial" w:hAnsi="Arial" w:cs="Arial"/>
          <w:sz w:val="20"/>
          <w:szCs w:val="20"/>
          <w:lang w:val="en-IN"/>
        </w:rPr>
        <w:t xml:space="preserve"> in Inda</w:t>
      </w:r>
      <w:r w:rsidRPr="008B686A">
        <w:rPr>
          <w:rFonts w:ascii="Arial" w:hAnsi="Arial" w:cs="Arial"/>
          <w:sz w:val="20"/>
          <w:szCs w:val="20"/>
          <w:lang w:val="en-IN"/>
        </w:rPr>
        <w:t>, unlocking their full potential.</w:t>
      </w:r>
    </w:p>
    <w:p w14:paraId="3B28CE64" w14:textId="77777777" w:rsidR="00276CA3" w:rsidRDefault="00276CA3" w:rsidP="00276CA3">
      <w:pPr>
        <w:pStyle w:val="ReferHead"/>
        <w:spacing w:after="0"/>
        <w:jc w:val="both"/>
        <w:rPr>
          <w:rFonts w:ascii="Arial" w:hAnsi="Arial" w:cs="Arial"/>
          <w:bCs/>
        </w:rPr>
      </w:pPr>
    </w:p>
    <w:p w14:paraId="36181844" w14:textId="77777777" w:rsidR="00276CA3" w:rsidRDefault="00276CA3" w:rsidP="00276CA3">
      <w:pPr>
        <w:spacing w:after="0" w:line="236" w:lineRule="auto"/>
      </w:pPr>
      <w:r>
        <w:rPr>
          <w:rFonts w:ascii="Arial" w:eastAsia="Arial" w:hAnsi="Arial" w:cs="Arial"/>
          <w:b/>
        </w:rPr>
        <w:t xml:space="preserve">COMPETING INTERESTS </w:t>
      </w:r>
    </w:p>
    <w:p w14:paraId="5567C64A" w14:textId="77777777" w:rsidR="00276CA3" w:rsidRDefault="00276CA3" w:rsidP="00276CA3">
      <w:pPr>
        <w:spacing w:after="0" w:line="240" w:lineRule="auto"/>
      </w:pPr>
      <w:r>
        <w:rPr>
          <w:rFonts w:ascii="Arial" w:eastAsia="Arial" w:hAnsi="Arial" w:cs="Arial"/>
          <w:b/>
        </w:rPr>
        <w:t xml:space="preserve"> </w:t>
      </w:r>
    </w:p>
    <w:p w14:paraId="092ED9B5" w14:textId="77777777" w:rsidR="00276CA3" w:rsidRPr="00276CA3" w:rsidRDefault="00276CA3" w:rsidP="00276CA3">
      <w:pPr>
        <w:rPr>
          <w:rFonts w:ascii="Arial" w:hAnsi="Arial" w:cs="Arial"/>
          <w:sz w:val="20"/>
          <w:szCs w:val="20"/>
        </w:rPr>
      </w:pPr>
      <w:r w:rsidRPr="00276CA3">
        <w:rPr>
          <w:rFonts w:ascii="Arial" w:hAnsi="Arial" w:cs="Arial"/>
          <w:sz w:val="20"/>
          <w:szCs w:val="20"/>
        </w:rPr>
        <w:t xml:space="preserve">Authors have declared that no competing interests exist. </w:t>
      </w:r>
    </w:p>
    <w:p w14:paraId="7F568ACF" w14:textId="77777777" w:rsidR="00276CA3" w:rsidRPr="00276CA3" w:rsidRDefault="00276CA3" w:rsidP="00276CA3">
      <w:pPr>
        <w:pStyle w:val="ReferHead"/>
        <w:spacing w:after="0"/>
        <w:jc w:val="both"/>
        <w:rPr>
          <w:rFonts w:ascii="Arial" w:hAnsi="Arial" w:cs="Arial"/>
          <w:bCs/>
          <w:sz w:val="20"/>
        </w:rPr>
      </w:pPr>
    </w:p>
    <w:p w14:paraId="08C08201" w14:textId="0D0E51FF" w:rsidR="00CC6E4A" w:rsidRPr="00B32650" w:rsidRDefault="00B32650" w:rsidP="00B32650">
      <w:pPr>
        <w:pStyle w:val="ReferHead"/>
        <w:spacing w:after="0" w:line="480" w:lineRule="auto"/>
        <w:jc w:val="both"/>
        <w:rPr>
          <w:rFonts w:ascii="Arial" w:hAnsi="Arial" w:cs="Arial"/>
        </w:rPr>
      </w:pPr>
      <w:r w:rsidRPr="00FB3A86">
        <w:rPr>
          <w:rFonts w:ascii="Arial" w:hAnsi="Arial" w:cs="Arial"/>
        </w:rPr>
        <w:t>References</w:t>
      </w:r>
    </w:p>
    <w:p w14:paraId="7E31A0B4" w14:textId="77777777" w:rsidR="00B32650" w:rsidRPr="00B32650" w:rsidRDefault="00B32650" w:rsidP="00B32650">
      <w:pPr>
        <w:spacing w:after="0" w:line="480" w:lineRule="auto"/>
        <w:ind w:left="720" w:hanging="720"/>
        <w:jc w:val="both"/>
        <w:rPr>
          <w:rFonts w:ascii="Arial" w:hAnsi="Arial" w:cs="Arial"/>
          <w:sz w:val="20"/>
          <w:szCs w:val="20"/>
          <w14:ligatures w14:val="none"/>
        </w:rPr>
      </w:pPr>
      <w:r w:rsidRPr="00B32650">
        <w:rPr>
          <w:rFonts w:ascii="Arial" w:hAnsi="Arial" w:cs="Arial"/>
          <w:sz w:val="20"/>
          <w:szCs w:val="20"/>
          <w:lang w:val="en-IN"/>
        </w:rPr>
        <w:t xml:space="preserve">Ahmed MM, Kamble VM, Mahavidyalaya VN. Geographical Indications in Maharashtra. Journal of Intellectual Property Rights. 2022;27(1):38-41. Available: </w:t>
      </w:r>
      <w:hyperlink r:id="rId12" w:tgtFrame="_new" w:history="1">
        <w:r w:rsidRPr="00B32650">
          <w:rPr>
            <w:rStyle w:val="Hyperlink"/>
            <w:rFonts w:ascii="Arial" w:hAnsi="Arial" w:cs="Arial"/>
            <w:sz w:val="20"/>
            <w:szCs w:val="20"/>
            <w:lang w:val="en-IN"/>
          </w:rPr>
          <w:t>http://op.niscpr.res.in/index.php/JIPR/article/view/51034/0</w:t>
        </w:r>
      </w:hyperlink>
    </w:p>
    <w:p w14:paraId="50EF146C" w14:textId="77777777" w:rsidR="00B32650" w:rsidRPr="00B32650" w:rsidRDefault="00B32650" w:rsidP="00B32650">
      <w:pPr>
        <w:spacing w:after="0" w:line="480" w:lineRule="auto"/>
        <w:ind w:left="720" w:hanging="720"/>
        <w:jc w:val="both"/>
        <w:rPr>
          <w:rFonts w:ascii="Arial" w:hAnsi="Arial" w:cs="Arial"/>
          <w:sz w:val="20"/>
          <w:szCs w:val="20"/>
          <w14:ligatures w14:val="none"/>
        </w:rPr>
      </w:pPr>
      <w:r w:rsidRPr="00B32650">
        <w:rPr>
          <w:rFonts w:ascii="Arial" w:hAnsi="Arial" w:cs="Arial"/>
          <w:sz w:val="20"/>
          <w:szCs w:val="20"/>
          <w:lang w:val="en-IN"/>
        </w:rPr>
        <w:lastRenderedPageBreak/>
        <w:t xml:space="preserve">Chaudhary RC, Yadav SK, Kumar S. Geographical indications in Indian agriculture on the anvil. </w:t>
      </w:r>
      <w:r w:rsidRPr="00B32650">
        <w:rPr>
          <w:rFonts w:ascii="Arial" w:hAnsi="Arial" w:cs="Arial"/>
          <w:sz w:val="20"/>
          <w:szCs w:val="20"/>
        </w:rPr>
        <w:t>Journal of Bio Innovation</w:t>
      </w:r>
      <w:r w:rsidRPr="00B32650">
        <w:rPr>
          <w:rFonts w:ascii="Arial" w:hAnsi="Arial" w:cs="Arial"/>
          <w:sz w:val="20"/>
          <w:szCs w:val="20"/>
          <w:lang w:val="en-IN"/>
        </w:rPr>
        <w:t>. 2017;6(5):790-816.</w:t>
      </w:r>
    </w:p>
    <w:p w14:paraId="7EEF56F6" w14:textId="77777777" w:rsidR="00B32650" w:rsidRPr="00DA1CB4" w:rsidRDefault="00B32650" w:rsidP="00B32650">
      <w:pPr>
        <w:spacing w:after="0" w:line="480" w:lineRule="auto"/>
        <w:ind w:left="720" w:hanging="720"/>
        <w:jc w:val="both"/>
        <w:rPr>
          <w:rFonts w:ascii="Arial" w:hAnsi="Arial" w:cs="Arial"/>
          <w:sz w:val="20"/>
          <w:szCs w:val="20"/>
          <w14:ligatures w14:val="none"/>
        </w:rPr>
      </w:pPr>
      <w:r w:rsidRPr="00DA1CB4">
        <w:rPr>
          <w:rFonts w:ascii="Arial" w:hAnsi="Arial" w:cs="Arial"/>
          <w:sz w:val="20"/>
          <w:szCs w:val="20"/>
          <w:lang w:val="en-IN"/>
        </w:rPr>
        <w:t xml:space="preserve">Intellectual Property India. Geographical indications [Internet]. 2024 Sep 15. Available: </w:t>
      </w:r>
      <w:hyperlink r:id="rId13" w:tgtFrame="_new" w:history="1">
        <w:r w:rsidRPr="00DA1CB4">
          <w:rPr>
            <w:rStyle w:val="Hyperlink"/>
            <w:rFonts w:ascii="Arial" w:hAnsi="Arial" w:cs="Arial"/>
            <w:sz w:val="20"/>
            <w:szCs w:val="20"/>
            <w:lang w:val="en-IN"/>
          </w:rPr>
          <w:t>https://www.ipindia.gov.in/gi.htm</w:t>
        </w:r>
      </w:hyperlink>
    </w:p>
    <w:p w14:paraId="3EE81281" w14:textId="77777777" w:rsidR="00B32650" w:rsidRPr="00DA1CB4" w:rsidRDefault="00B32650" w:rsidP="00B32650">
      <w:pPr>
        <w:spacing w:after="0" w:line="480" w:lineRule="auto"/>
        <w:ind w:left="720" w:hanging="720"/>
        <w:jc w:val="both"/>
        <w:rPr>
          <w:rFonts w:ascii="Arial" w:hAnsi="Arial" w:cs="Arial"/>
          <w:sz w:val="20"/>
          <w:szCs w:val="20"/>
          <w14:ligatures w14:val="none"/>
        </w:rPr>
      </w:pPr>
      <w:r w:rsidRPr="00DA1CB4">
        <w:rPr>
          <w:rFonts w:ascii="Arial" w:hAnsi="Arial" w:cs="Arial"/>
          <w:sz w:val="20"/>
          <w:szCs w:val="20"/>
          <w:lang w:val="en-IN"/>
        </w:rPr>
        <w:t xml:space="preserve">Lukose LP. Additional protection for geographical indications in India: A critical and empirical analysis of the working of section 22(2) of Indian GI act. Journal </w:t>
      </w:r>
      <w:proofErr w:type="gramStart"/>
      <w:r w:rsidRPr="00DA1CB4">
        <w:rPr>
          <w:rFonts w:ascii="Arial" w:hAnsi="Arial" w:cs="Arial"/>
          <w:sz w:val="20"/>
          <w:szCs w:val="20"/>
          <w:lang w:val="en-IN"/>
        </w:rPr>
        <w:t>of  Intellectual</w:t>
      </w:r>
      <w:proofErr w:type="gramEnd"/>
      <w:r w:rsidRPr="00DA1CB4">
        <w:rPr>
          <w:rFonts w:ascii="Arial" w:hAnsi="Arial" w:cs="Arial"/>
          <w:sz w:val="20"/>
          <w:szCs w:val="20"/>
          <w:lang w:val="en-IN"/>
        </w:rPr>
        <w:t xml:space="preserve"> Property Rights. 2022;27(5):325-332. </w:t>
      </w:r>
      <w:hyperlink r:id="rId14" w:tgtFrame="_new" w:history="1">
        <w:r w:rsidRPr="00DA1CB4">
          <w:rPr>
            <w:rStyle w:val="Hyperlink"/>
            <w:rFonts w:ascii="Arial" w:hAnsi="Arial" w:cs="Arial"/>
            <w:sz w:val="20"/>
            <w:szCs w:val="20"/>
            <w:lang w:val="en-IN"/>
          </w:rPr>
          <w:t>https://doi.org/10.56042/jipr.v27i5.62742</w:t>
        </w:r>
      </w:hyperlink>
    </w:p>
    <w:p w14:paraId="681AB182" w14:textId="77777777" w:rsidR="00B32650" w:rsidRPr="00DA1CB4" w:rsidRDefault="00B32650" w:rsidP="00B32650">
      <w:pPr>
        <w:spacing w:after="0" w:line="480" w:lineRule="auto"/>
        <w:ind w:left="720" w:hanging="720"/>
        <w:jc w:val="both"/>
        <w:rPr>
          <w:rFonts w:ascii="Arial" w:hAnsi="Arial" w:cs="Arial"/>
          <w:sz w:val="20"/>
          <w:szCs w:val="20"/>
          <w14:ligatures w14:val="none"/>
        </w:rPr>
      </w:pPr>
      <w:r w:rsidRPr="00DA1CB4">
        <w:rPr>
          <w:rFonts w:ascii="Arial" w:hAnsi="Arial" w:cs="Arial"/>
          <w:sz w:val="20"/>
          <w:szCs w:val="20"/>
          <w:lang w:val="en-IN"/>
        </w:rPr>
        <w:t xml:space="preserve">Meena BL, Khan SA, Srivastava V. Current scenario of GI-certified mango varieties in India. Economic Affairs. 2022;67(4):681-690. </w:t>
      </w:r>
      <w:hyperlink r:id="rId15" w:tgtFrame="_new" w:history="1">
        <w:r w:rsidRPr="00DA1CB4">
          <w:rPr>
            <w:rStyle w:val="Hyperlink"/>
            <w:rFonts w:ascii="Arial" w:hAnsi="Arial" w:cs="Arial"/>
            <w:sz w:val="20"/>
            <w:szCs w:val="20"/>
            <w:lang w:val="en-IN"/>
          </w:rPr>
          <w:t>https://doi.org/10.46852/0424-2513.4.2022.34</w:t>
        </w:r>
      </w:hyperlink>
    </w:p>
    <w:p w14:paraId="6318AF7A" w14:textId="77777777" w:rsidR="00B32650" w:rsidRPr="00DA1CB4" w:rsidRDefault="00B32650" w:rsidP="00B32650">
      <w:pPr>
        <w:spacing w:after="0" w:line="480" w:lineRule="auto"/>
        <w:ind w:left="720" w:hanging="720"/>
        <w:jc w:val="both"/>
        <w:rPr>
          <w:rFonts w:ascii="Arial" w:hAnsi="Arial" w:cs="Arial"/>
          <w:sz w:val="20"/>
          <w:szCs w:val="20"/>
          <w14:ligatures w14:val="none"/>
        </w:rPr>
      </w:pPr>
      <w:proofErr w:type="spellStart"/>
      <w:r w:rsidRPr="00DA1CB4">
        <w:rPr>
          <w:rFonts w:ascii="Arial" w:hAnsi="Arial" w:cs="Arial"/>
          <w:sz w:val="20"/>
          <w:szCs w:val="20"/>
          <w:lang w:val="en-IN"/>
        </w:rPr>
        <w:t>Pangging</w:t>
      </w:r>
      <w:proofErr w:type="spellEnd"/>
      <w:r w:rsidRPr="00DA1CB4">
        <w:rPr>
          <w:rFonts w:ascii="Arial" w:hAnsi="Arial" w:cs="Arial"/>
          <w:sz w:val="20"/>
          <w:szCs w:val="20"/>
          <w:lang w:val="en-IN"/>
        </w:rPr>
        <w:t xml:space="preserve"> G, Sharma MB, Sharma CL, Rai N, Gogoi J. Status of Geographical Indications in the Northeast Region of India. J Intellect Prop Rights. 2023;28(4):304-311. </w:t>
      </w:r>
      <w:hyperlink r:id="rId16" w:tgtFrame="_new" w:history="1">
        <w:r w:rsidRPr="00DA1CB4">
          <w:rPr>
            <w:rStyle w:val="Hyperlink"/>
            <w:rFonts w:ascii="Arial" w:hAnsi="Arial" w:cs="Arial"/>
            <w:sz w:val="20"/>
            <w:szCs w:val="20"/>
            <w:lang w:val="en-IN"/>
          </w:rPr>
          <w:t>https://doi.org/10.56042/jipr.v28i4.743</w:t>
        </w:r>
      </w:hyperlink>
    </w:p>
    <w:p w14:paraId="4510C0B3" w14:textId="77777777" w:rsidR="00B32650" w:rsidRPr="00DA1CB4" w:rsidRDefault="00B32650" w:rsidP="00B32650">
      <w:pPr>
        <w:numPr>
          <w:ilvl w:val="0"/>
          <w:numId w:val="5"/>
        </w:numPr>
        <w:spacing w:after="0" w:line="480" w:lineRule="auto"/>
        <w:jc w:val="both"/>
        <w:rPr>
          <w:rFonts w:ascii="Arial" w:hAnsi="Arial" w:cs="Arial"/>
          <w:sz w:val="20"/>
          <w:szCs w:val="20"/>
          <w14:ligatures w14:val="none"/>
        </w:rPr>
      </w:pPr>
      <w:r w:rsidRPr="00DA1CB4">
        <w:rPr>
          <w:rFonts w:ascii="Arial" w:hAnsi="Arial" w:cs="Arial"/>
          <w:sz w:val="20"/>
          <w:szCs w:val="20"/>
          <w:lang w:val="en-IN"/>
        </w:rPr>
        <w:t xml:space="preserve">Raimondi V, </w:t>
      </w:r>
      <w:proofErr w:type="spellStart"/>
      <w:r w:rsidRPr="00DA1CB4">
        <w:rPr>
          <w:rFonts w:ascii="Arial" w:hAnsi="Arial" w:cs="Arial"/>
          <w:sz w:val="20"/>
          <w:szCs w:val="20"/>
          <w:lang w:val="en-IN"/>
        </w:rPr>
        <w:t>Curzi</w:t>
      </w:r>
      <w:proofErr w:type="spellEnd"/>
      <w:r w:rsidRPr="00DA1CB4">
        <w:rPr>
          <w:rFonts w:ascii="Arial" w:hAnsi="Arial" w:cs="Arial"/>
          <w:sz w:val="20"/>
          <w:szCs w:val="20"/>
          <w:lang w:val="en-IN"/>
        </w:rPr>
        <w:t xml:space="preserve"> D, </w:t>
      </w:r>
      <w:proofErr w:type="spellStart"/>
      <w:r w:rsidRPr="00DA1CB4">
        <w:rPr>
          <w:rFonts w:ascii="Arial" w:hAnsi="Arial" w:cs="Arial"/>
          <w:sz w:val="20"/>
          <w:szCs w:val="20"/>
          <w:lang w:val="en-IN"/>
        </w:rPr>
        <w:t>Arfini</w:t>
      </w:r>
      <w:proofErr w:type="spellEnd"/>
      <w:r w:rsidRPr="00DA1CB4">
        <w:rPr>
          <w:rFonts w:ascii="Arial" w:hAnsi="Arial" w:cs="Arial"/>
          <w:sz w:val="20"/>
          <w:szCs w:val="20"/>
          <w:lang w:val="en-IN"/>
        </w:rPr>
        <w:t xml:space="preserve"> F, Falco C. Dynamic and spatial approaches to assess the impact of geographical indications on rural areas. Journal of Rural Studies. </w:t>
      </w:r>
      <w:proofErr w:type="gramStart"/>
      <w:r w:rsidRPr="00DA1CB4">
        <w:rPr>
          <w:rFonts w:ascii="Arial" w:hAnsi="Arial" w:cs="Arial"/>
          <w:sz w:val="20"/>
          <w:szCs w:val="20"/>
          <w:lang w:val="en-IN"/>
        </w:rPr>
        <w:t>2024;108:103279</w:t>
      </w:r>
      <w:proofErr w:type="gramEnd"/>
      <w:r w:rsidRPr="00DA1CB4">
        <w:rPr>
          <w:rFonts w:ascii="Arial" w:hAnsi="Arial" w:cs="Arial"/>
          <w:sz w:val="20"/>
          <w:szCs w:val="20"/>
          <w:lang w:val="en-IN"/>
        </w:rPr>
        <w:t xml:space="preserve">. </w:t>
      </w:r>
      <w:hyperlink r:id="rId17" w:tgtFrame="_new" w:history="1">
        <w:r w:rsidRPr="00DA1CB4">
          <w:rPr>
            <w:rStyle w:val="Hyperlink"/>
            <w:rFonts w:ascii="Arial" w:hAnsi="Arial" w:cs="Arial"/>
            <w:sz w:val="20"/>
            <w:szCs w:val="20"/>
            <w:lang w:val="en-IN"/>
          </w:rPr>
          <w:t>https://doi.org/10.1016/j.jrurstud.2024.103279</w:t>
        </w:r>
      </w:hyperlink>
    </w:p>
    <w:p w14:paraId="2EBD63A7" w14:textId="36E412EE" w:rsidR="00B32650" w:rsidRPr="00DA1CB4" w:rsidRDefault="00B32650" w:rsidP="00B32650">
      <w:pPr>
        <w:spacing w:after="0" w:line="480" w:lineRule="auto"/>
        <w:ind w:left="720" w:hanging="720"/>
        <w:jc w:val="both"/>
        <w:rPr>
          <w:rFonts w:ascii="Arial" w:hAnsi="Arial" w:cs="Arial"/>
          <w:sz w:val="20"/>
          <w:szCs w:val="20"/>
          <w14:ligatures w14:val="none"/>
        </w:rPr>
      </w:pPr>
      <w:proofErr w:type="spellStart"/>
      <w:r w:rsidRPr="00DA1CB4">
        <w:rPr>
          <w:rFonts w:ascii="Arial" w:hAnsi="Arial" w:cs="Arial"/>
          <w:sz w:val="20"/>
          <w:szCs w:val="20"/>
          <w:lang w:val="en-IN"/>
        </w:rPr>
        <w:t>Saikia</w:t>
      </w:r>
      <w:proofErr w:type="spellEnd"/>
      <w:r w:rsidRPr="00DA1CB4">
        <w:rPr>
          <w:rFonts w:ascii="Arial" w:hAnsi="Arial" w:cs="Arial"/>
          <w:sz w:val="20"/>
          <w:szCs w:val="20"/>
          <w:lang w:val="en-IN"/>
        </w:rPr>
        <w:t xml:space="preserve"> JB, </w:t>
      </w:r>
      <w:proofErr w:type="spellStart"/>
      <w:r w:rsidRPr="00DA1CB4">
        <w:rPr>
          <w:rFonts w:ascii="Arial" w:hAnsi="Arial" w:cs="Arial"/>
          <w:sz w:val="20"/>
          <w:szCs w:val="20"/>
          <w:lang w:val="en-IN"/>
        </w:rPr>
        <w:t>Bhagobaty</w:t>
      </w:r>
      <w:proofErr w:type="spellEnd"/>
      <w:r w:rsidRPr="00DA1CB4">
        <w:rPr>
          <w:rFonts w:ascii="Arial" w:hAnsi="Arial" w:cs="Arial"/>
          <w:sz w:val="20"/>
          <w:szCs w:val="20"/>
          <w:lang w:val="en-IN"/>
        </w:rPr>
        <w:t xml:space="preserve"> RK, Deb P. Crafting Market Opportunities through GIs: A Review on Spices of North-East India. Journal of</w:t>
      </w:r>
      <w:r w:rsidR="002B5871" w:rsidRPr="00DA1CB4">
        <w:rPr>
          <w:rFonts w:ascii="Arial" w:hAnsi="Arial" w:cs="Arial"/>
          <w:sz w:val="20"/>
          <w:szCs w:val="20"/>
          <w:lang w:val="en-IN"/>
        </w:rPr>
        <w:t xml:space="preserve"> </w:t>
      </w:r>
      <w:r w:rsidRPr="00DA1CB4">
        <w:rPr>
          <w:rFonts w:ascii="Arial" w:hAnsi="Arial" w:cs="Arial"/>
          <w:sz w:val="20"/>
          <w:szCs w:val="20"/>
          <w:lang w:val="en-IN"/>
        </w:rPr>
        <w:t xml:space="preserve">Intellectual Property Rights. 2024;29(4). </w:t>
      </w:r>
      <w:hyperlink r:id="rId18" w:tgtFrame="_new" w:history="1">
        <w:r w:rsidRPr="00DA1CB4">
          <w:rPr>
            <w:rStyle w:val="Hyperlink"/>
            <w:rFonts w:ascii="Arial" w:hAnsi="Arial" w:cs="Arial"/>
            <w:sz w:val="20"/>
            <w:szCs w:val="20"/>
            <w:lang w:val="en-IN"/>
          </w:rPr>
          <w:t>https://doi.org/10.56042/jipr.v29i4.252</w:t>
        </w:r>
      </w:hyperlink>
    </w:p>
    <w:p w14:paraId="32A4C23A" w14:textId="77777777" w:rsidR="00B32650" w:rsidRPr="00276CA3" w:rsidRDefault="00B32650" w:rsidP="00B32650">
      <w:pPr>
        <w:spacing w:after="0" w:line="480" w:lineRule="auto"/>
        <w:ind w:left="720" w:hanging="720"/>
        <w:jc w:val="both"/>
        <w:rPr>
          <w:rFonts w:ascii="Arial" w:hAnsi="Arial" w:cs="Arial"/>
          <w:sz w:val="20"/>
          <w:szCs w:val="20"/>
          <w14:ligatures w14:val="none"/>
        </w:rPr>
      </w:pPr>
      <w:r w:rsidRPr="00276CA3">
        <w:rPr>
          <w:rFonts w:ascii="Arial" w:hAnsi="Arial" w:cs="Arial"/>
          <w:sz w:val="20"/>
          <w:szCs w:val="20"/>
          <w:lang w:val="en-IN"/>
        </w:rPr>
        <w:t>Sorgho Z, Larue B. Geographical indication regulation and intra</w:t>
      </w:r>
      <w:r w:rsidRPr="00276CA3">
        <w:rPr>
          <w:rFonts w:ascii="Cambria Math" w:hAnsi="Cambria Math" w:cs="Cambria Math"/>
          <w:sz w:val="20"/>
          <w:szCs w:val="20"/>
          <w:lang w:val="en-IN"/>
        </w:rPr>
        <w:t>‐</w:t>
      </w:r>
      <w:r w:rsidRPr="00276CA3">
        <w:rPr>
          <w:rFonts w:ascii="Arial" w:hAnsi="Arial" w:cs="Arial"/>
          <w:sz w:val="20"/>
          <w:szCs w:val="20"/>
          <w:lang w:val="en-IN"/>
        </w:rPr>
        <w:t xml:space="preserve">trade in the European Union. </w:t>
      </w:r>
      <w:r w:rsidRPr="00276CA3">
        <w:rPr>
          <w:rFonts w:ascii="Arial" w:hAnsi="Arial" w:cs="Arial"/>
          <w:sz w:val="20"/>
          <w:szCs w:val="20"/>
        </w:rPr>
        <w:t>Agricultural Economics</w:t>
      </w:r>
      <w:r w:rsidRPr="00276CA3">
        <w:rPr>
          <w:rFonts w:ascii="Arial" w:hAnsi="Arial" w:cs="Arial"/>
          <w:sz w:val="20"/>
          <w:szCs w:val="20"/>
          <w:lang w:val="en-IN"/>
        </w:rPr>
        <w:t xml:space="preserve">. 2014;45(S1):1–12. </w:t>
      </w:r>
      <w:hyperlink r:id="rId19" w:tgtFrame="_new" w:history="1">
        <w:r w:rsidRPr="00276CA3">
          <w:rPr>
            <w:rStyle w:val="Hyperlink"/>
            <w:rFonts w:ascii="Arial" w:hAnsi="Arial" w:cs="Arial"/>
            <w:sz w:val="20"/>
            <w:szCs w:val="20"/>
            <w:lang w:val="en-IN"/>
          </w:rPr>
          <w:t>https://doi.org/10.1111/agec.12125</w:t>
        </w:r>
      </w:hyperlink>
    </w:p>
    <w:p w14:paraId="75BC0CA0" w14:textId="77777777" w:rsidR="00B32650" w:rsidRPr="00276CA3" w:rsidRDefault="00B32650" w:rsidP="00B32650">
      <w:pPr>
        <w:spacing w:after="0" w:line="480" w:lineRule="auto"/>
        <w:ind w:left="720" w:hanging="720"/>
        <w:jc w:val="both"/>
        <w:rPr>
          <w:rFonts w:ascii="Arial" w:hAnsi="Arial" w:cs="Arial"/>
          <w:sz w:val="20"/>
          <w:szCs w:val="20"/>
          <w14:ligatures w14:val="none"/>
        </w:rPr>
      </w:pPr>
      <w:r w:rsidRPr="00276CA3">
        <w:rPr>
          <w:rFonts w:ascii="Arial" w:hAnsi="Arial" w:cs="Arial"/>
          <w:sz w:val="20"/>
          <w:szCs w:val="20"/>
          <w:lang w:val="en-IN"/>
        </w:rPr>
        <w:t xml:space="preserve">World Intellectual Property Organization (WIPO). World Intellectual Property Indicators 2023. Geneva: WIPO; 2023. p. 160-166. </w:t>
      </w:r>
      <w:hyperlink r:id="rId20" w:tgtFrame="_new" w:history="1">
        <w:r w:rsidRPr="00276CA3">
          <w:rPr>
            <w:rStyle w:val="Hyperlink"/>
            <w:rFonts w:ascii="Arial" w:hAnsi="Arial" w:cs="Arial"/>
            <w:sz w:val="20"/>
            <w:szCs w:val="20"/>
            <w:lang w:val="en-IN"/>
          </w:rPr>
          <w:t>https://doi.org/10.34667/tind.48541</w:t>
        </w:r>
      </w:hyperlink>
    </w:p>
    <w:p w14:paraId="0DDC1CAB" w14:textId="77777777" w:rsidR="00D31316" w:rsidRPr="00276CA3" w:rsidRDefault="00B32650" w:rsidP="00D31316">
      <w:pPr>
        <w:spacing w:after="0" w:line="480" w:lineRule="auto"/>
        <w:ind w:left="720" w:hanging="720"/>
        <w:jc w:val="both"/>
        <w:rPr>
          <w:rFonts w:ascii="Arial" w:hAnsi="Arial" w:cs="Arial"/>
          <w:sz w:val="20"/>
          <w:szCs w:val="20"/>
          <w14:ligatures w14:val="none"/>
        </w:rPr>
      </w:pPr>
      <w:r w:rsidRPr="00276CA3">
        <w:rPr>
          <w:rFonts w:ascii="Arial" w:hAnsi="Arial" w:cs="Arial"/>
          <w:sz w:val="20"/>
          <w:szCs w:val="20"/>
          <w:lang w:val="en-IN"/>
        </w:rPr>
        <w:t>Yin X, Li J, Wu J, Cao R, Xin S, Liu J. Impacts of Geographical Indications on Agricultural Growth and Farmers’ Income in Rural China. Agriculture. 2024;14(1):113.</w:t>
      </w:r>
      <w:r w:rsidRPr="00B32650">
        <w:rPr>
          <w:rFonts w:ascii="Arial" w:hAnsi="Arial" w:cs="Arial"/>
          <w:sz w:val="20"/>
          <w:szCs w:val="20"/>
          <w:lang w:val="en-IN"/>
        </w:rPr>
        <w:t xml:space="preserve"> </w:t>
      </w:r>
      <w:hyperlink r:id="rId21" w:tgtFrame="_new" w:history="1">
        <w:r w:rsidRPr="00276CA3">
          <w:rPr>
            <w:rStyle w:val="Hyperlink"/>
            <w:rFonts w:ascii="Arial" w:hAnsi="Arial" w:cs="Arial"/>
            <w:sz w:val="20"/>
            <w:szCs w:val="20"/>
            <w:lang w:val="en-IN"/>
          </w:rPr>
          <w:t>https://doi.org/10.3390/agriculture14010113</w:t>
        </w:r>
      </w:hyperlink>
    </w:p>
    <w:p w14:paraId="638B9DCD" w14:textId="7577BEB5" w:rsidR="00B32650" w:rsidRPr="00276CA3" w:rsidRDefault="00B32650" w:rsidP="00D31316">
      <w:pPr>
        <w:spacing w:after="0" w:line="480" w:lineRule="auto"/>
        <w:ind w:left="720" w:hanging="720"/>
        <w:jc w:val="both"/>
        <w:rPr>
          <w:rFonts w:ascii="Arial" w:hAnsi="Arial" w:cs="Arial"/>
          <w:sz w:val="20"/>
          <w:szCs w:val="20"/>
          <w14:ligatures w14:val="none"/>
        </w:rPr>
      </w:pPr>
      <w:r w:rsidRPr="00276CA3">
        <w:rPr>
          <w:rFonts w:ascii="Arial" w:hAnsi="Arial" w:cs="Arial"/>
          <w:sz w:val="20"/>
          <w:szCs w:val="20"/>
          <w:lang w:val="en-IN"/>
        </w:rPr>
        <w:t xml:space="preserve">Zhang S, Sun Y, Yu X, Zhang Y. Geographical Indication, Agricultural Products Export, and Urban-Rural Income Gap. Agriculture. 2023;13(2):378. </w:t>
      </w:r>
      <w:hyperlink r:id="rId22" w:tgtFrame="_new" w:history="1">
        <w:r w:rsidRPr="00276CA3">
          <w:rPr>
            <w:rStyle w:val="Hyperlink"/>
            <w:rFonts w:ascii="Arial" w:hAnsi="Arial" w:cs="Arial"/>
            <w:sz w:val="20"/>
            <w:szCs w:val="20"/>
            <w:lang w:val="en-IN"/>
          </w:rPr>
          <w:t>https://doi.org/10.3390/agriculture13020378</w:t>
        </w:r>
      </w:hyperlink>
    </w:p>
    <w:p w14:paraId="2C99EAD8" w14:textId="1DD61BB1" w:rsidR="00CC6E4A" w:rsidRPr="00E94BFE" w:rsidRDefault="00CC6E4A" w:rsidP="0003188C">
      <w:pPr>
        <w:spacing w:after="0" w:line="480" w:lineRule="auto"/>
        <w:ind w:left="720" w:hanging="720"/>
        <w:jc w:val="both"/>
        <w:rPr>
          <w:rFonts w:ascii="Times New Roman" w:hAnsi="Times New Roman" w:cs="Times New Roman"/>
          <w:sz w:val="20"/>
          <w:szCs w:val="20"/>
          <w14:ligatures w14:val="none"/>
        </w:rPr>
      </w:pPr>
      <w:r w:rsidRPr="00E94BFE">
        <w:rPr>
          <w:rFonts w:ascii="Times New Roman" w:hAnsi="Times New Roman" w:cs="Times New Roman"/>
          <w:sz w:val="20"/>
          <w:szCs w:val="20"/>
        </w:rPr>
        <w:t xml:space="preserve"> </w:t>
      </w:r>
    </w:p>
    <w:sectPr w:rsidR="00CC6E4A" w:rsidRPr="00E94BFE" w:rsidSect="00D113AE">
      <w:headerReference w:type="even" r:id="rId23"/>
      <w:headerReference w:type="default" r:id="rId24"/>
      <w:footerReference w:type="even" r:id="rId25"/>
      <w:footerReference w:type="default" r:id="rId26"/>
      <w:headerReference w:type="first" r:id="rId27"/>
      <w:footerReference w:type="first" r:id="rId28"/>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DF9AF" w14:textId="77777777" w:rsidR="00C8189B" w:rsidRDefault="00C8189B" w:rsidP="00FA070B">
      <w:pPr>
        <w:spacing w:after="0" w:line="240" w:lineRule="auto"/>
      </w:pPr>
      <w:r>
        <w:separator/>
      </w:r>
    </w:p>
  </w:endnote>
  <w:endnote w:type="continuationSeparator" w:id="0">
    <w:p w14:paraId="27CC3B98" w14:textId="77777777" w:rsidR="00C8189B" w:rsidRDefault="00C8189B" w:rsidP="00FA0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EDBA7" w14:textId="77777777" w:rsidR="00FA070B" w:rsidRDefault="00FA0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E13F2" w14:textId="77777777" w:rsidR="00FA070B" w:rsidRDefault="00FA07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125DB" w14:textId="77777777" w:rsidR="00FA070B" w:rsidRDefault="00FA0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596D3" w14:textId="77777777" w:rsidR="00C8189B" w:rsidRDefault="00C8189B" w:rsidP="00FA070B">
      <w:pPr>
        <w:spacing w:after="0" w:line="240" w:lineRule="auto"/>
      </w:pPr>
      <w:r>
        <w:separator/>
      </w:r>
    </w:p>
  </w:footnote>
  <w:footnote w:type="continuationSeparator" w:id="0">
    <w:p w14:paraId="6D662614" w14:textId="77777777" w:rsidR="00C8189B" w:rsidRDefault="00C8189B" w:rsidP="00FA0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96076" w14:textId="00998654" w:rsidR="00FA070B" w:rsidRDefault="00FA070B">
    <w:pPr>
      <w:pStyle w:val="Header"/>
    </w:pPr>
    <w:r>
      <w:rPr>
        <w:noProof/>
      </w:rPr>
      <w:pict w14:anchorId="00F2E0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088141"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B00F" w14:textId="4122D460" w:rsidR="00FA070B" w:rsidRDefault="00FA070B">
    <w:pPr>
      <w:pStyle w:val="Header"/>
    </w:pPr>
    <w:r>
      <w:rPr>
        <w:noProof/>
      </w:rPr>
      <w:pict w14:anchorId="122218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088142"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F69B6" w14:textId="209742DD" w:rsidR="00FA070B" w:rsidRDefault="00FA070B">
    <w:pPr>
      <w:pStyle w:val="Header"/>
    </w:pPr>
    <w:r>
      <w:rPr>
        <w:noProof/>
      </w:rPr>
      <w:pict w14:anchorId="7881A4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1088140"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C19FB"/>
    <w:multiLevelType w:val="hybridMultilevel"/>
    <w:tmpl w:val="E13EC8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F64760"/>
    <w:multiLevelType w:val="hybridMultilevel"/>
    <w:tmpl w:val="05DAC3DE"/>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 w15:restartNumberingAfterBreak="0">
    <w:nsid w:val="3B88155F"/>
    <w:multiLevelType w:val="multilevel"/>
    <w:tmpl w:val="1F289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D069FF"/>
    <w:multiLevelType w:val="multilevel"/>
    <w:tmpl w:val="665A2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9435BB"/>
    <w:multiLevelType w:val="hybridMultilevel"/>
    <w:tmpl w:val="ECA06F3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303"/>
    <w:rsid w:val="00004A9A"/>
    <w:rsid w:val="00016D5F"/>
    <w:rsid w:val="00023B13"/>
    <w:rsid w:val="0003188C"/>
    <w:rsid w:val="000552E1"/>
    <w:rsid w:val="00067193"/>
    <w:rsid w:val="00080EA7"/>
    <w:rsid w:val="00081DFE"/>
    <w:rsid w:val="00085BEF"/>
    <w:rsid w:val="00094085"/>
    <w:rsid w:val="00094C9E"/>
    <w:rsid w:val="000A2C3A"/>
    <w:rsid w:val="000B10A8"/>
    <w:rsid w:val="000B24F6"/>
    <w:rsid w:val="000C41C7"/>
    <w:rsid w:val="000D6D24"/>
    <w:rsid w:val="000E4412"/>
    <w:rsid w:val="0011494B"/>
    <w:rsid w:val="00115482"/>
    <w:rsid w:val="00146EBC"/>
    <w:rsid w:val="00150747"/>
    <w:rsid w:val="00175F5B"/>
    <w:rsid w:val="00180E21"/>
    <w:rsid w:val="00182153"/>
    <w:rsid w:val="00184E2B"/>
    <w:rsid w:val="00192A68"/>
    <w:rsid w:val="001C0BFA"/>
    <w:rsid w:val="001E3E8E"/>
    <w:rsid w:val="001F6478"/>
    <w:rsid w:val="0022223B"/>
    <w:rsid w:val="002312FC"/>
    <w:rsid w:val="00276CA3"/>
    <w:rsid w:val="0028221C"/>
    <w:rsid w:val="0029261C"/>
    <w:rsid w:val="002B5871"/>
    <w:rsid w:val="002C1FB1"/>
    <w:rsid w:val="002C5837"/>
    <w:rsid w:val="002D09DB"/>
    <w:rsid w:val="002E7C0D"/>
    <w:rsid w:val="003159EA"/>
    <w:rsid w:val="003310EC"/>
    <w:rsid w:val="003379A1"/>
    <w:rsid w:val="00341FA0"/>
    <w:rsid w:val="00351EA5"/>
    <w:rsid w:val="003542F8"/>
    <w:rsid w:val="00356C7E"/>
    <w:rsid w:val="003625A6"/>
    <w:rsid w:val="003844CA"/>
    <w:rsid w:val="003D7C4D"/>
    <w:rsid w:val="003F073B"/>
    <w:rsid w:val="003F1C4F"/>
    <w:rsid w:val="00414303"/>
    <w:rsid w:val="004418C2"/>
    <w:rsid w:val="0044697D"/>
    <w:rsid w:val="0047000F"/>
    <w:rsid w:val="0047223E"/>
    <w:rsid w:val="00480B0C"/>
    <w:rsid w:val="00486298"/>
    <w:rsid w:val="004938BE"/>
    <w:rsid w:val="004B2008"/>
    <w:rsid w:val="004C0936"/>
    <w:rsid w:val="004C4AF4"/>
    <w:rsid w:val="004E7247"/>
    <w:rsid w:val="00505AFE"/>
    <w:rsid w:val="005252B0"/>
    <w:rsid w:val="00541E1D"/>
    <w:rsid w:val="00566997"/>
    <w:rsid w:val="005823EF"/>
    <w:rsid w:val="005D696B"/>
    <w:rsid w:val="005D7377"/>
    <w:rsid w:val="005F525C"/>
    <w:rsid w:val="005F5E5A"/>
    <w:rsid w:val="0060334C"/>
    <w:rsid w:val="0062077E"/>
    <w:rsid w:val="00632466"/>
    <w:rsid w:val="00633E9F"/>
    <w:rsid w:val="0063560C"/>
    <w:rsid w:val="00650323"/>
    <w:rsid w:val="00674AD3"/>
    <w:rsid w:val="006857D7"/>
    <w:rsid w:val="006908EA"/>
    <w:rsid w:val="006A3B8B"/>
    <w:rsid w:val="006A4B91"/>
    <w:rsid w:val="006B4053"/>
    <w:rsid w:val="00735EDD"/>
    <w:rsid w:val="00737557"/>
    <w:rsid w:val="007E04AC"/>
    <w:rsid w:val="007F50C1"/>
    <w:rsid w:val="007F7536"/>
    <w:rsid w:val="007F7F38"/>
    <w:rsid w:val="00803E83"/>
    <w:rsid w:val="0082297C"/>
    <w:rsid w:val="008251E6"/>
    <w:rsid w:val="008334CE"/>
    <w:rsid w:val="00840599"/>
    <w:rsid w:val="00876005"/>
    <w:rsid w:val="008A066D"/>
    <w:rsid w:val="008B686A"/>
    <w:rsid w:val="008E55DD"/>
    <w:rsid w:val="008E66D9"/>
    <w:rsid w:val="00927221"/>
    <w:rsid w:val="00930155"/>
    <w:rsid w:val="00945A88"/>
    <w:rsid w:val="00945C14"/>
    <w:rsid w:val="00972A20"/>
    <w:rsid w:val="00991027"/>
    <w:rsid w:val="009B238A"/>
    <w:rsid w:val="009B25B5"/>
    <w:rsid w:val="009B2A4B"/>
    <w:rsid w:val="009C02F7"/>
    <w:rsid w:val="009D472F"/>
    <w:rsid w:val="009D773F"/>
    <w:rsid w:val="00A11A1B"/>
    <w:rsid w:val="00A459FA"/>
    <w:rsid w:val="00A4761C"/>
    <w:rsid w:val="00A6097C"/>
    <w:rsid w:val="00AA5481"/>
    <w:rsid w:val="00AE0525"/>
    <w:rsid w:val="00AE2A34"/>
    <w:rsid w:val="00AE3EA7"/>
    <w:rsid w:val="00B13E64"/>
    <w:rsid w:val="00B15A10"/>
    <w:rsid w:val="00B32650"/>
    <w:rsid w:val="00B33952"/>
    <w:rsid w:val="00B34819"/>
    <w:rsid w:val="00B5501B"/>
    <w:rsid w:val="00B66833"/>
    <w:rsid w:val="00BB3B47"/>
    <w:rsid w:val="00BE6243"/>
    <w:rsid w:val="00BE64C4"/>
    <w:rsid w:val="00BE6F01"/>
    <w:rsid w:val="00BF0D4F"/>
    <w:rsid w:val="00BF1831"/>
    <w:rsid w:val="00C12332"/>
    <w:rsid w:val="00C378DE"/>
    <w:rsid w:val="00C42111"/>
    <w:rsid w:val="00C521FB"/>
    <w:rsid w:val="00C606A0"/>
    <w:rsid w:val="00C608EF"/>
    <w:rsid w:val="00C61B42"/>
    <w:rsid w:val="00C63AD6"/>
    <w:rsid w:val="00C66B14"/>
    <w:rsid w:val="00C727C9"/>
    <w:rsid w:val="00C8189B"/>
    <w:rsid w:val="00C96A99"/>
    <w:rsid w:val="00CA3BB1"/>
    <w:rsid w:val="00CC4588"/>
    <w:rsid w:val="00CC4ACE"/>
    <w:rsid w:val="00CC6E4A"/>
    <w:rsid w:val="00CC7E9C"/>
    <w:rsid w:val="00CE0BF1"/>
    <w:rsid w:val="00CE3474"/>
    <w:rsid w:val="00CF52FC"/>
    <w:rsid w:val="00CF7697"/>
    <w:rsid w:val="00D113AE"/>
    <w:rsid w:val="00D11D41"/>
    <w:rsid w:val="00D31316"/>
    <w:rsid w:val="00D34263"/>
    <w:rsid w:val="00D51109"/>
    <w:rsid w:val="00D733E8"/>
    <w:rsid w:val="00D87C0B"/>
    <w:rsid w:val="00D90C5E"/>
    <w:rsid w:val="00DA1CB4"/>
    <w:rsid w:val="00DA2135"/>
    <w:rsid w:val="00E16224"/>
    <w:rsid w:val="00E27F9E"/>
    <w:rsid w:val="00E37894"/>
    <w:rsid w:val="00E530A0"/>
    <w:rsid w:val="00E73235"/>
    <w:rsid w:val="00E769AF"/>
    <w:rsid w:val="00E854A3"/>
    <w:rsid w:val="00E94BFE"/>
    <w:rsid w:val="00E96A89"/>
    <w:rsid w:val="00EF5440"/>
    <w:rsid w:val="00F20404"/>
    <w:rsid w:val="00F50E32"/>
    <w:rsid w:val="00F704F6"/>
    <w:rsid w:val="00F73EFE"/>
    <w:rsid w:val="00FA070B"/>
    <w:rsid w:val="00FA1F12"/>
    <w:rsid w:val="00FA296F"/>
    <w:rsid w:val="00FC1AC3"/>
    <w:rsid w:val="00FD1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C2FD9F8"/>
  <w15:chartTrackingRefBased/>
  <w15:docId w15:val="{623A2A08-389C-4D9D-84F6-165F1D0FB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30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1430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1430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1430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1430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143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3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3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3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30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1430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1430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1430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1430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14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303"/>
    <w:rPr>
      <w:rFonts w:eastAsiaTheme="majorEastAsia" w:cstheme="majorBidi"/>
      <w:color w:val="272727" w:themeColor="text1" w:themeTint="D8"/>
    </w:rPr>
  </w:style>
  <w:style w:type="paragraph" w:styleId="Title">
    <w:name w:val="Title"/>
    <w:basedOn w:val="Normal"/>
    <w:next w:val="Normal"/>
    <w:link w:val="TitleChar"/>
    <w:uiPriority w:val="10"/>
    <w:qFormat/>
    <w:rsid w:val="00414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30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3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4303"/>
    <w:rPr>
      <w:i/>
      <w:iCs/>
      <w:color w:val="404040" w:themeColor="text1" w:themeTint="BF"/>
    </w:rPr>
  </w:style>
  <w:style w:type="paragraph" w:styleId="ListParagraph">
    <w:name w:val="List Paragraph"/>
    <w:basedOn w:val="Normal"/>
    <w:uiPriority w:val="34"/>
    <w:qFormat/>
    <w:rsid w:val="00414303"/>
    <w:pPr>
      <w:ind w:left="720"/>
      <w:contextualSpacing/>
    </w:pPr>
  </w:style>
  <w:style w:type="character" w:styleId="IntenseEmphasis">
    <w:name w:val="Intense Emphasis"/>
    <w:basedOn w:val="DefaultParagraphFont"/>
    <w:uiPriority w:val="21"/>
    <w:qFormat/>
    <w:rsid w:val="00414303"/>
    <w:rPr>
      <w:i/>
      <w:iCs/>
      <w:color w:val="365F91" w:themeColor="accent1" w:themeShade="BF"/>
    </w:rPr>
  </w:style>
  <w:style w:type="paragraph" w:styleId="IntenseQuote">
    <w:name w:val="Intense Quote"/>
    <w:basedOn w:val="Normal"/>
    <w:next w:val="Normal"/>
    <w:link w:val="IntenseQuoteChar"/>
    <w:uiPriority w:val="30"/>
    <w:qFormat/>
    <w:rsid w:val="0041430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14303"/>
    <w:rPr>
      <w:i/>
      <w:iCs/>
      <w:color w:val="365F91" w:themeColor="accent1" w:themeShade="BF"/>
    </w:rPr>
  </w:style>
  <w:style w:type="character" w:styleId="IntenseReference">
    <w:name w:val="Intense Reference"/>
    <w:basedOn w:val="DefaultParagraphFont"/>
    <w:uiPriority w:val="32"/>
    <w:qFormat/>
    <w:rsid w:val="00414303"/>
    <w:rPr>
      <w:b/>
      <w:bCs/>
      <w:smallCaps/>
      <w:color w:val="365F91" w:themeColor="accent1" w:themeShade="BF"/>
      <w:spacing w:val="5"/>
    </w:rPr>
  </w:style>
  <w:style w:type="table" w:styleId="TableGrid">
    <w:name w:val="Table Grid"/>
    <w:basedOn w:val="TableNormal"/>
    <w:uiPriority w:val="59"/>
    <w:rsid w:val="00FA296F"/>
    <w:pPr>
      <w:spacing w:after="0" w:line="240" w:lineRule="auto"/>
    </w:pPr>
    <w:rPr>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938BE"/>
    <w:rPr>
      <w:color w:val="0000FF" w:themeColor="hyperlink"/>
      <w:u w:val="single"/>
    </w:rPr>
  </w:style>
  <w:style w:type="character" w:customStyle="1" w:styleId="UnresolvedMention1">
    <w:name w:val="Unresolved Mention1"/>
    <w:basedOn w:val="DefaultParagraphFont"/>
    <w:uiPriority w:val="99"/>
    <w:semiHidden/>
    <w:unhideWhenUsed/>
    <w:rsid w:val="004938BE"/>
    <w:rPr>
      <w:color w:val="605E5C"/>
      <w:shd w:val="clear" w:color="auto" w:fill="E1DFDD"/>
    </w:rPr>
  </w:style>
  <w:style w:type="paragraph" w:styleId="Caption">
    <w:name w:val="caption"/>
    <w:basedOn w:val="Normal"/>
    <w:next w:val="Normal"/>
    <w:uiPriority w:val="35"/>
    <w:unhideWhenUsed/>
    <w:qFormat/>
    <w:rsid w:val="009D773F"/>
    <w:pPr>
      <w:spacing w:line="240" w:lineRule="auto"/>
    </w:pPr>
    <w:rPr>
      <w:i/>
      <w:iCs/>
      <w:color w:val="1F497D" w:themeColor="text2"/>
      <w:sz w:val="18"/>
      <w:szCs w:val="18"/>
    </w:rPr>
  </w:style>
  <w:style w:type="paragraph" w:styleId="NormalWeb">
    <w:name w:val="Normal (Web)"/>
    <w:basedOn w:val="Normal"/>
    <w:uiPriority w:val="99"/>
    <w:semiHidden/>
    <w:unhideWhenUsed/>
    <w:rsid w:val="00480B0C"/>
    <w:rPr>
      <w:rFonts w:ascii="Times New Roman" w:hAnsi="Times New Roman" w:cs="Times New Roman"/>
      <w:sz w:val="24"/>
      <w:szCs w:val="24"/>
    </w:rPr>
  </w:style>
  <w:style w:type="table" w:styleId="PlainTable5">
    <w:name w:val="Plain Table 5"/>
    <w:basedOn w:val="TableNormal"/>
    <w:uiPriority w:val="45"/>
    <w:rsid w:val="0073755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7375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375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FA1F12"/>
    <w:rPr>
      <w:color w:val="800080" w:themeColor="followedHyperlink"/>
      <w:u w:val="single"/>
    </w:rPr>
  </w:style>
  <w:style w:type="character" w:customStyle="1" w:styleId="UnresolvedMention2">
    <w:name w:val="Unresolved Mention2"/>
    <w:basedOn w:val="DefaultParagraphFont"/>
    <w:uiPriority w:val="99"/>
    <w:semiHidden/>
    <w:unhideWhenUsed/>
    <w:rsid w:val="00876005"/>
    <w:rPr>
      <w:color w:val="605E5C"/>
      <w:shd w:val="clear" w:color="auto" w:fill="E1DFDD"/>
    </w:rPr>
  </w:style>
  <w:style w:type="paragraph" w:customStyle="1" w:styleId="AbstHead">
    <w:name w:val="Abst Head"/>
    <w:basedOn w:val="Normal"/>
    <w:rsid w:val="003D7C4D"/>
    <w:pPr>
      <w:keepNext/>
      <w:spacing w:after="240" w:line="240" w:lineRule="auto"/>
    </w:pPr>
    <w:rPr>
      <w:rFonts w:ascii="Helvetica" w:eastAsia="Times New Roman" w:hAnsi="Helvetica" w:cs="Times New Roman"/>
      <w:b/>
      <w:caps/>
      <w:kern w:val="0"/>
      <w:szCs w:val="20"/>
      <w14:ligatures w14:val="none"/>
    </w:rPr>
  </w:style>
  <w:style w:type="paragraph" w:customStyle="1" w:styleId="Head1">
    <w:name w:val="Head1"/>
    <w:basedOn w:val="Normal"/>
    <w:rsid w:val="003D7C4D"/>
    <w:pPr>
      <w:keepNext/>
      <w:spacing w:after="240" w:line="240" w:lineRule="auto"/>
    </w:pPr>
    <w:rPr>
      <w:rFonts w:ascii="Helvetica" w:eastAsia="Times New Roman" w:hAnsi="Helvetica" w:cs="Times New Roman"/>
      <w:b/>
      <w:caps/>
      <w:kern w:val="0"/>
      <w:szCs w:val="20"/>
      <w14:ligatures w14:val="none"/>
    </w:rPr>
  </w:style>
  <w:style w:type="paragraph" w:customStyle="1" w:styleId="ConcHead">
    <w:name w:val="Conc Head"/>
    <w:basedOn w:val="Normal"/>
    <w:rsid w:val="008B686A"/>
    <w:pPr>
      <w:keepNext/>
      <w:spacing w:after="240" w:line="240" w:lineRule="auto"/>
    </w:pPr>
    <w:rPr>
      <w:rFonts w:ascii="Helvetica" w:eastAsia="Times New Roman" w:hAnsi="Helvetica" w:cs="Times New Roman"/>
      <w:b/>
      <w:caps/>
      <w:kern w:val="0"/>
      <w:szCs w:val="20"/>
      <w14:ligatures w14:val="none"/>
    </w:rPr>
  </w:style>
  <w:style w:type="paragraph" w:customStyle="1" w:styleId="ReferHead">
    <w:name w:val="Refer Head"/>
    <w:basedOn w:val="Normal"/>
    <w:rsid w:val="00B32650"/>
    <w:pPr>
      <w:keepNext/>
      <w:spacing w:after="240" w:line="240" w:lineRule="auto"/>
    </w:pPr>
    <w:rPr>
      <w:rFonts w:ascii="Helvetica" w:eastAsia="Times New Roman" w:hAnsi="Helvetica" w:cs="Times New Roman"/>
      <w:b/>
      <w:caps/>
      <w:kern w:val="0"/>
      <w:szCs w:val="20"/>
      <w14:ligatures w14:val="none"/>
    </w:rPr>
  </w:style>
  <w:style w:type="character" w:styleId="UnresolvedMention">
    <w:name w:val="Unresolved Mention"/>
    <w:basedOn w:val="DefaultParagraphFont"/>
    <w:uiPriority w:val="99"/>
    <w:semiHidden/>
    <w:unhideWhenUsed/>
    <w:rsid w:val="00972A20"/>
    <w:rPr>
      <w:color w:val="605E5C"/>
      <w:shd w:val="clear" w:color="auto" w:fill="E1DFDD"/>
    </w:rPr>
  </w:style>
  <w:style w:type="paragraph" w:styleId="Header">
    <w:name w:val="header"/>
    <w:basedOn w:val="Normal"/>
    <w:link w:val="HeaderChar"/>
    <w:uiPriority w:val="99"/>
    <w:unhideWhenUsed/>
    <w:rsid w:val="00FA0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70B"/>
  </w:style>
  <w:style w:type="paragraph" w:styleId="Footer">
    <w:name w:val="footer"/>
    <w:basedOn w:val="Normal"/>
    <w:link w:val="FooterChar"/>
    <w:uiPriority w:val="99"/>
    <w:unhideWhenUsed/>
    <w:rsid w:val="00FA0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7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744033">
      <w:bodyDiv w:val="1"/>
      <w:marLeft w:val="0"/>
      <w:marRight w:val="0"/>
      <w:marTop w:val="0"/>
      <w:marBottom w:val="0"/>
      <w:divBdr>
        <w:top w:val="none" w:sz="0" w:space="0" w:color="auto"/>
        <w:left w:val="none" w:sz="0" w:space="0" w:color="auto"/>
        <w:bottom w:val="none" w:sz="0" w:space="0" w:color="auto"/>
        <w:right w:val="none" w:sz="0" w:space="0" w:color="auto"/>
      </w:divBdr>
    </w:div>
    <w:div w:id="293802757">
      <w:bodyDiv w:val="1"/>
      <w:marLeft w:val="0"/>
      <w:marRight w:val="0"/>
      <w:marTop w:val="0"/>
      <w:marBottom w:val="0"/>
      <w:divBdr>
        <w:top w:val="none" w:sz="0" w:space="0" w:color="auto"/>
        <w:left w:val="none" w:sz="0" w:space="0" w:color="auto"/>
        <w:bottom w:val="none" w:sz="0" w:space="0" w:color="auto"/>
        <w:right w:val="none" w:sz="0" w:space="0" w:color="auto"/>
      </w:divBdr>
    </w:div>
    <w:div w:id="364336089">
      <w:bodyDiv w:val="1"/>
      <w:marLeft w:val="0"/>
      <w:marRight w:val="0"/>
      <w:marTop w:val="0"/>
      <w:marBottom w:val="0"/>
      <w:divBdr>
        <w:top w:val="none" w:sz="0" w:space="0" w:color="auto"/>
        <w:left w:val="none" w:sz="0" w:space="0" w:color="auto"/>
        <w:bottom w:val="none" w:sz="0" w:space="0" w:color="auto"/>
        <w:right w:val="none" w:sz="0" w:space="0" w:color="auto"/>
      </w:divBdr>
    </w:div>
    <w:div w:id="409429998">
      <w:bodyDiv w:val="1"/>
      <w:marLeft w:val="0"/>
      <w:marRight w:val="0"/>
      <w:marTop w:val="0"/>
      <w:marBottom w:val="0"/>
      <w:divBdr>
        <w:top w:val="none" w:sz="0" w:space="0" w:color="auto"/>
        <w:left w:val="none" w:sz="0" w:space="0" w:color="auto"/>
        <w:bottom w:val="none" w:sz="0" w:space="0" w:color="auto"/>
        <w:right w:val="none" w:sz="0" w:space="0" w:color="auto"/>
      </w:divBdr>
    </w:div>
    <w:div w:id="420565868">
      <w:bodyDiv w:val="1"/>
      <w:marLeft w:val="0"/>
      <w:marRight w:val="0"/>
      <w:marTop w:val="0"/>
      <w:marBottom w:val="0"/>
      <w:divBdr>
        <w:top w:val="none" w:sz="0" w:space="0" w:color="auto"/>
        <w:left w:val="none" w:sz="0" w:space="0" w:color="auto"/>
        <w:bottom w:val="none" w:sz="0" w:space="0" w:color="auto"/>
        <w:right w:val="none" w:sz="0" w:space="0" w:color="auto"/>
      </w:divBdr>
    </w:div>
    <w:div w:id="478156178">
      <w:bodyDiv w:val="1"/>
      <w:marLeft w:val="0"/>
      <w:marRight w:val="0"/>
      <w:marTop w:val="0"/>
      <w:marBottom w:val="0"/>
      <w:divBdr>
        <w:top w:val="none" w:sz="0" w:space="0" w:color="auto"/>
        <w:left w:val="none" w:sz="0" w:space="0" w:color="auto"/>
        <w:bottom w:val="none" w:sz="0" w:space="0" w:color="auto"/>
        <w:right w:val="none" w:sz="0" w:space="0" w:color="auto"/>
      </w:divBdr>
    </w:div>
    <w:div w:id="636760809">
      <w:bodyDiv w:val="1"/>
      <w:marLeft w:val="0"/>
      <w:marRight w:val="0"/>
      <w:marTop w:val="0"/>
      <w:marBottom w:val="0"/>
      <w:divBdr>
        <w:top w:val="none" w:sz="0" w:space="0" w:color="auto"/>
        <w:left w:val="none" w:sz="0" w:space="0" w:color="auto"/>
        <w:bottom w:val="none" w:sz="0" w:space="0" w:color="auto"/>
        <w:right w:val="none" w:sz="0" w:space="0" w:color="auto"/>
      </w:divBdr>
    </w:div>
    <w:div w:id="677582793">
      <w:bodyDiv w:val="1"/>
      <w:marLeft w:val="0"/>
      <w:marRight w:val="0"/>
      <w:marTop w:val="0"/>
      <w:marBottom w:val="0"/>
      <w:divBdr>
        <w:top w:val="none" w:sz="0" w:space="0" w:color="auto"/>
        <w:left w:val="none" w:sz="0" w:space="0" w:color="auto"/>
        <w:bottom w:val="none" w:sz="0" w:space="0" w:color="auto"/>
        <w:right w:val="none" w:sz="0" w:space="0" w:color="auto"/>
      </w:divBdr>
      <w:divsChild>
        <w:div w:id="1669016512">
          <w:marLeft w:val="0"/>
          <w:marRight w:val="0"/>
          <w:marTop w:val="0"/>
          <w:marBottom w:val="0"/>
          <w:divBdr>
            <w:top w:val="none" w:sz="0" w:space="0" w:color="auto"/>
            <w:left w:val="none" w:sz="0" w:space="0" w:color="auto"/>
            <w:bottom w:val="none" w:sz="0" w:space="0" w:color="auto"/>
            <w:right w:val="none" w:sz="0" w:space="0" w:color="auto"/>
          </w:divBdr>
          <w:divsChild>
            <w:div w:id="774012305">
              <w:marLeft w:val="0"/>
              <w:marRight w:val="0"/>
              <w:marTop w:val="0"/>
              <w:marBottom w:val="0"/>
              <w:divBdr>
                <w:top w:val="none" w:sz="0" w:space="0" w:color="auto"/>
                <w:left w:val="none" w:sz="0" w:space="0" w:color="auto"/>
                <w:bottom w:val="none" w:sz="0" w:space="0" w:color="auto"/>
                <w:right w:val="none" w:sz="0" w:space="0" w:color="auto"/>
              </w:divBdr>
              <w:divsChild>
                <w:div w:id="640109848">
                  <w:marLeft w:val="0"/>
                  <w:marRight w:val="0"/>
                  <w:marTop w:val="0"/>
                  <w:marBottom w:val="0"/>
                  <w:divBdr>
                    <w:top w:val="none" w:sz="0" w:space="0" w:color="auto"/>
                    <w:left w:val="none" w:sz="0" w:space="0" w:color="auto"/>
                    <w:bottom w:val="none" w:sz="0" w:space="0" w:color="auto"/>
                    <w:right w:val="none" w:sz="0" w:space="0" w:color="auto"/>
                  </w:divBdr>
                  <w:divsChild>
                    <w:div w:id="17373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3921">
          <w:marLeft w:val="0"/>
          <w:marRight w:val="0"/>
          <w:marTop w:val="0"/>
          <w:marBottom w:val="0"/>
          <w:divBdr>
            <w:top w:val="none" w:sz="0" w:space="0" w:color="auto"/>
            <w:left w:val="none" w:sz="0" w:space="0" w:color="auto"/>
            <w:bottom w:val="none" w:sz="0" w:space="0" w:color="auto"/>
            <w:right w:val="none" w:sz="0" w:space="0" w:color="auto"/>
          </w:divBdr>
          <w:divsChild>
            <w:div w:id="2021270591">
              <w:marLeft w:val="0"/>
              <w:marRight w:val="0"/>
              <w:marTop w:val="0"/>
              <w:marBottom w:val="0"/>
              <w:divBdr>
                <w:top w:val="none" w:sz="0" w:space="0" w:color="auto"/>
                <w:left w:val="none" w:sz="0" w:space="0" w:color="auto"/>
                <w:bottom w:val="none" w:sz="0" w:space="0" w:color="auto"/>
                <w:right w:val="none" w:sz="0" w:space="0" w:color="auto"/>
              </w:divBdr>
              <w:divsChild>
                <w:div w:id="1283611401">
                  <w:marLeft w:val="0"/>
                  <w:marRight w:val="0"/>
                  <w:marTop w:val="0"/>
                  <w:marBottom w:val="0"/>
                  <w:divBdr>
                    <w:top w:val="none" w:sz="0" w:space="0" w:color="auto"/>
                    <w:left w:val="none" w:sz="0" w:space="0" w:color="auto"/>
                    <w:bottom w:val="none" w:sz="0" w:space="0" w:color="auto"/>
                    <w:right w:val="none" w:sz="0" w:space="0" w:color="auto"/>
                  </w:divBdr>
                  <w:divsChild>
                    <w:div w:id="1013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234761">
      <w:bodyDiv w:val="1"/>
      <w:marLeft w:val="0"/>
      <w:marRight w:val="0"/>
      <w:marTop w:val="0"/>
      <w:marBottom w:val="0"/>
      <w:divBdr>
        <w:top w:val="none" w:sz="0" w:space="0" w:color="auto"/>
        <w:left w:val="none" w:sz="0" w:space="0" w:color="auto"/>
        <w:bottom w:val="none" w:sz="0" w:space="0" w:color="auto"/>
        <w:right w:val="none" w:sz="0" w:space="0" w:color="auto"/>
      </w:divBdr>
    </w:div>
    <w:div w:id="724913253">
      <w:bodyDiv w:val="1"/>
      <w:marLeft w:val="0"/>
      <w:marRight w:val="0"/>
      <w:marTop w:val="0"/>
      <w:marBottom w:val="0"/>
      <w:divBdr>
        <w:top w:val="none" w:sz="0" w:space="0" w:color="auto"/>
        <w:left w:val="none" w:sz="0" w:space="0" w:color="auto"/>
        <w:bottom w:val="none" w:sz="0" w:space="0" w:color="auto"/>
        <w:right w:val="none" w:sz="0" w:space="0" w:color="auto"/>
      </w:divBdr>
    </w:div>
    <w:div w:id="727731986">
      <w:bodyDiv w:val="1"/>
      <w:marLeft w:val="0"/>
      <w:marRight w:val="0"/>
      <w:marTop w:val="0"/>
      <w:marBottom w:val="0"/>
      <w:divBdr>
        <w:top w:val="none" w:sz="0" w:space="0" w:color="auto"/>
        <w:left w:val="none" w:sz="0" w:space="0" w:color="auto"/>
        <w:bottom w:val="none" w:sz="0" w:space="0" w:color="auto"/>
        <w:right w:val="none" w:sz="0" w:space="0" w:color="auto"/>
      </w:divBdr>
    </w:div>
    <w:div w:id="847524614">
      <w:bodyDiv w:val="1"/>
      <w:marLeft w:val="0"/>
      <w:marRight w:val="0"/>
      <w:marTop w:val="0"/>
      <w:marBottom w:val="0"/>
      <w:divBdr>
        <w:top w:val="none" w:sz="0" w:space="0" w:color="auto"/>
        <w:left w:val="none" w:sz="0" w:space="0" w:color="auto"/>
        <w:bottom w:val="none" w:sz="0" w:space="0" w:color="auto"/>
        <w:right w:val="none" w:sz="0" w:space="0" w:color="auto"/>
      </w:divBdr>
    </w:div>
    <w:div w:id="904877208">
      <w:bodyDiv w:val="1"/>
      <w:marLeft w:val="0"/>
      <w:marRight w:val="0"/>
      <w:marTop w:val="0"/>
      <w:marBottom w:val="0"/>
      <w:divBdr>
        <w:top w:val="none" w:sz="0" w:space="0" w:color="auto"/>
        <w:left w:val="none" w:sz="0" w:space="0" w:color="auto"/>
        <w:bottom w:val="none" w:sz="0" w:space="0" w:color="auto"/>
        <w:right w:val="none" w:sz="0" w:space="0" w:color="auto"/>
      </w:divBdr>
    </w:div>
    <w:div w:id="938678141">
      <w:bodyDiv w:val="1"/>
      <w:marLeft w:val="0"/>
      <w:marRight w:val="0"/>
      <w:marTop w:val="0"/>
      <w:marBottom w:val="0"/>
      <w:divBdr>
        <w:top w:val="none" w:sz="0" w:space="0" w:color="auto"/>
        <w:left w:val="none" w:sz="0" w:space="0" w:color="auto"/>
        <w:bottom w:val="none" w:sz="0" w:space="0" w:color="auto"/>
        <w:right w:val="none" w:sz="0" w:space="0" w:color="auto"/>
      </w:divBdr>
    </w:div>
    <w:div w:id="968899083">
      <w:bodyDiv w:val="1"/>
      <w:marLeft w:val="0"/>
      <w:marRight w:val="0"/>
      <w:marTop w:val="0"/>
      <w:marBottom w:val="0"/>
      <w:divBdr>
        <w:top w:val="none" w:sz="0" w:space="0" w:color="auto"/>
        <w:left w:val="none" w:sz="0" w:space="0" w:color="auto"/>
        <w:bottom w:val="none" w:sz="0" w:space="0" w:color="auto"/>
        <w:right w:val="none" w:sz="0" w:space="0" w:color="auto"/>
      </w:divBdr>
      <w:divsChild>
        <w:div w:id="885526902">
          <w:marLeft w:val="0"/>
          <w:marRight w:val="0"/>
          <w:marTop w:val="0"/>
          <w:marBottom w:val="0"/>
          <w:divBdr>
            <w:top w:val="none" w:sz="0" w:space="0" w:color="auto"/>
            <w:left w:val="none" w:sz="0" w:space="0" w:color="auto"/>
            <w:bottom w:val="none" w:sz="0" w:space="0" w:color="auto"/>
            <w:right w:val="none" w:sz="0" w:space="0" w:color="auto"/>
          </w:divBdr>
          <w:divsChild>
            <w:div w:id="487209749">
              <w:marLeft w:val="0"/>
              <w:marRight w:val="0"/>
              <w:marTop w:val="0"/>
              <w:marBottom w:val="0"/>
              <w:divBdr>
                <w:top w:val="none" w:sz="0" w:space="0" w:color="auto"/>
                <w:left w:val="none" w:sz="0" w:space="0" w:color="auto"/>
                <w:bottom w:val="none" w:sz="0" w:space="0" w:color="auto"/>
                <w:right w:val="none" w:sz="0" w:space="0" w:color="auto"/>
              </w:divBdr>
              <w:divsChild>
                <w:div w:id="1241794229">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6083">
          <w:marLeft w:val="0"/>
          <w:marRight w:val="0"/>
          <w:marTop w:val="0"/>
          <w:marBottom w:val="0"/>
          <w:divBdr>
            <w:top w:val="none" w:sz="0" w:space="0" w:color="auto"/>
            <w:left w:val="none" w:sz="0" w:space="0" w:color="auto"/>
            <w:bottom w:val="none" w:sz="0" w:space="0" w:color="auto"/>
            <w:right w:val="none" w:sz="0" w:space="0" w:color="auto"/>
          </w:divBdr>
          <w:divsChild>
            <w:div w:id="2063362940">
              <w:marLeft w:val="0"/>
              <w:marRight w:val="0"/>
              <w:marTop w:val="0"/>
              <w:marBottom w:val="0"/>
              <w:divBdr>
                <w:top w:val="none" w:sz="0" w:space="0" w:color="auto"/>
                <w:left w:val="none" w:sz="0" w:space="0" w:color="auto"/>
                <w:bottom w:val="none" w:sz="0" w:space="0" w:color="auto"/>
                <w:right w:val="none" w:sz="0" w:space="0" w:color="auto"/>
              </w:divBdr>
              <w:divsChild>
                <w:div w:id="1761024896">
                  <w:marLeft w:val="0"/>
                  <w:marRight w:val="0"/>
                  <w:marTop w:val="0"/>
                  <w:marBottom w:val="0"/>
                  <w:divBdr>
                    <w:top w:val="none" w:sz="0" w:space="0" w:color="auto"/>
                    <w:left w:val="none" w:sz="0" w:space="0" w:color="auto"/>
                    <w:bottom w:val="none" w:sz="0" w:space="0" w:color="auto"/>
                    <w:right w:val="none" w:sz="0" w:space="0" w:color="auto"/>
                  </w:divBdr>
                  <w:divsChild>
                    <w:div w:id="19495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45552">
      <w:bodyDiv w:val="1"/>
      <w:marLeft w:val="0"/>
      <w:marRight w:val="0"/>
      <w:marTop w:val="0"/>
      <w:marBottom w:val="0"/>
      <w:divBdr>
        <w:top w:val="none" w:sz="0" w:space="0" w:color="auto"/>
        <w:left w:val="none" w:sz="0" w:space="0" w:color="auto"/>
        <w:bottom w:val="none" w:sz="0" w:space="0" w:color="auto"/>
        <w:right w:val="none" w:sz="0" w:space="0" w:color="auto"/>
      </w:divBdr>
    </w:div>
    <w:div w:id="1026129544">
      <w:bodyDiv w:val="1"/>
      <w:marLeft w:val="0"/>
      <w:marRight w:val="0"/>
      <w:marTop w:val="0"/>
      <w:marBottom w:val="0"/>
      <w:divBdr>
        <w:top w:val="none" w:sz="0" w:space="0" w:color="auto"/>
        <w:left w:val="none" w:sz="0" w:space="0" w:color="auto"/>
        <w:bottom w:val="none" w:sz="0" w:space="0" w:color="auto"/>
        <w:right w:val="none" w:sz="0" w:space="0" w:color="auto"/>
      </w:divBdr>
    </w:div>
    <w:div w:id="1042750357">
      <w:bodyDiv w:val="1"/>
      <w:marLeft w:val="0"/>
      <w:marRight w:val="0"/>
      <w:marTop w:val="0"/>
      <w:marBottom w:val="0"/>
      <w:divBdr>
        <w:top w:val="none" w:sz="0" w:space="0" w:color="auto"/>
        <w:left w:val="none" w:sz="0" w:space="0" w:color="auto"/>
        <w:bottom w:val="none" w:sz="0" w:space="0" w:color="auto"/>
        <w:right w:val="none" w:sz="0" w:space="0" w:color="auto"/>
      </w:divBdr>
    </w:div>
    <w:div w:id="1216969361">
      <w:bodyDiv w:val="1"/>
      <w:marLeft w:val="0"/>
      <w:marRight w:val="0"/>
      <w:marTop w:val="0"/>
      <w:marBottom w:val="0"/>
      <w:divBdr>
        <w:top w:val="none" w:sz="0" w:space="0" w:color="auto"/>
        <w:left w:val="none" w:sz="0" w:space="0" w:color="auto"/>
        <w:bottom w:val="none" w:sz="0" w:space="0" w:color="auto"/>
        <w:right w:val="none" w:sz="0" w:space="0" w:color="auto"/>
      </w:divBdr>
    </w:div>
    <w:div w:id="1245458722">
      <w:bodyDiv w:val="1"/>
      <w:marLeft w:val="0"/>
      <w:marRight w:val="0"/>
      <w:marTop w:val="0"/>
      <w:marBottom w:val="0"/>
      <w:divBdr>
        <w:top w:val="none" w:sz="0" w:space="0" w:color="auto"/>
        <w:left w:val="none" w:sz="0" w:space="0" w:color="auto"/>
        <w:bottom w:val="none" w:sz="0" w:space="0" w:color="auto"/>
        <w:right w:val="none" w:sz="0" w:space="0" w:color="auto"/>
      </w:divBdr>
    </w:div>
    <w:div w:id="1313365906">
      <w:bodyDiv w:val="1"/>
      <w:marLeft w:val="0"/>
      <w:marRight w:val="0"/>
      <w:marTop w:val="0"/>
      <w:marBottom w:val="0"/>
      <w:divBdr>
        <w:top w:val="none" w:sz="0" w:space="0" w:color="auto"/>
        <w:left w:val="none" w:sz="0" w:space="0" w:color="auto"/>
        <w:bottom w:val="none" w:sz="0" w:space="0" w:color="auto"/>
        <w:right w:val="none" w:sz="0" w:space="0" w:color="auto"/>
      </w:divBdr>
      <w:divsChild>
        <w:div w:id="1434010875">
          <w:marLeft w:val="0"/>
          <w:marRight w:val="0"/>
          <w:marTop w:val="0"/>
          <w:marBottom w:val="0"/>
          <w:divBdr>
            <w:top w:val="none" w:sz="0" w:space="0" w:color="auto"/>
            <w:left w:val="none" w:sz="0" w:space="0" w:color="auto"/>
            <w:bottom w:val="none" w:sz="0" w:space="0" w:color="auto"/>
            <w:right w:val="none" w:sz="0" w:space="0" w:color="auto"/>
          </w:divBdr>
          <w:divsChild>
            <w:div w:id="958337144">
              <w:marLeft w:val="0"/>
              <w:marRight w:val="0"/>
              <w:marTop w:val="0"/>
              <w:marBottom w:val="0"/>
              <w:divBdr>
                <w:top w:val="none" w:sz="0" w:space="0" w:color="auto"/>
                <w:left w:val="none" w:sz="0" w:space="0" w:color="auto"/>
                <w:bottom w:val="none" w:sz="0" w:space="0" w:color="auto"/>
                <w:right w:val="none" w:sz="0" w:space="0" w:color="auto"/>
              </w:divBdr>
              <w:divsChild>
                <w:div w:id="1587300569">
                  <w:marLeft w:val="0"/>
                  <w:marRight w:val="0"/>
                  <w:marTop w:val="0"/>
                  <w:marBottom w:val="0"/>
                  <w:divBdr>
                    <w:top w:val="none" w:sz="0" w:space="0" w:color="auto"/>
                    <w:left w:val="none" w:sz="0" w:space="0" w:color="auto"/>
                    <w:bottom w:val="none" w:sz="0" w:space="0" w:color="auto"/>
                    <w:right w:val="none" w:sz="0" w:space="0" w:color="auto"/>
                  </w:divBdr>
                  <w:divsChild>
                    <w:div w:id="3384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040848">
          <w:marLeft w:val="0"/>
          <w:marRight w:val="0"/>
          <w:marTop w:val="0"/>
          <w:marBottom w:val="0"/>
          <w:divBdr>
            <w:top w:val="none" w:sz="0" w:space="0" w:color="auto"/>
            <w:left w:val="none" w:sz="0" w:space="0" w:color="auto"/>
            <w:bottom w:val="none" w:sz="0" w:space="0" w:color="auto"/>
            <w:right w:val="none" w:sz="0" w:space="0" w:color="auto"/>
          </w:divBdr>
          <w:divsChild>
            <w:div w:id="1125349966">
              <w:marLeft w:val="0"/>
              <w:marRight w:val="0"/>
              <w:marTop w:val="0"/>
              <w:marBottom w:val="0"/>
              <w:divBdr>
                <w:top w:val="none" w:sz="0" w:space="0" w:color="auto"/>
                <w:left w:val="none" w:sz="0" w:space="0" w:color="auto"/>
                <w:bottom w:val="none" w:sz="0" w:space="0" w:color="auto"/>
                <w:right w:val="none" w:sz="0" w:space="0" w:color="auto"/>
              </w:divBdr>
              <w:divsChild>
                <w:div w:id="1315600704">
                  <w:marLeft w:val="0"/>
                  <w:marRight w:val="0"/>
                  <w:marTop w:val="0"/>
                  <w:marBottom w:val="0"/>
                  <w:divBdr>
                    <w:top w:val="none" w:sz="0" w:space="0" w:color="auto"/>
                    <w:left w:val="none" w:sz="0" w:space="0" w:color="auto"/>
                    <w:bottom w:val="none" w:sz="0" w:space="0" w:color="auto"/>
                    <w:right w:val="none" w:sz="0" w:space="0" w:color="auto"/>
                  </w:divBdr>
                  <w:divsChild>
                    <w:div w:id="16291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849055">
      <w:bodyDiv w:val="1"/>
      <w:marLeft w:val="0"/>
      <w:marRight w:val="0"/>
      <w:marTop w:val="0"/>
      <w:marBottom w:val="0"/>
      <w:divBdr>
        <w:top w:val="none" w:sz="0" w:space="0" w:color="auto"/>
        <w:left w:val="none" w:sz="0" w:space="0" w:color="auto"/>
        <w:bottom w:val="none" w:sz="0" w:space="0" w:color="auto"/>
        <w:right w:val="none" w:sz="0" w:space="0" w:color="auto"/>
      </w:divBdr>
    </w:div>
    <w:div w:id="1387727617">
      <w:bodyDiv w:val="1"/>
      <w:marLeft w:val="0"/>
      <w:marRight w:val="0"/>
      <w:marTop w:val="0"/>
      <w:marBottom w:val="0"/>
      <w:divBdr>
        <w:top w:val="none" w:sz="0" w:space="0" w:color="auto"/>
        <w:left w:val="none" w:sz="0" w:space="0" w:color="auto"/>
        <w:bottom w:val="none" w:sz="0" w:space="0" w:color="auto"/>
        <w:right w:val="none" w:sz="0" w:space="0" w:color="auto"/>
      </w:divBdr>
    </w:div>
    <w:div w:id="1470857168">
      <w:bodyDiv w:val="1"/>
      <w:marLeft w:val="0"/>
      <w:marRight w:val="0"/>
      <w:marTop w:val="0"/>
      <w:marBottom w:val="0"/>
      <w:divBdr>
        <w:top w:val="none" w:sz="0" w:space="0" w:color="auto"/>
        <w:left w:val="none" w:sz="0" w:space="0" w:color="auto"/>
        <w:bottom w:val="none" w:sz="0" w:space="0" w:color="auto"/>
        <w:right w:val="none" w:sz="0" w:space="0" w:color="auto"/>
      </w:divBdr>
    </w:div>
    <w:div w:id="1526560511">
      <w:bodyDiv w:val="1"/>
      <w:marLeft w:val="0"/>
      <w:marRight w:val="0"/>
      <w:marTop w:val="0"/>
      <w:marBottom w:val="0"/>
      <w:divBdr>
        <w:top w:val="none" w:sz="0" w:space="0" w:color="auto"/>
        <w:left w:val="none" w:sz="0" w:space="0" w:color="auto"/>
        <w:bottom w:val="none" w:sz="0" w:space="0" w:color="auto"/>
        <w:right w:val="none" w:sz="0" w:space="0" w:color="auto"/>
      </w:divBdr>
    </w:div>
    <w:div w:id="1664702534">
      <w:bodyDiv w:val="1"/>
      <w:marLeft w:val="0"/>
      <w:marRight w:val="0"/>
      <w:marTop w:val="0"/>
      <w:marBottom w:val="0"/>
      <w:divBdr>
        <w:top w:val="none" w:sz="0" w:space="0" w:color="auto"/>
        <w:left w:val="none" w:sz="0" w:space="0" w:color="auto"/>
        <w:bottom w:val="none" w:sz="0" w:space="0" w:color="auto"/>
        <w:right w:val="none" w:sz="0" w:space="0" w:color="auto"/>
      </w:divBdr>
    </w:div>
    <w:div w:id="1923954720">
      <w:bodyDiv w:val="1"/>
      <w:marLeft w:val="0"/>
      <w:marRight w:val="0"/>
      <w:marTop w:val="0"/>
      <w:marBottom w:val="0"/>
      <w:divBdr>
        <w:top w:val="none" w:sz="0" w:space="0" w:color="auto"/>
        <w:left w:val="none" w:sz="0" w:space="0" w:color="auto"/>
        <w:bottom w:val="none" w:sz="0" w:space="0" w:color="auto"/>
        <w:right w:val="none" w:sz="0" w:space="0" w:color="auto"/>
      </w:divBdr>
      <w:divsChild>
        <w:div w:id="102119066">
          <w:marLeft w:val="0"/>
          <w:marRight w:val="0"/>
          <w:marTop w:val="0"/>
          <w:marBottom w:val="0"/>
          <w:divBdr>
            <w:top w:val="none" w:sz="0" w:space="0" w:color="auto"/>
            <w:left w:val="none" w:sz="0" w:space="0" w:color="auto"/>
            <w:bottom w:val="none" w:sz="0" w:space="0" w:color="auto"/>
            <w:right w:val="none" w:sz="0" w:space="0" w:color="auto"/>
          </w:divBdr>
          <w:divsChild>
            <w:div w:id="235555198">
              <w:marLeft w:val="0"/>
              <w:marRight w:val="0"/>
              <w:marTop w:val="0"/>
              <w:marBottom w:val="0"/>
              <w:divBdr>
                <w:top w:val="none" w:sz="0" w:space="0" w:color="auto"/>
                <w:left w:val="none" w:sz="0" w:space="0" w:color="auto"/>
                <w:bottom w:val="none" w:sz="0" w:space="0" w:color="auto"/>
                <w:right w:val="none" w:sz="0" w:space="0" w:color="auto"/>
              </w:divBdr>
              <w:divsChild>
                <w:div w:id="1012950887">
                  <w:marLeft w:val="0"/>
                  <w:marRight w:val="0"/>
                  <w:marTop w:val="0"/>
                  <w:marBottom w:val="0"/>
                  <w:divBdr>
                    <w:top w:val="none" w:sz="0" w:space="0" w:color="auto"/>
                    <w:left w:val="none" w:sz="0" w:space="0" w:color="auto"/>
                    <w:bottom w:val="none" w:sz="0" w:space="0" w:color="auto"/>
                    <w:right w:val="none" w:sz="0" w:space="0" w:color="auto"/>
                  </w:divBdr>
                  <w:divsChild>
                    <w:div w:id="134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631727">
          <w:marLeft w:val="0"/>
          <w:marRight w:val="0"/>
          <w:marTop w:val="0"/>
          <w:marBottom w:val="0"/>
          <w:divBdr>
            <w:top w:val="none" w:sz="0" w:space="0" w:color="auto"/>
            <w:left w:val="none" w:sz="0" w:space="0" w:color="auto"/>
            <w:bottom w:val="none" w:sz="0" w:space="0" w:color="auto"/>
            <w:right w:val="none" w:sz="0" w:space="0" w:color="auto"/>
          </w:divBdr>
          <w:divsChild>
            <w:div w:id="1051418981">
              <w:marLeft w:val="0"/>
              <w:marRight w:val="0"/>
              <w:marTop w:val="0"/>
              <w:marBottom w:val="0"/>
              <w:divBdr>
                <w:top w:val="none" w:sz="0" w:space="0" w:color="auto"/>
                <w:left w:val="none" w:sz="0" w:space="0" w:color="auto"/>
                <w:bottom w:val="none" w:sz="0" w:space="0" w:color="auto"/>
                <w:right w:val="none" w:sz="0" w:space="0" w:color="auto"/>
              </w:divBdr>
              <w:divsChild>
                <w:div w:id="355935129">
                  <w:marLeft w:val="0"/>
                  <w:marRight w:val="0"/>
                  <w:marTop w:val="0"/>
                  <w:marBottom w:val="0"/>
                  <w:divBdr>
                    <w:top w:val="none" w:sz="0" w:space="0" w:color="auto"/>
                    <w:left w:val="none" w:sz="0" w:space="0" w:color="auto"/>
                    <w:bottom w:val="none" w:sz="0" w:space="0" w:color="auto"/>
                    <w:right w:val="none" w:sz="0" w:space="0" w:color="auto"/>
                  </w:divBdr>
                  <w:divsChild>
                    <w:div w:id="12384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120723">
      <w:bodyDiv w:val="1"/>
      <w:marLeft w:val="0"/>
      <w:marRight w:val="0"/>
      <w:marTop w:val="0"/>
      <w:marBottom w:val="0"/>
      <w:divBdr>
        <w:top w:val="none" w:sz="0" w:space="0" w:color="auto"/>
        <w:left w:val="none" w:sz="0" w:space="0" w:color="auto"/>
        <w:bottom w:val="none" w:sz="0" w:space="0" w:color="auto"/>
        <w:right w:val="none" w:sz="0" w:space="0" w:color="auto"/>
      </w:divBdr>
      <w:divsChild>
        <w:div w:id="618679650">
          <w:marLeft w:val="0"/>
          <w:marRight w:val="0"/>
          <w:marTop w:val="0"/>
          <w:marBottom w:val="0"/>
          <w:divBdr>
            <w:top w:val="none" w:sz="0" w:space="0" w:color="auto"/>
            <w:left w:val="none" w:sz="0" w:space="0" w:color="auto"/>
            <w:bottom w:val="none" w:sz="0" w:space="0" w:color="auto"/>
            <w:right w:val="none" w:sz="0" w:space="0" w:color="auto"/>
          </w:divBdr>
          <w:divsChild>
            <w:div w:id="392706079">
              <w:marLeft w:val="0"/>
              <w:marRight w:val="0"/>
              <w:marTop w:val="0"/>
              <w:marBottom w:val="0"/>
              <w:divBdr>
                <w:top w:val="none" w:sz="0" w:space="0" w:color="auto"/>
                <w:left w:val="none" w:sz="0" w:space="0" w:color="auto"/>
                <w:bottom w:val="none" w:sz="0" w:space="0" w:color="auto"/>
                <w:right w:val="none" w:sz="0" w:space="0" w:color="auto"/>
              </w:divBdr>
              <w:divsChild>
                <w:div w:id="675768408">
                  <w:marLeft w:val="0"/>
                  <w:marRight w:val="0"/>
                  <w:marTop w:val="0"/>
                  <w:marBottom w:val="0"/>
                  <w:divBdr>
                    <w:top w:val="none" w:sz="0" w:space="0" w:color="auto"/>
                    <w:left w:val="none" w:sz="0" w:space="0" w:color="auto"/>
                    <w:bottom w:val="none" w:sz="0" w:space="0" w:color="auto"/>
                    <w:right w:val="none" w:sz="0" w:space="0" w:color="auto"/>
                  </w:divBdr>
                  <w:divsChild>
                    <w:div w:id="6665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306841">
          <w:marLeft w:val="0"/>
          <w:marRight w:val="0"/>
          <w:marTop w:val="0"/>
          <w:marBottom w:val="0"/>
          <w:divBdr>
            <w:top w:val="none" w:sz="0" w:space="0" w:color="auto"/>
            <w:left w:val="none" w:sz="0" w:space="0" w:color="auto"/>
            <w:bottom w:val="none" w:sz="0" w:space="0" w:color="auto"/>
            <w:right w:val="none" w:sz="0" w:space="0" w:color="auto"/>
          </w:divBdr>
          <w:divsChild>
            <w:div w:id="1336300296">
              <w:marLeft w:val="0"/>
              <w:marRight w:val="0"/>
              <w:marTop w:val="0"/>
              <w:marBottom w:val="0"/>
              <w:divBdr>
                <w:top w:val="none" w:sz="0" w:space="0" w:color="auto"/>
                <w:left w:val="none" w:sz="0" w:space="0" w:color="auto"/>
                <w:bottom w:val="none" w:sz="0" w:space="0" w:color="auto"/>
                <w:right w:val="none" w:sz="0" w:space="0" w:color="auto"/>
              </w:divBdr>
              <w:divsChild>
                <w:div w:id="1830174369">
                  <w:marLeft w:val="0"/>
                  <w:marRight w:val="0"/>
                  <w:marTop w:val="0"/>
                  <w:marBottom w:val="0"/>
                  <w:divBdr>
                    <w:top w:val="none" w:sz="0" w:space="0" w:color="auto"/>
                    <w:left w:val="none" w:sz="0" w:space="0" w:color="auto"/>
                    <w:bottom w:val="none" w:sz="0" w:space="0" w:color="auto"/>
                    <w:right w:val="none" w:sz="0" w:space="0" w:color="auto"/>
                  </w:divBdr>
                  <w:divsChild>
                    <w:div w:id="11214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4199">
      <w:bodyDiv w:val="1"/>
      <w:marLeft w:val="0"/>
      <w:marRight w:val="0"/>
      <w:marTop w:val="0"/>
      <w:marBottom w:val="0"/>
      <w:divBdr>
        <w:top w:val="none" w:sz="0" w:space="0" w:color="auto"/>
        <w:left w:val="none" w:sz="0" w:space="0" w:color="auto"/>
        <w:bottom w:val="none" w:sz="0" w:space="0" w:color="auto"/>
        <w:right w:val="none" w:sz="0" w:space="0" w:color="auto"/>
      </w:divBdr>
    </w:div>
    <w:div w:id="2001108441">
      <w:bodyDiv w:val="1"/>
      <w:marLeft w:val="0"/>
      <w:marRight w:val="0"/>
      <w:marTop w:val="0"/>
      <w:marBottom w:val="0"/>
      <w:divBdr>
        <w:top w:val="none" w:sz="0" w:space="0" w:color="auto"/>
        <w:left w:val="none" w:sz="0" w:space="0" w:color="auto"/>
        <w:bottom w:val="none" w:sz="0" w:space="0" w:color="auto"/>
        <w:right w:val="none" w:sz="0" w:space="0" w:color="auto"/>
      </w:divBdr>
    </w:div>
    <w:div w:id="2048606336">
      <w:bodyDiv w:val="1"/>
      <w:marLeft w:val="0"/>
      <w:marRight w:val="0"/>
      <w:marTop w:val="0"/>
      <w:marBottom w:val="0"/>
      <w:divBdr>
        <w:top w:val="none" w:sz="0" w:space="0" w:color="auto"/>
        <w:left w:val="none" w:sz="0" w:space="0" w:color="auto"/>
        <w:bottom w:val="none" w:sz="0" w:space="0" w:color="auto"/>
        <w:right w:val="none" w:sz="0" w:space="0" w:color="auto"/>
      </w:divBdr>
    </w:div>
    <w:div w:id="2070229853">
      <w:bodyDiv w:val="1"/>
      <w:marLeft w:val="0"/>
      <w:marRight w:val="0"/>
      <w:marTop w:val="0"/>
      <w:marBottom w:val="0"/>
      <w:divBdr>
        <w:top w:val="none" w:sz="0" w:space="0" w:color="auto"/>
        <w:left w:val="none" w:sz="0" w:space="0" w:color="auto"/>
        <w:bottom w:val="none" w:sz="0" w:space="0" w:color="auto"/>
        <w:right w:val="none" w:sz="0" w:space="0" w:color="auto"/>
      </w:divBdr>
      <w:divsChild>
        <w:div w:id="177044884">
          <w:marLeft w:val="0"/>
          <w:marRight w:val="0"/>
          <w:marTop w:val="0"/>
          <w:marBottom w:val="0"/>
          <w:divBdr>
            <w:top w:val="none" w:sz="0" w:space="0" w:color="auto"/>
            <w:left w:val="none" w:sz="0" w:space="0" w:color="auto"/>
            <w:bottom w:val="none" w:sz="0" w:space="0" w:color="auto"/>
            <w:right w:val="none" w:sz="0" w:space="0" w:color="auto"/>
          </w:divBdr>
          <w:divsChild>
            <w:div w:id="799155573">
              <w:marLeft w:val="0"/>
              <w:marRight w:val="0"/>
              <w:marTop w:val="0"/>
              <w:marBottom w:val="0"/>
              <w:divBdr>
                <w:top w:val="none" w:sz="0" w:space="0" w:color="auto"/>
                <w:left w:val="none" w:sz="0" w:space="0" w:color="auto"/>
                <w:bottom w:val="none" w:sz="0" w:space="0" w:color="auto"/>
                <w:right w:val="none" w:sz="0" w:space="0" w:color="auto"/>
              </w:divBdr>
              <w:divsChild>
                <w:div w:id="1812599347">
                  <w:marLeft w:val="0"/>
                  <w:marRight w:val="0"/>
                  <w:marTop w:val="0"/>
                  <w:marBottom w:val="0"/>
                  <w:divBdr>
                    <w:top w:val="none" w:sz="0" w:space="0" w:color="auto"/>
                    <w:left w:val="none" w:sz="0" w:space="0" w:color="auto"/>
                    <w:bottom w:val="none" w:sz="0" w:space="0" w:color="auto"/>
                    <w:right w:val="none" w:sz="0" w:space="0" w:color="auto"/>
                  </w:divBdr>
                  <w:divsChild>
                    <w:div w:id="8544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55113">
          <w:marLeft w:val="0"/>
          <w:marRight w:val="0"/>
          <w:marTop w:val="0"/>
          <w:marBottom w:val="0"/>
          <w:divBdr>
            <w:top w:val="none" w:sz="0" w:space="0" w:color="auto"/>
            <w:left w:val="none" w:sz="0" w:space="0" w:color="auto"/>
            <w:bottom w:val="none" w:sz="0" w:space="0" w:color="auto"/>
            <w:right w:val="none" w:sz="0" w:space="0" w:color="auto"/>
          </w:divBdr>
          <w:divsChild>
            <w:div w:id="1540583705">
              <w:marLeft w:val="0"/>
              <w:marRight w:val="0"/>
              <w:marTop w:val="0"/>
              <w:marBottom w:val="0"/>
              <w:divBdr>
                <w:top w:val="none" w:sz="0" w:space="0" w:color="auto"/>
                <w:left w:val="none" w:sz="0" w:space="0" w:color="auto"/>
                <w:bottom w:val="none" w:sz="0" w:space="0" w:color="auto"/>
                <w:right w:val="none" w:sz="0" w:space="0" w:color="auto"/>
              </w:divBdr>
              <w:divsChild>
                <w:div w:id="644698300">
                  <w:marLeft w:val="0"/>
                  <w:marRight w:val="0"/>
                  <w:marTop w:val="0"/>
                  <w:marBottom w:val="0"/>
                  <w:divBdr>
                    <w:top w:val="none" w:sz="0" w:space="0" w:color="auto"/>
                    <w:left w:val="none" w:sz="0" w:space="0" w:color="auto"/>
                    <w:bottom w:val="none" w:sz="0" w:space="0" w:color="auto"/>
                    <w:right w:val="none" w:sz="0" w:space="0" w:color="auto"/>
                  </w:divBdr>
                  <w:divsChild>
                    <w:div w:id="11436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18217">
      <w:bodyDiv w:val="1"/>
      <w:marLeft w:val="0"/>
      <w:marRight w:val="0"/>
      <w:marTop w:val="0"/>
      <w:marBottom w:val="0"/>
      <w:divBdr>
        <w:top w:val="none" w:sz="0" w:space="0" w:color="auto"/>
        <w:left w:val="none" w:sz="0" w:space="0" w:color="auto"/>
        <w:bottom w:val="none" w:sz="0" w:space="0" w:color="auto"/>
        <w:right w:val="none" w:sz="0" w:space="0" w:color="auto"/>
      </w:divBdr>
    </w:div>
    <w:div w:id="208352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ipindia.gov.in/gi.htm" TargetMode="External"/><Relationship Id="rId18" Type="http://schemas.openxmlformats.org/officeDocument/2006/relationships/hyperlink" Target="https://doi.org/10.56042/jipr.v29i4.25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3390/agriculture14010113" TargetMode="External"/><Relationship Id="rId7" Type="http://schemas.openxmlformats.org/officeDocument/2006/relationships/endnotes" Target="endnotes.xml"/><Relationship Id="rId12" Type="http://schemas.openxmlformats.org/officeDocument/2006/relationships/hyperlink" Target="http://op.niscpr.res.in/index.php/JIPR/article/view/51034/0" TargetMode="External"/><Relationship Id="rId17" Type="http://schemas.openxmlformats.org/officeDocument/2006/relationships/hyperlink" Target="https://doi.org/10.1016/j.jrurstud.2024.10327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56042/jipr.v28i4.743" TargetMode="External"/><Relationship Id="rId20" Type="http://schemas.openxmlformats.org/officeDocument/2006/relationships/hyperlink" Target="https://doi.org/10.34667/tind.48541"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46852/0424-2513.4.2022.3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yperlink" Target="https://doi.org/10.1111/agec.1212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56042/jipr.v27i5.62742" TargetMode="External"/><Relationship Id="rId22" Type="http://schemas.openxmlformats.org/officeDocument/2006/relationships/hyperlink" Target="https://doi.org/10.3390/agriculture13020378"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GI%20graphs.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GI%20graphs.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GI%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GI%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3581101348274164E-2"/>
          <c:y val="5.4121684515981566E-2"/>
          <c:w val="0.92208045032035979"/>
          <c:h val="0.78085458080886716"/>
        </c:manualLayout>
      </c:layout>
      <c:lineChart>
        <c:grouping val="standard"/>
        <c:varyColors val="0"/>
        <c:ser>
          <c:idx val="0"/>
          <c:order val="0"/>
          <c:tx>
            <c:strRef>
              <c:f>Sheet4!$C$61</c:f>
              <c:strCache>
                <c:ptCount val="1"/>
                <c:pt idx="0">
                  <c:v>No. of goods registered</c:v>
                </c:pt>
              </c:strCache>
            </c:strRef>
          </c:tx>
          <c:spPr>
            <a:ln w="28575" cap="rnd">
              <a:solidFill>
                <a:srgbClr val="4C24F4"/>
              </a:solidFill>
              <a:round/>
            </a:ln>
            <a:effectLst/>
          </c:spPr>
          <c:marker>
            <c:symbol val="none"/>
          </c:marker>
          <c:dLbls>
            <c:dLbl>
              <c:idx val="16"/>
              <c:layout>
                <c:manualLayout>
                  <c:x val="-2.4680759738169487E-2"/>
                  <c:y val="-0.1480858224652924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5F6-4B44-80AD-195B06CD668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Sheet4!$B$62:$B$81</c:f>
              <c:strCache>
                <c:ptCount val="20"/>
                <c:pt idx="0">
                  <c:v>Apr 04-Mar 05 </c:v>
                </c:pt>
                <c:pt idx="1">
                  <c:v>Apr 05-Mar 06 </c:v>
                </c:pt>
                <c:pt idx="2">
                  <c:v>Apr 06-Mar 07</c:v>
                </c:pt>
                <c:pt idx="3">
                  <c:v>Apr 07-Mar 08</c:v>
                </c:pt>
                <c:pt idx="4">
                  <c:v>Apr 08-Mar 09</c:v>
                </c:pt>
                <c:pt idx="5">
                  <c:v>Apr 09-Mar 10</c:v>
                </c:pt>
                <c:pt idx="6">
                  <c:v>Apr 10-Mar 11</c:v>
                </c:pt>
                <c:pt idx="7">
                  <c:v>Apr 11-Mar 12</c:v>
                </c:pt>
                <c:pt idx="8">
                  <c:v>Apr 12-Mar 13</c:v>
                </c:pt>
                <c:pt idx="9">
                  <c:v>Apr 13-Mar 14</c:v>
                </c:pt>
                <c:pt idx="10">
                  <c:v>Apr 14-Mar 15</c:v>
                </c:pt>
                <c:pt idx="11">
                  <c:v>Apr 15-Mar 16</c:v>
                </c:pt>
                <c:pt idx="12">
                  <c:v>Apr 16-Mar 17</c:v>
                </c:pt>
                <c:pt idx="13">
                  <c:v>Apr 17-Mar 18</c:v>
                </c:pt>
                <c:pt idx="14">
                  <c:v>Apr 18-Mar 19</c:v>
                </c:pt>
                <c:pt idx="15">
                  <c:v>Apr 19-Mar 20</c:v>
                </c:pt>
                <c:pt idx="16">
                  <c:v>Apr 20-Mar 21</c:v>
                </c:pt>
                <c:pt idx="17">
                  <c:v>Apr 21-Mar 22</c:v>
                </c:pt>
                <c:pt idx="18">
                  <c:v>Apr 22-Mar 23</c:v>
                </c:pt>
                <c:pt idx="19">
                  <c:v>Apr 23-Mar 24</c:v>
                </c:pt>
              </c:strCache>
            </c:strRef>
          </c:cat>
          <c:val>
            <c:numRef>
              <c:f>Sheet4!$C$62:$C$81</c:f>
              <c:numCache>
                <c:formatCode>General</c:formatCode>
                <c:ptCount val="20"/>
                <c:pt idx="0">
                  <c:v>3</c:v>
                </c:pt>
                <c:pt idx="1">
                  <c:v>24</c:v>
                </c:pt>
                <c:pt idx="2">
                  <c:v>3</c:v>
                </c:pt>
                <c:pt idx="3">
                  <c:v>31</c:v>
                </c:pt>
                <c:pt idx="4">
                  <c:v>45</c:v>
                </c:pt>
                <c:pt idx="5">
                  <c:v>14</c:v>
                </c:pt>
                <c:pt idx="6">
                  <c:v>29</c:v>
                </c:pt>
                <c:pt idx="7">
                  <c:v>23</c:v>
                </c:pt>
                <c:pt idx="8">
                  <c:v>21</c:v>
                </c:pt>
                <c:pt idx="9">
                  <c:v>22</c:v>
                </c:pt>
                <c:pt idx="10">
                  <c:v>20</c:v>
                </c:pt>
                <c:pt idx="11">
                  <c:v>26</c:v>
                </c:pt>
                <c:pt idx="12">
                  <c:v>33</c:v>
                </c:pt>
                <c:pt idx="13">
                  <c:v>26</c:v>
                </c:pt>
                <c:pt idx="14">
                  <c:v>23</c:v>
                </c:pt>
                <c:pt idx="15">
                  <c:v>22</c:v>
                </c:pt>
                <c:pt idx="16">
                  <c:v>5</c:v>
                </c:pt>
                <c:pt idx="17">
                  <c:v>50</c:v>
                </c:pt>
                <c:pt idx="18">
                  <c:v>55</c:v>
                </c:pt>
                <c:pt idx="19">
                  <c:v>160</c:v>
                </c:pt>
              </c:numCache>
            </c:numRef>
          </c:val>
          <c:smooth val="0"/>
          <c:extLst>
            <c:ext xmlns:c16="http://schemas.microsoft.com/office/drawing/2014/chart" uri="{C3380CC4-5D6E-409C-BE32-E72D297353CC}">
              <c16:uniqueId val="{00000001-05F6-4B44-80AD-195B06CD6686}"/>
            </c:ext>
          </c:extLst>
        </c:ser>
        <c:ser>
          <c:idx val="1"/>
          <c:order val="1"/>
          <c:tx>
            <c:strRef>
              <c:f>Sheet4!$D$61</c:f>
              <c:strCache>
                <c:ptCount val="1"/>
                <c:pt idx="0">
                  <c:v>No of agricultural good registered</c:v>
                </c:pt>
              </c:strCache>
            </c:strRef>
          </c:tx>
          <c:spPr>
            <a:ln w="28575" cap="rnd">
              <a:solidFill>
                <a:srgbClr val="00B050"/>
              </a:solidFill>
              <a:round/>
            </a:ln>
            <a:effectLst/>
          </c:spPr>
          <c:marker>
            <c:symbol val="none"/>
          </c:marker>
          <c:dLbls>
            <c:dLbl>
              <c:idx val="0"/>
              <c:layout>
                <c:manualLayout>
                  <c:x val="-1.9315292692179974E-2"/>
                  <c:y val="-3.449726546066486E-2"/>
                </c:manualLayout>
              </c:layout>
              <c:spPr>
                <a:noFill/>
                <a:ln>
                  <a:noFill/>
                </a:ln>
                <a:effectLst/>
              </c:spPr>
              <c:txPr>
                <a:bodyPr rot="0" spcFirstLastPara="1" vertOverflow="ellipsis" vert="horz" wrap="square" lIns="38100" tIns="19050" rIns="38100" bIns="19050" anchor="ctr" anchorCtr="1">
                  <a:noAutofit/>
                </a:bodyPr>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1.9315377186393388E-2"/>
                      <c:h val="9.4236432477913343E-2"/>
                    </c:manualLayout>
                  </c15:layout>
                </c:ext>
                <c:ext xmlns:c16="http://schemas.microsoft.com/office/drawing/2014/chart" uri="{C3380CC4-5D6E-409C-BE32-E72D297353CC}">
                  <c16:uniqueId val="{00000005-05F6-4B44-80AD-195B06CD6686}"/>
                </c:ext>
              </c:extLst>
            </c:dLbl>
            <c:dLbl>
              <c:idx val="1"/>
              <c:layout>
                <c:manualLayout>
                  <c:x val="-2.038845369674858E-2"/>
                  <c:y val="-3.0290281867900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5F6-4B44-80AD-195B06CD6686}"/>
                </c:ext>
              </c:extLst>
            </c:dLbl>
            <c:dLbl>
              <c:idx val="2"/>
              <c:layout>
                <c:manualLayout>
                  <c:x val="-2.2534606717458956E-2"/>
                  <c:y val="-4.71182162389568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5F6-4B44-80AD-195B06CD6686}"/>
                </c:ext>
              </c:extLst>
            </c:dLbl>
            <c:dLbl>
              <c:idx val="3"/>
              <c:layout>
                <c:manualLayout>
                  <c:x val="-2.8973065779590086E-2"/>
                  <c:y val="-3.87042490534286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05F6-4B44-80AD-195B06CD6686}"/>
                </c:ext>
              </c:extLst>
            </c:dLbl>
            <c:dLbl>
              <c:idx val="4"/>
              <c:layout>
                <c:manualLayout>
                  <c:x val="-2.6826912758879707E-2"/>
                  <c:y val="-6.39461506100126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5F6-4B44-80AD-195B06CD6686}"/>
                </c:ext>
              </c:extLst>
            </c:dLbl>
            <c:dLbl>
              <c:idx val="5"/>
              <c:layout>
                <c:manualLayout>
                  <c:x val="-3.11192188003005E-2"/>
                  <c:y val="-3.0290281867900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05F6-4B44-80AD-195B06CD6686}"/>
                </c:ext>
              </c:extLst>
            </c:dLbl>
            <c:dLbl>
              <c:idx val="6"/>
              <c:layout>
                <c:manualLayout>
                  <c:x val="-2.0388453696748618E-2"/>
                  <c:y val="-3.0290281867900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5F6-4B44-80AD-195B06CD6686}"/>
                </c:ext>
              </c:extLst>
            </c:dLbl>
            <c:dLbl>
              <c:idx val="7"/>
              <c:layout>
                <c:manualLayout>
                  <c:x val="-2.2534606717458956E-2"/>
                  <c:y val="-3.0290281867900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5F6-4B44-80AD-195B06CD6686}"/>
                </c:ext>
              </c:extLst>
            </c:dLbl>
            <c:dLbl>
              <c:idx val="8"/>
              <c:layout>
                <c:manualLayout>
                  <c:x val="-2.2534606717459032E-2"/>
                  <c:y val="-5.553218342448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5F6-4B44-80AD-195B06CD6686}"/>
                </c:ext>
              </c:extLst>
            </c:dLbl>
            <c:dLbl>
              <c:idx val="9"/>
              <c:layout>
                <c:manualLayout>
                  <c:x val="-2.2534606717458956E-2"/>
                  <c:y val="-7.23601177955405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5F6-4B44-80AD-195B06CD6686}"/>
                </c:ext>
              </c:extLst>
            </c:dLbl>
            <c:dLbl>
              <c:idx val="10"/>
              <c:layout>
                <c:manualLayout>
                  <c:x val="-2.6826912758879787E-2"/>
                  <c:y val="-4.71182162389568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05F6-4B44-80AD-195B06CD6686}"/>
                </c:ext>
              </c:extLst>
            </c:dLbl>
            <c:dLbl>
              <c:idx val="11"/>
              <c:layout>
                <c:manualLayout>
                  <c:x val="-2.2534606717458876E-2"/>
                  <c:y val="-4.71182162389566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05F6-4B44-80AD-195B06CD6686}"/>
                </c:ext>
              </c:extLst>
            </c:dLbl>
            <c:dLbl>
              <c:idx val="12"/>
              <c:layout>
                <c:manualLayout>
                  <c:x val="-2.6826912758879787E-2"/>
                  <c:y val="-5.55321834244847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05F6-4B44-80AD-195B06CD6686}"/>
                </c:ext>
              </c:extLst>
            </c:dLbl>
            <c:dLbl>
              <c:idx val="13"/>
              <c:layout>
                <c:manualLayout>
                  <c:x val="-2.2534606717458956E-2"/>
                  <c:y val="-5.55321834244846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05F6-4B44-80AD-195B06CD6686}"/>
                </c:ext>
              </c:extLst>
            </c:dLbl>
            <c:dLbl>
              <c:idx val="14"/>
              <c:layout>
                <c:manualLayout>
                  <c:x val="-2.6826912758879707E-2"/>
                  <c:y val="-5.55321834244847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05F6-4B44-80AD-195B06CD6686}"/>
                </c:ext>
              </c:extLst>
            </c:dLbl>
            <c:dLbl>
              <c:idx val="15"/>
              <c:layout>
                <c:manualLayout>
                  <c:x val="-2.038845369674858E-2"/>
                  <c:y val="-3.87042490534286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5F6-4B44-80AD-195B06CD6686}"/>
                </c:ext>
              </c:extLst>
            </c:dLbl>
            <c:dLbl>
              <c:idx val="16"/>
              <c:layout>
                <c:manualLayout>
                  <c:x val="-2.038845369674858E-2"/>
                  <c:y val="-6.39461506100127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5F6-4B44-80AD-195B06CD6686}"/>
                </c:ext>
              </c:extLst>
            </c:dLbl>
            <c:dLbl>
              <c:idx val="17"/>
              <c:layout>
                <c:manualLayout>
                  <c:x val="-2.6826912758879707E-2"/>
                  <c:y val="-5.553218342448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05F6-4B44-80AD-195B06CD6686}"/>
                </c:ext>
              </c:extLst>
            </c:dLbl>
            <c:dLbl>
              <c:idx val="18"/>
              <c:layout>
                <c:manualLayout>
                  <c:x val="-2.6826912758879867E-2"/>
                  <c:y val="-3.02902818679007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05F6-4B44-80AD-195B06CD6686}"/>
                </c:ext>
              </c:extLst>
            </c:dLbl>
            <c:dLbl>
              <c:idx val="19"/>
              <c:layout>
                <c:manualLayout>
                  <c:x val="-2.8973065779590086E-2"/>
                  <c:y val="-4.71182162389567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5F6-4B44-80AD-195B06CD6686}"/>
                </c:ext>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Sheet4!$B$62:$B$81</c:f>
              <c:strCache>
                <c:ptCount val="20"/>
                <c:pt idx="0">
                  <c:v>Apr 04-Mar 05 </c:v>
                </c:pt>
                <c:pt idx="1">
                  <c:v>Apr 05-Mar 06 </c:v>
                </c:pt>
                <c:pt idx="2">
                  <c:v>Apr 06-Mar 07</c:v>
                </c:pt>
                <c:pt idx="3">
                  <c:v>Apr 07-Mar 08</c:v>
                </c:pt>
                <c:pt idx="4">
                  <c:v>Apr 08-Mar 09</c:v>
                </c:pt>
                <c:pt idx="5">
                  <c:v>Apr 09-Mar 10</c:v>
                </c:pt>
                <c:pt idx="6">
                  <c:v>Apr 10-Mar 11</c:v>
                </c:pt>
                <c:pt idx="7">
                  <c:v>Apr 11-Mar 12</c:v>
                </c:pt>
                <c:pt idx="8">
                  <c:v>Apr 12-Mar 13</c:v>
                </c:pt>
                <c:pt idx="9">
                  <c:v>Apr 13-Mar 14</c:v>
                </c:pt>
                <c:pt idx="10">
                  <c:v>Apr 14-Mar 15</c:v>
                </c:pt>
                <c:pt idx="11">
                  <c:v>Apr 15-Mar 16</c:v>
                </c:pt>
                <c:pt idx="12">
                  <c:v>Apr 16-Mar 17</c:v>
                </c:pt>
                <c:pt idx="13">
                  <c:v>Apr 17-Mar 18</c:v>
                </c:pt>
                <c:pt idx="14">
                  <c:v>Apr 18-Mar 19</c:v>
                </c:pt>
                <c:pt idx="15">
                  <c:v>Apr 19-Mar 20</c:v>
                </c:pt>
                <c:pt idx="16">
                  <c:v>Apr 20-Mar 21</c:v>
                </c:pt>
                <c:pt idx="17">
                  <c:v>Apr 21-Mar 22</c:v>
                </c:pt>
                <c:pt idx="18">
                  <c:v>Apr 22-Mar 23</c:v>
                </c:pt>
                <c:pt idx="19">
                  <c:v>Apr 23-Mar 24</c:v>
                </c:pt>
              </c:strCache>
            </c:strRef>
          </c:cat>
          <c:val>
            <c:numRef>
              <c:f>Sheet4!$D$62:$D$81</c:f>
              <c:numCache>
                <c:formatCode>General</c:formatCode>
                <c:ptCount val="20"/>
                <c:pt idx="0">
                  <c:v>1</c:v>
                </c:pt>
                <c:pt idx="1">
                  <c:v>2</c:v>
                </c:pt>
                <c:pt idx="2">
                  <c:v>2</c:v>
                </c:pt>
                <c:pt idx="3">
                  <c:v>11</c:v>
                </c:pt>
                <c:pt idx="4">
                  <c:v>10</c:v>
                </c:pt>
                <c:pt idx="5">
                  <c:v>5</c:v>
                </c:pt>
                <c:pt idx="6">
                  <c:v>7</c:v>
                </c:pt>
                <c:pt idx="7">
                  <c:v>4</c:v>
                </c:pt>
                <c:pt idx="8">
                  <c:v>2</c:v>
                </c:pt>
                <c:pt idx="9">
                  <c:v>4</c:v>
                </c:pt>
                <c:pt idx="10">
                  <c:v>11</c:v>
                </c:pt>
                <c:pt idx="11">
                  <c:v>9</c:v>
                </c:pt>
                <c:pt idx="12">
                  <c:v>14</c:v>
                </c:pt>
                <c:pt idx="13">
                  <c:v>7</c:v>
                </c:pt>
                <c:pt idx="14">
                  <c:v>14</c:v>
                </c:pt>
                <c:pt idx="15">
                  <c:v>8</c:v>
                </c:pt>
                <c:pt idx="16">
                  <c:v>1</c:v>
                </c:pt>
                <c:pt idx="17">
                  <c:v>15</c:v>
                </c:pt>
                <c:pt idx="18">
                  <c:v>24</c:v>
                </c:pt>
                <c:pt idx="19">
                  <c:v>48</c:v>
                </c:pt>
              </c:numCache>
            </c:numRef>
          </c:val>
          <c:smooth val="0"/>
          <c:extLst>
            <c:ext xmlns:c16="http://schemas.microsoft.com/office/drawing/2014/chart" uri="{C3380CC4-5D6E-409C-BE32-E72D297353CC}">
              <c16:uniqueId val="{00000003-05F6-4B44-80AD-195B06CD6686}"/>
            </c:ext>
          </c:extLst>
        </c:ser>
        <c:dLbls>
          <c:showLegendKey val="0"/>
          <c:showVal val="1"/>
          <c:showCatName val="0"/>
          <c:showSerName val="0"/>
          <c:showPercent val="0"/>
          <c:showBubbleSize val="0"/>
        </c:dLbls>
        <c:smooth val="0"/>
        <c:axId val="1951675488"/>
        <c:axId val="1951669504"/>
      </c:lineChart>
      <c:catAx>
        <c:axId val="1951675488"/>
        <c:scaling>
          <c:orientation val="minMax"/>
        </c:scaling>
        <c:delete val="0"/>
        <c:axPos val="b"/>
        <c:title>
          <c:tx>
            <c:rich>
              <a:bodyPr/>
              <a:lstStyle/>
              <a:p>
                <a:pPr>
                  <a:defRPr/>
                </a:pPr>
                <a:r>
                  <a:rPr lang="en-IN" sz="800">
                    <a:latin typeface="Arial" panose="020B0604020202020204" pitchFamily="34" charset="0"/>
                    <a:cs typeface="Arial" panose="020B0604020202020204" pitchFamily="34" charset="0"/>
                  </a:rPr>
                  <a:t>Year of registration</a:t>
                </a:r>
              </a:p>
            </c:rich>
          </c:tx>
          <c:layout>
            <c:manualLayout>
              <c:xMode val="edge"/>
              <c:yMode val="edge"/>
              <c:x val="0.39181830613257351"/>
              <c:y val="0.91974554028204103"/>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1951669504"/>
        <c:crosses val="autoZero"/>
        <c:auto val="1"/>
        <c:lblAlgn val="ctr"/>
        <c:lblOffset val="100"/>
        <c:noMultiLvlLbl val="0"/>
      </c:catAx>
      <c:valAx>
        <c:axId val="1951669504"/>
        <c:scaling>
          <c:orientation val="minMax"/>
        </c:scaling>
        <c:delete val="0"/>
        <c:axPos val="l"/>
        <c:title>
          <c:tx>
            <c:rich>
              <a:bodyPr/>
              <a:lstStyle/>
              <a:p>
                <a:pPr>
                  <a:defRPr/>
                </a:pPr>
                <a:r>
                  <a:rPr lang="en-IN" sz="800">
                    <a:latin typeface="Arial" panose="020B0604020202020204" pitchFamily="34" charset="0"/>
                    <a:cs typeface="Arial" panose="020B0604020202020204" pitchFamily="34" charset="0"/>
                  </a:rPr>
                  <a:t>NO.</a:t>
                </a:r>
                <a:r>
                  <a:rPr lang="en-IN" sz="800" baseline="0">
                    <a:latin typeface="Arial" panose="020B0604020202020204" pitchFamily="34" charset="0"/>
                    <a:cs typeface="Arial" panose="020B0604020202020204" pitchFamily="34" charset="0"/>
                  </a:rPr>
                  <a:t> of goods</a:t>
                </a:r>
                <a:endParaRPr lang="en-IN" sz="800">
                  <a:latin typeface="Arial" panose="020B0604020202020204" pitchFamily="34" charset="0"/>
                  <a:cs typeface="Arial" panose="020B0604020202020204" pitchFamily="34" charset="0"/>
                </a:endParaRPr>
              </a:p>
            </c:rich>
          </c:tx>
          <c:layout>
            <c:manualLayout>
              <c:xMode val="edge"/>
              <c:yMode val="edge"/>
              <c:x val="0"/>
              <c:y val="0.32669558254370745"/>
            </c:manualLayout>
          </c:layout>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51675488"/>
        <c:crosses val="autoZero"/>
        <c:crossBetween val="between"/>
      </c:valAx>
      <c:spPr>
        <a:noFill/>
        <a:ln>
          <a:noFill/>
        </a:ln>
        <a:effectLst/>
      </c:spPr>
    </c:plotArea>
    <c:legend>
      <c:legendPos val="b"/>
      <c:layout>
        <c:manualLayout>
          <c:xMode val="edge"/>
          <c:yMode val="edge"/>
          <c:x val="8.4353108077393366E-2"/>
          <c:y val="0.11013306463846755"/>
          <c:w val="0.85919360412602164"/>
          <c:h val="0.13998136226457036"/>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882114010332268E-2"/>
          <c:y val="4.5444217223358327E-2"/>
          <c:w val="0.9241202130765358"/>
          <c:h val="0.6505718993714743"/>
        </c:manualLayout>
      </c:layout>
      <c:barChart>
        <c:barDir val="col"/>
        <c:grouping val="clustered"/>
        <c:varyColors val="0"/>
        <c:ser>
          <c:idx val="0"/>
          <c:order val="0"/>
          <c:tx>
            <c:strRef>
              <c:f>Sheet4!$E$84</c:f>
              <c:strCache>
                <c:ptCount val="1"/>
                <c:pt idx="0">
                  <c:v>Total GI</c:v>
                </c:pt>
              </c:strCache>
            </c:strRef>
          </c:tx>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0070C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Sheet4!$D$85:$D$115</c:f>
              <c:strCache>
                <c:ptCount val="31"/>
                <c:pt idx="0">
                  <c:v>Uttar Pradesh</c:v>
                </c:pt>
                <c:pt idx="1">
                  <c:v>Tamil Nadu</c:v>
                </c:pt>
                <c:pt idx="2">
                  <c:v>Maharashtra </c:v>
                </c:pt>
                <c:pt idx="3">
                  <c:v>Karnataka</c:v>
                </c:pt>
                <c:pt idx="4">
                  <c:v>Kerala</c:v>
                </c:pt>
                <c:pt idx="5">
                  <c:v>Assam</c:v>
                </c:pt>
                <c:pt idx="6">
                  <c:v>Gujarat</c:v>
                </c:pt>
                <c:pt idx="7">
                  <c:v>West bengal</c:v>
                </c:pt>
                <c:pt idx="8">
                  <c:v>Odisha</c:v>
                </c:pt>
                <c:pt idx="9">
                  <c:v>Uttarakhand</c:v>
                </c:pt>
                <c:pt idx="10">
                  <c:v>Madhya Pradesh</c:v>
                </c:pt>
                <c:pt idx="11">
                  <c:v>Andra Pradesh</c:v>
                </c:pt>
                <c:pt idx="12">
                  <c:v>Arunachal Pradesh</c:v>
                </c:pt>
                <c:pt idx="13">
                  <c:v>Rajasthan</c:v>
                </c:pt>
                <c:pt idx="14">
                  <c:v>Telangana </c:v>
                </c:pt>
                <c:pt idx="15">
                  <c:v>Jammu &amp; Kashmir</c:v>
                </c:pt>
                <c:pt idx="16">
                  <c:v>Bihar</c:v>
                </c:pt>
                <c:pt idx="17">
                  <c:v>Himachal Pradesh</c:v>
                </c:pt>
                <c:pt idx="18">
                  <c:v>Goa</c:v>
                </c:pt>
                <c:pt idx="19">
                  <c:v>Chhattisgarh</c:v>
                </c:pt>
                <c:pt idx="20">
                  <c:v>Manipur </c:v>
                </c:pt>
                <c:pt idx="21">
                  <c:v>Mizoram </c:v>
                </c:pt>
                <c:pt idx="22">
                  <c:v>Meghalaya</c:v>
                </c:pt>
                <c:pt idx="23">
                  <c:v>Nagaland </c:v>
                </c:pt>
                <c:pt idx="24">
                  <c:v>Tripura</c:v>
                </c:pt>
                <c:pt idx="25">
                  <c:v>Ladakh</c:v>
                </c:pt>
                <c:pt idx="26">
                  <c:v>Haryana </c:v>
                </c:pt>
                <c:pt idx="27">
                  <c:v>Punjab</c:v>
                </c:pt>
                <c:pt idx="28">
                  <c:v>Sikkim</c:v>
                </c:pt>
                <c:pt idx="29">
                  <c:v>Pondicherry</c:v>
                </c:pt>
                <c:pt idx="30">
                  <c:v> </c:v>
                </c:pt>
              </c:strCache>
            </c:strRef>
          </c:cat>
          <c:val>
            <c:numRef>
              <c:f>Sheet4!$E$85:$E$115</c:f>
              <c:numCache>
                <c:formatCode>General</c:formatCode>
                <c:ptCount val="31"/>
                <c:pt idx="0">
                  <c:v>77</c:v>
                </c:pt>
                <c:pt idx="1">
                  <c:v>61</c:v>
                </c:pt>
                <c:pt idx="2">
                  <c:v>52</c:v>
                </c:pt>
                <c:pt idx="3">
                  <c:v>48</c:v>
                </c:pt>
                <c:pt idx="4">
                  <c:v>39</c:v>
                </c:pt>
                <c:pt idx="5">
                  <c:v>33</c:v>
                </c:pt>
                <c:pt idx="6">
                  <c:v>28</c:v>
                </c:pt>
                <c:pt idx="7">
                  <c:v>28</c:v>
                </c:pt>
                <c:pt idx="8">
                  <c:v>27</c:v>
                </c:pt>
                <c:pt idx="9">
                  <c:v>27</c:v>
                </c:pt>
                <c:pt idx="10">
                  <c:v>24</c:v>
                </c:pt>
                <c:pt idx="11">
                  <c:v>21</c:v>
                </c:pt>
                <c:pt idx="12">
                  <c:v>21</c:v>
                </c:pt>
                <c:pt idx="13">
                  <c:v>21</c:v>
                </c:pt>
                <c:pt idx="14">
                  <c:v>18</c:v>
                </c:pt>
                <c:pt idx="15">
                  <c:v>17</c:v>
                </c:pt>
                <c:pt idx="16">
                  <c:v>16</c:v>
                </c:pt>
                <c:pt idx="17">
                  <c:v>11</c:v>
                </c:pt>
                <c:pt idx="18">
                  <c:v>10</c:v>
                </c:pt>
                <c:pt idx="19">
                  <c:v>7</c:v>
                </c:pt>
                <c:pt idx="20">
                  <c:v>7</c:v>
                </c:pt>
                <c:pt idx="21">
                  <c:v>7</c:v>
                </c:pt>
                <c:pt idx="22">
                  <c:v>6</c:v>
                </c:pt>
                <c:pt idx="23">
                  <c:v>5</c:v>
                </c:pt>
                <c:pt idx="24">
                  <c:v>4</c:v>
                </c:pt>
                <c:pt idx="25">
                  <c:v>4</c:v>
                </c:pt>
                <c:pt idx="26">
                  <c:v>2</c:v>
                </c:pt>
                <c:pt idx="27">
                  <c:v>2</c:v>
                </c:pt>
                <c:pt idx="28">
                  <c:v>2</c:v>
                </c:pt>
                <c:pt idx="29">
                  <c:v>2</c:v>
                </c:pt>
              </c:numCache>
            </c:numRef>
          </c:val>
          <c:extLst>
            <c:ext xmlns:c16="http://schemas.microsoft.com/office/drawing/2014/chart" uri="{C3380CC4-5D6E-409C-BE32-E72D297353CC}">
              <c16:uniqueId val="{00000000-A496-45C4-ADFB-E53A8854127B}"/>
            </c:ext>
          </c:extLst>
        </c:ser>
        <c:ser>
          <c:idx val="1"/>
          <c:order val="1"/>
          <c:tx>
            <c:strRef>
              <c:f>Sheet4!$F$84</c:f>
              <c:strCache>
                <c:ptCount val="1"/>
                <c:pt idx="0">
                  <c:v>Agricultural GI</c:v>
                </c:pt>
              </c:strCache>
            </c:strRef>
          </c:tx>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6"/>
            <c:invertIfNegative val="0"/>
            <c:bubble3D val="0"/>
            <c:spPr>
              <a:solidFill>
                <a:srgbClr val="FF0000"/>
              </a:solidFill>
              <a:ln>
                <a:noFill/>
              </a:ln>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c:spPr>
            <c:extLst>
              <c:ext xmlns:c16="http://schemas.microsoft.com/office/drawing/2014/chart" uri="{C3380CC4-5D6E-409C-BE32-E72D297353CC}">
                <c16:uniqueId val="{00000002-A496-45C4-ADFB-E53A8854127B}"/>
              </c:ext>
            </c:extLst>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rgbClr val="FF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Sheet4!$D$85:$D$115</c:f>
              <c:strCache>
                <c:ptCount val="31"/>
                <c:pt idx="0">
                  <c:v>Uttar Pradesh</c:v>
                </c:pt>
                <c:pt idx="1">
                  <c:v>Tamil Nadu</c:v>
                </c:pt>
                <c:pt idx="2">
                  <c:v>Maharashtra </c:v>
                </c:pt>
                <c:pt idx="3">
                  <c:v>Karnataka</c:v>
                </c:pt>
                <c:pt idx="4">
                  <c:v>Kerala</c:v>
                </c:pt>
                <c:pt idx="5">
                  <c:v>Assam</c:v>
                </c:pt>
                <c:pt idx="6">
                  <c:v>Gujarat</c:v>
                </c:pt>
                <c:pt idx="7">
                  <c:v>West bengal</c:v>
                </c:pt>
                <c:pt idx="8">
                  <c:v>Odisha</c:v>
                </c:pt>
                <c:pt idx="9">
                  <c:v>Uttarakhand</c:v>
                </c:pt>
                <c:pt idx="10">
                  <c:v>Madhya Pradesh</c:v>
                </c:pt>
                <c:pt idx="11">
                  <c:v>Andra Pradesh</c:v>
                </c:pt>
                <c:pt idx="12">
                  <c:v>Arunachal Pradesh</c:v>
                </c:pt>
                <c:pt idx="13">
                  <c:v>Rajasthan</c:v>
                </c:pt>
                <c:pt idx="14">
                  <c:v>Telangana </c:v>
                </c:pt>
                <c:pt idx="15">
                  <c:v>Jammu &amp; Kashmir</c:v>
                </c:pt>
                <c:pt idx="16">
                  <c:v>Bihar</c:v>
                </c:pt>
                <c:pt idx="17">
                  <c:v>Himachal Pradesh</c:v>
                </c:pt>
                <c:pt idx="18">
                  <c:v>Goa</c:v>
                </c:pt>
                <c:pt idx="19">
                  <c:v>Chhattisgarh</c:v>
                </c:pt>
                <c:pt idx="20">
                  <c:v>Manipur </c:v>
                </c:pt>
                <c:pt idx="21">
                  <c:v>Mizoram </c:v>
                </c:pt>
                <c:pt idx="22">
                  <c:v>Meghalaya</c:v>
                </c:pt>
                <c:pt idx="23">
                  <c:v>Nagaland </c:v>
                </c:pt>
                <c:pt idx="24">
                  <c:v>Tripura</c:v>
                </c:pt>
                <c:pt idx="25">
                  <c:v>Ladakh</c:v>
                </c:pt>
                <c:pt idx="26">
                  <c:v>Haryana </c:v>
                </c:pt>
                <c:pt idx="27">
                  <c:v>Punjab</c:v>
                </c:pt>
                <c:pt idx="28">
                  <c:v>Sikkim</c:v>
                </c:pt>
                <c:pt idx="29">
                  <c:v>Pondicherry</c:v>
                </c:pt>
                <c:pt idx="30">
                  <c:v> </c:v>
                </c:pt>
              </c:strCache>
            </c:strRef>
          </c:cat>
          <c:val>
            <c:numRef>
              <c:f>Sheet4!$F$85:$F$115</c:f>
              <c:numCache>
                <c:formatCode>General</c:formatCode>
                <c:ptCount val="31"/>
                <c:pt idx="0">
                  <c:v>14</c:v>
                </c:pt>
                <c:pt idx="1">
                  <c:v>16</c:v>
                </c:pt>
                <c:pt idx="2">
                  <c:v>35</c:v>
                </c:pt>
                <c:pt idx="3">
                  <c:v>24</c:v>
                </c:pt>
                <c:pt idx="4">
                  <c:v>22</c:v>
                </c:pt>
                <c:pt idx="5">
                  <c:v>11</c:v>
                </c:pt>
                <c:pt idx="6">
                  <c:v>3</c:v>
                </c:pt>
                <c:pt idx="7">
                  <c:v>8</c:v>
                </c:pt>
                <c:pt idx="8">
                  <c:v>5</c:v>
                </c:pt>
                <c:pt idx="9">
                  <c:v>16</c:v>
                </c:pt>
                <c:pt idx="10">
                  <c:v>7</c:v>
                </c:pt>
                <c:pt idx="11">
                  <c:v>3</c:v>
                </c:pt>
                <c:pt idx="12">
                  <c:v>5</c:v>
                </c:pt>
                <c:pt idx="13">
                  <c:v>1</c:v>
                </c:pt>
                <c:pt idx="14">
                  <c:v>2</c:v>
                </c:pt>
                <c:pt idx="15">
                  <c:v>5</c:v>
                </c:pt>
                <c:pt idx="16">
                  <c:v>6</c:v>
                </c:pt>
                <c:pt idx="17">
                  <c:v>3</c:v>
                </c:pt>
                <c:pt idx="18">
                  <c:v>7</c:v>
                </c:pt>
                <c:pt idx="19">
                  <c:v>2</c:v>
                </c:pt>
                <c:pt idx="20">
                  <c:v>4</c:v>
                </c:pt>
                <c:pt idx="21">
                  <c:v>2</c:v>
                </c:pt>
                <c:pt idx="22">
                  <c:v>3</c:v>
                </c:pt>
                <c:pt idx="23">
                  <c:v>4</c:v>
                </c:pt>
                <c:pt idx="24">
                  <c:v>1</c:v>
                </c:pt>
                <c:pt idx="25">
                  <c:v>2</c:v>
                </c:pt>
                <c:pt idx="26">
                  <c:v>1</c:v>
                </c:pt>
                <c:pt idx="27">
                  <c:v>1</c:v>
                </c:pt>
                <c:pt idx="28">
                  <c:v>2</c:v>
                </c:pt>
                <c:pt idx="29">
                  <c:v>0</c:v>
                </c:pt>
              </c:numCache>
            </c:numRef>
          </c:val>
          <c:extLst>
            <c:ext xmlns:c16="http://schemas.microsoft.com/office/drawing/2014/chart" uri="{C3380CC4-5D6E-409C-BE32-E72D297353CC}">
              <c16:uniqueId val="{00000003-A496-45C4-ADFB-E53A8854127B}"/>
            </c:ext>
          </c:extLst>
        </c:ser>
        <c:dLbls>
          <c:showLegendKey val="0"/>
          <c:showVal val="0"/>
          <c:showCatName val="0"/>
          <c:showSerName val="0"/>
          <c:showPercent val="0"/>
          <c:showBubbleSize val="0"/>
        </c:dLbls>
        <c:gapWidth val="100"/>
        <c:overlap val="-24"/>
        <c:axId val="1842495232"/>
        <c:axId val="1842496320"/>
      </c:barChart>
      <c:catAx>
        <c:axId val="1842495232"/>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800">
                    <a:solidFill>
                      <a:sysClr val="windowText" lastClr="000000"/>
                    </a:solidFill>
                    <a:latin typeface="Times New Roman" panose="02020603050405020304" pitchFamily="18" charset="0"/>
                    <a:cs typeface="Times New Roman" panose="02020603050405020304" pitchFamily="18" charset="0"/>
                  </a:rPr>
                  <a:t>States</a:t>
                </a:r>
              </a:p>
            </c:rich>
          </c:tx>
          <c:layout>
            <c:manualLayout>
              <c:xMode val="edge"/>
              <c:yMode val="edge"/>
              <c:x val="0.44784050011044546"/>
              <c:y val="0.91538862191762094"/>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42496320"/>
        <c:crosses val="autoZero"/>
        <c:auto val="1"/>
        <c:lblAlgn val="ctr"/>
        <c:lblOffset val="100"/>
        <c:noMultiLvlLbl val="0"/>
      </c:catAx>
      <c:valAx>
        <c:axId val="1842496320"/>
        <c:scaling>
          <c:orientation val="minMax"/>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sz="800">
                    <a:solidFill>
                      <a:sysClr val="windowText" lastClr="000000"/>
                    </a:solidFill>
                    <a:latin typeface="Arial" panose="020B0604020202020204" pitchFamily="34" charset="0"/>
                    <a:cs typeface="Arial" panose="020B0604020202020204" pitchFamily="34" charset="0"/>
                  </a:rPr>
                  <a:t>No. of goods</a:t>
                </a:r>
              </a:p>
            </c:rich>
          </c:tx>
          <c:layout>
            <c:manualLayout>
              <c:xMode val="edge"/>
              <c:yMode val="edge"/>
              <c:x val="2.1493820526598604E-3"/>
              <c:y val="0.31598079892365188"/>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842495232"/>
        <c:crosses val="autoZero"/>
        <c:crossBetween val="between"/>
      </c:valAx>
      <c:spPr>
        <a:noFill/>
        <a:ln>
          <a:noFill/>
        </a:ln>
        <a:effectLst/>
      </c:spPr>
    </c:plotArea>
    <c:legend>
      <c:legendPos val="b"/>
      <c:layout>
        <c:manualLayout>
          <c:xMode val="edge"/>
          <c:yMode val="edge"/>
          <c:x val="0.70749245812301409"/>
          <c:y val="9.1683171505402325E-2"/>
          <c:w val="0.23493365797109153"/>
          <c:h val="8.8424183433221698E-2"/>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CCFF"/>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7A2-4CBD-BF94-4FD14B9170F3}"/>
              </c:ext>
            </c:extLst>
          </c:dPt>
          <c:dPt>
            <c:idx val="1"/>
            <c:bubble3D val="0"/>
            <c:spPr>
              <a:solidFill>
                <a:srgbClr val="226C9E"/>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7A2-4CBD-BF94-4FD14B9170F3}"/>
              </c:ext>
            </c:extLst>
          </c:dPt>
          <c:dPt>
            <c:idx val="2"/>
            <c:bubble3D val="0"/>
            <c:spPr>
              <a:solidFill>
                <a:srgbClr val="FFC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77A2-4CBD-BF94-4FD14B9170F3}"/>
              </c:ext>
            </c:extLst>
          </c:dPt>
          <c:dPt>
            <c:idx val="3"/>
            <c:bubble3D val="0"/>
            <c:spPr>
              <a:solidFill>
                <a:srgbClr val="00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77A2-4CBD-BF94-4FD14B9170F3}"/>
              </c:ext>
            </c:extLst>
          </c:dPt>
          <c:dLbls>
            <c:dLbl>
              <c:idx val="0"/>
              <c:layout>
                <c:manualLayout>
                  <c:x val="-0.12690430803122324"/>
                  <c:y val="0.14252982325707128"/>
                </c:manualLayout>
              </c:layout>
              <c:tx>
                <c:rich>
                  <a:bodyPr/>
                  <a:lstStyle/>
                  <a:p>
                    <a:fld id="{917761E6-8BC5-461C-936E-26794F385ED5}" type="VALUE">
                      <a:rPr lang="en-US"/>
                      <a:pPr/>
                      <a:t>[VALUE]</a:t>
                    </a:fld>
                    <a:r>
                      <a:rPr lang="en-US" baseline="0"/>
                      <a:t> (72.58%)</a:t>
                    </a: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7A2-4CBD-BF94-4FD14B9170F3}"/>
                </c:ext>
              </c:extLst>
            </c:dLbl>
            <c:dLbl>
              <c:idx val="1"/>
              <c:layout>
                <c:manualLayout>
                  <c:x val="0"/>
                  <c:y val="5.7047129978317929E-2"/>
                </c:manualLayout>
              </c:layout>
              <c:tx>
                <c:rich>
                  <a:bodyPr/>
                  <a:lstStyle/>
                  <a:p>
                    <a:fld id="{E65FCCA6-8347-495A-B778-DF527C100CA2}" type="VALUE">
                      <a:rPr lang="en-US"/>
                      <a:pPr/>
                      <a:t>[VALUE]</a:t>
                    </a:fld>
                    <a:r>
                      <a:rPr lang="en-US" baseline="0"/>
                      <a:t> (24.87%)</a:t>
                    </a: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7A2-4CBD-BF94-4FD14B9170F3}"/>
                </c:ext>
              </c:extLst>
            </c:dLbl>
            <c:dLbl>
              <c:idx val="2"/>
              <c:layout>
                <c:manualLayout>
                  <c:x val="-0.23578376807133636"/>
                  <c:y val="3.2609100962606719E-2"/>
                </c:manualLayout>
              </c:layout>
              <c:tx>
                <c:rich>
                  <a:bodyPr/>
                  <a:lstStyle/>
                  <a:p>
                    <a:fld id="{5166F2B8-8305-45D4-8F14-010C6627052B}" type="VALUE">
                      <a:rPr lang="en-US"/>
                      <a:pPr/>
                      <a:t>[VALUE]</a:t>
                    </a:fld>
                    <a:r>
                      <a:rPr lang="en-US" baseline="0"/>
                      <a:t> (2.03%)</a:t>
                    </a:r>
                  </a:p>
                </c:rich>
              </c:tx>
              <c:showLegendKey val="1"/>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7A2-4CBD-BF94-4FD14B9170F3}"/>
                </c:ext>
              </c:extLst>
            </c:dLbl>
            <c:dLbl>
              <c:idx val="3"/>
              <c:layout>
                <c:manualLayout>
                  <c:x val="4.6138825480691134E-2"/>
                  <c:y val="-9.4556404459343567E-3"/>
                </c:manualLayout>
              </c:layout>
              <c:tx>
                <c:rich>
                  <a:bodyPr/>
                  <a:lstStyle/>
                  <a:p>
                    <a:r>
                      <a:rPr lang="en-US"/>
                      <a:t>1</a:t>
                    </a:r>
                    <a:r>
                      <a:rPr lang="en-US" baseline="0"/>
                      <a:t> (0.5%)</a:t>
                    </a:r>
                    <a:endParaRPr lang="en-US"/>
                  </a:p>
                </c:rich>
              </c:tx>
              <c:showLegendKey val="1"/>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7A2-4CBD-BF94-4FD14B9170F3}"/>
                </c:ext>
              </c:extLst>
            </c:dLbl>
            <c:spPr>
              <a:noFill/>
              <a:ln>
                <a:noFill/>
              </a:ln>
              <a:effectLst/>
            </c:spPr>
            <c:txPr>
              <a:bodyPr rot="0" spcFirstLastPara="1" vertOverflow="clip" horzOverflow="clip"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1"/>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c15:spPr>
              </c:ext>
            </c:extLst>
          </c:dLbls>
          <c:cat>
            <c:strRef>
              <c:f>Sheet4!$A$48:$A$51</c:f>
              <c:strCache>
                <c:ptCount val="4"/>
                <c:pt idx="0">
                  <c:v>Horticultural crops</c:v>
                </c:pt>
                <c:pt idx="1">
                  <c:v>Field crops</c:v>
                </c:pt>
                <c:pt idx="2">
                  <c:v>Processed agricultural crops</c:v>
                </c:pt>
                <c:pt idx="3">
                  <c:v>Forest product</c:v>
                </c:pt>
              </c:strCache>
            </c:strRef>
          </c:cat>
          <c:val>
            <c:numRef>
              <c:f>Sheet4!$B$48:$B$51</c:f>
              <c:numCache>
                <c:formatCode>General</c:formatCode>
                <c:ptCount val="4"/>
                <c:pt idx="0">
                  <c:v>143</c:v>
                </c:pt>
                <c:pt idx="1">
                  <c:v>49</c:v>
                </c:pt>
                <c:pt idx="2">
                  <c:v>4</c:v>
                </c:pt>
                <c:pt idx="3">
                  <c:v>1</c:v>
                </c:pt>
              </c:numCache>
            </c:numRef>
          </c:val>
          <c:extLst>
            <c:ext xmlns:c16="http://schemas.microsoft.com/office/drawing/2014/chart" uri="{C3380CC4-5D6E-409C-BE32-E72D297353CC}">
              <c16:uniqueId val="{00000008-77A2-4CBD-BF94-4FD14B9170F3}"/>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6238922124957843"/>
          <c:y val="0.24389172383494978"/>
          <c:w val="0.35841287995425147"/>
          <c:h val="0.52500890343477613"/>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E96F-4AF5-8967-80BCA71F71E3}"/>
              </c:ext>
            </c:extLst>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E96F-4AF5-8967-80BCA71F71E3}"/>
              </c:ext>
            </c:extLst>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E96F-4AF5-8967-80BCA71F71E3}"/>
              </c:ext>
            </c:extLst>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E96F-4AF5-8967-80BCA71F71E3}"/>
              </c:ext>
            </c:extLst>
          </c:dPt>
          <c:dPt>
            <c:idx val="4"/>
            <c:bubble3D val="0"/>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E96F-4AF5-8967-80BCA71F71E3}"/>
              </c:ext>
            </c:extLst>
          </c:dPt>
          <c:dPt>
            <c:idx val="5"/>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E96F-4AF5-8967-80BCA71F71E3}"/>
              </c:ext>
            </c:extLst>
          </c:dPt>
          <c:dLbls>
            <c:dLbl>
              <c:idx val="0"/>
              <c:layout>
                <c:manualLayout>
                  <c:x val="-0.13773450486820232"/>
                  <c:y val="-0.21992669110296567"/>
                </c:manualLayout>
              </c:layout>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A8650685-AC6F-48C2-A824-58AC730ED8A0}"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baseline="0">
                        <a:solidFill>
                          <a:sysClr val="windowText" lastClr="000000"/>
                        </a:solidFill>
                        <a:latin typeface="Arial" panose="020B0604020202020204" pitchFamily="34" charset="0"/>
                        <a:cs typeface="Arial" panose="020B0604020202020204" pitchFamily="34" charset="0"/>
                      </a:rPr>
                      <a:t> (</a:t>
                    </a:r>
                    <a:fld id="{5540B7E9-E726-484D-B068-D9BD2C34669B}"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bestFit"/>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96F-4AF5-8967-80BCA71F71E3}"/>
                </c:ext>
              </c:extLst>
            </c:dLbl>
            <c:dLbl>
              <c:idx val="1"/>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830DB793-665E-4967-A594-1573DF4E395C}"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baseline="0">
                        <a:solidFill>
                          <a:sysClr val="windowText" lastClr="000000"/>
                        </a:solidFill>
                        <a:latin typeface="Arial" panose="020B0604020202020204" pitchFamily="34" charset="0"/>
                        <a:cs typeface="Arial" panose="020B0604020202020204" pitchFamily="34" charset="0"/>
                      </a:rPr>
                      <a:t> (</a:t>
                    </a:r>
                    <a:fld id="{99A46E82-ECE7-4920-B106-2FFD2BF62220}"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outEnd"/>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96F-4AF5-8967-80BCA71F71E3}"/>
                </c:ext>
              </c:extLst>
            </c:dLbl>
            <c:dLbl>
              <c:idx val="2"/>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AC704DB8-2EB6-4439-8E58-E4DE1C65BAFF}"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baseline="0">
                        <a:solidFill>
                          <a:sysClr val="windowText" lastClr="000000"/>
                        </a:solidFill>
                        <a:latin typeface="Arial" panose="020B0604020202020204" pitchFamily="34" charset="0"/>
                        <a:cs typeface="Arial" panose="020B0604020202020204" pitchFamily="34" charset="0"/>
                      </a:rPr>
                      <a:t> (</a:t>
                    </a:r>
                    <a:fld id="{40A6F7FE-A0F6-428F-A923-2A372162189D}"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outEnd"/>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96F-4AF5-8967-80BCA71F71E3}"/>
                </c:ext>
              </c:extLst>
            </c:dLbl>
            <c:dLbl>
              <c:idx val="3"/>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FE9F8137-0AD5-4376-AE4B-39E3BB866410}"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a:solidFill>
                          <a:sysClr val="windowText" lastClr="000000"/>
                        </a:solidFill>
                        <a:latin typeface="Arial" panose="020B0604020202020204" pitchFamily="34" charset="0"/>
                        <a:cs typeface="Arial" panose="020B0604020202020204" pitchFamily="34" charset="0"/>
                      </a:rPr>
                      <a:t> </a:t>
                    </a:r>
                    <a:r>
                      <a:rPr lang="en-US" sz="700" b="1" baseline="0">
                        <a:solidFill>
                          <a:sysClr val="windowText" lastClr="000000"/>
                        </a:solidFill>
                        <a:latin typeface="Arial" panose="020B0604020202020204" pitchFamily="34" charset="0"/>
                        <a:cs typeface="Arial" panose="020B0604020202020204" pitchFamily="34" charset="0"/>
                      </a:rPr>
                      <a:t>( </a:t>
                    </a:r>
                    <a:fld id="{FDF8FC13-C7CE-4D88-B718-21A053332F98}"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outEnd"/>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96F-4AF5-8967-80BCA71F71E3}"/>
                </c:ext>
              </c:extLst>
            </c:dLbl>
            <c:dLbl>
              <c:idx val="4"/>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576824E7-1A0F-448A-8962-FD693BFDF108}"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baseline="0">
                        <a:solidFill>
                          <a:sysClr val="windowText" lastClr="000000"/>
                        </a:solidFill>
                        <a:latin typeface="Arial" panose="020B0604020202020204" pitchFamily="34" charset="0"/>
                        <a:cs typeface="Arial" panose="020B0604020202020204" pitchFamily="34" charset="0"/>
                      </a:rPr>
                      <a:t> (</a:t>
                    </a:r>
                    <a:fld id="{A43626F5-5CE0-4AED-91D3-EC4B1AD1931A}"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outEnd"/>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E96F-4AF5-8967-80BCA71F71E3}"/>
                </c:ext>
              </c:extLst>
            </c:dLbl>
            <c:dLbl>
              <c:idx val="5"/>
              <c:tx>
                <c:rich>
                  <a:bodyPr rot="0" spcFirstLastPara="1" vertOverflow="ellipsis" vert="horz" wrap="square" lIns="38100" tIns="19050" rIns="38100" bIns="19050" anchor="ctr" anchorCtr="1">
                    <a:spAutoFit/>
                  </a:bodyPr>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fld id="{EF179A09-2BAD-41C7-AD87-91A591E7D9CC}" type="VALUE">
                      <a:rPr lang="en-US" sz="700" b="1">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[VALUE]</a:t>
                    </a:fld>
                    <a:r>
                      <a:rPr lang="en-US" sz="700" b="1" baseline="0">
                        <a:solidFill>
                          <a:sysClr val="windowText" lastClr="000000"/>
                        </a:solidFill>
                        <a:latin typeface="Arial" panose="020B0604020202020204" pitchFamily="34" charset="0"/>
                        <a:cs typeface="Arial" panose="020B0604020202020204" pitchFamily="34" charset="0"/>
                      </a:rPr>
                      <a:t> (</a:t>
                    </a:r>
                    <a:fld id="{B38DA4A9-0C37-4FE9-AF20-C8934492F218}" type="PERCENTAGE">
                      <a:rPr lang="en-US" sz="700" b="1" baseline="0">
                        <a:solidFill>
                          <a:sysClr val="windowText" lastClr="000000"/>
                        </a:solidFill>
                        <a:latin typeface="Arial" panose="020B0604020202020204" pitchFamily="34" charset="0"/>
                        <a:cs typeface="Arial" panose="020B0604020202020204" pitchFamily="34" charset="0"/>
                      </a:rPr>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t>[PERCENTAGE]</a:t>
                    </a:fld>
                    <a:r>
                      <a:rPr lang="en-US" sz="700" b="1" baseline="0">
                        <a:solidFill>
                          <a:sysClr val="windowText" lastClr="000000"/>
                        </a:solidFill>
                        <a:latin typeface="Arial" panose="020B0604020202020204" pitchFamily="34" charset="0"/>
                        <a:cs typeface="Arial" panose="020B0604020202020204" pitchFamily="34" charset="0"/>
                      </a:rPr>
                      <a:t>)</a:t>
                    </a:r>
                  </a:p>
                </c:rich>
              </c:tx>
              <c:spPr>
                <a:noFill/>
                <a:ln>
                  <a:noFill/>
                </a:ln>
                <a:effectLst/>
              </c:spPr>
              <c:dLblPos val="outEnd"/>
              <c:showLegendKey val="1"/>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E96F-4AF5-8967-80BCA71F71E3}"/>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1"/>
            <c:showVal val="1"/>
            <c:showCatName val="0"/>
            <c:showSerName val="0"/>
            <c:showPercent val="1"/>
            <c:showBubbleSize val="0"/>
            <c:showLeaderLines val="0"/>
            <c:extLst>
              <c:ext xmlns:c15="http://schemas.microsoft.com/office/drawing/2012/chart" uri="{CE6537A1-D6FC-4f65-9D91-7224C49458BB}"/>
            </c:extLst>
          </c:dLbls>
          <c:cat>
            <c:strRef>
              <c:f>Sheet4!$D$128:$D$133</c:f>
              <c:strCache>
                <c:ptCount val="6"/>
                <c:pt idx="0">
                  <c:v>Fruits</c:v>
                </c:pt>
                <c:pt idx="1">
                  <c:v>Spices</c:v>
                </c:pt>
                <c:pt idx="2">
                  <c:v>Plantation crops</c:v>
                </c:pt>
                <c:pt idx="3">
                  <c:v>Vegetables</c:v>
                </c:pt>
                <c:pt idx="4">
                  <c:v>Medicinal &amp;  aromaic</c:v>
                </c:pt>
                <c:pt idx="5">
                  <c:v>Flowers</c:v>
                </c:pt>
              </c:strCache>
            </c:strRef>
          </c:cat>
          <c:val>
            <c:numRef>
              <c:f>Sheet4!$E$128:$E$133</c:f>
              <c:numCache>
                <c:formatCode>General</c:formatCode>
                <c:ptCount val="6"/>
                <c:pt idx="0">
                  <c:v>61</c:v>
                </c:pt>
                <c:pt idx="1">
                  <c:v>39</c:v>
                </c:pt>
                <c:pt idx="2">
                  <c:v>17</c:v>
                </c:pt>
                <c:pt idx="3">
                  <c:v>13</c:v>
                </c:pt>
                <c:pt idx="4">
                  <c:v>8</c:v>
                </c:pt>
                <c:pt idx="5">
                  <c:v>5</c:v>
                </c:pt>
              </c:numCache>
            </c:numRef>
          </c:val>
          <c:extLst>
            <c:ext xmlns:c16="http://schemas.microsoft.com/office/drawing/2014/chart" uri="{C3380CC4-5D6E-409C-BE32-E72D297353CC}">
              <c16:uniqueId val="{0000000C-E96F-4AF5-8967-80BCA71F71E3}"/>
            </c:ext>
          </c:extLst>
        </c:ser>
        <c:dLbls>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69150276428212432"/>
          <c:y val="7.8743743369839678E-2"/>
          <c:w val="0.28296532082425863"/>
          <c:h val="0.75143032168417279"/>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zero"/>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8639C-9896-4B8F-B6A6-C34F28F5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12</cp:revision>
  <dcterms:created xsi:type="dcterms:W3CDTF">2025-02-27T15:57:00Z</dcterms:created>
  <dcterms:modified xsi:type="dcterms:W3CDTF">2025-03-01T12:05:00Z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c134e0d9-fe76-4f17-bd2a-14ca28ad3af9</vt:lpwstr>
  </property>
</Properties>
</file>