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D2AEB" w:rsidRDefault="00F708AC">
      <w:pPr>
        <w:spacing w:after="0"/>
      </w:pPr>
      <w:r>
        <w:rPr>
          <w:rFonts w:ascii="Arial" w:eastAsia="Arial" w:hAnsi="Arial" w:cs="Arial"/>
          <w:sz w:val="28"/>
        </w:rPr>
        <w:t xml:space="preserve"> </w:t>
      </w:r>
    </w:p>
    <w:tbl>
      <w:tblPr>
        <w:tblStyle w:val="TableGrid"/>
        <w:tblW w:w="20938" w:type="dxa"/>
        <w:tblInd w:w="0" w:type="dxa"/>
        <w:tblCellMar>
          <w:top w:w="12" w:type="dxa"/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CD2AEB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Arial" w:eastAsia="Arial" w:hAnsi="Arial" w:cs="Arial"/>
                <w:sz w:val="20"/>
              </w:rPr>
              <w:t xml:space="preserve">Journal Name: </w:t>
            </w:r>
          </w:p>
        </w:tc>
        <w:tc>
          <w:tcPr>
            <w:tcW w:w="15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pPr>
              <w:ind w:left="12"/>
            </w:pPr>
            <w:hyperlink r:id="rId6">
              <w:r>
                <w:rPr>
                  <w:rFonts w:ascii="Arial" w:eastAsia="Arial" w:hAnsi="Arial" w:cs="Arial"/>
                  <w:b/>
                  <w:color w:val="0000FF"/>
                  <w:sz w:val="20"/>
                  <w:u w:val="single" w:color="0000FF"/>
                </w:rPr>
                <w:t>International Blood Research &amp; Reviews</w:t>
              </w:r>
            </w:hyperlink>
            <w:hyperlink r:id="rId7">
              <w:r>
                <w:rPr>
                  <w:rFonts w:ascii="Arial" w:eastAsia="Arial" w:hAnsi="Arial" w:cs="Arial"/>
                  <w:b/>
                  <w:color w:val="0000FF"/>
                  <w:sz w:val="20"/>
                </w:rPr>
                <w:t xml:space="preserve"> </w:t>
              </w:r>
            </w:hyperlink>
          </w:p>
        </w:tc>
      </w:tr>
      <w:tr w:rsidR="00CD2AEB">
        <w:trPr>
          <w:trHeight w:val="30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Arial" w:eastAsia="Arial" w:hAnsi="Arial" w:cs="Arial"/>
                <w:sz w:val="20"/>
              </w:rPr>
              <w:t xml:space="preserve">Manuscript Number: </w:t>
            </w:r>
          </w:p>
        </w:tc>
        <w:tc>
          <w:tcPr>
            <w:tcW w:w="15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pPr>
              <w:ind w:left="12"/>
            </w:pPr>
            <w:r>
              <w:rPr>
                <w:rFonts w:ascii="Arial" w:eastAsia="Arial" w:hAnsi="Arial" w:cs="Arial"/>
                <w:b/>
                <w:sz w:val="20"/>
              </w:rPr>
              <w:t xml:space="preserve">Ms_IBRR_131682 </w:t>
            </w:r>
          </w:p>
        </w:tc>
      </w:tr>
      <w:tr w:rsidR="00CD2AEB">
        <w:trPr>
          <w:trHeight w:val="660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Arial" w:eastAsia="Arial" w:hAnsi="Arial" w:cs="Arial"/>
                <w:sz w:val="20"/>
              </w:rPr>
              <w:t xml:space="preserve">Title of the Manuscript:  </w:t>
            </w:r>
          </w:p>
        </w:tc>
        <w:tc>
          <w:tcPr>
            <w:tcW w:w="15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2AEB" w:rsidRDefault="00F708AC">
            <w:pPr>
              <w:ind w:left="12"/>
            </w:pPr>
            <w:r>
              <w:rPr>
                <w:rFonts w:ascii="Arial" w:eastAsia="Arial" w:hAnsi="Arial" w:cs="Arial"/>
                <w:b/>
                <w:sz w:val="20"/>
              </w:rPr>
              <w:t xml:space="preserve">Advances in the Diagnosis of Chronic Lymphoid Neoplasms in Côte d'Ivoire: Toward Improvement </w:t>
            </w:r>
          </w:p>
        </w:tc>
      </w:tr>
      <w:tr w:rsidR="00CD2AEB">
        <w:trPr>
          <w:trHeight w:val="343"/>
        </w:trPr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Arial" w:eastAsia="Arial" w:hAnsi="Arial" w:cs="Arial"/>
                <w:sz w:val="20"/>
              </w:rPr>
              <w:t xml:space="preserve">Type of the Article </w:t>
            </w:r>
          </w:p>
        </w:tc>
        <w:tc>
          <w:tcPr>
            <w:tcW w:w="15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pPr>
              <w:ind w:left="12"/>
            </w:pPr>
            <w:r>
              <w:rPr>
                <w:rFonts w:ascii="Arial" w:eastAsia="Arial" w:hAnsi="Arial" w:cs="Arial"/>
                <w:b/>
                <w:sz w:val="20"/>
              </w:rPr>
              <w:t xml:space="preserve">Original Research Article </w:t>
            </w:r>
          </w:p>
        </w:tc>
      </w:tr>
    </w:tbl>
    <w:p w:rsidR="00CD2AEB" w:rsidRDefault="00F708AC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Arial" w:eastAsia="Arial" w:hAnsi="Arial" w:cs="Arial"/>
          <w:i/>
          <w:sz w:val="20"/>
        </w:rPr>
        <w:t xml:space="preserve"> </w:t>
      </w:r>
    </w:p>
    <w:p w:rsidR="00CD2AEB" w:rsidRDefault="00F708AC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0"/>
          <w:u w:val="single" w:color="000000"/>
        </w:rPr>
        <w:t>General guidelines for the Peer Review process:</w:t>
      </w:r>
      <w:r>
        <w:rPr>
          <w:rFonts w:ascii="Times New Roman" w:eastAsia="Times New Roman" w:hAnsi="Times New Roman" w:cs="Times New Roman"/>
          <w:b/>
          <w:sz w:val="20"/>
        </w:rPr>
        <w:t xml:space="preserve"> 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  <w:shd w:val="clear" w:color="auto" w:fill="FFFF00"/>
        </w:rPr>
        <w:t>Artificial Intelligence (AI) generated or assisted review comments are strictly prohibited during peer review.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2" w:line="242" w:lineRule="auto"/>
        <w:ind w:left="-5" w:right="-15" w:hanging="10"/>
      </w:pPr>
      <w:r>
        <w:rPr>
          <w:rFonts w:ascii="Times New Roman" w:eastAsia="Times New Roman" w:hAnsi="Times New Roman" w:cs="Times New Roman"/>
          <w:sz w:val="20"/>
        </w:rPr>
        <w:t xml:space="preserve">This journal’s peer review policy states that </w:t>
      </w:r>
      <w:r>
        <w:rPr>
          <w:rFonts w:ascii="Times New Roman" w:eastAsia="Times New Roman" w:hAnsi="Times New Roman" w:cs="Times New Roman"/>
          <w:b/>
          <w:sz w:val="20"/>
          <w:u w:val="single" w:color="000000"/>
        </w:rPr>
        <w:t>NO</w:t>
      </w:r>
      <w:r>
        <w:rPr>
          <w:rFonts w:ascii="Times New Roman" w:eastAsia="Times New Roman" w:hAnsi="Times New Roman" w:cs="Times New Roman"/>
          <w:sz w:val="20"/>
        </w:rPr>
        <w:t xml:space="preserve"> manuscript should be rejected only on the basis of ‘</w:t>
      </w:r>
      <w:r>
        <w:rPr>
          <w:rFonts w:ascii="Times New Roman" w:eastAsia="Times New Roman" w:hAnsi="Times New Roman" w:cs="Times New Roman"/>
          <w:b/>
          <w:sz w:val="20"/>
          <w:u w:val="single" w:color="000000"/>
        </w:rPr>
        <w:t>lack of Novelty’</w:t>
      </w:r>
      <w:r>
        <w:rPr>
          <w:rFonts w:ascii="Times New Roman" w:eastAsia="Times New Roman" w:hAnsi="Times New Roman" w:cs="Times New Roman"/>
          <w:sz w:val="20"/>
        </w:rPr>
        <w:t xml:space="preserve">, provided the manuscript is scientifically robust and technically sound. To know the complete guidelines for the Peer Review process, reviewers are requested to visit this link: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5" w:line="248" w:lineRule="auto"/>
        <w:ind w:left="-5" w:right="5536" w:hanging="10"/>
      </w:pPr>
      <w:hyperlink r:id="rId8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https://r1.reviewerhub.org/general</w:t>
        </w:r>
      </w:hyperlink>
      <w:hyperlink r:id="rId9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-</w:t>
        </w:r>
      </w:hyperlink>
      <w:hyperlink r:id="rId10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editorial</w:t>
        </w:r>
      </w:hyperlink>
      <w:hyperlink r:id="rId11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-</w:t>
        </w:r>
      </w:hyperlink>
      <w:hyperlink r:id="rId12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policy/</w:t>
        </w:r>
      </w:hyperlink>
      <w:hyperlink r:id="rId13">
        <w:r>
          <w:rPr>
            <w:rFonts w:ascii="Times New Roman" w:eastAsia="Times New Roman" w:hAnsi="Times New Roman" w:cs="Times New Roman"/>
            <w:sz w:val="20"/>
          </w:rPr>
          <w:t xml:space="preserve"> </w:t>
        </w:r>
      </w:hyperlink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CD2AEB" w:rsidRDefault="00F708AC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0"/>
          <w:u w:val="single" w:color="000000"/>
          <w:shd w:val="clear" w:color="auto" w:fill="FFFF00"/>
        </w:rPr>
        <w:t>Important Policies Regarding Peer Review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5" w:line="248" w:lineRule="auto"/>
        <w:ind w:left="-5" w:right="5536" w:hanging="10"/>
      </w:pPr>
      <w:r>
        <w:rPr>
          <w:rFonts w:ascii="Times New Roman" w:eastAsia="Times New Roman" w:hAnsi="Times New Roman" w:cs="Times New Roman"/>
          <w:sz w:val="20"/>
        </w:rPr>
        <w:t>Peer review Comments Approval Policy:</w:t>
      </w:r>
      <w:hyperlink r:id="rId14">
        <w:r>
          <w:rPr>
            <w:rFonts w:ascii="Times New Roman" w:eastAsia="Times New Roman" w:hAnsi="Times New Roman" w:cs="Times New Roman"/>
            <w:color w:val="404040"/>
            <w:sz w:val="20"/>
          </w:rPr>
          <w:t xml:space="preserve"> </w:t>
        </w:r>
      </w:hyperlink>
      <w:hyperlink r:id="rId15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https://r1.reviewerhub.org/peer</w:t>
        </w:r>
      </w:hyperlink>
      <w:hyperlink r:id="rId16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-</w:t>
        </w:r>
      </w:hyperlink>
      <w:hyperlink r:id="rId17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review</w:t>
        </w:r>
      </w:hyperlink>
      <w:hyperlink r:id="rId18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-</w:t>
        </w:r>
      </w:hyperlink>
      <w:hyperlink r:id="rId19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comments</w:t>
        </w:r>
      </w:hyperlink>
      <w:hyperlink r:id="rId20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-</w:t>
        </w:r>
      </w:hyperlink>
      <w:hyperlink r:id="rId21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approval</w:t>
        </w:r>
      </w:hyperlink>
      <w:hyperlink r:id="rId22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-</w:t>
        </w:r>
      </w:hyperlink>
      <w:hyperlink r:id="rId23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policy/</w:t>
        </w:r>
      </w:hyperlink>
      <w:hyperlink r:id="rId24">
        <w:r>
          <w:rPr>
            <w:rFonts w:ascii="Times New Roman" w:eastAsia="Times New Roman" w:hAnsi="Times New Roman" w:cs="Times New Roman"/>
            <w:color w:val="404040"/>
            <w:sz w:val="20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404040"/>
          <w:sz w:val="20"/>
        </w:rPr>
        <w:t xml:space="preserve">  </w:t>
      </w:r>
      <w:r>
        <w:rPr>
          <w:rFonts w:ascii="Times New Roman" w:eastAsia="Times New Roman" w:hAnsi="Times New Roman" w:cs="Times New Roman"/>
          <w:sz w:val="20"/>
        </w:rPr>
        <w:t>Benefits for Reviewers:</w:t>
      </w:r>
      <w:hyperlink r:id="rId25">
        <w:r>
          <w:rPr>
            <w:rFonts w:ascii="Times New Roman" w:eastAsia="Times New Roman" w:hAnsi="Times New Roman" w:cs="Times New Roman"/>
            <w:color w:val="404040"/>
            <w:sz w:val="20"/>
          </w:rPr>
          <w:t xml:space="preserve"> </w:t>
        </w:r>
      </w:hyperlink>
      <w:hyperlink r:id="rId26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https://r1.reviewerhub.org/benefits</w:t>
        </w:r>
      </w:hyperlink>
      <w:hyperlink r:id="rId27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-</w:t>
        </w:r>
      </w:hyperlink>
      <w:hyperlink r:id="rId28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for</w:t>
        </w:r>
      </w:hyperlink>
      <w:hyperlink r:id="rId29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-</w:t>
        </w:r>
      </w:hyperlink>
      <w:hyperlink r:id="rId30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reviewers</w:t>
        </w:r>
      </w:hyperlink>
      <w:hyperlink r:id="rId31">
        <w:r>
          <w:rPr>
            <w:rFonts w:ascii="Times New Roman" w:eastAsia="Times New Roman" w:hAnsi="Times New Roman" w:cs="Times New Roman"/>
            <w:color w:val="404040"/>
            <w:sz w:val="20"/>
          </w:rPr>
          <w:t xml:space="preserve"> </w:t>
        </w:r>
      </w:hyperlink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0"/>
        <w:ind w:left="144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CD2AEB" w:rsidRDefault="00F708AC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0"/>
          <w:shd w:val="clear" w:color="auto" w:fill="FFFF00"/>
        </w:rPr>
        <w:t>PART  1:</w:t>
      </w:r>
      <w:r>
        <w:rPr>
          <w:rFonts w:ascii="Times New Roman" w:eastAsia="Times New Roman" w:hAnsi="Times New Roman" w:cs="Times New Roman"/>
          <w:b/>
          <w:sz w:val="20"/>
        </w:rPr>
        <w:t xml:space="preserve"> Comments </w:t>
      </w:r>
    </w:p>
    <w:p w:rsidR="00CD2AEB" w:rsidRDefault="00F708AC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836676</wp:posOffset>
                </wp:positionH>
                <wp:positionV relativeFrom="page">
                  <wp:posOffset>9747199</wp:posOffset>
                </wp:positionV>
                <wp:extent cx="13441680" cy="6096"/>
                <wp:effectExtent l="0" t="0" r="0" b="0"/>
                <wp:wrapTopAndBottom/>
                <wp:docPr id="8516" name="Group 85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41680" cy="6096"/>
                          <a:chOff x="0" y="0"/>
                          <a:chExt cx="13441680" cy="6096"/>
                        </a:xfrm>
                      </wpg:grpSpPr>
                      <wps:wsp>
                        <wps:cNvPr id="9054" name="Shape 9054"/>
                        <wps:cNvSpPr/>
                        <wps:spPr>
                          <a:xfrm>
                            <a:off x="0" y="0"/>
                            <a:ext cx="134416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41680" h="9144">
                                <a:moveTo>
                                  <a:pt x="0" y="0"/>
                                </a:moveTo>
                                <a:lnTo>
                                  <a:pt x="13441680" y="0"/>
                                </a:lnTo>
                                <a:lnTo>
                                  <a:pt x="134416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516" style="width:1058.4pt;height:0.47998pt;position:absolute;mso-position-horizontal-relative:page;mso-position-horizontal:absolute;margin-left:65.88pt;mso-position-vertical-relative:page;margin-top:767.496pt;" coordsize="134416,60">
                <v:shape id="Shape 9055" style="position:absolute;width:134416;height:91;left:0;top:0;" coordsize="13441680,9144" path="m0,0l13441680,0l13441680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21154" w:type="dxa"/>
        <w:tblInd w:w="-108" w:type="dxa"/>
        <w:tblCellMar>
          <w:top w:w="7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5354"/>
        <w:gridCol w:w="9356"/>
        <w:gridCol w:w="6444"/>
      </w:tblGrid>
      <w:tr w:rsidR="00CD2AEB">
        <w:trPr>
          <w:trHeight w:val="97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Reviewer’s comment </w:t>
            </w:r>
          </w:p>
          <w:tbl>
            <w:tblPr>
              <w:tblStyle w:val="TableGrid"/>
              <w:tblW w:w="8574" w:type="dxa"/>
              <w:tblInd w:w="0" w:type="dxa"/>
              <w:tblCellMar>
                <w:top w:w="7" w:type="dxa"/>
              </w:tblCellMar>
              <w:tblLook w:val="04A0" w:firstRow="1" w:lastRow="0" w:firstColumn="1" w:lastColumn="0" w:noHBand="0" w:noVBand="1"/>
            </w:tblPr>
            <w:tblGrid>
              <w:gridCol w:w="617"/>
              <w:gridCol w:w="7957"/>
            </w:tblGrid>
            <w:tr w:rsidR="00CD2AEB">
              <w:trPr>
                <w:trHeight w:val="230"/>
              </w:trPr>
              <w:tc>
                <w:tcPr>
                  <w:tcW w:w="857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CD2AEB" w:rsidRDefault="00F708AC">
                  <w:pP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  <w:t xml:space="preserve">Artificial Intelligence (AI) generated or assisted review comments are strictly prohibited during peer </w:t>
                  </w:r>
                </w:p>
              </w:tc>
            </w:tr>
            <w:tr w:rsidR="00CD2AEB">
              <w:trPr>
                <w:trHeight w:val="228"/>
              </w:trPr>
              <w:tc>
                <w:tcPr>
                  <w:tcW w:w="6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CD2AEB" w:rsidRDefault="00F708AC">
                  <w:pPr>
                    <w:ind w:right="-1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  <w:t>review.</w:t>
                  </w:r>
                </w:p>
              </w:tc>
              <w:tc>
                <w:tcPr>
                  <w:tcW w:w="79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2AEB" w:rsidRDefault="00F708AC"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</w:rPr>
                    <w:t xml:space="preserve"> </w:t>
                  </w:r>
                </w:p>
              </w:tc>
            </w:tr>
          </w:tbl>
          <w:p w:rsidR="00CD2AEB" w:rsidRDefault="00F708AC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pPr>
              <w:ind w:right="54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Author’s Feedback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</w:rPr>
              <w:t>(Please correct the manuscript and highlight that part in the manuscript. It is mandatory that authors should write his/her feedback here)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CD2AEB">
        <w:trPr>
          <w:trHeight w:val="127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pPr>
              <w:spacing w:after="1" w:line="239" w:lineRule="auto"/>
              <w:ind w:left="360" w:right="21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Please write a few sentences regarding the importance of this manuscript for the scientific community. A minimum of 3-4 sentences may be required for this part. </w:t>
            </w:r>
          </w:p>
          <w:p w:rsidR="00CD2AEB" w:rsidRDefault="00F708AC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Diagnostic methods used for characterization of neoplasms are very important in diagnosis and follow-up the patient during and after treatment. Using Flow cytometry in combination with other diagnostic tests have been used during recent years.  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C3D" w:rsidRPr="002B6C3D" w:rsidRDefault="00F708AC" w:rsidP="002B6C3D">
            <w:pPr>
              <w:rPr>
                <w:rFonts w:eastAsia="Times New Roman"/>
                <w:sz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2B6C3D" w:rsidRPr="002B6C3D">
              <w:rPr>
                <w:rFonts w:eastAsia="Times New Roman"/>
                <w:sz w:val="20"/>
                <w:lang w:val="fr-FR"/>
              </w:rPr>
              <w:t xml:space="preserve">This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manuscript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presents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a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comprehensive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study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on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chronic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lymphoproliferative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disorders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in Côte d'Ivoire,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highlighting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the importance of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advanced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diagnostic techniques,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particularly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flow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cytometry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combined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with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other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tests, for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accurate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diagnosis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and effective patient management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during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and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after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 xml:space="preserve"> </w:t>
            </w:r>
            <w:proofErr w:type="spellStart"/>
            <w:r w:rsidR="002B6C3D" w:rsidRPr="002B6C3D">
              <w:rPr>
                <w:rFonts w:eastAsia="Times New Roman"/>
                <w:sz w:val="20"/>
                <w:lang w:val="fr-FR"/>
              </w:rPr>
              <w:t>treatment</w:t>
            </w:r>
            <w:proofErr w:type="spellEnd"/>
            <w:r w:rsidR="002B6C3D" w:rsidRPr="002B6C3D">
              <w:rPr>
                <w:rFonts w:eastAsia="Times New Roman"/>
                <w:sz w:val="20"/>
                <w:lang w:val="fr-FR"/>
              </w:rPr>
              <w:t>.</w:t>
            </w:r>
          </w:p>
          <w:p w:rsidR="00CD2AEB" w:rsidRDefault="00CD2AEB"/>
        </w:tc>
      </w:tr>
      <w:tr w:rsidR="00CD2AEB">
        <w:trPr>
          <w:trHeight w:val="127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Is the title of the article suitable? </w:t>
            </w:r>
          </w:p>
          <w:p w:rsidR="00CD2AEB" w:rsidRDefault="00F708AC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(If not please suggest an alternative title) </w:t>
            </w:r>
          </w:p>
          <w:p w:rsidR="00CD2AEB" w:rsidRDefault="00F708AC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Yes 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A1455B">
              <w:rPr>
                <w:rFonts w:ascii="Times New Roman" w:eastAsia="Times New Roman" w:hAnsi="Times New Roman" w:cs="Times New Roman"/>
                <w:sz w:val="20"/>
              </w:rPr>
              <w:t>ok</w:t>
            </w:r>
          </w:p>
        </w:tc>
      </w:tr>
      <w:tr w:rsidR="00CD2AEB">
        <w:trPr>
          <w:trHeight w:val="1272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 xml:space="preserve">Is the abstract of the article comprehensive? Do you suggest the addition (or deletion) of some points in this section? Please write your suggestions here. </w:t>
            </w:r>
          </w:p>
          <w:p w:rsidR="00CD2AEB" w:rsidRDefault="00F708AC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Conclusion should be mentioned at the end of the abstract 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132" w:rsidRPr="00F37187" w:rsidRDefault="009B6132" w:rsidP="009B6132">
            <w:pPr>
              <w:spacing w:line="360" w:lineRule="auto"/>
              <w:jc w:val="both"/>
              <w:rPr>
                <w:rFonts w:ascii="Arial" w:hAnsi="Arial" w:cs="Arial"/>
                <w:lang w:val="en-GB"/>
              </w:rPr>
            </w:pPr>
            <w:r w:rsidRPr="00F37187">
              <w:rPr>
                <w:rFonts w:ascii="Arial" w:hAnsi="Arial" w:cs="Arial"/>
                <w:lang w:val="en-GB"/>
              </w:rPr>
              <w:t>The combination of flow cytometry with other molecular biology techniques has been recognized as a significant advancement in the field. Further integration of cytogenetics and molecular biology aims to refine diagnostic accuracy and treatment strategies.</w:t>
            </w:r>
          </w:p>
          <w:p w:rsidR="00CD2AEB" w:rsidRDefault="00CD2AEB"/>
        </w:tc>
      </w:tr>
      <w:tr w:rsidR="00CD2AEB">
        <w:trPr>
          <w:trHeight w:val="219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Is the manuscript scientifically, correct? Please write here.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Times New Roman" w:eastAsia="Times New Roman" w:hAnsi="Times New Roman" w:cs="Times New Roman"/>
                <w:sz w:val="20"/>
              </w:rPr>
              <w:t xml:space="preserve">- Introduction should include references </w:t>
            </w:r>
          </w:p>
          <w:p w:rsidR="00CD2AEB" w:rsidRDefault="00F708AC">
            <w:pPr>
              <w:spacing w:line="359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Correct some references in the discussion [e.g.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(Safra &amp; al,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2013)=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(Safra, 2013) and so on to the other references  </w:t>
            </w:r>
          </w:p>
          <w:p w:rsidR="00CD2AEB" w:rsidRDefault="00F708AC">
            <w:pPr>
              <w:spacing w:after="2" w:line="357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Meryeme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&amp; al., 2020; Le Garff-Tavernier et al.,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2013)=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(Le Garff-Tavernier et al., 2013;Meryeme &amp; al., 2020) and so on to the other references  </w:t>
            </w:r>
          </w:p>
          <w:p w:rsidR="00CD2AEB" w:rsidRDefault="00F708AC">
            <w:pPr>
              <w:spacing w:after="97"/>
            </w:pPr>
            <w:r>
              <w:rPr>
                <w:rFonts w:ascii="Times New Roman" w:eastAsia="Times New Roman" w:hAnsi="Times New Roman" w:cs="Times New Roman"/>
                <w:sz w:val="20"/>
              </w:rPr>
              <w:t>2. Do not start the sentence with pronoun, adverb or abbreviation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CD2AEB" w:rsidRDefault="00F708AC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9D1981" w:rsidRPr="009D1981">
              <w:rPr>
                <w:rFonts w:ascii="Times New Roman" w:eastAsia="Times New Roman" w:hAnsi="Times New Roman" w:cs="Times New Roman"/>
                <w:sz w:val="20"/>
              </w:rPr>
              <w:t>corrections made</w:t>
            </w:r>
          </w:p>
        </w:tc>
      </w:tr>
      <w:tr w:rsidR="00CD2AEB">
        <w:trPr>
          <w:trHeight w:val="71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pPr>
              <w:ind w:left="360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Are the references sufficient and recent? If you have suggestions of additional references, please mention them in the review form.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Times New Roman" w:eastAsia="Times New Roman" w:hAnsi="Times New Roman" w:cs="Times New Roman"/>
                <w:sz w:val="20"/>
              </w:rPr>
              <w:t xml:space="preserve">Yes, but DOI should be mentioned for each reference 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9D1981" w:rsidRPr="009D1981">
              <w:rPr>
                <w:rFonts w:ascii="Times New Roman" w:eastAsia="Times New Roman" w:hAnsi="Times New Roman" w:cs="Times New Roman"/>
                <w:sz w:val="20"/>
              </w:rPr>
              <w:t>corrections made</w:t>
            </w:r>
          </w:p>
        </w:tc>
      </w:tr>
      <w:tr w:rsidR="00CD2AEB">
        <w:trPr>
          <w:trHeight w:val="69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pPr>
              <w:ind w:left="360" w:right="43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Is the language/English quality of the article suitable for scholarly communications? </w:t>
            </w:r>
          </w:p>
          <w:p w:rsidR="00CD2AEB" w:rsidRDefault="00F708AC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Times New Roman" w:eastAsia="Times New Roman" w:hAnsi="Times New Roman" w:cs="Times New Roman"/>
                <w:sz w:val="20"/>
              </w:rPr>
              <w:t xml:space="preserve">Yes 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CD2AEB">
        <w:trPr>
          <w:trHeight w:val="119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Times New Roman" w:eastAsia="Times New Roman" w:hAnsi="Times New Roman" w:cs="Times New Roman"/>
                <w:b/>
                <w:sz w:val="20"/>
                <w:u w:val="single" w:color="000000"/>
              </w:rPr>
              <w:t>Optional/General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comments </w:t>
            </w:r>
          </w:p>
          <w:p w:rsidR="00CD2AEB" w:rsidRDefault="00F708AC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2AEB" w:rsidRDefault="00F708AC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CD2AEB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945027" w:rsidRDefault="00F708AC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6"/>
        <w:gridCol w:w="5105"/>
        <w:gridCol w:w="5096"/>
      </w:tblGrid>
      <w:tr w:rsidR="00945027" w:rsidRPr="00945027" w:rsidTr="0094502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5027" w:rsidRPr="00945027" w:rsidRDefault="00945027" w:rsidP="00945027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945027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45027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945027" w:rsidRPr="00945027" w:rsidRDefault="00945027" w:rsidP="00945027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u w:val="single"/>
                <w:lang w:val="en-GB"/>
              </w:rPr>
            </w:pPr>
          </w:p>
        </w:tc>
      </w:tr>
      <w:tr w:rsidR="00945027" w:rsidRPr="00945027" w:rsidTr="0094502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5027" w:rsidRPr="00945027" w:rsidRDefault="00945027" w:rsidP="00945027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027" w:rsidRPr="00945027" w:rsidRDefault="00945027" w:rsidP="00945027">
            <w:pPr>
              <w:keepNext/>
              <w:spacing w:after="0" w:line="276" w:lineRule="auto"/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</w:pPr>
            <w:r w:rsidRPr="00945027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5027" w:rsidRPr="00945027" w:rsidRDefault="00945027" w:rsidP="00945027">
            <w:pPr>
              <w:keepNext/>
              <w:spacing w:after="0" w:line="276" w:lineRule="auto"/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</w:pPr>
            <w:r w:rsidRPr="00945027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lang w:val="en-GB"/>
              </w:rPr>
              <w:t>Author’s comment</w:t>
            </w:r>
            <w:r w:rsidRPr="00945027">
              <w:rPr>
                <w:rFonts w:ascii="Arial" w:eastAsia="MS Mincho" w:hAnsi="Arial" w:cs="Arial"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Pr="00945027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45027" w:rsidRPr="00945027" w:rsidTr="0094502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5027" w:rsidRPr="00945027" w:rsidRDefault="00945027" w:rsidP="00945027">
            <w:pPr>
              <w:spacing w:after="0" w:line="276" w:lineRule="auto"/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</w:pPr>
            <w:r w:rsidRPr="00945027">
              <w:rPr>
                <w:rFonts w:ascii="Arial" w:eastAsia="Arial Unicode MS" w:hAnsi="Arial" w:cs="Arial"/>
                <w:b/>
                <w:color w:val="auto"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945027" w:rsidRPr="00945027" w:rsidRDefault="00945027" w:rsidP="00945027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5027" w:rsidRPr="00945027" w:rsidRDefault="00945027" w:rsidP="00945027">
            <w:pPr>
              <w:spacing w:after="0" w:line="276" w:lineRule="auto"/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</w:pPr>
            <w:r w:rsidRPr="00945027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45027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45027">
              <w:rPr>
                <w:rFonts w:ascii="Arial" w:eastAsia="Arial Unicode MS" w:hAnsi="Arial" w:cs="Arial"/>
                <w:i/>
                <w:iCs/>
                <w:color w:val="auto"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945027" w:rsidRPr="00945027" w:rsidRDefault="00945027" w:rsidP="00945027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945027" w:rsidRPr="00945027" w:rsidRDefault="00945027" w:rsidP="00945027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027" w:rsidRPr="00945027" w:rsidRDefault="00945027" w:rsidP="00945027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945027" w:rsidRPr="00945027" w:rsidRDefault="00945027" w:rsidP="00945027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  <w:p w:rsidR="00945027" w:rsidRPr="00945027" w:rsidRDefault="00945027" w:rsidP="00945027">
            <w:pPr>
              <w:spacing w:after="0" w:line="276" w:lineRule="auto"/>
              <w:rPr>
                <w:rFonts w:ascii="Arial" w:eastAsia="Arial Unicode MS" w:hAnsi="Arial" w:cs="Arial"/>
                <w:color w:val="auto"/>
                <w:sz w:val="20"/>
                <w:szCs w:val="20"/>
                <w:lang w:val="en-GB"/>
              </w:rPr>
            </w:pPr>
          </w:p>
        </w:tc>
      </w:tr>
      <w:bookmarkEnd w:id="0"/>
    </w:tbl>
    <w:p w:rsidR="00945027" w:rsidRPr="00945027" w:rsidRDefault="00945027" w:rsidP="0094502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6"/>
        <w:gridCol w:w="10821"/>
      </w:tblGrid>
      <w:tr w:rsidR="00945027" w:rsidRPr="00945027" w:rsidTr="00945027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5027" w:rsidRPr="00945027" w:rsidRDefault="00945027" w:rsidP="0094502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u w:val="single"/>
                <w:lang w:val="en-GB"/>
              </w:rPr>
            </w:pPr>
          </w:p>
          <w:p w:rsidR="00945027" w:rsidRPr="00945027" w:rsidRDefault="00945027" w:rsidP="0094502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  <w:lang w:val="en-GB"/>
              </w:rPr>
            </w:pPr>
            <w:r w:rsidRPr="0094502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u w:val="single"/>
                <w:lang w:val="en-GB"/>
              </w:rPr>
              <w:t>Reviewer Details:</w:t>
            </w:r>
          </w:p>
          <w:p w:rsidR="00945027" w:rsidRPr="00945027" w:rsidRDefault="00945027" w:rsidP="0094502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u w:val="single"/>
                <w:lang w:val="en-GB"/>
              </w:rPr>
            </w:pPr>
          </w:p>
        </w:tc>
      </w:tr>
      <w:tr w:rsidR="00945027" w:rsidRPr="00945027" w:rsidTr="00945027">
        <w:trPr>
          <w:trHeight w:val="77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27" w:rsidRPr="00945027" w:rsidRDefault="00945027" w:rsidP="009450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94502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GB"/>
              </w:rPr>
              <w:t>Name:</w:t>
            </w:r>
          </w:p>
        </w:tc>
        <w:tc>
          <w:tcPr>
            <w:tcW w:w="3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27" w:rsidRPr="00945027" w:rsidRDefault="00945027" w:rsidP="0094502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4502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Anonymous reviewer (Only for this stage as per Review policy)</w:t>
            </w:r>
          </w:p>
        </w:tc>
      </w:tr>
      <w:tr w:rsidR="00945027" w:rsidRPr="00945027" w:rsidTr="00945027">
        <w:trPr>
          <w:trHeight w:val="77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5027" w:rsidRPr="00945027" w:rsidRDefault="00945027" w:rsidP="0094502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GB"/>
              </w:rPr>
            </w:pPr>
            <w:r w:rsidRPr="0094502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GB"/>
              </w:rPr>
              <w:t>Department, University &amp; Country</w:t>
            </w:r>
          </w:p>
        </w:tc>
        <w:tc>
          <w:tcPr>
            <w:tcW w:w="3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45027" w:rsidRPr="00945027" w:rsidRDefault="00945027" w:rsidP="0094502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en-GB"/>
              </w:rPr>
            </w:pPr>
          </w:p>
        </w:tc>
      </w:tr>
      <w:bookmarkEnd w:id="1"/>
    </w:tbl>
    <w:p w:rsidR="00945027" w:rsidRPr="00945027" w:rsidRDefault="00945027" w:rsidP="0094502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CD2AEB" w:rsidRDefault="00CD2AEB">
      <w:pPr>
        <w:spacing w:after="0"/>
      </w:pPr>
    </w:p>
    <w:sectPr w:rsidR="00CD2AEB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23813" w:h="16838" w:orient="landscape"/>
      <w:pgMar w:top="1834" w:right="7306" w:bottom="1493" w:left="1440" w:header="724" w:footer="7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B1E6B" w:rsidRDefault="00BB1E6B">
      <w:pPr>
        <w:spacing w:after="0" w:line="240" w:lineRule="auto"/>
      </w:pPr>
      <w:r>
        <w:separator/>
      </w:r>
    </w:p>
  </w:endnote>
  <w:endnote w:type="continuationSeparator" w:id="0">
    <w:p w:rsidR="00BB1E6B" w:rsidRDefault="00BB1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SimSu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D2AEB" w:rsidRDefault="00F708AC">
    <w:pPr>
      <w:tabs>
        <w:tab w:val="center" w:pos="4514"/>
        <w:tab w:val="center" w:pos="9027"/>
        <w:tab w:val="center" w:pos="1014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D2AEB" w:rsidRDefault="00F708AC">
    <w:pPr>
      <w:tabs>
        <w:tab w:val="center" w:pos="4514"/>
        <w:tab w:val="center" w:pos="9027"/>
        <w:tab w:val="center" w:pos="1014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D2AEB" w:rsidRDefault="00F708AC">
    <w:pPr>
      <w:tabs>
        <w:tab w:val="center" w:pos="4514"/>
        <w:tab w:val="center" w:pos="9027"/>
        <w:tab w:val="center" w:pos="10145"/>
        <w:tab w:val="center" w:pos="11521"/>
      </w:tabs>
      <w:spacing w:after="0"/>
    </w:pPr>
    <w:r>
      <w:rPr>
        <w:rFonts w:ascii="Times New Roman" w:eastAsia="Times New Roman" w:hAnsi="Times New Roman" w:cs="Times New Roman"/>
        <w:sz w:val="16"/>
      </w:rPr>
      <w:t xml:space="preserve">Created by: DR </w:t>
    </w:r>
    <w:r>
      <w:rPr>
        <w:rFonts w:ascii="Times New Roman" w:eastAsia="Times New Roman" w:hAnsi="Times New Roman" w:cs="Times New Roman"/>
        <w:sz w:val="16"/>
      </w:rPr>
      <w:tab/>
      <w:t xml:space="preserve">              Checked by: PM                                           Approved by: MBM </w:t>
    </w:r>
    <w:r>
      <w:rPr>
        <w:rFonts w:ascii="Times New Roman" w:eastAsia="Times New Roman" w:hAnsi="Times New Roman" w:cs="Times New Roman"/>
        <w:sz w:val="16"/>
      </w:rPr>
      <w:tab/>
      <w:t xml:space="preserve">    </w:t>
    </w:r>
    <w:r>
      <w:rPr>
        <w:rFonts w:ascii="Times New Roman" w:eastAsia="Times New Roman" w:hAnsi="Times New Roman" w:cs="Times New Roman"/>
        <w:sz w:val="16"/>
      </w:rPr>
      <w:tab/>
      <w:t xml:space="preserve">Version: 3 (07-07-2024) </w:t>
    </w:r>
    <w:r>
      <w:rPr>
        <w:rFonts w:ascii="Times New Roman" w:eastAsia="Times New Roman" w:hAnsi="Times New Roman" w:cs="Times New Roman"/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B1E6B" w:rsidRDefault="00BB1E6B">
      <w:pPr>
        <w:spacing w:after="0" w:line="240" w:lineRule="auto"/>
      </w:pPr>
      <w:r>
        <w:separator/>
      </w:r>
    </w:p>
  </w:footnote>
  <w:footnote w:type="continuationSeparator" w:id="0">
    <w:p w:rsidR="00BB1E6B" w:rsidRDefault="00BB1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D2AEB" w:rsidRDefault="00F708AC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CD2AEB" w:rsidRDefault="00F708AC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D2AEB" w:rsidRDefault="00F708AC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CD2AEB" w:rsidRDefault="00F708AC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D2AEB" w:rsidRDefault="00F708AC">
    <w:pPr>
      <w:spacing w:after="259"/>
      <w:ind w:left="5935"/>
      <w:jc w:val="center"/>
    </w:pPr>
    <w:r>
      <w:rPr>
        <w:rFonts w:ascii="Arial" w:eastAsia="Arial" w:hAnsi="Arial" w:cs="Arial"/>
        <w:b/>
        <w:color w:val="003399"/>
        <w:sz w:val="24"/>
      </w:rPr>
      <w:t xml:space="preserve"> </w:t>
    </w:r>
  </w:p>
  <w:p w:rsidR="00CD2AEB" w:rsidRDefault="00F708AC">
    <w:pPr>
      <w:spacing w:after="0"/>
    </w:pPr>
    <w:r>
      <w:rPr>
        <w:rFonts w:ascii="Arial" w:eastAsia="Arial" w:hAnsi="Arial" w:cs="Arial"/>
        <w:b/>
        <w:color w:val="003399"/>
        <w:sz w:val="24"/>
        <w:u w:val="single" w:color="003399"/>
      </w:rPr>
      <w:t>Review Form 3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AEB"/>
    <w:rsid w:val="002B6C3D"/>
    <w:rsid w:val="00745A29"/>
    <w:rsid w:val="00857B20"/>
    <w:rsid w:val="00945027"/>
    <w:rsid w:val="009B6132"/>
    <w:rsid w:val="009D1981"/>
    <w:rsid w:val="00A1455B"/>
    <w:rsid w:val="00BB1E6B"/>
    <w:rsid w:val="00CD2AEB"/>
    <w:rsid w:val="00D83A21"/>
    <w:rsid w:val="00E3049C"/>
    <w:rsid w:val="00F51AA8"/>
    <w:rsid w:val="00F70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359A6-A8DC-4F9F-AD6A-01A713D88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iPriority w:val="99"/>
    <w:semiHidden/>
    <w:unhideWhenUsed/>
    <w:rsid w:val="00E3049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B6C3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4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1.reviewerhub.org/general-editorial-policy/" TargetMode="External"/><Relationship Id="rId13" Type="http://schemas.openxmlformats.org/officeDocument/2006/relationships/hyperlink" Target="https://r1.reviewerhub.org/general-editorial-policy/" TargetMode="External"/><Relationship Id="rId18" Type="http://schemas.openxmlformats.org/officeDocument/2006/relationships/hyperlink" Target="https://r1.reviewerhub.org/peer-review-comments-approval-policy/" TargetMode="External"/><Relationship Id="rId26" Type="http://schemas.openxmlformats.org/officeDocument/2006/relationships/hyperlink" Target="https://r1.reviewerhub.org/benefits-for-reviewers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r1.reviewerhub.org/peer-review-comments-approval-policy/" TargetMode="External"/><Relationship Id="rId34" Type="http://schemas.openxmlformats.org/officeDocument/2006/relationships/footer" Target="footer1.xml"/><Relationship Id="rId7" Type="http://schemas.openxmlformats.org/officeDocument/2006/relationships/hyperlink" Target="https://journalibrr.com/index.php/IBRR" TargetMode="External"/><Relationship Id="rId12" Type="http://schemas.openxmlformats.org/officeDocument/2006/relationships/hyperlink" Target="https://r1.reviewerhub.org/general-editorial-policy/" TargetMode="External"/><Relationship Id="rId17" Type="http://schemas.openxmlformats.org/officeDocument/2006/relationships/hyperlink" Target="https://r1.reviewerhub.org/peer-review-comments-approval-policy/" TargetMode="External"/><Relationship Id="rId25" Type="http://schemas.openxmlformats.org/officeDocument/2006/relationships/hyperlink" Target="https://r1.reviewerhub.org/benefits-for-reviewers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r1.reviewerhub.org/peer-review-comments-approval-policy/" TargetMode="External"/><Relationship Id="rId20" Type="http://schemas.openxmlformats.org/officeDocument/2006/relationships/hyperlink" Target="https://r1.reviewerhub.org/peer-review-comments-approval-policy/" TargetMode="External"/><Relationship Id="rId29" Type="http://schemas.openxmlformats.org/officeDocument/2006/relationships/hyperlink" Target="https://r1.reviewerhub.org/benefits-for-reviewers" TargetMode="External"/><Relationship Id="rId1" Type="http://schemas.openxmlformats.org/officeDocument/2006/relationships/styles" Target="styles.xml"/><Relationship Id="rId6" Type="http://schemas.openxmlformats.org/officeDocument/2006/relationships/hyperlink" Target="https://journalibrr.com/index.php/IBRR" TargetMode="External"/><Relationship Id="rId11" Type="http://schemas.openxmlformats.org/officeDocument/2006/relationships/hyperlink" Target="https://r1.reviewerhub.org/general-editorial-policy/" TargetMode="External"/><Relationship Id="rId24" Type="http://schemas.openxmlformats.org/officeDocument/2006/relationships/hyperlink" Target="https://r1.reviewerhub.org/peer-review-comments-approval-policy/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yperlink" Target="https://r1.reviewerhub.org/peer-review-comments-approval-policy/" TargetMode="External"/><Relationship Id="rId23" Type="http://schemas.openxmlformats.org/officeDocument/2006/relationships/hyperlink" Target="https://r1.reviewerhub.org/peer-review-comments-approval-policy/" TargetMode="External"/><Relationship Id="rId28" Type="http://schemas.openxmlformats.org/officeDocument/2006/relationships/hyperlink" Target="https://r1.reviewerhub.org/benefits-for-reviewers" TargetMode="External"/><Relationship Id="rId36" Type="http://schemas.openxmlformats.org/officeDocument/2006/relationships/header" Target="header3.xml"/><Relationship Id="rId10" Type="http://schemas.openxmlformats.org/officeDocument/2006/relationships/hyperlink" Target="https://r1.reviewerhub.org/general-editorial-policy/" TargetMode="External"/><Relationship Id="rId19" Type="http://schemas.openxmlformats.org/officeDocument/2006/relationships/hyperlink" Target="https://r1.reviewerhub.org/peer-review-comments-approval-policy/" TargetMode="External"/><Relationship Id="rId31" Type="http://schemas.openxmlformats.org/officeDocument/2006/relationships/hyperlink" Target="https://r1.reviewerhub.org/benefits-for-reviewer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1.reviewerhub.org/general-editorial-policy/" TargetMode="External"/><Relationship Id="rId14" Type="http://schemas.openxmlformats.org/officeDocument/2006/relationships/hyperlink" Target="https://r1.reviewerhub.org/peer-review-comments-approval-policy/" TargetMode="External"/><Relationship Id="rId22" Type="http://schemas.openxmlformats.org/officeDocument/2006/relationships/hyperlink" Target="https://r1.reviewerhub.org/peer-review-comments-approval-policy/" TargetMode="External"/><Relationship Id="rId27" Type="http://schemas.openxmlformats.org/officeDocument/2006/relationships/hyperlink" Target="https://r1.reviewerhub.org/benefits-for-reviewers" TargetMode="External"/><Relationship Id="rId30" Type="http://schemas.openxmlformats.org/officeDocument/2006/relationships/hyperlink" Target="https://r1.reviewerhub.org/benefits-for-reviewers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900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HERMANCE YOLANDE KASSI</cp:lastModifiedBy>
  <cp:revision>6</cp:revision>
  <dcterms:created xsi:type="dcterms:W3CDTF">2025-02-15T08:32:00Z</dcterms:created>
  <dcterms:modified xsi:type="dcterms:W3CDTF">2025-02-20T20:08:00Z</dcterms:modified>
</cp:coreProperties>
</file>