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D36" w:rsidRPr="00A95F3A" w:rsidRDefault="00702D3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02D36" w:rsidRPr="00A95F3A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02D36" w:rsidRPr="00A95F3A">
        <w:trPr>
          <w:trHeight w:val="290"/>
        </w:trPr>
        <w:tc>
          <w:tcPr>
            <w:tcW w:w="5167" w:type="dxa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A95F3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Hematology Research Journal</w:t>
              </w:r>
            </w:hyperlink>
            <w:r w:rsidRPr="00A95F3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02D36" w:rsidRPr="00A95F3A">
        <w:trPr>
          <w:trHeight w:val="290"/>
        </w:trPr>
        <w:tc>
          <w:tcPr>
            <w:tcW w:w="5167" w:type="dxa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Ms_AHRJ_132438</w:t>
            </w:r>
          </w:p>
        </w:tc>
      </w:tr>
      <w:tr w:rsidR="00702D36" w:rsidRPr="00A95F3A">
        <w:trPr>
          <w:trHeight w:val="650"/>
        </w:trPr>
        <w:tc>
          <w:tcPr>
            <w:tcW w:w="5167" w:type="dxa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Primary Evans Syndrome with Concurrent Autoimmune Hemolytic Anemia and Immune Thrombocytopenia: A Case Report</w:t>
            </w:r>
          </w:p>
        </w:tc>
      </w:tr>
      <w:tr w:rsidR="00702D36" w:rsidRPr="00A95F3A">
        <w:trPr>
          <w:trHeight w:val="332"/>
        </w:trPr>
        <w:tc>
          <w:tcPr>
            <w:tcW w:w="5167" w:type="dxa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702D36" w:rsidRPr="00A95F3A" w:rsidRDefault="00702D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702D36" w:rsidRPr="00A95F3A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0" w:name="_heading=h.gjdgxs" w:colFirst="0" w:colLast="0"/>
            <w:bookmarkEnd w:id="0"/>
            <w:r w:rsidRPr="00A95F3A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A95F3A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D36" w:rsidRPr="00A95F3A">
        <w:tc>
          <w:tcPr>
            <w:tcW w:w="5351" w:type="dxa"/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95F3A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comment</w:t>
            </w:r>
          </w:p>
          <w:p w:rsidR="00702D36" w:rsidRPr="00A95F3A" w:rsidRDefault="009945A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95F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A95F3A">
              <w:rPr>
                <w:rFonts w:ascii="Arial" w:eastAsia="Times New Roman" w:hAnsi="Arial" w:cs="Arial"/>
              </w:rPr>
              <w:t>Author’s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Feedback</w:t>
            </w:r>
            <w:r w:rsidRPr="00A95F3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95F3A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702D36" w:rsidRPr="00A95F3A" w:rsidTr="00A95F3A">
        <w:trPr>
          <w:trHeight w:val="836"/>
        </w:trPr>
        <w:tc>
          <w:tcPr>
            <w:tcW w:w="5351" w:type="dxa"/>
          </w:tcPr>
          <w:p w:rsidR="00702D36" w:rsidRPr="00A95F3A" w:rsidRDefault="009945AD" w:rsidP="00A95F3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95F3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</w:tcPr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D36" w:rsidRPr="00A95F3A" w:rsidTr="00A95F3A">
        <w:trPr>
          <w:trHeight w:val="332"/>
        </w:trPr>
        <w:tc>
          <w:tcPr>
            <w:tcW w:w="5351" w:type="dxa"/>
          </w:tcPr>
          <w:p w:rsidR="00702D36" w:rsidRPr="00A95F3A" w:rsidRDefault="009945A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95F3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702D36" w:rsidRPr="00A95F3A" w:rsidRDefault="009945A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95F3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D36" w:rsidRPr="00A95F3A" w:rsidTr="00A95F3A">
        <w:trPr>
          <w:trHeight w:val="701"/>
        </w:trPr>
        <w:tc>
          <w:tcPr>
            <w:tcW w:w="5351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95F3A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A95F3A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A95F3A">
              <w:rPr>
                <w:rFonts w:ascii="Arial" w:eastAsia="Times New Roman" w:hAnsi="Arial" w:cs="Arial"/>
              </w:rPr>
              <w:t>?</w:t>
            </w:r>
            <w:proofErr w:type="gramEnd"/>
            <w:r w:rsidRPr="00A95F3A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A95F3A">
              <w:rPr>
                <w:rFonts w:ascii="Arial" w:eastAsia="Times New Roman" w:hAnsi="Arial" w:cs="Arial"/>
              </w:rPr>
              <w:t>you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suggest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A95F3A">
              <w:rPr>
                <w:rFonts w:ascii="Arial" w:eastAsia="Times New Roman" w:hAnsi="Arial" w:cs="Arial"/>
              </w:rPr>
              <w:t>deletion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A95F3A">
              <w:rPr>
                <w:rFonts w:ascii="Arial" w:eastAsia="Times New Roman" w:hAnsi="Arial" w:cs="Arial"/>
              </w:rPr>
              <w:t>some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A95F3A">
              <w:rPr>
                <w:rFonts w:ascii="Arial" w:eastAsia="Times New Roman" w:hAnsi="Arial" w:cs="Arial"/>
              </w:rPr>
              <w:t>this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95F3A">
              <w:rPr>
                <w:rFonts w:ascii="Arial" w:eastAsia="Times New Roman" w:hAnsi="Arial" w:cs="Arial"/>
              </w:rPr>
              <w:t>section?</w:t>
            </w:r>
            <w:proofErr w:type="gram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Please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write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your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A95F3A">
              <w:rPr>
                <w:rFonts w:ascii="Arial" w:eastAsia="Times New Roman" w:hAnsi="Arial" w:cs="Arial"/>
              </w:rPr>
              <w:t>here</w:t>
            </w:r>
            <w:proofErr w:type="spellEnd"/>
            <w:r w:rsidRPr="00A95F3A">
              <w:rPr>
                <w:rFonts w:ascii="Arial" w:eastAsia="Times New Roman" w:hAnsi="Arial" w:cs="Arial"/>
              </w:rPr>
              <w:t>.</w:t>
            </w:r>
          </w:p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D36" w:rsidRPr="00A95F3A">
        <w:trPr>
          <w:trHeight w:val="704"/>
        </w:trPr>
        <w:tc>
          <w:tcPr>
            <w:tcW w:w="5351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95F3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95F3A">
              <w:rPr>
                <w:rFonts w:ascii="Arial" w:eastAsia="Times New Roman" w:hAnsi="Arial" w:cs="Arial"/>
              </w:rPr>
              <w:t>manuscript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A95F3A">
              <w:rPr>
                <w:rFonts w:ascii="Arial" w:eastAsia="Times New Roman" w:hAnsi="Arial" w:cs="Arial"/>
              </w:rPr>
              <w:t>correct?</w:t>
            </w:r>
            <w:proofErr w:type="gram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Please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write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</w:rPr>
              <w:t>here</w:t>
            </w:r>
            <w:proofErr w:type="spellEnd"/>
            <w:r w:rsidRPr="00A95F3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D36" w:rsidRPr="00A95F3A">
        <w:trPr>
          <w:trHeight w:val="703"/>
        </w:trPr>
        <w:tc>
          <w:tcPr>
            <w:tcW w:w="5351" w:type="dxa"/>
          </w:tcPr>
          <w:p w:rsidR="00702D36" w:rsidRPr="00A95F3A" w:rsidRDefault="009945A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95F3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D36" w:rsidRPr="00A95F3A">
        <w:trPr>
          <w:trHeight w:val="386"/>
        </w:trPr>
        <w:tc>
          <w:tcPr>
            <w:tcW w:w="5351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95F3A">
              <w:rPr>
                <w:rFonts w:ascii="Arial" w:eastAsia="Times New Roman" w:hAnsi="Arial" w:cs="Arial"/>
              </w:rPr>
              <w:lastRenderedPageBreak/>
              <w:t xml:space="preserve">Is the </w:t>
            </w:r>
            <w:proofErr w:type="spellStart"/>
            <w:r w:rsidRPr="00A95F3A">
              <w:rPr>
                <w:rFonts w:ascii="Arial" w:eastAsia="Times New Roman" w:hAnsi="Arial" w:cs="Arial"/>
              </w:rPr>
              <w:t>language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A95F3A">
              <w:rPr>
                <w:rFonts w:ascii="Arial" w:eastAsia="Times New Roman" w:hAnsi="Arial" w:cs="Arial"/>
              </w:rPr>
              <w:t>quality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A95F3A">
              <w:rPr>
                <w:rFonts w:ascii="Arial" w:eastAsia="Times New Roman" w:hAnsi="Arial" w:cs="Arial"/>
              </w:rPr>
              <w:t>suitable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A95F3A">
              <w:rPr>
                <w:rFonts w:ascii="Arial" w:eastAsia="Times New Roman" w:hAnsi="Arial" w:cs="Arial"/>
              </w:rPr>
              <w:t>scholarly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95F3A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D36" w:rsidRPr="00A95F3A">
        <w:trPr>
          <w:trHeight w:val="1178"/>
        </w:trPr>
        <w:tc>
          <w:tcPr>
            <w:tcW w:w="5351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A95F3A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A95F3A">
              <w:rPr>
                <w:rFonts w:ascii="Arial" w:eastAsia="Times New Roman" w:hAnsi="Arial" w:cs="Arial"/>
                <w:u w:val="single"/>
              </w:rPr>
              <w:t>/General</w:t>
            </w:r>
            <w:r w:rsidRPr="00A95F3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702D36" w:rsidRPr="00A95F3A" w:rsidRDefault="00702D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"Thank you, my colleague, for requesting my review of the manuscript. I have reviewed it and accept it. Here are my comments on it:"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Title: The title appropriately of Primary Evans Syndrome in an adult female patient. </w:t>
            </w:r>
            <w:proofErr w:type="gramStart"/>
            <w:r w:rsidRPr="00A95F3A">
              <w:rPr>
                <w:rFonts w:ascii="Arial" w:eastAsia="Calibri" w:hAnsi="Arial" w:cs="Arial"/>
                <w:sz w:val="20"/>
                <w:szCs w:val="20"/>
              </w:rPr>
              <w:t>as  Evans</w:t>
            </w:r>
            <w:proofErr w:type="gramEnd"/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 Syndrome is defined by the p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resence of autoimmune hemolytic anemia (AIHA) and immune thrombocytopenia (ITP).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Abstract:  the abstract effectively summarizes the case, key clinical findings, and conclusions concisely. 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2. Introduction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Since the title specifies Primary Evans Syndrome, t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he introduction should clarify that Evans Syndrome can be either primary (idiopathic) or secondary to underlying conditions such as systemic lupus erythematosus (SLE), antiphospholipid syndrome (APS), and lymphoproliferative disorders. A brief mention of t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hese secondary causes will provide better context for the case.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3. Case Presentation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 the clinical history, examination findings, and investigation sequence are presented in a logical and structured manner.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Laboratory </w:t>
            </w:r>
            <w:proofErr w:type="gramStart"/>
            <w:r w:rsidRPr="00A95F3A">
              <w:rPr>
                <w:rFonts w:ascii="Arial" w:eastAsia="Calibri" w:hAnsi="Arial" w:cs="Arial"/>
                <w:sz w:val="20"/>
                <w:szCs w:val="20"/>
              </w:rPr>
              <w:t>results  was</w:t>
            </w:r>
            <w:proofErr w:type="gramEnd"/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 clearly labeled and appro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priately included to enhance clarity.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4. Discussion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Compare the case findings with sequestration syndrome, particularly in light of the significant hemoglobin drop (Hb 5 g/dL) and platelet count decline (45,000/µL). However, emphasize that this is Evans Sy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ndrome, as evidenced by: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Positive Coombs </w:t>
            </w:r>
            <w:proofErr w:type="spellStart"/>
            <w:proofErr w:type="gramStart"/>
            <w:r w:rsidRPr="00A95F3A">
              <w:rPr>
                <w:rFonts w:ascii="Arial" w:eastAsia="Calibri" w:hAnsi="Arial" w:cs="Arial"/>
                <w:sz w:val="20"/>
                <w:szCs w:val="20"/>
              </w:rPr>
              <w:t>test,Elevated</w:t>
            </w:r>
            <w:proofErr w:type="spellEnd"/>
            <w:proofErr w:type="gramEnd"/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 reticulocyte count, indicating ongoing hemolysis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A95F3A">
              <w:rPr>
                <w:rFonts w:ascii="Arial" w:eastAsia="Calibri" w:hAnsi="Arial" w:cs="Arial"/>
                <w:sz w:val="20"/>
                <w:szCs w:val="20"/>
              </w:rPr>
              <w:t>Discuss  surgical</w:t>
            </w:r>
            <w:proofErr w:type="gramEnd"/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 options, including the role of splenectomy and hematopoietic stem cell transplantation (HSCT) as second-line interventions. Clearly de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fine the indications for these procedures in refractory cases.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5. Conclusion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Highlight the patient’s positive response to corticosteroids, reinforcing their role as first-line therapy in Evans </w:t>
            </w:r>
            <w:proofErr w:type="spellStart"/>
            <w:r w:rsidRPr="00A95F3A">
              <w:rPr>
                <w:rFonts w:ascii="Arial" w:eastAsia="Calibri" w:hAnsi="Arial" w:cs="Arial"/>
                <w:sz w:val="20"/>
                <w:szCs w:val="20"/>
              </w:rPr>
              <w:t>Syndrome.Briefly</w:t>
            </w:r>
            <w:proofErr w:type="spellEnd"/>
            <w:r w:rsidRPr="00A95F3A">
              <w:rPr>
                <w:rFonts w:ascii="Arial" w:eastAsia="Calibri" w:hAnsi="Arial" w:cs="Arial"/>
                <w:sz w:val="20"/>
                <w:szCs w:val="20"/>
              </w:rPr>
              <w:t xml:space="preserve"> mention when escalation to second-line treatme</w:t>
            </w:r>
            <w:r w:rsidRPr="00A95F3A">
              <w:rPr>
                <w:rFonts w:ascii="Arial" w:eastAsia="Calibri" w:hAnsi="Arial" w:cs="Arial"/>
                <w:sz w:val="20"/>
                <w:szCs w:val="20"/>
              </w:rPr>
              <w:t>nt may be warranted if corticosteroids fail or the disease becomes refractory.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---</w:t>
            </w:r>
          </w:p>
          <w:p w:rsidR="00702D36" w:rsidRPr="00A95F3A" w:rsidRDefault="009945AD">
            <w:pPr>
              <w:spacing w:after="200" w:line="276" w:lineRule="auto"/>
              <w:ind w:left="0" w:hanging="2"/>
              <w:rPr>
                <w:rFonts w:ascii="Arial" w:eastAsia="Calibri" w:hAnsi="Arial" w:cs="Arial"/>
                <w:sz w:val="20"/>
                <w:szCs w:val="20"/>
              </w:rPr>
            </w:pPr>
            <w:r w:rsidRPr="00A95F3A">
              <w:rPr>
                <w:rFonts w:ascii="Arial" w:eastAsia="Calibri" w:hAnsi="Arial" w:cs="Arial"/>
                <w:sz w:val="20"/>
                <w:szCs w:val="20"/>
              </w:rPr>
              <w:t>This refined version enhances clarity, maintains a professional tone, and ensures the review remains precise and impactful. Let me know if you need further adjustments!</w:t>
            </w:r>
          </w:p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702D36" w:rsidRPr="00A95F3A" w:rsidRDefault="009945A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95F3A">
              <w:rPr>
                <w:rFonts w:ascii="Arial" w:hAnsi="Arial" w:cs="Arial"/>
                <w:sz w:val="20"/>
                <w:szCs w:val="20"/>
              </w:rPr>
              <w:t>All the changes suggested by the reviewers have been incorporated. Kindly have a look.</w:t>
            </w:r>
          </w:p>
        </w:tc>
      </w:tr>
    </w:tbl>
    <w:p w:rsidR="00702D36" w:rsidRPr="00A95F3A" w:rsidRDefault="00702D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95F3A" w:rsidRPr="00A95F3A" w:rsidRDefault="00A95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702D36" w:rsidRPr="00A95F3A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95F3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A95F3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702D36" w:rsidRPr="00A95F3A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95F3A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702D36" w:rsidRPr="00A95F3A" w:rsidRDefault="009945A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A95F3A">
              <w:rPr>
                <w:rFonts w:ascii="Arial" w:eastAsia="Times New Roman" w:hAnsi="Arial" w:cs="Arial"/>
              </w:rPr>
              <w:t>Author’s</w:t>
            </w:r>
            <w:proofErr w:type="spellEnd"/>
            <w:r w:rsidRPr="00A95F3A">
              <w:rPr>
                <w:rFonts w:ascii="Arial" w:eastAsia="Times New Roman" w:hAnsi="Arial" w:cs="Arial"/>
              </w:rPr>
              <w:t xml:space="preserve"> comment</w:t>
            </w:r>
            <w:r w:rsidRPr="00A95F3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A95F3A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A95F3A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702D36" w:rsidRPr="00A95F3A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5F3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D36" w:rsidRPr="00A95F3A" w:rsidRDefault="00994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95F3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95F3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A95F3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02D36" w:rsidRPr="00A95F3A" w:rsidRDefault="00702D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02D36" w:rsidRPr="00A95F3A" w:rsidRDefault="00702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2D36" w:rsidRPr="00A95F3A" w:rsidRDefault="00702D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702D36" w:rsidRPr="00A95F3A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AD" w:rsidRDefault="009945AD">
      <w:pPr>
        <w:spacing w:line="240" w:lineRule="auto"/>
        <w:ind w:left="0" w:hanging="2"/>
      </w:pPr>
      <w:r>
        <w:separator/>
      </w:r>
    </w:p>
  </w:endnote>
  <w:endnote w:type="continuationSeparator" w:id="0">
    <w:p w:rsidR="009945AD" w:rsidRDefault="009945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D36" w:rsidRDefault="009945A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(03-07-2024)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AD" w:rsidRDefault="009945AD">
      <w:pPr>
        <w:spacing w:line="240" w:lineRule="auto"/>
        <w:ind w:left="0" w:hanging="2"/>
      </w:pPr>
      <w:r>
        <w:separator/>
      </w:r>
    </w:p>
  </w:footnote>
  <w:footnote w:type="continuationSeparator" w:id="0">
    <w:p w:rsidR="009945AD" w:rsidRDefault="009945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D36" w:rsidRDefault="00702D36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702D36" w:rsidRDefault="009945AD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D36"/>
    <w:rsid w:val="00702D36"/>
    <w:rsid w:val="009945AD"/>
    <w:rsid w:val="00A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07AA"/>
  <w15:docId w15:val="{19FE4E11-9841-4367-A266-C500F745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hrj.com/index.php/AHR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bdPY8pg2hEz2/dklH4sLnsyqxg==">CgMxLjAyCGguZ2pkZ3hzMgloLjMwajB6bGwyCWguMWZvYjl0ZTgAciExRHUxcER4X3ZCR3FGOHh1STNPemFKMi1iVFB4MlhyR1A=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2025-03-10T06:40:00Z</dcterms:modified>
</cp:coreProperties>
</file>