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3705B" w14:textId="08FDC68C" w:rsidR="00A258C3" w:rsidRDefault="005865B8" w:rsidP="005865B8">
      <w:pPr>
        <w:pStyle w:val="Author"/>
        <w:spacing w:line="240" w:lineRule="auto"/>
        <w:rPr>
          <w:rFonts w:ascii="Arial" w:hAnsi="Arial" w:cs="Arial"/>
          <w:bCs/>
          <w:iCs/>
          <w:kern w:val="28"/>
          <w:sz w:val="36"/>
        </w:rPr>
      </w:pPr>
      <w:r w:rsidRPr="005865B8">
        <w:rPr>
          <w:rFonts w:ascii="Arial" w:hAnsi="Arial" w:cs="Arial"/>
          <w:bCs/>
          <w:iCs/>
          <w:kern w:val="28"/>
          <w:sz w:val="36"/>
        </w:rPr>
        <w:t>Impact of Precursor Molar Concentration on the Structural and Optical Properties of ZnO Thin Films Synthesized by Ultrasonic Spray Pyrolysis</w:t>
      </w:r>
    </w:p>
    <w:p w14:paraId="4BDD0849" w14:textId="7CAF10BD" w:rsidR="00B01FCD" w:rsidRPr="00FB3A86" w:rsidRDefault="001B7203" w:rsidP="00441B6F">
      <w:pPr>
        <w:pStyle w:val="Copyright"/>
        <w:spacing w:after="0" w:line="240" w:lineRule="auto"/>
        <w:jc w:val="both"/>
        <w:rPr>
          <w:rFonts w:ascii="Arial" w:hAnsi="Arial" w:cs="Arial"/>
        </w:rPr>
        <w:sectPr w:rsidR="00B01FCD" w:rsidRPr="00FB3A86" w:rsidSect="00EA66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CC3D27D" wp14:editId="0787B81E">
                <wp:extent cx="5303520" cy="635"/>
                <wp:effectExtent l="15240" t="12700" r="15240" b="1587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cex="http://schemas.microsoft.com/office/word/2018/wordml/cex" xmlns:w16="http://schemas.microsoft.com/office/word/2018/wordml" xmlns:w16sdtdh="http://schemas.microsoft.com/office/word/2020/wordml/sdtdatahash" xmlns:w16sdtfl="http://schemas.microsoft.com/office/word/2024/wordml/sdtformatlock" xmlns:w16du="http://schemas.microsoft.com/office/word/2023/wordml/word16du" xmlns:oel="http://schemas.microsoft.com/office/2019/extlst">
            <w:pict>
              <v:shapetype w14:anchorId="7EEFA6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ncyw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VIKDyNb9GmX&#10;sFQWiyzPFGLDWRv/SHlAdfBP4QHVzyg8bgbwvSnJz8fA2HlGVL9B8iEGLrKdvqLmHGD+otWhozFT&#10;sgriUCw5Xi0xhyQUXy5v6pvlgp1Tl1gFzQUYKKYvBkeRN62MicD2Q9qg92w80ryUgf1DTLktaC6A&#10;XNXjvXWu+O+8mLj3j/WyLoiIzuoczXmR+u3GkdhDfkLlK0Ny5HUa4c7rwjYY0J/P+wTWnfZc3fmz&#10;NlmOk7Bb1MdHumjGHpc2z+8xP6LX54J++WvWv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1S8J3MsBAAB9AwAADgAAAAAAAAAAAAAA&#10;AAAuAgAAZHJzL2Uyb0RvYy54bWxQSwECLQAUAAYACAAAACEAScjSt9YAAAACAQAADwAAAAAAAAAA&#10;AAAAAAAlBAAAZHJzL2Rvd25yZXYueG1sUEsFBgAAAAAEAAQA8wAAACgFAAAAAA==&#10;" strokeweight="1.5pt">
                <w10:anchorlock/>
              </v:shape>
            </w:pict>
          </mc:Fallback>
        </mc:AlternateContent>
      </w:r>
      <w:r w:rsidR="00FB3A86">
        <w:rPr>
          <w:rFonts w:ascii="Arial" w:hAnsi="Arial" w:cs="Arial"/>
        </w:rPr>
        <w:t>.</w:t>
      </w:r>
    </w:p>
    <w:p w14:paraId="340E4F7F" w14:textId="179D24B3"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EAEF268" w14:textId="77777777" w:rsidTr="001E44FE">
        <w:tc>
          <w:tcPr>
            <w:tcW w:w="9576" w:type="dxa"/>
            <w:shd w:val="clear" w:color="auto" w:fill="F2F2F2"/>
          </w:tcPr>
          <w:p w14:paraId="7B600BBB" w14:textId="61786766" w:rsidR="00505F06" w:rsidRPr="00BA1B01" w:rsidRDefault="005C50CD" w:rsidP="00441B6F">
            <w:pPr>
              <w:pStyle w:val="Body"/>
              <w:spacing w:after="0"/>
              <w:rPr>
                <w:rFonts w:ascii="Arial" w:eastAsia="Calibri" w:hAnsi="Arial" w:cs="Arial"/>
                <w:szCs w:val="22"/>
              </w:rPr>
            </w:pPr>
            <w:r w:rsidRPr="005C50CD">
              <w:rPr>
                <w:rFonts w:ascii="Arial" w:eastAsia="Calibri" w:hAnsi="Arial" w:cs="Arial"/>
                <w:szCs w:val="22"/>
              </w:rPr>
              <w:t>This study investigates the synthesis and characterization of zinc oxide (ZnO) thin films deposited on silicon substrates using the ultrasonic spray pyrolysis (USP) method at varying precursor molar concentrations (0.3 M, 0.4 M, and 0.5 M) of zinc acetate dihydrate (Zn(C</w:t>
            </w:r>
            <w:r w:rsidRPr="005C50CD">
              <w:rPr>
                <w:rFonts w:ascii="Cambria Math" w:eastAsia="Calibri" w:hAnsi="Cambria Math" w:cs="Cambria Math"/>
                <w:szCs w:val="22"/>
              </w:rPr>
              <w:t>₂</w:t>
            </w:r>
            <w:r w:rsidRPr="005C50CD">
              <w:rPr>
                <w:rFonts w:ascii="Arial" w:eastAsia="Calibri" w:hAnsi="Arial" w:cs="Arial"/>
                <w:szCs w:val="22"/>
              </w:rPr>
              <w:t>H</w:t>
            </w:r>
            <w:r w:rsidRPr="005C50CD">
              <w:rPr>
                <w:rFonts w:ascii="Cambria Math" w:eastAsia="Calibri" w:hAnsi="Cambria Math" w:cs="Cambria Math"/>
                <w:szCs w:val="22"/>
              </w:rPr>
              <w:t>₃</w:t>
            </w:r>
            <w:r w:rsidRPr="005C50CD">
              <w:rPr>
                <w:rFonts w:ascii="Arial" w:eastAsia="Calibri" w:hAnsi="Arial" w:cs="Arial"/>
                <w:szCs w:val="22"/>
              </w:rPr>
              <w:t>O</w:t>
            </w:r>
            <w:proofErr w:type="gramStart"/>
            <w:r w:rsidRPr="005C50CD">
              <w:rPr>
                <w:rFonts w:ascii="Cambria Math" w:eastAsia="Calibri" w:hAnsi="Cambria Math" w:cs="Cambria Math"/>
                <w:szCs w:val="22"/>
              </w:rPr>
              <w:t>₂</w:t>
            </w:r>
            <w:r w:rsidRPr="005C50CD">
              <w:rPr>
                <w:rFonts w:ascii="Arial" w:eastAsia="Calibri" w:hAnsi="Arial" w:cs="Arial"/>
                <w:szCs w:val="22"/>
              </w:rPr>
              <w:t>)</w:t>
            </w:r>
            <w:r w:rsidRPr="005C50CD">
              <w:rPr>
                <w:rFonts w:ascii="Cambria Math" w:eastAsia="Calibri" w:hAnsi="Cambria Math" w:cs="Cambria Math"/>
                <w:szCs w:val="22"/>
              </w:rPr>
              <w:t>₂</w:t>
            </w:r>
            <w:proofErr w:type="gramEnd"/>
            <w:r w:rsidRPr="005C50CD">
              <w:rPr>
                <w:rFonts w:ascii="Arial" w:eastAsia="Calibri" w:hAnsi="Arial" w:cs="Arial"/>
                <w:szCs w:val="22"/>
              </w:rPr>
              <w:t>·2H</w:t>
            </w:r>
            <w:r w:rsidRPr="005C50CD">
              <w:rPr>
                <w:rFonts w:ascii="Cambria Math" w:eastAsia="Calibri" w:hAnsi="Cambria Math" w:cs="Cambria Math"/>
                <w:szCs w:val="22"/>
              </w:rPr>
              <w:t>₂</w:t>
            </w:r>
            <w:r w:rsidRPr="005C50CD">
              <w:rPr>
                <w:rFonts w:ascii="Arial" w:eastAsia="Calibri" w:hAnsi="Arial" w:cs="Arial"/>
                <w:szCs w:val="22"/>
              </w:rPr>
              <w:t xml:space="preserve">O). The structural, morphological, and optical properties of the films were analyzed through X-ray diffraction (XRD), scanning electron microscopy (SEM), and photoluminescence (PL) measurements. XRD results showed an improvement in crystallinity with increased precursor concentration, with the highest intensity and sharpest peaks observed in the 0.5 M sample, indicating enhanced film quality. UV-Vis measurements showed a distinct absorption edge in the UV region, characteristic of </w:t>
            </w:r>
            <w:proofErr w:type="spellStart"/>
            <w:r w:rsidRPr="005C50CD">
              <w:rPr>
                <w:rFonts w:ascii="Arial" w:eastAsia="Calibri" w:hAnsi="Arial" w:cs="Arial"/>
                <w:szCs w:val="22"/>
              </w:rPr>
              <w:t>ZnO’s</w:t>
            </w:r>
            <w:proofErr w:type="spellEnd"/>
            <w:r w:rsidRPr="005C50CD">
              <w:rPr>
                <w:rFonts w:ascii="Arial" w:eastAsia="Calibri" w:hAnsi="Arial" w:cs="Arial"/>
                <w:szCs w:val="22"/>
              </w:rPr>
              <w:t xml:space="preserve"> wide band gap. PL spectra exhibited strong near-band-edge emissions, along with defect-related emissions linked to oxygen vacancies and zinc interstitials. Higher molar concentrations correlated with reduced defect luminescence, suggesting fewer vacancies and other defects, thus improving the overall optical performance of the ZnO films. These results demonstrate that precursor molar concentration plays a critical role in determining the structural and optical quality of ZnO thin films, supporting their potential for optoelectronic applications.</w:t>
            </w:r>
          </w:p>
        </w:tc>
      </w:tr>
    </w:tbl>
    <w:p w14:paraId="089641CC" w14:textId="77777777" w:rsidR="00636EB2" w:rsidRDefault="00636EB2" w:rsidP="00441B6F">
      <w:pPr>
        <w:pStyle w:val="Body"/>
        <w:spacing w:after="0"/>
        <w:rPr>
          <w:rFonts w:ascii="Arial" w:hAnsi="Arial" w:cs="Arial"/>
          <w:i/>
        </w:rPr>
      </w:pPr>
    </w:p>
    <w:p w14:paraId="0766E390" w14:textId="23B8F72B" w:rsidR="00A24E7E" w:rsidRDefault="00A24E7E" w:rsidP="00441B6F">
      <w:pPr>
        <w:pStyle w:val="Body"/>
        <w:spacing w:after="0"/>
        <w:rPr>
          <w:rFonts w:ascii="Arial" w:hAnsi="Arial" w:cs="Arial"/>
          <w:i/>
        </w:rPr>
      </w:pPr>
      <w:r w:rsidRPr="0049207B">
        <w:rPr>
          <w:rFonts w:ascii="Arial" w:hAnsi="Arial" w:cs="Arial"/>
          <w:b/>
          <w:i/>
        </w:rPr>
        <w:t>Keywords:</w:t>
      </w:r>
      <w:r>
        <w:rPr>
          <w:rFonts w:ascii="Arial" w:hAnsi="Arial" w:cs="Arial"/>
          <w:i/>
        </w:rPr>
        <w:t xml:space="preserve"> </w:t>
      </w:r>
      <w:r w:rsidR="00C66476">
        <w:rPr>
          <w:rFonts w:ascii="Arial" w:hAnsi="Arial" w:cs="Arial"/>
          <w:i/>
        </w:rPr>
        <w:t>ZnO thin films, U</w:t>
      </w:r>
      <w:r w:rsidR="00C66476" w:rsidRPr="00C66476">
        <w:rPr>
          <w:rFonts w:ascii="Arial" w:hAnsi="Arial" w:cs="Arial"/>
          <w:i/>
        </w:rPr>
        <w:t>ltrasonic spray pyrolysis (USP)</w:t>
      </w:r>
      <w:r w:rsidR="00C66476">
        <w:rPr>
          <w:rFonts w:ascii="Arial" w:hAnsi="Arial" w:cs="Arial"/>
          <w:i/>
        </w:rPr>
        <w:t>, Free electron-acceptor recombination, Defect photoluminescence, Zinc vacancies, Oxygen vacancies, Precursor molar ratio</w:t>
      </w:r>
    </w:p>
    <w:p w14:paraId="09EEFC89" w14:textId="77777777" w:rsidR="00C66476" w:rsidRDefault="00C66476" w:rsidP="00441B6F">
      <w:pPr>
        <w:pStyle w:val="Body"/>
        <w:spacing w:after="0"/>
        <w:rPr>
          <w:rFonts w:ascii="Arial" w:hAnsi="Arial" w:cs="Arial"/>
          <w:i/>
        </w:rPr>
      </w:pPr>
    </w:p>
    <w:p w14:paraId="11CB8036" w14:textId="16E43518" w:rsidR="00790ADA" w:rsidRPr="00FB3A86" w:rsidRDefault="00902823" w:rsidP="00DB18B0">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5032874" w14:textId="68CCA936" w:rsidR="00D94D38" w:rsidRPr="00D94D38" w:rsidRDefault="00D94D38" w:rsidP="00DB18B0">
      <w:pPr>
        <w:pStyle w:val="Body"/>
        <w:spacing w:after="0"/>
        <w:rPr>
          <w:rFonts w:ascii="Arial" w:hAnsi="Arial" w:cs="Arial"/>
        </w:rPr>
      </w:pPr>
      <w:r w:rsidRPr="00D94D38">
        <w:rPr>
          <w:rFonts w:ascii="Arial" w:hAnsi="Arial" w:cs="Arial"/>
        </w:rPr>
        <w:t xml:space="preserve">Zinc oxide (ZnO) is a wide-bandgap semiconductor with a bandgap of approximately 3.37 eV at room temperature, making it an attractive material for applications in optoelectronic devices such as ultraviolet (UV) photodetectors, light-emitting diodes, and transparent conductive oxides [1, 2]. Due to its high exciton binding energy of around 60 </w:t>
      </w:r>
      <w:proofErr w:type="spellStart"/>
      <w:r w:rsidRPr="00D94D38">
        <w:rPr>
          <w:rFonts w:ascii="Arial" w:hAnsi="Arial" w:cs="Arial"/>
        </w:rPr>
        <w:t>meV</w:t>
      </w:r>
      <w:proofErr w:type="spellEnd"/>
      <w:r w:rsidRPr="00D94D38">
        <w:rPr>
          <w:rFonts w:ascii="Arial" w:hAnsi="Arial" w:cs="Arial"/>
        </w:rPr>
        <w:t xml:space="preserve">, </w:t>
      </w:r>
      <w:proofErr w:type="spellStart"/>
      <w:r w:rsidRPr="00D94D38">
        <w:rPr>
          <w:rFonts w:ascii="Arial" w:hAnsi="Arial" w:cs="Arial"/>
        </w:rPr>
        <w:t>ZnO</w:t>
      </w:r>
      <w:proofErr w:type="spellEnd"/>
      <w:r w:rsidRPr="00D94D38">
        <w:rPr>
          <w:rFonts w:ascii="Arial" w:hAnsi="Arial" w:cs="Arial"/>
        </w:rPr>
        <w:t xml:space="preserve"> is capable of strong excitonic emissions even at room temperature, which enhances its utility in light-emitting applications [3, 4].</w:t>
      </w:r>
    </w:p>
    <w:p w14:paraId="0533C256" w14:textId="77777777" w:rsidR="00D94D38" w:rsidRPr="00D94D38" w:rsidRDefault="00D94D38" w:rsidP="00DB18B0">
      <w:pPr>
        <w:pStyle w:val="Body"/>
        <w:spacing w:after="0"/>
        <w:rPr>
          <w:rFonts w:ascii="Arial" w:hAnsi="Arial" w:cs="Arial"/>
        </w:rPr>
      </w:pPr>
      <w:r w:rsidRPr="00D94D38">
        <w:rPr>
          <w:rFonts w:ascii="Arial" w:hAnsi="Arial" w:cs="Arial"/>
        </w:rPr>
        <w:t>Several techniques, including sol-gel, chemical vapor deposition, and spray pyrolysis, have been developed to synthesize ZnO thin films with varying morphological and structural properties [5, 6]. Among these, the ultrasonic spray pyrolysis (USP) method has garnered attention due to its simplicity, cost-effectiveness, and capability for large-scale deposition with controlled film thickness and composition [7]. This method facilitates the fine control of precursor concentrations, allowing for adjustments that can significantly impact the quality of ZnO films in terms of crystal structure, defect density, and optical characteristics [8].</w:t>
      </w:r>
    </w:p>
    <w:p w14:paraId="2DB308B4" w14:textId="77777777" w:rsidR="00D94D38" w:rsidRPr="00D94D38" w:rsidRDefault="00D94D38" w:rsidP="00DB18B0">
      <w:pPr>
        <w:pStyle w:val="Body"/>
        <w:spacing w:after="0"/>
        <w:rPr>
          <w:rFonts w:ascii="Arial" w:hAnsi="Arial" w:cs="Arial"/>
        </w:rPr>
      </w:pPr>
      <w:r w:rsidRPr="00D94D38">
        <w:rPr>
          <w:rFonts w:ascii="Arial" w:hAnsi="Arial" w:cs="Arial"/>
        </w:rPr>
        <w:t>Defects in ZnO, such as oxygen vacancies (V</w:t>
      </w:r>
      <w:r w:rsidRPr="00DB18B0">
        <w:rPr>
          <w:rFonts w:ascii="Arial" w:hAnsi="Arial" w:cs="Arial"/>
          <w:vertAlign w:val="subscript"/>
        </w:rPr>
        <w:t>O</w:t>
      </w:r>
      <w:r w:rsidRPr="00D94D38">
        <w:rPr>
          <w:rFonts w:ascii="Arial" w:hAnsi="Arial" w:cs="Arial"/>
        </w:rPr>
        <w:t>) and zinc interstitials (</w:t>
      </w:r>
      <w:proofErr w:type="spellStart"/>
      <w:r w:rsidRPr="00D94D38">
        <w:rPr>
          <w:rFonts w:ascii="Arial" w:hAnsi="Arial" w:cs="Arial"/>
        </w:rPr>
        <w:t>Zn</w:t>
      </w:r>
      <w:r w:rsidRPr="00DB18B0">
        <w:rPr>
          <w:rFonts w:ascii="Arial" w:hAnsi="Arial" w:cs="Arial"/>
          <w:vertAlign w:val="subscript"/>
        </w:rPr>
        <w:t>I</w:t>
      </w:r>
      <w:proofErr w:type="spellEnd"/>
      <w:r w:rsidRPr="00D94D38">
        <w:rPr>
          <w:rFonts w:ascii="Arial" w:hAnsi="Arial" w:cs="Arial"/>
        </w:rPr>
        <w:t>), are known to influence its optical and electronic properties [9]. These defects create localized states within the bandgap, leading to defect-related emissions in the visible range and affecting overall film quality. As shown in prior studies, increasing precursor concentration during deposition can enhance crystal quality by reducing defect densities, thus improving photoluminescent performance [10, 11].</w:t>
      </w:r>
    </w:p>
    <w:p w14:paraId="5732C007" w14:textId="4861A25A" w:rsidR="00790ADA" w:rsidRPr="00FB3A86" w:rsidRDefault="00D94D38" w:rsidP="00DB18B0">
      <w:pPr>
        <w:pStyle w:val="Body"/>
        <w:spacing w:after="0"/>
        <w:rPr>
          <w:rFonts w:ascii="Arial" w:hAnsi="Arial" w:cs="Arial"/>
        </w:rPr>
      </w:pPr>
      <w:r w:rsidRPr="00D94D38">
        <w:rPr>
          <w:rFonts w:ascii="Arial" w:hAnsi="Arial" w:cs="Arial"/>
        </w:rPr>
        <w:lastRenderedPageBreak/>
        <w:t>This study aims to explore how varying precursor molar concentrations impact the structural and optical properties of ZnO thin films deposited using USP. By examining changes in crystallinity, morphology, and photoluminescence behavior across different molar concentrations, we provide insights into optimizing ZnO thin films for potential applications in optoelectronics.</w:t>
      </w:r>
    </w:p>
    <w:p w14:paraId="3C2C5C71" w14:textId="77777777" w:rsidR="00956813" w:rsidRDefault="00956813" w:rsidP="00441B6F">
      <w:pPr>
        <w:pStyle w:val="AbstHead"/>
        <w:spacing w:after="0"/>
        <w:jc w:val="both"/>
        <w:rPr>
          <w:rFonts w:ascii="Arial" w:hAnsi="Arial" w:cs="Arial"/>
        </w:rPr>
      </w:pPr>
    </w:p>
    <w:p w14:paraId="2DF32EA1" w14:textId="7B16FE72"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DBBBF35" w14:textId="1E9A4AED"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2.1. Substrate Preparation</w:t>
      </w:r>
    </w:p>
    <w:p w14:paraId="46A3161E" w14:textId="0EB4EC12" w:rsidR="00D94D38" w:rsidRPr="00D94D38" w:rsidRDefault="00D94D38" w:rsidP="00D94D38">
      <w:pPr>
        <w:pStyle w:val="Body"/>
        <w:rPr>
          <w:rFonts w:ascii="Arial" w:hAnsi="Arial" w:cs="Arial"/>
        </w:rPr>
      </w:pPr>
      <w:r w:rsidRPr="00D94D38">
        <w:rPr>
          <w:rFonts w:ascii="Arial" w:hAnsi="Arial" w:cs="Arial"/>
        </w:rPr>
        <w:t>Zinc oxide (ZnO) thin films were deposited on Si</w:t>
      </w:r>
      <w:r w:rsidR="00956F85">
        <w:rPr>
          <w:rFonts w:ascii="Arial" w:hAnsi="Arial" w:cs="Arial"/>
        </w:rPr>
        <w:t xml:space="preserve"> (100)</w:t>
      </w:r>
      <w:r w:rsidRPr="00D94D38">
        <w:rPr>
          <w:rFonts w:ascii="Arial" w:hAnsi="Arial" w:cs="Arial"/>
        </w:rPr>
        <w:t xml:space="preserve"> substrates using the </w:t>
      </w:r>
      <w:bookmarkStart w:id="0" w:name="_Hlk186117221"/>
      <w:r w:rsidRPr="00D94D38">
        <w:rPr>
          <w:rFonts w:ascii="Arial" w:hAnsi="Arial" w:cs="Arial"/>
        </w:rPr>
        <w:t xml:space="preserve">ultrasonic spray pyrolysis (USP) </w:t>
      </w:r>
      <w:bookmarkEnd w:id="0"/>
      <w:r w:rsidRPr="00D94D38">
        <w:rPr>
          <w:rFonts w:ascii="Arial" w:hAnsi="Arial" w:cs="Arial"/>
        </w:rPr>
        <w:t>method. Prior to deposition, the silicon substrates were thoroughly cleaned to ensure the removal of impurities and to improve film adhesion. The cleaning process involved sequential immersion of the substrates in three solutions for 10 minutes each: hydrofluoric acid (HF), acetone, and ethanol. Hydrofluoric acid was used to remove the native oxide layer from the silicon surface, while acetone and ethanol were employed to eliminate organic residues. After the chemical cleaning steps, the substrates were rinsed with deionized (D.I.) water to remove any remaining impurities and organic solvents. This cleaning process is critical in promoting uniform ZnO thin film growth and ensuring good adhesion to the substrate.</w:t>
      </w:r>
    </w:p>
    <w:p w14:paraId="799449C6" w14:textId="24CCD9A4"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2.2. Solution Preparation</w:t>
      </w:r>
    </w:p>
    <w:p w14:paraId="48DF18B5" w14:textId="77777777" w:rsidR="00D94D38" w:rsidRPr="00D94D38" w:rsidRDefault="00D94D38" w:rsidP="00D94D38">
      <w:pPr>
        <w:pStyle w:val="Body"/>
        <w:rPr>
          <w:rFonts w:ascii="Arial" w:hAnsi="Arial" w:cs="Arial"/>
        </w:rPr>
      </w:pPr>
      <w:r w:rsidRPr="00D94D38">
        <w:rPr>
          <w:rFonts w:ascii="Arial" w:hAnsi="Arial" w:cs="Arial"/>
        </w:rPr>
        <w:t>Zinc acetate dihydrate (Zn(C</w:t>
      </w:r>
      <w:r w:rsidRPr="00D94D38">
        <w:rPr>
          <w:rFonts w:ascii="Cambria Math" w:hAnsi="Cambria Math" w:cs="Cambria Math"/>
        </w:rPr>
        <w:t>₂</w:t>
      </w:r>
      <w:r w:rsidRPr="00D94D38">
        <w:rPr>
          <w:rFonts w:ascii="Arial" w:hAnsi="Arial" w:cs="Arial"/>
        </w:rPr>
        <w:t>H</w:t>
      </w:r>
      <w:r w:rsidRPr="00D94D38">
        <w:rPr>
          <w:rFonts w:ascii="Cambria Math" w:hAnsi="Cambria Math" w:cs="Cambria Math"/>
        </w:rPr>
        <w:t>₃</w:t>
      </w:r>
      <w:r w:rsidRPr="00D94D38">
        <w:rPr>
          <w:rFonts w:ascii="Arial" w:hAnsi="Arial" w:cs="Arial"/>
        </w:rPr>
        <w:t>O</w:t>
      </w:r>
      <w:proofErr w:type="gramStart"/>
      <w:r w:rsidRPr="00D94D38">
        <w:rPr>
          <w:rFonts w:ascii="Cambria Math" w:hAnsi="Cambria Math" w:cs="Cambria Math"/>
        </w:rPr>
        <w:t>₂</w:t>
      </w:r>
      <w:r w:rsidRPr="00D94D38">
        <w:rPr>
          <w:rFonts w:ascii="Arial" w:hAnsi="Arial" w:cs="Arial"/>
        </w:rPr>
        <w:t>)</w:t>
      </w:r>
      <w:r w:rsidRPr="00D94D38">
        <w:rPr>
          <w:rFonts w:ascii="Cambria Math" w:hAnsi="Cambria Math" w:cs="Cambria Math"/>
        </w:rPr>
        <w:t>₂</w:t>
      </w:r>
      <w:proofErr w:type="gramEnd"/>
      <w:r w:rsidRPr="00D94D38">
        <w:rPr>
          <w:rFonts w:ascii="Arial" w:hAnsi="Arial" w:cs="Arial"/>
        </w:rPr>
        <w:t>·2H</w:t>
      </w:r>
      <w:r w:rsidRPr="00D94D38">
        <w:rPr>
          <w:rFonts w:ascii="Cambria Math" w:hAnsi="Cambria Math" w:cs="Cambria Math"/>
        </w:rPr>
        <w:t>₂</w:t>
      </w:r>
      <w:r w:rsidRPr="00D94D38">
        <w:rPr>
          <w:rFonts w:ascii="Arial" w:hAnsi="Arial" w:cs="Arial"/>
        </w:rPr>
        <w:t>O) was used as the zinc precursor for the deposition process. Three different molar concentrations of zinc acetate dihydrate were prepared: 0.3 M, 0.4 M, and 0.5 M. Each solution was prepared by dissolving the appropriate amount of zinc acetate in deionized water, ensuring complete dissolution to create a homogenous solution. These varying molar ratios were used to study the effect of precursor concentration on the structural and morphological properties of the ZnO thin films.</w:t>
      </w:r>
    </w:p>
    <w:p w14:paraId="31C3A142" w14:textId="7FB8C953"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2.3. Deposition Process</w:t>
      </w:r>
    </w:p>
    <w:p w14:paraId="390E4216" w14:textId="77777777" w:rsidR="00D94D38" w:rsidRPr="00D94D38" w:rsidRDefault="00D94D38" w:rsidP="00DB18B0">
      <w:pPr>
        <w:pStyle w:val="Body"/>
        <w:spacing w:after="0"/>
        <w:rPr>
          <w:rFonts w:ascii="Arial" w:hAnsi="Arial" w:cs="Arial"/>
        </w:rPr>
      </w:pPr>
      <w:r w:rsidRPr="00D94D38">
        <w:rPr>
          <w:rFonts w:ascii="Arial" w:hAnsi="Arial" w:cs="Arial"/>
        </w:rPr>
        <w:t xml:space="preserve">The deposition of ZnO thin films was carried out using an ultrasonic nebulizer operating at a frequency of 1.7 MHz, which atomized the precursor solution into fine droplets. These droplets were carried by a stream of oxygen gas at a flow rate of 500 </w:t>
      </w:r>
      <w:proofErr w:type="spellStart"/>
      <w:r w:rsidRPr="00D94D38">
        <w:rPr>
          <w:rFonts w:ascii="Arial" w:hAnsi="Arial" w:cs="Arial"/>
        </w:rPr>
        <w:t>sccm</w:t>
      </w:r>
      <w:proofErr w:type="spellEnd"/>
      <w:r w:rsidRPr="00D94D38">
        <w:rPr>
          <w:rFonts w:ascii="Arial" w:hAnsi="Arial" w:cs="Arial"/>
        </w:rPr>
        <w:t xml:space="preserve"> (standard cubic centimeters per minute) into a reaction chamber. Oxygen was chosen as the carrier gas due to its role in facilitating the oxidation of zinc acetate during the pyrolysis process, leading to the formation of ZnO.</w:t>
      </w:r>
    </w:p>
    <w:p w14:paraId="730A090D" w14:textId="77777777" w:rsidR="00D94D38" w:rsidRPr="00D94D38" w:rsidRDefault="00D94D38" w:rsidP="00D94D38">
      <w:pPr>
        <w:pStyle w:val="Body"/>
        <w:rPr>
          <w:rFonts w:ascii="Arial" w:hAnsi="Arial" w:cs="Arial"/>
        </w:rPr>
      </w:pPr>
      <w:r w:rsidRPr="00D94D38">
        <w:rPr>
          <w:rFonts w:ascii="Arial" w:hAnsi="Arial" w:cs="Arial"/>
        </w:rPr>
        <w:t>The silicon substrates were placed on a heated substrate holder, with the temperature maintained at 450 °C during the deposition process. This temperature was chosen to promote the decomposition of the zinc acetate precursor and the subsequent formation of ZnO thin films. The thickness of the deposited films was measured to be approximately 100 nm for all samples.</w:t>
      </w:r>
    </w:p>
    <w:p w14:paraId="630A275D" w14:textId="0C3AC01C"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2.4. Post-Deposition Annealing</w:t>
      </w:r>
    </w:p>
    <w:p w14:paraId="17950D81" w14:textId="77777777" w:rsidR="00D94D38" w:rsidRPr="00D94D38" w:rsidRDefault="00D94D38" w:rsidP="00D94D38">
      <w:pPr>
        <w:pStyle w:val="Body"/>
        <w:rPr>
          <w:rFonts w:ascii="Arial" w:hAnsi="Arial" w:cs="Arial"/>
        </w:rPr>
      </w:pPr>
      <w:r w:rsidRPr="00D94D38">
        <w:rPr>
          <w:rFonts w:ascii="Arial" w:hAnsi="Arial" w:cs="Arial"/>
        </w:rPr>
        <w:t xml:space="preserve">After the deposition process, the ZnO thin films were subjected to an annealing treatment to improve their crystallinity and eliminate any residual organic materials from the precursor. The annealing was performed in air at 550 °C for 15 minutes. </w:t>
      </w:r>
    </w:p>
    <w:p w14:paraId="023A6E79" w14:textId="77777777" w:rsidR="00956813" w:rsidRDefault="00956813" w:rsidP="00D94D38">
      <w:pPr>
        <w:pStyle w:val="Body"/>
        <w:rPr>
          <w:rFonts w:ascii="Arial" w:hAnsi="Arial" w:cs="Arial"/>
          <w:b/>
          <w:bCs/>
          <w:sz w:val="22"/>
          <w:szCs w:val="22"/>
        </w:rPr>
      </w:pPr>
    </w:p>
    <w:p w14:paraId="4C33C4DC" w14:textId="0CE32CCD"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2.5. Characterization Techniques</w:t>
      </w:r>
    </w:p>
    <w:p w14:paraId="79141232" w14:textId="61B73004" w:rsidR="00D94D38" w:rsidRPr="00D94D38" w:rsidRDefault="00D94D38" w:rsidP="00DB18B0">
      <w:pPr>
        <w:pStyle w:val="Body"/>
        <w:spacing w:after="0"/>
        <w:rPr>
          <w:rFonts w:ascii="Arial" w:hAnsi="Arial" w:cs="Arial"/>
        </w:rPr>
      </w:pPr>
      <w:r w:rsidRPr="00D94D38">
        <w:rPr>
          <w:rFonts w:ascii="Arial" w:hAnsi="Arial" w:cs="Arial"/>
        </w:rPr>
        <w:lastRenderedPageBreak/>
        <w:t xml:space="preserve">The morphology and structure of the grown ZnO thin films were analyzed using a scanning electron microscope (SEM) to observe surface morphology, film uniformity, and grain size. Structural analysis was carried out using a Shimadzu X-ray diffractometer (XRD) with </w:t>
      </w:r>
      <w:proofErr w:type="spellStart"/>
      <w:r w:rsidRPr="00D94D38">
        <w:rPr>
          <w:rFonts w:ascii="Arial" w:hAnsi="Arial" w:cs="Arial"/>
        </w:rPr>
        <w:t>CuK</w:t>
      </w:r>
      <w:proofErr w:type="spellEnd"/>
      <w:r w:rsidRPr="00D94D38">
        <w:rPr>
          <w:rFonts w:ascii="Arial" w:hAnsi="Arial" w:cs="Arial"/>
        </w:rPr>
        <w:t xml:space="preserve">α radiation. XRD measurements were conducted over a 2θ range from 30° to </w:t>
      </w:r>
      <w:r w:rsidR="00E11452">
        <w:rPr>
          <w:rFonts w:ascii="Arial" w:hAnsi="Arial" w:cs="Arial"/>
        </w:rPr>
        <w:t>45</w:t>
      </w:r>
      <w:r w:rsidRPr="00D94D38">
        <w:rPr>
          <w:rFonts w:ascii="Arial" w:hAnsi="Arial" w:cs="Arial"/>
        </w:rPr>
        <w:t xml:space="preserve">° to identify the crystallographic phases and determine the film orientation. </w:t>
      </w:r>
    </w:p>
    <w:p w14:paraId="4CC1C350" w14:textId="3B460CD7" w:rsidR="00790ADA" w:rsidRDefault="00D94D38" w:rsidP="00D94D38">
      <w:pPr>
        <w:pStyle w:val="Body"/>
        <w:spacing w:after="0"/>
        <w:rPr>
          <w:rFonts w:ascii="Arial" w:hAnsi="Arial" w:cs="Arial"/>
        </w:rPr>
      </w:pPr>
      <w:r w:rsidRPr="00D94D38">
        <w:rPr>
          <w:rFonts w:ascii="Arial" w:hAnsi="Arial" w:cs="Arial"/>
        </w:rPr>
        <w:t xml:space="preserve">Optical </w:t>
      </w:r>
      <w:r w:rsidR="003515A2">
        <w:rPr>
          <w:rFonts w:ascii="Arial" w:hAnsi="Arial" w:cs="Arial"/>
        </w:rPr>
        <w:t>reflectance</w:t>
      </w:r>
      <w:r w:rsidRPr="00D94D38">
        <w:rPr>
          <w:rFonts w:ascii="Arial" w:hAnsi="Arial" w:cs="Arial"/>
        </w:rPr>
        <w:t xml:space="preserve"> and Photoluminescence: The optical properties of the ZnO thin films were measured using a UV/VIS spectrometer (MDR 12) in the wavelength range of 350 nm to 700 nm. The photoluminescence (PL) spectra were measured at room temperature to evaluate the optical emission characteristics.</w:t>
      </w:r>
    </w:p>
    <w:p w14:paraId="09A0EAE7" w14:textId="77777777" w:rsidR="00DB18B0" w:rsidRPr="00FB3A86" w:rsidRDefault="00DB18B0" w:rsidP="00D94D38">
      <w:pPr>
        <w:pStyle w:val="Body"/>
        <w:spacing w:after="0"/>
        <w:rPr>
          <w:rFonts w:ascii="Arial" w:hAnsi="Arial" w:cs="Arial"/>
        </w:rPr>
      </w:pPr>
    </w:p>
    <w:p w14:paraId="6F99B987" w14:textId="5C4F13F9" w:rsidR="00790ADA" w:rsidRDefault="00000F8F" w:rsidP="00DB18B0">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0BE1F28" w14:textId="79B945AF" w:rsidR="0036209D" w:rsidRPr="00E11452" w:rsidRDefault="0036209D" w:rsidP="00DB18B0">
      <w:pPr>
        <w:pStyle w:val="Head1"/>
        <w:jc w:val="both"/>
        <w:rPr>
          <w:rFonts w:ascii="Arial" w:hAnsi="Arial" w:cs="Arial"/>
          <w:szCs w:val="22"/>
        </w:rPr>
      </w:pPr>
      <w:r w:rsidRPr="00E11452">
        <w:rPr>
          <w:rFonts w:ascii="Arial" w:hAnsi="Arial" w:cs="Arial"/>
          <w:szCs w:val="22"/>
        </w:rPr>
        <w:t xml:space="preserve">3.1. </w:t>
      </w:r>
      <w:r w:rsidR="00055A50" w:rsidRPr="00E11452">
        <w:rPr>
          <w:rFonts w:ascii="Arial" w:hAnsi="Arial" w:cs="Arial"/>
          <w:szCs w:val="22"/>
        </w:rPr>
        <w:t xml:space="preserve">sEm </w:t>
      </w:r>
      <w:r w:rsidR="00055A50" w:rsidRPr="00E11452">
        <w:rPr>
          <w:rFonts w:ascii="Arial" w:hAnsi="Arial" w:cs="Arial"/>
          <w:caps w:val="0"/>
          <w:szCs w:val="22"/>
        </w:rPr>
        <w:t>images</w:t>
      </w:r>
    </w:p>
    <w:p w14:paraId="450D98AC" w14:textId="27856187" w:rsidR="00D94D38" w:rsidRPr="00D94D38" w:rsidRDefault="00D94D38" w:rsidP="00D94D38">
      <w:pPr>
        <w:pStyle w:val="Body"/>
        <w:rPr>
          <w:rFonts w:ascii="Arial" w:hAnsi="Arial" w:cs="Arial"/>
        </w:rPr>
      </w:pPr>
      <w:r w:rsidRPr="00D94D38">
        <w:rPr>
          <w:rFonts w:ascii="Arial" w:hAnsi="Arial" w:cs="Arial"/>
        </w:rPr>
        <w:t>The top-view SEM image shows that the ZnO film has a uniform, tightly packed grain structure. The grains are small and mostly hexagonal in shape, which is typical for ZnO. The grains are evenly distributed across the surface, and no visible cracks or large defects are present in Figure 1a. The uniform grain distribution suggests that the ultrasonic spray pyrolysis method effectively deposited the ZnO film with a homogeneous surface morphology. From Fig. 1b the thickness of the sample was around 100 nm.</w:t>
      </w:r>
    </w:p>
    <w:p w14:paraId="35A6DBC5" w14:textId="4189567B" w:rsidR="00D94D38" w:rsidRPr="00D94D38" w:rsidRDefault="00D94D38" w:rsidP="00D94D38">
      <w:pPr>
        <w:pStyle w:val="Body"/>
        <w:jc w:val="center"/>
        <w:rPr>
          <w:rFonts w:ascii="Arial" w:hAnsi="Arial" w:cs="Arial"/>
        </w:rPr>
      </w:pPr>
      <w:r>
        <w:rPr>
          <w:rFonts w:ascii="Times New Roman" w:hAnsi="Times New Roman"/>
          <w:noProof/>
          <w:sz w:val="28"/>
          <w:szCs w:val="28"/>
        </w:rPr>
        <w:drawing>
          <wp:inline distT="0" distB="0" distL="0" distR="0" wp14:anchorId="0770D2BE" wp14:editId="0E5174A1">
            <wp:extent cx="4547870" cy="18167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870" cy="1816735"/>
                    </a:xfrm>
                    <a:prstGeom prst="rect">
                      <a:avLst/>
                    </a:prstGeom>
                    <a:noFill/>
                  </pic:spPr>
                </pic:pic>
              </a:graphicData>
            </a:graphic>
          </wp:inline>
        </w:drawing>
      </w:r>
    </w:p>
    <w:p w14:paraId="5D49F3E0" w14:textId="20707437" w:rsidR="00D94D38" w:rsidRDefault="00D94D38" w:rsidP="00D94D38">
      <w:pPr>
        <w:pStyle w:val="Body"/>
        <w:rPr>
          <w:rFonts w:ascii="Arial" w:hAnsi="Arial" w:cs="Arial"/>
          <w:b/>
          <w:bCs/>
        </w:rPr>
      </w:pPr>
      <w:r w:rsidRPr="00DB18B0">
        <w:rPr>
          <w:rFonts w:ascii="Arial" w:hAnsi="Arial" w:cs="Arial"/>
          <w:b/>
          <w:bCs/>
        </w:rPr>
        <w:t>Fig. 1. SEM images of the ZnO thin film for 0.5 molar ratios used for growth: (a) top view and (b) cross-sectional view, respectively.</w:t>
      </w:r>
    </w:p>
    <w:p w14:paraId="15271D54" w14:textId="4EC28B01" w:rsidR="0036209D" w:rsidRPr="00E11452" w:rsidRDefault="0036209D" w:rsidP="00D94D38">
      <w:pPr>
        <w:pStyle w:val="Body"/>
        <w:rPr>
          <w:rFonts w:ascii="Arial" w:hAnsi="Arial" w:cs="Arial"/>
          <w:b/>
          <w:bCs/>
          <w:sz w:val="22"/>
          <w:szCs w:val="22"/>
        </w:rPr>
      </w:pPr>
      <w:r w:rsidRPr="00E11452">
        <w:rPr>
          <w:rFonts w:ascii="Arial" w:hAnsi="Arial" w:cs="Arial"/>
          <w:b/>
          <w:bCs/>
          <w:sz w:val="22"/>
          <w:szCs w:val="22"/>
        </w:rPr>
        <w:t xml:space="preserve">3.2. </w:t>
      </w:r>
      <w:r w:rsidR="00055A50" w:rsidRPr="00E11452">
        <w:rPr>
          <w:rFonts w:ascii="Arial" w:hAnsi="Arial" w:cs="Arial"/>
          <w:b/>
          <w:bCs/>
          <w:sz w:val="22"/>
          <w:szCs w:val="22"/>
        </w:rPr>
        <w:t>Optical properties</w:t>
      </w:r>
    </w:p>
    <w:p w14:paraId="5DD55F92" w14:textId="0CAA898B" w:rsidR="00FD6F59" w:rsidRDefault="007166FA" w:rsidP="00251AC6">
      <w:pPr>
        <w:pStyle w:val="Body"/>
        <w:rPr>
          <w:rFonts w:ascii="Arial" w:hAnsi="Arial" w:cs="Arial"/>
        </w:rPr>
      </w:pPr>
      <w:r w:rsidRPr="007166FA">
        <w:rPr>
          <w:rFonts w:ascii="Arial" w:hAnsi="Arial" w:cs="Arial"/>
        </w:rPr>
        <w:t xml:space="preserve">The ZnO thin films were grown on a Si substrate, and as a result, the optical properties were analyzed using the reflection spectrum rather than transmission. The optical band gap was determined using the </w:t>
      </w:r>
      <w:proofErr w:type="spellStart"/>
      <w:r w:rsidRPr="007166FA">
        <w:rPr>
          <w:rFonts w:ascii="Arial" w:hAnsi="Arial" w:cs="Arial"/>
        </w:rPr>
        <w:t>Kubelka</w:t>
      </w:r>
      <w:proofErr w:type="spellEnd"/>
      <w:r w:rsidRPr="007166FA">
        <w:rPr>
          <w:rFonts w:ascii="Arial" w:hAnsi="Arial" w:cs="Arial"/>
        </w:rPr>
        <w:t>-Munk function:</w:t>
      </w:r>
      <w:r>
        <w:rPr>
          <w:rFonts w:ascii="Arial" w:hAnsi="Arial" w:cs="Arial"/>
        </w:rPr>
        <w:t xml:space="preserve"> </w:t>
      </w:r>
      <m:oMath>
        <m:r>
          <w:rPr>
            <w:rFonts w:ascii="Cambria Math" w:hAnsi="Cambria Math" w:cs="Arial"/>
          </w:rPr>
          <m:t>F</m:t>
        </m:r>
        <m:d>
          <m:dPr>
            <m:ctrlPr>
              <w:rPr>
                <w:rFonts w:ascii="Cambria Math" w:hAnsi="Cambria Math" w:cs="Arial"/>
                <w:i/>
              </w:rPr>
            </m:ctrlPr>
          </m:dPr>
          <m:e>
            <m:r>
              <w:rPr>
                <w:rFonts w:ascii="Cambria Math" w:hAnsi="Cambria Math" w:cs="Arial"/>
              </w:rPr>
              <m:t>R</m:t>
            </m:r>
          </m:e>
        </m:d>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(1-R)</m:t>
                </m:r>
              </m:e>
              <m:sup>
                <m:r>
                  <w:rPr>
                    <w:rFonts w:ascii="Cambria Math" w:hAnsi="Cambria Math" w:cs="Arial"/>
                  </w:rPr>
                  <m:t>2</m:t>
                </m:r>
              </m:sup>
            </m:sSup>
          </m:num>
          <m:den>
            <m:r>
              <w:rPr>
                <w:rFonts w:ascii="Cambria Math" w:hAnsi="Cambria Math" w:cs="Arial"/>
              </w:rPr>
              <m:t>R</m:t>
            </m:r>
          </m:den>
        </m:f>
      </m:oMath>
      <w:r>
        <w:rPr>
          <w:rFonts w:ascii="Arial" w:hAnsi="Arial" w:cs="Arial"/>
        </w:rPr>
        <w:t xml:space="preserve"> </w:t>
      </w:r>
      <w:r w:rsidRPr="007166FA">
        <w:rPr>
          <w:rFonts w:ascii="Arial" w:hAnsi="Arial" w:cs="Arial"/>
        </w:rPr>
        <w:t xml:space="preserve">where </w:t>
      </w:r>
      <w:r>
        <w:rPr>
          <w:rFonts w:ascii="Arial" w:hAnsi="Arial" w:cs="Arial"/>
        </w:rPr>
        <w:t>F(R)</w:t>
      </w:r>
      <w:r w:rsidRPr="007166FA">
        <w:rPr>
          <w:rFonts w:ascii="Arial" w:hAnsi="Arial" w:cs="Arial"/>
        </w:rPr>
        <w:t xml:space="preserve"> represents the diffuse reflectance. This function is proportional to the absorption coefficient and is commonly used to estimate the band gap in highly scattering samples. From the </w:t>
      </w:r>
      <w:proofErr w:type="spellStart"/>
      <w:r>
        <w:rPr>
          <w:rFonts w:ascii="Arial" w:hAnsi="Arial" w:cs="Arial"/>
        </w:rPr>
        <w:t>Tauc</w:t>
      </w:r>
      <w:proofErr w:type="spellEnd"/>
      <w:r w:rsidRPr="007166FA">
        <w:rPr>
          <w:rFonts w:ascii="Arial" w:hAnsi="Arial" w:cs="Arial"/>
        </w:rPr>
        <w:t xml:space="preserve"> plot, the 0.5 M sample exhibits a peak at 3.21 eV, while the extrapolated optical band gap </w:t>
      </w:r>
      <w:r w:rsidR="00FD6F59">
        <w:rPr>
          <w:rFonts w:ascii="Arial" w:hAnsi="Arial" w:cs="Arial"/>
        </w:rPr>
        <w:t>(</w:t>
      </w:r>
      <w:proofErr w:type="spellStart"/>
      <w:r w:rsidR="00FD6F59">
        <w:rPr>
          <w:rFonts w:ascii="Arial" w:hAnsi="Arial" w:cs="Arial"/>
        </w:rPr>
        <w:t>E</w:t>
      </w:r>
      <w:r w:rsidR="00FD6F59">
        <w:rPr>
          <w:rFonts w:ascii="Arial" w:hAnsi="Arial" w:cs="Arial"/>
          <w:vertAlign w:val="subscript"/>
        </w:rPr>
        <w:t>g</w:t>
      </w:r>
      <w:proofErr w:type="spellEnd"/>
      <w:r w:rsidR="00FD6F59">
        <w:rPr>
          <w:rFonts w:ascii="Arial" w:hAnsi="Arial" w:cs="Arial"/>
        </w:rPr>
        <w:t>)</w:t>
      </w:r>
      <w:r w:rsidRPr="007166FA">
        <w:rPr>
          <w:rFonts w:ascii="Arial" w:hAnsi="Arial" w:cs="Arial"/>
        </w:rPr>
        <w:t xml:space="preserve"> is 3.277 eV</w:t>
      </w:r>
      <w:r w:rsidR="00E1187C">
        <w:rPr>
          <w:rFonts w:ascii="Arial" w:hAnsi="Arial" w:cs="Arial"/>
        </w:rPr>
        <w:t xml:space="preserve"> (in Fig. 2b)</w:t>
      </w:r>
      <w:r w:rsidRPr="007166FA">
        <w:rPr>
          <w:rFonts w:ascii="Arial" w:hAnsi="Arial" w:cs="Arial"/>
        </w:rPr>
        <w:t xml:space="preserve">. The 60 </w:t>
      </w:r>
      <w:proofErr w:type="spellStart"/>
      <w:r w:rsidRPr="007166FA">
        <w:rPr>
          <w:rFonts w:ascii="Arial" w:hAnsi="Arial" w:cs="Arial"/>
        </w:rPr>
        <w:t>meV</w:t>
      </w:r>
      <w:proofErr w:type="spellEnd"/>
      <w:r w:rsidRPr="007166FA">
        <w:rPr>
          <w:rFonts w:ascii="Arial" w:hAnsi="Arial" w:cs="Arial"/>
        </w:rPr>
        <w:t xml:space="preserve"> difference between these values corresponds well with the free exciton binding energy in ZnO, suggesting that the observed feature is due to free exciton emission. </w:t>
      </w:r>
      <w:r w:rsidR="00FD6F59">
        <w:rPr>
          <w:rFonts w:ascii="Arial" w:hAnsi="Arial" w:cs="Arial"/>
        </w:rPr>
        <w:t>This</w:t>
      </w:r>
      <w:r w:rsidRPr="007166FA">
        <w:rPr>
          <w:rFonts w:ascii="Arial" w:hAnsi="Arial" w:cs="Arial"/>
        </w:rPr>
        <w:t xml:space="preserve"> peak indicates enhanced excitonic effects, likely due to improved crystallinity and reduced defect density.</w:t>
      </w:r>
      <w:r w:rsidR="00FD6F59">
        <w:rPr>
          <w:rFonts w:ascii="Arial" w:hAnsi="Arial" w:cs="Arial"/>
        </w:rPr>
        <w:t xml:space="preserve"> </w:t>
      </w:r>
      <w:r w:rsidRPr="007166FA">
        <w:rPr>
          <w:rFonts w:ascii="Arial" w:hAnsi="Arial" w:cs="Arial"/>
        </w:rPr>
        <w:t xml:space="preserve">In contrast, the 0.3 M sample lacks this excitonic peak, and the extrapolated band gap is 3.26 </w:t>
      </w:r>
      <w:proofErr w:type="gramStart"/>
      <w:r w:rsidRPr="007166FA">
        <w:rPr>
          <w:rFonts w:ascii="Arial" w:hAnsi="Arial" w:cs="Arial"/>
        </w:rPr>
        <w:t>eV</w:t>
      </w:r>
      <w:r w:rsidR="00E1187C">
        <w:rPr>
          <w:rFonts w:ascii="Arial" w:hAnsi="Arial" w:cs="Arial"/>
        </w:rPr>
        <w:t>(</w:t>
      </w:r>
      <w:proofErr w:type="gramEnd"/>
      <w:r w:rsidR="00E1187C">
        <w:rPr>
          <w:rFonts w:ascii="Arial" w:hAnsi="Arial" w:cs="Arial"/>
        </w:rPr>
        <w:t>in Fig.2a)</w:t>
      </w:r>
      <w:r w:rsidRPr="007166FA">
        <w:rPr>
          <w:rFonts w:ascii="Arial" w:hAnsi="Arial" w:cs="Arial"/>
        </w:rPr>
        <w:t xml:space="preserve">. Moreover, as seen in the inset reflection spectrum, defect-related absorption is evident in the 0.3 M sample, suggesting a higher density of defects. </w:t>
      </w:r>
    </w:p>
    <w:p w14:paraId="54331DC2" w14:textId="4BA3969A" w:rsidR="003515A2" w:rsidRDefault="003515A2" w:rsidP="00FD6F59">
      <w:pPr>
        <w:pStyle w:val="Body"/>
        <w:ind w:firstLine="720"/>
        <w:rPr>
          <w:rFonts w:ascii="Arial" w:hAnsi="Arial" w:cs="Arial"/>
          <w:b/>
          <w:bCs/>
        </w:rPr>
      </w:pPr>
      <w:r w:rsidRPr="003515A2">
        <w:rPr>
          <w:rFonts w:ascii="Arial" w:hAnsi="Arial" w:cs="Arial"/>
          <w:b/>
          <w:bCs/>
          <w:noProof/>
        </w:rPr>
        <w:lastRenderedPageBreak/>
        <w:drawing>
          <wp:inline distT="0" distB="0" distL="0" distR="0" wp14:anchorId="1287AFC8" wp14:editId="1ECC0E04">
            <wp:extent cx="2228850" cy="18672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602" t="6041" r="7585"/>
                    <a:stretch/>
                  </pic:blipFill>
                  <pic:spPr bwMode="auto">
                    <a:xfrm>
                      <a:off x="0" y="0"/>
                      <a:ext cx="2257441" cy="1891232"/>
                    </a:xfrm>
                    <a:prstGeom prst="rect">
                      <a:avLst/>
                    </a:prstGeom>
                    <a:noFill/>
                    <a:ln>
                      <a:noFill/>
                    </a:ln>
                    <a:extLst>
                      <a:ext uri="{53640926-AAD7-44D8-BBD7-CCE9431645EC}">
                        <a14:shadowObscured xmlns:a14="http://schemas.microsoft.com/office/drawing/2010/main"/>
                      </a:ext>
                    </a:extLst>
                  </pic:spPr>
                </pic:pic>
              </a:graphicData>
            </a:graphic>
          </wp:inline>
        </w:drawing>
      </w:r>
      <w:r w:rsidRPr="003515A2">
        <w:rPr>
          <w:rFonts w:ascii="Arial" w:hAnsi="Arial" w:cs="Arial"/>
          <w:b/>
          <w:bCs/>
          <w:noProof/>
        </w:rPr>
        <w:drawing>
          <wp:inline distT="0" distB="0" distL="0" distR="0" wp14:anchorId="5CB8FA97" wp14:editId="1C49CBA5">
            <wp:extent cx="2181225" cy="19024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48" t="4403" r="8388"/>
                    <a:stretch/>
                  </pic:blipFill>
                  <pic:spPr bwMode="auto">
                    <a:xfrm>
                      <a:off x="0" y="0"/>
                      <a:ext cx="2203748" cy="1922088"/>
                    </a:xfrm>
                    <a:prstGeom prst="rect">
                      <a:avLst/>
                    </a:prstGeom>
                    <a:noFill/>
                    <a:ln>
                      <a:noFill/>
                    </a:ln>
                    <a:extLst>
                      <a:ext uri="{53640926-AAD7-44D8-BBD7-CCE9431645EC}">
                        <a14:shadowObscured xmlns:a14="http://schemas.microsoft.com/office/drawing/2010/main"/>
                      </a:ext>
                    </a:extLst>
                  </pic:spPr>
                </pic:pic>
              </a:graphicData>
            </a:graphic>
          </wp:inline>
        </w:drawing>
      </w:r>
    </w:p>
    <w:p w14:paraId="19B07CF3" w14:textId="30B1B9E1" w:rsidR="00FA2AFA" w:rsidRPr="00FD6F59" w:rsidRDefault="00FA2AFA" w:rsidP="00FD6F59">
      <w:pPr>
        <w:pStyle w:val="Body"/>
        <w:rPr>
          <w:rFonts w:ascii="Arial" w:hAnsi="Arial" w:cs="Arial"/>
          <w:b/>
          <w:bCs/>
        </w:rPr>
      </w:pPr>
      <w:r w:rsidRPr="00FD6F59">
        <w:rPr>
          <w:rFonts w:ascii="Arial" w:hAnsi="Arial" w:cs="Arial"/>
          <w:b/>
          <w:bCs/>
        </w:rPr>
        <w:t>Fig</w:t>
      </w:r>
      <w:r w:rsidR="00FD6F59">
        <w:rPr>
          <w:rFonts w:ascii="Arial" w:hAnsi="Arial" w:cs="Arial"/>
          <w:b/>
          <w:bCs/>
        </w:rPr>
        <w:t>.</w:t>
      </w:r>
      <w:r w:rsidRPr="00FD6F59">
        <w:rPr>
          <w:rFonts w:ascii="Arial" w:hAnsi="Arial" w:cs="Arial"/>
          <w:b/>
          <w:bCs/>
        </w:rPr>
        <w:t xml:space="preserve"> </w:t>
      </w:r>
      <w:r w:rsidR="00FD6F59" w:rsidRPr="00FD6F59">
        <w:rPr>
          <w:rFonts w:ascii="Arial" w:hAnsi="Arial" w:cs="Arial"/>
          <w:b/>
          <w:bCs/>
        </w:rPr>
        <w:t>2</w:t>
      </w:r>
      <w:r w:rsidRPr="00FD6F59">
        <w:rPr>
          <w:rFonts w:ascii="Arial" w:hAnsi="Arial" w:cs="Arial"/>
          <w:b/>
          <w:bCs/>
        </w:rPr>
        <w:t xml:space="preserve">. </w:t>
      </w:r>
      <w:proofErr w:type="spellStart"/>
      <w:r w:rsidRPr="00FD6F59">
        <w:rPr>
          <w:rFonts w:ascii="Arial" w:hAnsi="Arial" w:cs="Arial"/>
          <w:b/>
          <w:bCs/>
        </w:rPr>
        <w:t>Tauc</w:t>
      </w:r>
      <w:proofErr w:type="spellEnd"/>
      <w:r w:rsidRPr="00FD6F59">
        <w:rPr>
          <w:rFonts w:ascii="Arial" w:hAnsi="Arial" w:cs="Arial"/>
          <w:b/>
          <w:bCs/>
        </w:rPr>
        <w:t xml:space="preserve"> plots of </w:t>
      </w:r>
      <w:proofErr w:type="spellStart"/>
      <w:r w:rsidRPr="00FD6F59">
        <w:rPr>
          <w:rFonts w:ascii="Arial" w:hAnsi="Arial" w:cs="Arial"/>
          <w:b/>
          <w:bCs/>
        </w:rPr>
        <w:t>ZnO</w:t>
      </w:r>
      <w:proofErr w:type="spellEnd"/>
      <w:r w:rsidRPr="00FD6F59">
        <w:rPr>
          <w:rFonts w:ascii="Arial" w:hAnsi="Arial" w:cs="Arial"/>
          <w:b/>
          <w:bCs/>
        </w:rPr>
        <w:t xml:space="preserve"> thin films grown at different precursor concentrations: (a) 0.3 M and (b) 0.5 M. The insets show the corresponding F(R) spectra.</w:t>
      </w:r>
    </w:p>
    <w:p w14:paraId="791DB402" w14:textId="255339A5" w:rsidR="00D94D38" w:rsidRPr="00D94D38" w:rsidRDefault="00D94D38" w:rsidP="00D94D38">
      <w:pPr>
        <w:pStyle w:val="Body"/>
        <w:rPr>
          <w:rFonts w:ascii="Arial" w:hAnsi="Arial" w:cs="Arial"/>
        </w:rPr>
      </w:pPr>
      <w:r w:rsidRPr="00D94D38">
        <w:rPr>
          <w:rFonts w:ascii="Arial" w:hAnsi="Arial" w:cs="Arial"/>
        </w:rPr>
        <w:t xml:space="preserve">The photoluminescence (PL) measurements for ZnO thin films provide valuable insights into their optical properties, particularly their ability to emit light efficiently even at room temperature. ZnO exhibits strong near-band-edge emissions due to excitonic recombination, along with defect-related emissions, which are typically associated with oxygen vacancies or zinc interstitials. These defect emissions can influence the optical performance and provide information about the film’s crystallinity and quality. In Figure </w:t>
      </w:r>
      <w:r w:rsidR="00E1187C">
        <w:rPr>
          <w:rFonts w:ascii="Arial" w:hAnsi="Arial" w:cs="Arial"/>
        </w:rPr>
        <w:t>3</w:t>
      </w:r>
      <w:r w:rsidRPr="00D94D38">
        <w:rPr>
          <w:rFonts w:ascii="Arial" w:hAnsi="Arial" w:cs="Arial"/>
        </w:rPr>
        <w:t xml:space="preserve">, the PL measurement results are presented for (a1) 0.3 M, (a2) 0.4 M, and (a3) 0.5 M molar ratios of ZnO thin films, respectively. In Figure </w:t>
      </w:r>
      <w:r w:rsidR="00E1187C">
        <w:rPr>
          <w:rFonts w:ascii="Arial" w:hAnsi="Arial" w:cs="Arial"/>
        </w:rPr>
        <w:t>3</w:t>
      </w:r>
      <w:r w:rsidRPr="00D94D38">
        <w:rPr>
          <w:rFonts w:ascii="Arial" w:hAnsi="Arial" w:cs="Arial"/>
        </w:rPr>
        <w:t>a, the excitonic peaks for all ZnO thin film samples appear at the same position, around 379 nm. However, the peaks become sharper as the molar ratio increases, indicating improved crystal quality and reduced defect density with higher precursor concentrations. Meanwhile, noticeable defect-related luminescence was observed in all samples. The intensity of the defect emission decreases as the molar concentration increases. This suggests that higher concentrations of the precursor lead to fewer vacancies and other defects, improving the overall optical quality of the ZnO thin films [12, 13].</w:t>
      </w:r>
      <w:r w:rsidR="00E11452">
        <w:rPr>
          <w:rFonts w:ascii="Arial" w:hAnsi="Arial" w:cs="Arial"/>
        </w:rPr>
        <w:t xml:space="preserve"> </w:t>
      </w:r>
    </w:p>
    <w:p w14:paraId="0DDBF580" w14:textId="0830F0DE" w:rsidR="00E80976" w:rsidRDefault="002201DD" w:rsidP="00E80976">
      <w:pPr>
        <w:pStyle w:val="Body"/>
        <w:jc w:val="center"/>
        <w:rPr>
          <w:rFonts w:ascii="Arial" w:hAnsi="Arial" w:cs="Arial"/>
          <w:b/>
          <w:bCs/>
        </w:rPr>
      </w:pPr>
      <w:r>
        <w:rPr>
          <w:rFonts w:ascii="Arial" w:hAnsi="Arial" w:cs="Arial"/>
          <w:b/>
          <w:bCs/>
          <w:noProof/>
        </w:rPr>
        <w:lastRenderedPageBreak/>
        <w:drawing>
          <wp:inline distT="0" distB="0" distL="0" distR="0" wp14:anchorId="0736A927" wp14:editId="3BAC3683">
            <wp:extent cx="4877435" cy="3286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7435" cy="3286125"/>
                    </a:xfrm>
                    <a:prstGeom prst="rect">
                      <a:avLst/>
                    </a:prstGeom>
                    <a:noFill/>
                  </pic:spPr>
                </pic:pic>
              </a:graphicData>
            </a:graphic>
          </wp:inline>
        </w:drawing>
      </w:r>
    </w:p>
    <w:p w14:paraId="3B5B0295" w14:textId="2D8CA42B" w:rsidR="00D94D38" w:rsidRPr="00CD3175" w:rsidRDefault="00D94D38" w:rsidP="00D94D38">
      <w:pPr>
        <w:pStyle w:val="Body"/>
        <w:rPr>
          <w:rFonts w:ascii="Arial" w:hAnsi="Arial" w:cs="Arial"/>
          <w:b/>
          <w:bCs/>
        </w:rPr>
      </w:pPr>
      <w:r w:rsidRPr="00CD3175">
        <w:rPr>
          <w:rFonts w:ascii="Arial" w:hAnsi="Arial" w:cs="Arial"/>
          <w:b/>
          <w:bCs/>
        </w:rPr>
        <w:t xml:space="preserve">Fig. </w:t>
      </w:r>
      <w:r w:rsidR="00E1187C">
        <w:rPr>
          <w:rFonts w:ascii="Arial" w:hAnsi="Arial" w:cs="Arial"/>
          <w:b/>
          <w:bCs/>
        </w:rPr>
        <w:t>3</w:t>
      </w:r>
      <w:r w:rsidRPr="00CD3175">
        <w:rPr>
          <w:rFonts w:ascii="Arial" w:hAnsi="Arial" w:cs="Arial"/>
          <w:b/>
          <w:bCs/>
        </w:rPr>
        <w:t>. (a) Photoluminescence (PL) spectra of ZnO thin films for different precursor molar concentrations: (1) 0.3 M, (2) 0.4 M, and (3) 0.5 M. (b) Gaussian fitting for PL spectrum of 0.3 M ZnO thin film and (c) Gaussian fitting for PL spectrum of 0.5 M ZnO thin film.</w:t>
      </w:r>
    </w:p>
    <w:p w14:paraId="7A47F33C" w14:textId="47CA45DD" w:rsidR="00D94D38" w:rsidRDefault="00D94D38" w:rsidP="00D94D38">
      <w:pPr>
        <w:pStyle w:val="Body"/>
        <w:rPr>
          <w:rFonts w:ascii="Arial" w:hAnsi="Arial" w:cs="Arial"/>
        </w:rPr>
      </w:pPr>
      <w:r w:rsidRPr="00D94D38">
        <w:rPr>
          <w:rFonts w:ascii="Arial" w:hAnsi="Arial" w:cs="Arial"/>
        </w:rPr>
        <w:t xml:space="preserve">Using Gaussian fitting, as shown in Figure </w:t>
      </w:r>
      <w:r w:rsidR="00E1187C">
        <w:rPr>
          <w:rFonts w:ascii="Arial" w:hAnsi="Arial" w:cs="Arial"/>
        </w:rPr>
        <w:t>3</w:t>
      </w:r>
      <w:r w:rsidRPr="00D94D38">
        <w:rPr>
          <w:rFonts w:ascii="Arial" w:hAnsi="Arial" w:cs="Arial"/>
        </w:rPr>
        <w:t xml:space="preserve">b, the PL data for the 0.3 M ZnO sample revealed three distinct peaks corresponding to excitonic and defect-related emissions [14]. In contrast, Figure </w:t>
      </w:r>
      <w:r w:rsidR="00E1187C">
        <w:rPr>
          <w:rFonts w:ascii="Arial" w:hAnsi="Arial" w:cs="Arial"/>
        </w:rPr>
        <w:t>3</w:t>
      </w:r>
      <w:r w:rsidRPr="00D94D38">
        <w:rPr>
          <w:rFonts w:ascii="Arial" w:hAnsi="Arial" w:cs="Arial"/>
        </w:rPr>
        <w:t xml:space="preserve">c shows that the 0.5 M ZnO sample also exhibited three peaks with fewer defect-related emissions. The second peak (3.19 eV) for the 0.5 M sample, positioned 60 </w:t>
      </w:r>
      <w:proofErr w:type="spellStart"/>
      <w:r w:rsidRPr="00D94D38">
        <w:rPr>
          <w:rFonts w:ascii="Arial" w:hAnsi="Arial" w:cs="Arial"/>
        </w:rPr>
        <w:t>meV</w:t>
      </w:r>
      <w:proofErr w:type="spellEnd"/>
      <w:r w:rsidRPr="00D94D38">
        <w:rPr>
          <w:rFonts w:ascii="Arial" w:hAnsi="Arial" w:cs="Arial"/>
        </w:rPr>
        <w:t xml:space="preserve"> below the main excitonic peak, is consistent with emissions from free electron-acceptor recombination associated with zinc vacancies (</w:t>
      </w:r>
      <w:proofErr w:type="spellStart"/>
      <w:r w:rsidRPr="00D94D38">
        <w:rPr>
          <w:rFonts w:ascii="Arial" w:hAnsi="Arial" w:cs="Arial"/>
        </w:rPr>
        <w:t>V</w:t>
      </w:r>
      <w:r w:rsidRPr="00CD3175">
        <w:rPr>
          <w:rFonts w:ascii="Arial" w:hAnsi="Arial" w:cs="Arial"/>
          <w:vertAlign w:val="subscript"/>
        </w:rPr>
        <w:t>Zn</w:t>
      </w:r>
      <w:proofErr w:type="spellEnd"/>
      <w:r w:rsidRPr="00D94D38">
        <w:rPr>
          <w:rFonts w:ascii="Arial" w:hAnsi="Arial" w:cs="Arial"/>
        </w:rPr>
        <w:t xml:space="preserve">), a common defect in ZnO that forms shallow acceptor states [15]. The increased energy shift in the 0.3 M sample, showing a 70 </w:t>
      </w:r>
      <w:proofErr w:type="spellStart"/>
      <w:r w:rsidRPr="00D94D38">
        <w:rPr>
          <w:rFonts w:ascii="Arial" w:hAnsi="Arial" w:cs="Arial"/>
        </w:rPr>
        <w:t>meV</w:t>
      </w:r>
      <w:proofErr w:type="spellEnd"/>
      <w:r w:rsidRPr="00D94D38">
        <w:rPr>
          <w:rFonts w:ascii="Arial" w:hAnsi="Arial" w:cs="Arial"/>
        </w:rPr>
        <w:t xml:space="preserve"> separation, suggests a higher defect density, which enhances the binding energy of free electron-acceptor recombi</w:t>
      </w:r>
      <w:r w:rsidR="00CD3175">
        <w:rPr>
          <w:rFonts w:ascii="Arial" w:hAnsi="Arial" w:cs="Arial"/>
        </w:rPr>
        <w:t>na</w:t>
      </w:r>
      <w:r w:rsidRPr="00D94D38">
        <w:rPr>
          <w:rFonts w:ascii="Arial" w:hAnsi="Arial" w:cs="Arial"/>
        </w:rPr>
        <w:t>tion due to a greater concentration of these vacancy defects. The defect-related peaks, particularly those associated with oxygen vacancies (V</w:t>
      </w:r>
      <w:r w:rsidRPr="00CD3175">
        <w:rPr>
          <w:rFonts w:ascii="Arial" w:hAnsi="Arial" w:cs="Arial"/>
          <w:vertAlign w:val="subscript"/>
        </w:rPr>
        <w:t>O</w:t>
      </w:r>
      <w:r w:rsidRPr="00D94D38">
        <w:rPr>
          <w:rFonts w:ascii="Arial" w:hAnsi="Arial" w:cs="Arial"/>
        </w:rPr>
        <w:t>), are significantly reduced in intensity for the 0.5 M sample, indicating a lower concentration of these defects at higher precursor molar ratios.</w:t>
      </w:r>
    </w:p>
    <w:p w14:paraId="35E70A8C" w14:textId="49AE8CD8" w:rsidR="00084FC7" w:rsidRDefault="00084FC7" w:rsidP="00D94D38">
      <w:pPr>
        <w:pStyle w:val="Body"/>
        <w:rPr>
          <w:rFonts w:ascii="Arial" w:hAnsi="Arial" w:cs="Arial"/>
          <w:b/>
          <w:bCs/>
        </w:rPr>
      </w:pPr>
      <w:r w:rsidRPr="00084FC7">
        <w:rPr>
          <w:rFonts w:ascii="Arial" w:hAnsi="Arial" w:cs="Arial"/>
          <w:b/>
          <w:bCs/>
        </w:rPr>
        <w:t>3.3</w:t>
      </w:r>
      <w:r>
        <w:rPr>
          <w:rFonts w:ascii="Arial" w:hAnsi="Arial" w:cs="Arial"/>
          <w:b/>
          <w:bCs/>
        </w:rPr>
        <w:t xml:space="preserve"> </w:t>
      </w:r>
      <w:r w:rsidR="00055A50">
        <w:rPr>
          <w:rFonts w:ascii="Arial" w:hAnsi="Arial" w:cs="Arial"/>
          <w:b/>
          <w:bCs/>
        </w:rPr>
        <w:t>Structural properties</w:t>
      </w:r>
    </w:p>
    <w:p w14:paraId="6DBB1F16" w14:textId="2D859689" w:rsidR="00E80976" w:rsidRDefault="00251AC6" w:rsidP="00E11452">
      <w:pPr>
        <w:pStyle w:val="Body"/>
        <w:spacing w:after="0"/>
        <w:rPr>
          <w:rFonts w:ascii="Arial" w:hAnsi="Arial" w:cs="Arial"/>
        </w:rPr>
      </w:pPr>
      <w:r w:rsidRPr="00D94D38">
        <w:rPr>
          <w:rFonts w:ascii="Arial" w:hAnsi="Arial" w:cs="Arial"/>
        </w:rPr>
        <w:t xml:space="preserve">The X-ray diffraction (XRD) patterns for ZnO thin films deposited at different precursor concentrations reveal distinct trends in crystallinity and orientation. All samples in Fig. </w:t>
      </w:r>
      <w:r>
        <w:rPr>
          <w:rFonts w:ascii="Arial" w:hAnsi="Arial" w:cs="Arial"/>
        </w:rPr>
        <w:t>4</w:t>
      </w:r>
      <w:r w:rsidRPr="00D94D38">
        <w:rPr>
          <w:rFonts w:ascii="Arial" w:hAnsi="Arial" w:cs="Arial"/>
        </w:rPr>
        <w:t>. display a prominent peak at approximately 2θ = 34.4°, corresponding to the (002) plane, indicating a strong c-axis orientation typical of hexagonal wurtzite ZnO [16]. The peak (102) intensity increases with higher molar concentration, with the 0.5 M sample showing the highest intensity and sharpest peak, suggesting enhanced crystallinity and larger grain sizes. The 0.3 M sample, with broader and less intense peaks, indicates smaller crystallite size and higher defect density. This improvement in crystallinity at higher concentrations is consistent with reduced defect-related emissions observed in photoluminescence measurements, likely due to a decrease in oxygen vacancies and other structural imperfections.</w:t>
      </w:r>
      <w:r>
        <w:rPr>
          <w:rFonts w:ascii="Arial" w:hAnsi="Arial" w:cs="Arial"/>
        </w:rPr>
        <w:t xml:space="preserve"> </w:t>
      </w:r>
    </w:p>
    <w:p w14:paraId="7A3FCEE1" w14:textId="36269BB0" w:rsidR="00E11452" w:rsidRPr="00D94D38" w:rsidRDefault="00E11452" w:rsidP="002201DD">
      <w:pPr>
        <w:pStyle w:val="Body"/>
        <w:jc w:val="center"/>
        <w:rPr>
          <w:rFonts w:ascii="Arial" w:hAnsi="Arial" w:cs="Arial"/>
        </w:rPr>
      </w:pPr>
      <w:r w:rsidRPr="00E11452">
        <w:rPr>
          <w:rFonts w:ascii="Arial" w:hAnsi="Arial" w:cs="Arial"/>
          <w:noProof/>
        </w:rPr>
        <w:lastRenderedPageBreak/>
        <w:drawing>
          <wp:inline distT="0" distB="0" distL="0" distR="0" wp14:anchorId="31DCA785" wp14:editId="1DDCAEB2">
            <wp:extent cx="5128260" cy="3848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8260" cy="3848100"/>
                    </a:xfrm>
                    <a:prstGeom prst="rect">
                      <a:avLst/>
                    </a:prstGeom>
                    <a:noFill/>
                    <a:ln>
                      <a:noFill/>
                    </a:ln>
                  </pic:spPr>
                </pic:pic>
              </a:graphicData>
            </a:graphic>
          </wp:inline>
        </w:drawing>
      </w:r>
    </w:p>
    <w:p w14:paraId="354B3C15" w14:textId="6D8BDB81" w:rsidR="00D94D38" w:rsidRDefault="00D94D38" w:rsidP="00D94D38">
      <w:pPr>
        <w:pStyle w:val="Body"/>
        <w:rPr>
          <w:rFonts w:ascii="Arial" w:hAnsi="Arial" w:cs="Arial"/>
          <w:b/>
          <w:bCs/>
        </w:rPr>
      </w:pPr>
      <w:r w:rsidRPr="00CD3175">
        <w:rPr>
          <w:rFonts w:ascii="Arial" w:hAnsi="Arial" w:cs="Arial"/>
          <w:b/>
          <w:bCs/>
        </w:rPr>
        <w:t xml:space="preserve">Fig. </w:t>
      </w:r>
      <w:r w:rsidR="00E1187C">
        <w:rPr>
          <w:rFonts w:ascii="Arial" w:hAnsi="Arial" w:cs="Arial"/>
          <w:b/>
          <w:bCs/>
        </w:rPr>
        <w:t>4</w:t>
      </w:r>
      <w:r w:rsidR="00447E05">
        <w:rPr>
          <w:rFonts w:ascii="Arial" w:hAnsi="Arial" w:cs="Arial"/>
          <w:b/>
          <w:bCs/>
        </w:rPr>
        <w:t>.</w:t>
      </w:r>
      <w:r w:rsidRPr="00CD3175">
        <w:rPr>
          <w:rFonts w:ascii="Arial" w:hAnsi="Arial" w:cs="Arial"/>
          <w:b/>
          <w:bCs/>
        </w:rPr>
        <w:t xml:space="preserve"> X-ray diffraction (XRD) patterns for ZnO thin films deposited with different molar concentrations of zinc precursor: (a) 0.3 M, (b) 0.4 M, and (c) 0.5 M.</w:t>
      </w:r>
    </w:p>
    <w:p w14:paraId="5E1ABD59" w14:textId="081EA9C1" w:rsidR="006C78B9" w:rsidRDefault="00447E05" w:rsidP="006C78B9">
      <w:pPr>
        <w:pStyle w:val="Body"/>
        <w:rPr>
          <w:rFonts w:ascii="Arial" w:hAnsi="Arial" w:cs="Arial"/>
        </w:rPr>
      </w:pPr>
      <w:r>
        <w:rPr>
          <w:rFonts w:ascii="Arial" w:hAnsi="Arial" w:cs="Arial"/>
        </w:rPr>
        <w:t>Table 1 presents the crystal</w:t>
      </w:r>
      <w:r w:rsidR="0091099B">
        <w:rPr>
          <w:rFonts w:ascii="Arial" w:hAnsi="Arial" w:cs="Arial"/>
        </w:rPr>
        <w:t>line</w:t>
      </w:r>
      <w:r>
        <w:rPr>
          <w:rFonts w:ascii="Arial" w:hAnsi="Arial" w:cs="Arial"/>
        </w:rPr>
        <w:t xml:space="preserve"> orientations</w:t>
      </w:r>
      <w:r w:rsidR="00952F65">
        <w:rPr>
          <w:rFonts w:ascii="Arial" w:hAnsi="Arial" w:cs="Arial"/>
        </w:rPr>
        <w:t xml:space="preserve">, the </w:t>
      </w:r>
      <w:r w:rsidR="0091099B">
        <w:rPr>
          <w:rFonts w:ascii="Arial" w:hAnsi="Arial" w:cs="Arial"/>
        </w:rPr>
        <w:t xml:space="preserve">full width at half maximum (FWHM) </w:t>
      </w:r>
      <w:r>
        <w:rPr>
          <w:rFonts w:ascii="Arial" w:hAnsi="Arial" w:cs="Arial"/>
        </w:rPr>
        <w:t xml:space="preserve">of </w:t>
      </w:r>
      <w:r w:rsidR="0091099B">
        <w:rPr>
          <w:rFonts w:ascii="Arial" w:hAnsi="Arial" w:cs="Arial"/>
        </w:rPr>
        <w:t xml:space="preserve">the X-ray diffraction peaks for </w:t>
      </w:r>
      <w:r w:rsidR="0091099B" w:rsidRPr="0091099B">
        <w:rPr>
          <w:rFonts w:ascii="Arial" w:hAnsi="Arial" w:cs="Arial"/>
        </w:rPr>
        <w:t xml:space="preserve">ZnO thin films </w:t>
      </w:r>
      <w:r w:rsidR="0091099B">
        <w:rPr>
          <w:rFonts w:ascii="Arial" w:hAnsi="Arial" w:cs="Arial"/>
        </w:rPr>
        <w:t>shown in Figure 4.</w:t>
      </w:r>
      <w:r w:rsidR="00952F65">
        <w:rPr>
          <w:rFonts w:ascii="Arial" w:hAnsi="Arial" w:cs="Arial"/>
        </w:rPr>
        <w:t xml:space="preserve"> Also, it presents the ZnO nanocrystals sizes </w:t>
      </w:r>
      <w:r w:rsidR="006C78B9" w:rsidRPr="006C78B9">
        <w:rPr>
          <w:rFonts w:ascii="Arial" w:hAnsi="Arial" w:cs="Arial"/>
          <w:i/>
          <w:iCs/>
        </w:rPr>
        <w:t>D</w:t>
      </w:r>
      <w:r w:rsidR="006C78B9">
        <w:rPr>
          <w:rFonts w:ascii="Arial" w:hAnsi="Arial" w:cs="Arial"/>
        </w:rPr>
        <w:t xml:space="preserve"> </w:t>
      </w:r>
      <w:r w:rsidR="00952F65">
        <w:rPr>
          <w:rFonts w:ascii="Arial" w:hAnsi="Arial" w:cs="Arial"/>
        </w:rPr>
        <w:t>determined from the X-ray diffraction patterns by using the S</w:t>
      </w:r>
      <w:r w:rsidR="00D13A37">
        <w:rPr>
          <w:rFonts w:ascii="Arial" w:hAnsi="Arial" w:cs="Arial"/>
        </w:rPr>
        <w:t>c</w:t>
      </w:r>
      <w:r w:rsidR="00952F65">
        <w:rPr>
          <w:rFonts w:ascii="Arial" w:hAnsi="Arial" w:cs="Arial"/>
        </w:rPr>
        <w:t>he</w:t>
      </w:r>
      <w:r w:rsidR="00D13A37">
        <w:rPr>
          <w:rFonts w:ascii="Arial" w:hAnsi="Arial" w:cs="Arial"/>
        </w:rPr>
        <w:t>r</w:t>
      </w:r>
      <w:r w:rsidR="00952F65">
        <w:rPr>
          <w:rFonts w:ascii="Arial" w:hAnsi="Arial" w:cs="Arial"/>
        </w:rPr>
        <w:t xml:space="preserve">rer </w:t>
      </w:r>
      <w:r w:rsidR="00D13A37">
        <w:rPr>
          <w:rFonts w:ascii="Arial" w:hAnsi="Arial" w:cs="Arial"/>
        </w:rPr>
        <w:t>formula [17].</w:t>
      </w:r>
      <w:r w:rsidR="00861BA2">
        <w:rPr>
          <w:rFonts w:ascii="Arial" w:hAnsi="Arial" w:cs="Arial"/>
        </w:rPr>
        <w:t xml:space="preserve">                             </w:t>
      </w:r>
    </w:p>
    <w:p w14:paraId="5E50E603" w14:textId="76C9E2F9" w:rsidR="00D13A37" w:rsidRPr="00D13A37" w:rsidRDefault="00D13A37" w:rsidP="006C78B9">
      <w:pPr>
        <w:pStyle w:val="Body"/>
        <w:ind w:left="2160" w:firstLine="720"/>
        <w:jc w:val="center"/>
        <w:rPr>
          <w:rFonts w:ascii="Arial" w:hAnsi="Arial" w:cs="Arial"/>
          <w:sz w:val="24"/>
          <w:szCs w:val="24"/>
        </w:rPr>
      </w:pPr>
      <m:oMath>
        <m:r>
          <w:rPr>
            <w:rFonts w:ascii="Cambria Math" w:hAnsi="Cambria Math" w:cs="Arial"/>
            <w:sz w:val="32"/>
            <w:szCs w:val="32"/>
          </w:rPr>
          <m:t>D=</m:t>
        </m:r>
        <m:f>
          <m:fPr>
            <m:ctrlPr>
              <w:rPr>
                <w:rFonts w:ascii="Cambria Math" w:hAnsi="Cambria Math" w:cs="Arial"/>
                <w:i/>
                <w:sz w:val="32"/>
                <w:szCs w:val="32"/>
              </w:rPr>
            </m:ctrlPr>
          </m:fPr>
          <m:num>
            <m:r>
              <w:rPr>
                <w:rFonts w:ascii="Cambria Math" w:hAnsi="Cambria Math" w:cs="Arial"/>
                <w:sz w:val="32"/>
                <w:szCs w:val="32"/>
              </w:rPr>
              <m:t>K</m:t>
            </m:r>
            <w:bookmarkStart w:id="1" w:name="_Hlk189840491"/>
            <m:r>
              <m:rPr>
                <m:sty m:val="p"/>
              </m:rPr>
              <w:rPr>
                <w:rFonts w:ascii="Cambria Math" w:hAnsi="Cambria Math" w:cs="Arial"/>
                <w:sz w:val="32"/>
                <w:szCs w:val="32"/>
              </w:rPr>
              <m:t>λ</m:t>
            </m:r>
            <w:bookmarkEnd w:id="1"/>
          </m:num>
          <m:den>
            <w:bookmarkStart w:id="2" w:name="_Hlk189840661"/>
            <m:r>
              <w:rPr>
                <w:rFonts w:ascii="Cambria Math" w:hAnsi="Cambria Math" w:cs="Arial"/>
                <w:sz w:val="32"/>
                <w:szCs w:val="32"/>
              </w:rPr>
              <m:t>β</m:t>
            </m:r>
            <w:bookmarkEnd w:id="2"/>
            <m:func>
              <m:funcPr>
                <m:ctrlPr>
                  <w:rPr>
                    <w:rFonts w:ascii="Cambria Math" w:hAnsi="Cambria Math" w:cs="Arial"/>
                    <w:i/>
                    <w:sz w:val="32"/>
                    <w:szCs w:val="32"/>
                  </w:rPr>
                </m:ctrlPr>
              </m:funcPr>
              <m:fName>
                <m:r>
                  <m:rPr>
                    <m:sty m:val="p"/>
                  </m:rPr>
                  <w:rPr>
                    <w:rFonts w:ascii="Cambria Math" w:hAnsi="Cambria Math" w:cs="Arial"/>
                    <w:sz w:val="32"/>
                    <w:szCs w:val="32"/>
                  </w:rPr>
                  <m:t>cos</m:t>
                </m:r>
              </m:fName>
              <m:e>
                <m:r>
                  <w:rPr>
                    <w:rFonts w:ascii="Cambria Math" w:hAnsi="Cambria Math" w:cs="Arial"/>
                    <w:sz w:val="32"/>
                    <w:szCs w:val="32"/>
                  </w:rPr>
                  <m:t>θ</m:t>
                </m:r>
              </m:e>
            </m:func>
          </m:den>
        </m:f>
      </m:oMath>
      <w:r w:rsidR="00861BA2">
        <w:rPr>
          <w:rFonts w:ascii="Arial" w:hAnsi="Arial" w:cs="Arial"/>
          <w:sz w:val="24"/>
          <w:szCs w:val="24"/>
        </w:rPr>
        <w:t xml:space="preserve">  </w:t>
      </w:r>
      <w:r w:rsidR="00E11452">
        <w:rPr>
          <w:rFonts w:ascii="Arial" w:hAnsi="Arial" w:cs="Arial"/>
          <w:sz w:val="24"/>
          <w:szCs w:val="24"/>
        </w:rPr>
        <w:tab/>
      </w:r>
      <w:r w:rsidR="00E11452">
        <w:rPr>
          <w:rFonts w:ascii="Arial" w:hAnsi="Arial" w:cs="Arial"/>
          <w:sz w:val="24"/>
          <w:szCs w:val="24"/>
        </w:rPr>
        <w:tab/>
      </w:r>
      <w:r w:rsidR="00E11452">
        <w:rPr>
          <w:rFonts w:ascii="Arial" w:hAnsi="Arial" w:cs="Arial"/>
          <w:sz w:val="24"/>
          <w:szCs w:val="24"/>
        </w:rPr>
        <w:tab/>
      </w:r>
      <w:r w:rsidR="00861BA2">
        <w:rPr>
          <w:rFonts w:ascii="Arial" w:hAnsi="Arial" w:cs="Arial"/>
          <w:sz w:val="24"/>
          <w:szCs w:val="24"/>
        </w:rPr>
        <w:t xml:space="preserve"> (1)</w:t>
      </w:r>
    </w:p>
    <w:p w14:paraId="6B843179" w14:textId="77777777" w:rsidR="0049207B" w:rsidRDefault="00D13A37" w:rsidP="0049207B">
      <w:pPr>
        <w:pStyle w:val="Body"/>
        <w:rPr>
          <w:rFonts w:ascii="Arial" w:hAnsi="Arial" w:cs="Arial"/>
          <w:b/>
          <w:bCs/>
          <w:sz w:val="24"/>
          <w:szCs w:val="24"/>
        </w:rPr>
      </w:pPr>
      <w:r>
        <w:rPr>
          <w:rFonts w:ascii="Arial" w:hAnsi="Arial" w:cs="Arial"/>
        </w:rPr>
        <w:t>w</w:t>
      </w:r>
      <w:r w:rsidRPr="00D13A37">
        <w:rPr>
          <w:rFonts w:ascii="Arial" w:hAnsi="Arial" w:cs="Arial"/>
        </w:rPr>
        <w:t>here</w:t>
      </w:r>
      <w:r>
        <w:rPr>
          <w:rFonts w:ascii="Arial" w:hAnsi="Arial" w:cs="Arial"/>
        </w:rPr>
        <w:t xml:space="preserve"> K</w:t>
      </w:r>
      <w:r>
        <w:rPr>
          <w:rFonts w:ascii="Arial" w:hAnsi="Arial" w:cs="Arial"/>
          <w:color w:val="202122"/>
          <w:shd w:val="clear" w:color="auto" w:fill="FFFFFF"/>
        </w:rPr>
        <w:t> is a dimensionless </w:t>
      </w:r>
      <w:r w:rsidRPr="00D13A37">
        <w:rPr>
          <w:rFonts w:ascii="Arial" w:hAnsi="Arial" w:cs="Arial"/>
          <w:color w:val="202122"/>
          <w:shd w:val="clear" w:color="auto" w:fill="FFFFFF"/>
        </w:rPr>
        <w:t xml:space="preserve">shape factor </w:t>
      </w:r>
      <w:r>
        <w:rPr>
          <w:rFonts w:ascii="Arial" w:hAnsi="Arial" w:cs="Arial"/>
          <w:color w:val="202122"/>
          <w:shd w:val="clear" w:color="auto" w:fill="FFFFFF"/>
        </w:rPr>
        <w:t>with a value close to unity</w:t>
      </w:r>
      <w:r w:rsidR="00861BA2">
        <w:rPr>
          <w:rFonts w:ascii="Arial" w:hAnsi="Arial" w:cs="Arial"/>
          <w:color w:val="202122"/>
          <w:shd w:val="clear" w:color="auto" w:fill="FFFFFF"/>
        </w:rPr>
        <w:t>,</w:t>
      </w:r>
      <w:r>
        <w:rPr>
          <w:rFonts w:ascii="Arial" w:hAnsi="Arial" w:cs="Arial"/>
          <w:sz w:val="24"/>
          <w:szCs w:val="24"/>
        </w:rPr>
        <w:t xml:space="preserve"> </w:t>
      </w:r>
      <m:oMath>
        <m:r>
          <m:rPr>
            <m:sty m:val="p"/>
          </m:rPr>
          <w:rPr>
            <w:rFonts w:ascii="Cambria Math" w:hAnsi="Cambria Math" w:cs="Arial"/>
            <w:sz w:val="24"/>
            <w:szCs w:val="24"/>
          </w:rPr>
          <m:t xml:space="preserve">λ is </m:t>
        </m:r>
      </m:oMath>
      <w:r w:rsidR="00861BA2" w:rsidRPr="00861BA2">
        <w:rPr>
          <w:rFonts w:ascii="Arial" w:hAnsi="Arial" w:cs="Arial"/>
        </w:rPr>
        <w:t>the X-ray</w:t>
      </w:r>
      <w:r w:rsidR="00861BA2">
        <w:rPr>
          <w:rFonts w:ascii="Arial" w:hAnsi="Arial" w:cs="Arial"/>
        </w:rPr>
        <w:t xml:space="preserve"> wavelength,</w:t>
      </w:r>
      <w:r w:rsidR="00861BA2">
        <w:rPr>
          <w:rFonts w:ascii="Arial" w:hAnsi="Arial" w:cs="Arial"/>
          <w:sz w:val="24"/>
          <w:szCs w:val="24"/>
        </w:rPr>
        <w:t xml:space="preserve"> </w:t>
      </w:r>
      <m:oMath>
        <m:r>
          <w:rPr>
            <w:rFonts w:ascii="Cambria Math" w:hAnsi="Cambria Math" w:cs="Arial"/>
            <w:sz w:val="24"/>
            <w:szCs w:val="24"/>
          </w:rPr>
          <m:t xml:space="preserve">β </m:t>
        </m:r>
      </m:oMath>
      <w:r w:rsidR="00861BA2" w:rsidRPr="00861BA2">
        <w:rPr>
          <w:rFonts w:ascii="Arial" w:hAnsi="Arial" w:cs="Arial"/>
        </w:rPr>
        <w:t>is</w:t>
      </w:r>
      <w:r w:rsidR="00861BA2">
        <w:rPr>
          <w:rFonts w:ascii="Arial" w:hAnsi="Arial" w:cs="Arial"/>
          <w:sz w:val="24"/>
          <w:szCs w:val="24"/>
        </w:rPr>
        <w:t xml:space="preserve"> </w:t>
      </w:r>
      <w:r w:rsidR="00861BA2" w:rsidRPr="00861BA2">
        <w:rPr>
          <w:rFonts w:ascii="Arial" w:hAnsi="Arial" w:cs="Arial"/>
        </w:rPr>
        <w:t>the FWHM of the diffraction peak</w:t>
      </w:r>
      <w:r w:rsidR="00861BA2">
        <w:rPr>
          <w:rFonts w:ascii="Arial" w:hAnsi="Arial" w:cs="Arial"/>
        </w:rPr>
        <w:t xml:space="preserve"> in radians and θ</w:t>
      </w:r>
      <w:r w:rsidR="00861BA2" w:rsidRPr="00861BA2">
        <w:rPr>
          <w:rFonts w:ascii="Arial" w:hAnsi="Arial" w:cs="Arial"/>
        </w:rPr>
        <w:t xml:space="preserve"> </w:t>
      </w:r>
      <w:r w:rsidR="00861BA2" w:rsidRPr="00861BA2">
        <w:rPr>
          <w:rFonts w:ascii="Arial" w:hAnsi="Arial" w:cs="Arial"/>
          <w:color w:val="202122"/>
          <w:shd w:val="clear" w:color="auto" w:fill="FFFFFF"/>
        </w:rPr>
        <w:t> is the </w:t>
      </w:r>
      <w:hyperlink r:id="rId19" w:tooltip="Bragg diffraction" w:history="1">
        <w:r w:rsidR="00861BA2" w:rsidRPr="00861BA2">
          <w:rPr>
            <w:rFonts w:ascii="Arial" w:hAnsi="Arial" w:cs="Arial"/>
            <w:color w:val="000000" w:themeColor="text1"/>
            <w:shd w:val="clear" w:color="auto" w:fill="FFFFFF"/>
          </w:rPr>
          <w:t>Bragg</w:t>
        </w:r>
      </w:hyperlink>
      <w:r w:rsidR="00861BA2" w:rsidRPr="00861BA2">
        <w:rPr>
          <w:rFonts w:ascii="Arial" w:hAnsi="Arial" w:cs="Arial"/>
          <w:color w:val="202122"/>
          <w:shd w:val="clear" w:color="auto" w:fill="FFFFFF"/>
        </w:rPr>
        <w:t> angle</w:t>
      </w:r>
      <w:r w:rsidR="00861BA2">
        <w:rPr>
          <w:rFonts w:ascii="Arial" w:hAnsi="Arial" w:cs="Arial"/>
          <w:color w:val="202122"/>
          <w:shd w:val="clear" w:color="auto" w:fill="FFFFFF"/>
        </w:rPr>
        <w:t>.</w:t>
      </w:r>
      <w:r w:rsidR="006C78B9">
        <w:rPr>
          <w:rFonts w:ascii="Arial" w:hAnsi="Arial" w:cs="Arial"/>
          <w:color w:val="202122"/>
          <w:shd w:val="clear" w:color="auto" w:fill="FFFFFF"/>
        </w:rPr>
        <w:t xml:space="preserve"> It is seen   from Table 1 that the average size of the ZnO nanocrystals is around 27 nm.  </w:t>
      </w:r>
    </w:p>
    <w:p w14:paraId="7301B6C7" w14:textId="49448A52" w:rsidR="001E0B67" w:rsidRPr="0049207B" w:rsidRDefault="00956813" w:rsidP="0049207B">
      <w:pPr>
        <w:pStyle w:val="Body"/>
        <w:rPr>
          <w:rFonts w:ascii="Arial" w:hAnsi="Arial" w:cs="Arial"/>
          <w:b/>
          <w:bCs/>
          <w:sz w:val="24"/>
          <w:szCs w:val="24"/>
        </w:rPr>
      </w:pPr>
      <w:r w:rsidRPr="00447E05">
        <w:rPr>
          <w:rFonts w:ascii="Arial" w:hAnsi="Arial" w:cs="Arial"/>
          <w:b/>
          <w:bCs/>
        </w:rPr>
        <w:t>Table 1</w:t>
      </w:r>
      <w:r w:rsidR="00EE664F">
        <w:rPr>
          <w:rFonts w:ascii="Arial" w:hAnsi="Arial" w:cs="Arial"/>
        </w:rPr>
        <w:t>: T</w:t>
      </w:r>
      <w:bookmarkStart w:id="3" w:name="_GoBack"/>
      <w:bookmarkEnd w:id="3"/>
      <w:r w:rsidR="00EE664F" w:rsidRPr="00EE664F">
        <w:rPr>
          <w:rFonts w:ascii="Arial" w:hAnsi="Arial" w:cs="Arial"/>
        </w:rPr>
        <w:t>he crystalline orientations</w:t>
      </w:r>
    </w:p>
    <w:tbl>
      <w:tblPr>
        <w:tblStyle w:val="TableGrid"/>
        <w:tblW w:w="0" w:type="auto"/>
        <w:tblLook w:val="04A0" w:firstRow="1" w:lastRow="0" w:firstColumn="1" w:lastColumn="0" w:noHBand="0" w:noVBand="1"/>
      </w:tblPr>
      <w:tblGrid>
        <w:gridCol w:w="895"/>
        <w:gridCol w:w="810"/>
        <w:gridCol w:w="1260"/>
        <w:gridCol w:w="1170"/>
        <w:gridCol w:w="990"/>
        <w:gridCol w:w="900"/>
        <w:gridCol w:w="1170"/>
        <w:gridCol w:w="1003"/>
      </w:tblGrid>
      <w:tr w:rsidR="00917EB8" w14:paraId="0938AC04" w14:textId="53774968" w:rsidTr="00917EB8">
        <w:trPr>
          <w:trHeight w:val="422"/>
        </w:trPr>
        <w:tc>
          <w:tcPr>
            <w:tcW w:w="895" w:type="dxa"/>
            <w:vAlign w:val="center"/>
          </w:tcPr>
          <w:p w14:paraId="3F753FCE" w14:textId="4A9870A2" w:rsidR="00917EB8" w:rsidRDefault="00917EB8" w:rsidP="00917EB8">
            <w:pPr>
              <w:pStyle w:val="Body"/>
              <w:spacing w:after="0"/>
              <w:jc w:val="center"/>
              <w:rPr>
                <w:rFonts w:ascii="Arial" w:hAnsi="Arial" w:cs="Arial"/>
              </w:rPr>
            </w:pPr>
          </w:p>
        </w:tc>
        <w:tc>
          <w:tcPr>
            <w:tcW w:w="810" w:type="dxa"/>
            <w:vAlign w:val="center"/>
          </w:tcPr>
          <w:p w14:paraId="101D8C18" w14:textId="7495677A" w:rsidR="00917EB8" w:rsidRDefault="00917EB8" w:rsidP="00917EB8">
            <w:pPr>
              <w:pStyle w:val="Body"/>
              <w:spacing w:after="0"/>
              <w:jc w:val="center"/>
              <w:rPr>
                <w:rFonts w:ascii="Arial" w:hAnsi="Arial" w:cs="Arial"/>
              </w:rPr>
            </w:pPr>
            <w:proofErr w:type="spellStart"/>
            <w:r>
              <w:rPr>
                <w:rFonts w:ascii="Arial" w:hAnsi="Arial" w:cs="Arial"/>
              </w:rPr>
              <w:t>hkl</w:t>
            </w:r>
            <w:proofErr w:type="spellEnd"/>
          </w:p>
        </w:tc>
        <w:tc>
          <w:tcPr>
            <w:tcW w:w="1260" w:type="dxa"/>
            <w:vAlign w:val="center"/>
          </w:tcPr>
          <w:p w14:paraId="5894286B" w14:textId="06BE6976" w:rsidR="00917EB8" w:rsidRDefault="00917EB8" w:rsidP="00917EB8">
            <w:pPr>
              <w:pStyle w:val="Body"/>
              <w:spacing w:after="0"/>
              <w:jc w:val="center"/>
              <w:rPr>
                <w:rFonts w:ascii="Arial" w:hAnsi="Arial" w:cs="Arial"/>
              </w:rPr>
            </w:pPr>
            <w:r>
              <w:rPr>
                <w:rFonts w:ascii="Arial" w:hAnsi="Arial" w:cs="Arial"/>
              </w:rPr>
              <w:t>2ϴ</w:t>
            </w:r>
          </w:p>
        </w:tc>
        <w:tc>
          <w:tcPr>
            <w:tcW w:w="1170" w:type="dxa"/>
            <w:vAlign w:val="center"/>
          </w:tcPr>
          <w:p w14:paraId="46DF7773" w14:textId="0D420811" w:rsidR="00917EB8" w:rsidRDefault="00917EB8" w:rsidP="00917EB8">
            <w:pPr>
              <w:pStyle w:val="Body"/>
              <w:spacing w:after="0"/>
              <w:jc w:val="center"/>
              <w:rPr>
                <w:rFonts w:ascii="Arial" w:hAnsi="Arial" w:cs="Arial"/>
              </w:rPr>
            </w:pPr>
            <w:r>
              <w:rPr>
                <w:rFonts w:ascii="Arial" w:hAnsi="Arial" w:cs="Arial"/>
              </w:rPr>
              <w:t>FWHM</w:t>
            </w:r>
          </w:p>
        </w:tc>
        <w:tc>
          <w:tcPr>
            <w:tcW w:w="990" w:type="dxa"/>
            <w:vAlign w:val="center"/>
          </w:tcPr>
          <w:p w14:paraId="05F643CF" w14:textId="0C112539" w:rsidR="00917EB8" w:rsidRDefault="00917EB8" w:rsidP="00917EB8">
            <w:pPr>
              <w:pStyle w:val="Body"/>
              <w:spacing w:after="0"/>
              <w:jc w:val="center"/>
              <w:rPr>
                <w:rFonts w:ascii="Arial" w:hAnsi="Arial" w:cs="Arial"/>
              </w:rPr>
            </w:pPr>
            <w:r>
              <w:rPr>
                <w:rFonts w:ascii="Arial" w:hAnsi="Arial" w:cs="Arial"/>
              </w:rPr>
              <w:t>λ (Å)</w:t>
            </w:r>
          </w:p>
        </w:tc>
        <w:tc>
          <w:tcPr>
            <w:tcW w:w="900" w:type="dxa"/>
            <w:vAlign w:val="center"/>
          </w:tcPr>
          <w:p w14:paraId="5394052F" w14:textId="370F26BF" w:rsidR="00917EB8" w:rsidRDefault="00917EB8" w:rsidP="00917EB8">
            <w:pPr>
              <w:pStyle w:val="Body"/>
              <w:spacing w:after="0"/>
              <w:jc w:val="center"/>
              <w:rPr>
                <w:rFonts w:ascii="Arial" w:hAnsi="Arial" w:cs="Arial"/>
              </w:rPr>
            </w:pPr>
            <w:r>
              <w:rPr>
                <w:rFonts w:ascii="Arial" w:hAnsi="Arial" w:cs="Arial"/>
              </w:rPr>
              <w:t>K</w:t>
            </w:r>
          </w:p>
        </w:tc>
        <w:tc>
          <w:tcPr>
            <w:tcW w:w="1170" w:type="dxa"/>
            <w:vAlign w:val="center"/>
          </w:tcPr>
          <w:p w14:paraId="7097C39F" w14:textId="7AC251CD" w:rsidR="00917EB8" w:rsidRDefault="00917EB8" w:rsidP="00917EB8">
            <w:pPr>
              <w:pStyle w:val="Body"/>
              <w:spacing w:after="0"/>
              <w:jc w:val="center"/>
              <w:rPr>
                <w:rFonts w:ascii="Arial" w:hAnsi="Arial" w:cs="Arial"/>
              </w:rPr>
            </w:pPr>
            <w:r>
              <w:rPr>
                <w:rFonts w:ascii="Arial" w:hAnsi="Arial" w:cs="Arial"/>
              </w:rPr>
              <w:t>D (Å)</w:t>
            </w:r>
          </w:p>
        </w:tc>
        <w:tc>
          <w:tcPr>
            <w:tcW w:w="1003" w:type="dxa"/>
            <w:vAlign w:val="center"/>
          </w:tcPr>
          <w:p w14:paraId="2248069B" w14:textId="486C9881" w:rsidR="00917EB8" w:rsidRPr="00917EB8" w:rsidRDefault="00917EB8" w:rsidP="00917EB8">
            <w:pPr>
              <w:pStyle w:val="Body"/>
              <w:spacing w:after="0"/>
              <w:jc w:val="center"/>
              <w:rPr>
                <w:rFonts w:ascii="Arial" w:hAnsi="Arial" w:cs="Arial"/>
              </w:rPr>
            </w:pPr>
            <w:proofErr w:type="spellStart"/>
            <w:r>
              <w:rPr>
                <w:rFonts w:ascii="Arial" w:hAnsi="Arial" w:cs="Arial"/>
              </w:rPr>
              <w:t>D</w:t>
            </w:r>
            <w:r>
              <w:rPr>
                <w:rFonts w:ascii="Arial" w:hAnsi="Arial" w:cs="Arial"/>
                <w:vertAlign w:val="subscript"/>
              </w:rPr>
              <w:t>avr</w:t>
            </w:r>
            <w:proofErr w:type="spellEnd"/>
            <w:r>
              <w:rPr>
                <w:rFonts w:ascii="Arial" w:hAnsi="Arial" w:cs="Arial"/>
              </w:rPr>
              <w:t xml:space="preserve"> (Å)</w:t>
            </w:r>
          </w:p>
        </w:tc>
      </w:tr>
      <w:tr w:rsidR="00917EB8" w14:paraId="03F1EFDC" w14:textId="40322A65" w:rsidTr="00917EB8">
        <w:tc>
          <w:tcPr>
            <w:tcW w:w="895" w:type="dxa"/>
            <w:vMerge w:val="restart"/>
            <w:vAlign w:val="center"/>
          </w:tcPr>
          <w:p w14:paraId="5E2BD5AA" w14:textId="664192AB" w:rsidR="00917EB8" w:rsidRDefault="00917EB8" w:rsidP="00917EB8">
            <w:pPr>
              <w:pStyle w:val="Body"/>
              <w:spacing w:after="0"/>
              <w:jc w:val="center"/>
              <w:rPr>
                <w:rFonts w:ascii="Arial" w:hAnsi="Arial" w:cs="Arial"/>
              </w:rPr>
            </w:pPr>
            <w:r>
              <w:rPr>
                <w:rFonts w:ascii="Arial" w:hAnsi="Arial" w:cs="Arial"/>
              </w:rPr>
              <w:t>0.3 M</w:t>
            </w:r>
          </w:p>
        </w:tc>
        <w:tc>
          <w:tcPr>
            <w:tcW w:w="810" w:type="dxa"/>
            <w:vAlign w:val="center"/>
          </w:tcPr>
          <w:p w14:paraId="52B0CE26" w14:textId="31E37658" w:rsidR="00917EB8" w:rsidRDefault="00917EB8" w:rsidP="00917EB8">
            <w:pPr>
              <w:pStyle w:val="Body"/>
              <w:spacing w:after="0"/>
              <w:jc w:val="center"/>
              <w:rPr>
                <w:rFonts w:ascii="Arial" w:hAnsi="Arial" w:cs="Arial"/>
              </w:rPr>
            </w:pPr>
            <w:r>
              <w:rPr>
                <w:rFonts w:ascii="Arial" w:hAnsi="Arial" w:cs="Arial"/>
              </w:rPr>
              <w:t>[002]</w:t>
            </w:r>
          </w:p>
        </w:tc>
        <w:tc>
          <w:tcPr>
            <w:tcW w:w="1260" w:type="dxa"/>
            <w:vAlign w:val="center"/>
          </w:tcPr>
          <w:p w14:paraId="63E15727" w14:textId="59A0ABD9" w:rsidR="00917EB8" w:rsidRDefault="00917EB8" w:rsidP="00917EB8">
            <w:pPr>
              <w:pStyle w:val="Body"/>
              <w:spacing w:after="0"/>
              <w:jc w:val="center"/>
              <w:rPr>
                <w:rFonts w:ascii="Arial" w:hAnsi="Arial" w:cs="Arial"/>
              </w:rPr>
            </w:pPr>
            <w:r>
              <w:rPr>
                <w:rFonts w:ascii="Calibri" w:hAnsi="Calibri" w:cs="Calibri"/>
                <w:color w:val="000000"/>
              </w:rPr>
              <w:t>34.44275</w:t>
            </w:r>
          </w:p>
        </w:tc>
        <w:tc>
          <w:tcPr>
            <w:tcW w:w="1170" w:type="dxa"/>
            <w:vAlign w:val="center"/>
          </w:tcPr>
          <w:p w14:paraId="56D95AB8" w14:textId="03ED9A99" w:rsidR="00917EB8" w:rsidRDefault="00917EB8" w:rsidP="00917EB8">
            <w:pPr>
              <w:pStyle w:val="Body"/>
              <w:spacing w:after="0"/>
              <w:jc w:val="center"/>
              <w:rPr>
                <w:rFonts w:ascii="Arial" w:hAnsi="Arial" w:cs="Arial"/>
              </w:rPr>
            </w:pPr>
            <w:r>
              <w:rPr>
                <w:rFonts w:ascii="Calibri" w:hAnsi="Calibri" w:cs="Calibri"/>
                <w:color w:val="000000"/>
              </w:rPr>
              <w:t>0.37405</w:t>
            </w:r>
          </w:p>
        </w:tc>
        <w:tc>
          <w:tcPr>
            <w:tcW w:w="990" w:type="dxa"/>
            <w:vMerge w:val="restart"/>
            <w:vAlign w:val="center"/>
          </w:tcPr>
          <w:p w14:paraId="6B7A1FBB" w14:textId="78A50AE9" w:rsidR="00917EB8" w:rsidRDefault="00917EB8" w:rsidP="00917EB8">
            <w:pPr>
              <w:pStyle w:val="Body"/>
              <w:spacing w:after="0"/>
              <w:jc w:val="center"/>
              <w:rPr>
                <w:rFonts w:ascii="Arial" w:hAnsi="Arial" w:cs="Arial"/>
              </w:rPr>
            </w:pPr>
            <w:r>
              <w:rPr>
                <w:rFonts w:ascii="Arial" w:hAnsi="Arial" w:cs="Arial"/>
              </w:rPr>
              <w:t>1.5406</w:t>
            </w:r>
          </w:p>
        </w:tc>
        <w:tc>
          <w:tcPr>
            <w:tcW w:w="900" w:type="dxa"/>
            <w:vMerge w:val="restart"/>
            <w:vAlign w:val="center"/>
          </w:tcPr>
          <w:p w14:paraId="47202F6F" w14:textId="3112AC5C" w:rsidR="00917EB8" w:rsidRDefault="00917EB8" w:rsidP="00917EB8">
            <w:pPr>
              <w:pStyle w:val="Body"/>
              <w:spacing w:after="0"/>
              <w:jc w:val="center"/>
              <w:rPr>
                <w:rFonts w:ascii="Arial" w:hAnsi="Arial" w:cs="Arial"/>
              </w:rPr>
            </w:pPr>
            <w:r>
              <w:rPr>
                <w:rFonts w:ascii="Arial" w:hAnsi="Arial" w:cs="Arial"/>
              </w:rPr>
              <w:t>0.9</w:t>
            </w:r>
          </w:p>
        </w:tc>
        <w:tc>
          <w:tcPr>
            <w:tcW w:w="1170" w:type="dxa"/>
            <w:vAlign w:val="center"/>
          </w:tcPr>
          <w:p w14:paraId="38C8A1BF" w14:textId="080A16E8" w:rsidR="00917EB8" w:rsidRDefault="00917EB8" w:rsidP="00917EB8">
            <w:pPr>
              <w:pStyle w:val="Body"/>
              <w:spacing w:after="0"/>
              <w:jc w:val="center"/>
              <w:rPr>
                <w:rFonts w:ascii="Arial" w:hAnsi="Arial" w:cs="Arial"/>
              </w:rPr>
            </w:pPr>
            <w:r>
              <w:rPr>
                <w:rFonts w:ascii="Calibri" w:hAnsi="Calibri" w:cs="Calibri"/>
                <w:color w:val="000000"/>
              </w:rPr>
              <w:t>222.3543</w:t>
            </w:r>
          </w:p>
        </w:tc>
        <w:tc>
          <w:tcPr>
            <w:tcW w:w="1003" w:type="dxa"/>
            <w:vMerge w:val="restart"/>
            <w:vAlign w:val="center"/>
          </w:tcPr>
          <w:p w14:paraId="5F914679" w14:textId="56EBA27B" w:rsidR="00917EB8" w:rsidRDefault="00917EB8" w:rsidP="00917EB8">
            <w:pPr>
              <w:pStyle w:val="Body"/>
              <w:spacing w:after="0"/>
              <w:jc w:val="center"/>
              <w:rPr>
                <w:rFonts w:ascii="Calibri" w:hAnsi="Calibri" w:cs="Calibri"/>
                <w:color w:val="000000"/>
              </w:rPr>
            </w:pPr>
            <w:r>
              <w:rPr>
                <w:rFonts w:ascii="Calibri" w:hAnsi="Calibri" w:cs="Calibri"/>
                <w:color w:val="000000"/>
              </w:rPr>
              <w:t>270.5</w:t>
            </w:r>
          </w:p>
        </w:tc>
      </w:tr>
      <w:tr w:rsidR="00917EB8" w14:paraId="1A49422A" w14:textId="63496B5E" w:rsidTr="00917EB8">
        <w:tc>
          <w:tcPr>
            <w:tcW w:w="895" w:type="dxa"/>
            <w:vMerge/>
            <w:vAlign w:val="center"/>
          </w:tcPr>
          <w:p w14:paraId="738B8BBB" w14:textId="77777777" w:rsidR="00917EB8" w:rsidRDefault="00917EB8" w:rsidP="00917EB8">
            <w:pPr>
              <w:pStyle w:val="Body"/>
              <w:spacing w:after="0"/>
              <w:jc w:val="center"/>
              <w:rPr>
                <w:rFonts w:ascii="Arial" w:hAnsi="Arial" w:cs="Arial"/>
              </w:rPr>
            </w:pPr>
          </w:p>
        </w:tc>
        <w:tc>
          <w:tcPr>
            <w:tcW w:w="810" w:type="dxa"/>
            <w:vAlign w:val="center"/>
          </w:tcPr>
          <w:p w14:paraId="4B7C89B5" w14:textId="37FFE424" w:rsidR="00917EB8" w:rsidRDefault="00917EB8" w:rsidP="00917EB8">
            <w:pPr>
              <w:pStyle w:val="Body"/>
              <w:spacing w:after="0"/>
              <w:jc w:val="center"/>
              <w:rPr>
                <w:rFonts w:ascii="Arial" w:hAnsi="Arial" w:cs="Arial"/>
              </w:rPr>
            </w:pPr>
            <w:r>
              <w:rPr>
                <w:rFonts w:ascii="Arial" w:hAnsi="Arial" w:cs="Arial"/>
              </w:rPr>
              <w:t>[102]</w:t>
            </w:r>
          </w:p>
        </w:tc>
        <w:tc>
          <w:tcPr>
            <w:tcW w:w="1260" w:type="dxa"/>
            <w:vAlign w:val="center"/>
          </w:tcPr>
          <w:p w14:paraId="03BBB980" w14:textId="4D508F3C" w:rsidR="00917EB8" w:rsidRDefault="00917EB8" w:rsidP="00917EB8">
            <w:pPr>
              <w:pStyle w:val="Body"/>
              <w:spacing w:after="0"/>
              <w:jc w:val="center"/>
              <w:rPr>
                <w:rFonts w:ascii="Arial" w:hAnsi="Arial" w:cs="Arial"/>
              </w:rPr>
            </w:pPr>
            <w:r>
              <w:rPr>
                <w:rFonts w:ascii="Calibri" w:hAnsi="Calibri" w:cs="Calibri"/>
                <w:color w:val="000000"/>
              </w:rPr>
              <w:t>36.25247</w:t>
            </w:r>
          </w:p>
        </w:tc>
        <w:tc>
          <w:tcPr>
            <w:tcW w:w="1170" w:type="dxa"/>
            <w:vAlign w:val="center"/>
          </w:tcPr>
          <w:p w14:paraId="53C827AF" w14:textId="2693DEB8" w:rsidR="00917EB8" w:rsidRDefault="00917EB8" w:rsidP="00917EB8">
            <w:pPr>
              <w:pStyle w:val="Body"/>
              <w:spacing w:after="0"/>
              <w:jc w:val="center"/>
              <w:rPr>
                <w:rFonts w:ascii="Arial" w:hAnsi="Arial" w:cs="Arial"/>
              </w:rPr>
            </w:pPr>
            <w:r>
              <w:rPr>
                <w:rFonts w:ascii="Calibri" w:hAnsi="Calibri" w:cs="Calibri"/>
                <w:color w:val="000000"/>
              </w:rPr>
              <w:t>0.29465</w:t>
            </w:r>
          </w:p>
        </w:tc>
        <w:tc>
          <w:tcPr>
            <w:tcW w:w="990" w:type="dxa"/>
            <w:vMerge/>
            <w:vAlign w:val="center"/>
          </w:tcPr>
          <w:p w14:paraId="40A749A7" w14:textId="77777777" w:rsidR="00917EB8" w:rsidRDefault="00917EB8" w:rsidP="00917EB8">
            <w:pPr>
              <w:pStyle w:val="Body"/>
              <w:spacing w:after="0"/>
              <w:jc w:val="center"/>
              <w:rPr>
                <w:rFonts w:ascii="Arial" w:hAnsi="Arial" w:cs="Arial"/>
              </w:rPr>
            </w:pPr>
          </w:p>
        </w:tc>
        <w:tc>
          <w:tcPr>
            <w:tcW w:w="900" w:type="dxa"/>
            <w:vMerge/>
            <w:vAlign w:val="center"/>
          </w:tcPr>
          <w:p w14:paraId="6CC166C7" w14:textId="77777777" w:rsidR="00917EB8" w:rsidRDefault="00917EB8" w:rsidP="00917EB8">
            <w:pPr>
              <w:pStyle w:val="Body"/>
              <w:spacing w:after="0"/>
              <w:jc w:val="center"/>
              <w:rPr>
                <w:rFonts w:ascii="Arial" w:hAnsi="Arial" w:cs="Arial"/>
              </w:rPr>
            </w:pPr>
          </w:p>
        </w:tc>
        <w:tc>
          <w:tcPr>
            <w:tcW w:w="1170" w:type="dxa"/>
            <w:vAlign w:val="center"/>
          </w:tcPr>
          <w:p w14:paraId="5290DBB3" w14:textId="061D6919" w:rsidR="00917EB8" w:rsidRDefault="00917EB8" w:rsidP="00917EB8">
            <w:pPr>
              <w:pStyle w:val="Body"/>
              <w:spacing w:after="0"/>
              <w:jc w:val="center"/>
              <w:rPr>
                <w:rFonts w:ascii="Arial" w:hAnsi="Arial" w:cs="Arial"/>
              </w:rPr>
            </w:pPr>
            <w:r>
              <w:rPr>
                <w:rFonts w:ascii="Calibri" w:hAnsi="Calibri" w:cs="Calibri"/>
                <w:color w:val="000000"/>
              </w:rPr>
              <w:t>283.6967</w:t>
            </w:r>
          </w:p>
        </w:tc>
        <w:tc>
          <w:tcPr>
            <w:tcW w:w="1003" w:type="dxa"/>
            <w:vMerge/>
            <w:vAlign w:val="center"/>
          </w:tcPr>
          <w:p w14:paraId="12A8E612" w14:textId="77777777" w:rsidR="00917EB8" w:rsidRDefault="00917EB8" w:rsidP="00917EB8">
            <w:pPr>
              <w:pStyle w:val="Body"/>
              <w:spacing w:after="0"/>
              <w:jc w:val="center"/>
              <w:rPr>
                <w:rFonts w:ascii="Calibri" w:hAnsi="Calibri" w:cs="Calibri"/>
                <w:color w:val="000000"/>
              </w:rPr>
            </w:pPr>
          </w:p>
        </w:tc>
      </w:tr>
      <w:tr w:rsidR="00917EB8" w14:paraId="4DD2F5D7" w14:textId="748EE9BF" w:rsidTr="00917EB8">
        <w:tc>
          <w:tcPr>
            <w:tcW w:w="895" w:type="dxa"/>
            <w:vMerge/>
            <w:vAlign w:val="center"/>
          </w:tcPr>
          <w:p w14:paraId="077BFA76" w14:textId="77777777" w:rsidR="00917EB8" w:rsidRDefault="00917EB8" w:rsidP="00917EB8">
            <w:pPr>
              <w:pStyle w:val="Body"/>
              <w:spacing w:after="0"/>
              <w:jc w:val="center"/>
              <w:rPr>
                <w:rFonts w:ascii="Arial" w:hAnsi="Arial" w:cs="Arial"/>
              </w:rPr>
            </w:pPr>
          </w:p>
        </w:tc>
        <w:tc>
          <w:tcPr>
            <w:tcW w:w="810" w:type="dxa"/>
            <w:vAlign w:val="center"/>
          </w:tcPr>
          <w:p w14:paraId="3A4432FF" w14:textId="48F26565" w:rsidR="00917EB8" w:rsidRDefault="00917EB8" w:rsidP="00917EB8">
            <w:pPr>
              <w:pStyle w:val="Body"/>
              <w:spacing w:after="0"/>
              <w:jc w:val="center"/>
              <w:rPr>
                <w:rFonts w:ascii="Arial" w:hAnsi="Arial" w:cs="Arial"/>
              </w:rPr>
            </w:pPr>
            <w:r>
              <w:rPr>
                <w:rFonts w:ascii="Arial" w:hAnsi="Arial" w:cs="Arial"/>
              </w:rPr>
              <w:t>[112]</w:t>
            </w:r>
          </w:p>
        </w:tc>
        <w:tc>
          <w:tcPr>
            <w:tcW w:w="1260" w:type="dxa"/>
            <w:vAlign w:val="center"/>
          </w:tcPr>
          <w:p w14:paraId="656527F7" w14:textId="11D3FE3B" w:rsidR="00917EB8" w:rsidRDefault="00917EB8" w:rsidP="00917EB8">
            <w:pPr>
              <w:pStyle w:val="Body"/>
              <w:spacing w:after="0"/>
              <w:jc w:val="center"/>
              <w:rPr>
                <w:rFonts w:ascii="Arial" w:hAnsi="Arial" w:cs="Arial"/>
              </w:rPr>
            </w:pPr>
            <w:r>
              <w:rPr>
                <w:rFonts w:ascii="Calibri" w:hAnsi="Calibri" w:cs="Calibri"/>
                <w:color w:val="000000"/>
              </w:rPr>
              <w:t>43.74247</w:t>
            </w:r>
          </w:p>
        </w:tc>
        <w:tc>
          <w:tcPr>
            <w:tcW w:w="1170" w:type="dxa"/>
            <w:vAlign w:val="center"/>
          </w:tcPr>
          <w:p w14:paraId="74BB2BEF" w14:textId="0CCCD88E" w:rsidR="00917EB8" w:rsidRDefault="00917EB8" w:rsidP="00917EB8">
            <w:pPr>
              <w:pStyle w:val="Body"/>
              <w:spacing w:after="0"/>
              <w:jc w:val="center"/>
              <w:rPr>
                <w:rFonts w:ascii="Arial" w:hAnsi="Arial" w:cs="Arial"/>
              </w:rPr>
            </w:pPr>
            <w:r>
              <w:rPr>
                <w:rFonts w:ascii="Calibri" w:hAnsi="Calibri" w:cs="Calibri"/>
                <w:color w:val="000000"/>
              </w:rPr>
              <w:t>0.30775</w:t>
            </w:r>
          </w:p>
        </w:tc>
        <w:tc>
          <w:tcPr>
            <w:tcW w:w="990" w:type="dxa"/>
            <w:vMerge/>
            <w:vAlign w:val="center"/>
          </w:tcPr>
          <w:p w14:paraId="4B915DAB" w14:textId="77777777" w:rsidR="00917EB8" w:rsidRDefault="00917EB8" w:rsidP="00917EB8">
            <w:pPr>
              <w:pStyle w:val="Body"/>
              <w:spacing w:after="0"/>
              <w:jc w:val="center"/>
              <w:rPr>
                <w:rFonts w:ascii="Arial" w:hAnsi="Arial" w:cs="Arial"/>
              </w:rPr>
            </w:pPr>
          </w:p>
        </w:tc>
        <w:tc>
          <w:tcPr>
            <w:tcW w:w="900" w:type="dxa"/>
            <w:vMerge/>
            <w:vAlign w:val="center"/>
          </w:tcPr>
          <w:p w14:paraId="22C34E0D" w14:textId="77777777" w:rsidR="00917EB8" w:rsidRDefault="00917EB8" w:rsidP="00917EB8">
            <w:pPr>
              <w:pStyle w:val="Body"/>
              <w:spacing w:after="0"/>
              <w:jc w:val="center"/>
              <w:rPr>
                <w:rFonts w:ascii="Arial" w:hAnsi="Arial" w:cs="Arial"/>
              </w:rPr>
            </w:pPr>
          </w:p>
        </w:tc>
        <w:tc>
          <w:tcPr>
            <w:tcW w:w="1170" w:type="dxa"/>
            <w:vAlign w:val="center"/>
          </w:tcPr>
          <w:p w14:paraId="399615E6" w14:textId="31559B01" w:rsidR="00917EB8" w:rsidRDefault="00917EB8" w:rsidP="00917EB8">
            <w:pPr>
              <w:pStyle w:val="Body"/>
              <w:spacing w:after="0"/>
              <w:jc w:val="center"/>
              <w:rPr>
                <w:rFonts w:ascii="Arial" w:hAnsi="Arial" w:cs="Arial"/>
              </w:rPr>
            </w:pPr>
            <w:r>
              <w:rPr>
                <w:rFonts w:ascii="Calibri" w:hAnsi="Calibri" w:cs="Calibri"/>
                <w:color w:val="000000"/>
              </w:rPr>
              <w:t>278.1622</w:t>
            </w:r>
          </w:p>
        </w:tc>
        <w:tc>
          <w:tcPr>
            <w:tcW w:w="1003" w:type="dxa"/>
            <w:vMerge/>
            <w:vAlign w:val="center"/>
          </w:tcPr>
          <w:p w14:paraId="29AA40D8" w14:textId="77777777" w:rsidR="00917EB8" w:rsidRDefault="00917EB8" w:rsidP="00917EB8">
            <w:pPr>
              <w:pStyle w:val="Body"/>
              <w:spacing w:after="0"/>
              <w:jc w:val="center"/>
              <w:rPr>
                <w:rFonts w:ascii="Calibri" w:hAnsi="Calibri" w:cs="Calibri"/>
                <w:color w:val="000000"/>
              </w:rPr>
            </w:pPr>
          </w:p>
        </w:tc>
      </w:tr>
      <w:tr w:rsidR="00917EB8" w14:paraId="3D08B8A5" w14:textId="03866D13" w:rsidTr="00917EB8">
        <w:tc>
          <w:tcPr>
            <w:tcW w:w="895" w:type="dxa"/>
            <w:vMerge w:val="restart"/>
            <w:vAlign w:val="center"/>
          </w:tcPr>
          <w:p w14:paraId="312E186A" w14:textId="1AE036C8" w:rsidR="00917EB8" w:rsidRDefault="00917EB8" w:rsidP="00917EB8">
            <w:pPr>
              <w:pStyle w:val="Body"/>
              <w:spacing w:after="0"/>
              <w:jc w:val="center"/>
              <w:rPr>
                <w:rFonts w:ascii="Arial" w:hAnsi="Arial" w:cs="Arial"/>
              </w:rPr>
            </w:pPr>
            <w:r>
              <w:rPr>
                <w:rFonts w:ascii="Arial" w:hAnsi="Arial" w:cs="Arial"/>
              </w:rPr>
              <w:t>0.4 M</w:t>
            </w:r>
          </w:p>
        </w:tc>
        <w:tc>
          <w:tcPr>
            <w:tcW w:w="810" w:type="dxa"/>
            <w:vAlign w:val="center"/>
          </w:tcPr>
          <w:p w14:paraId="506B7625" w14:textId="0C7BF218" w:rsidR="00917EB8" w:rsidRDefault="00917EB8" w:rsidP="00917EB8">
            <w:pPr>
              <w:pStyle w:val="Body"/>
              <w:spacing w:after="0"/>
              <w:jc w:val="center"/>
              <w:rPr>
                <w:rFonts w:ascii="Arial" w:hAnsi="Arial" w:cs="Arial"/>
              </w:rPr>
            </w:pPr>
            <w:r>
              <w:rPr>
                <w:rFonts w:ascii="Arial" w:hAnsi="Arial" w:cs="Arial"/>
              </w:rPr>
              <w:t>[002]</w:t>
            </w:r>
          </w:p>
        </w:tc>
        <w:tc>
          <w:tcPr>
            <w:tcW w:w="1260" w:type="dxa"/>
            <w:vAlign w:val="center"/>
          </w:tcPr>
          <w:p w14:paraId="45A048E6" w14:textId="04A40290" w:rsidR="00917EB8" w:rsidRDefault="00917EB8" w:rsidP="00917EB8">
            <w:pPr>
              <w:pStyle w:val="Body"/>
              <w:spacing w:after="0"/>
              <w:jc w:val="center"/>
              <w:rPr>
                <w:rFonts w:ascii="Arial" w:hAnsi="Arial" w:cs="Arial"/>
              </w:rPr>
            </w:pPr>
            <w:r>
              <w:rPr>
                <w:rFonts w:ascii="Calibri" w:hAnsi="Calibri" w:cs="Calibri"/>
                <w:color w:val="000000"/>
              </w:rPr>
              <w:t>34.39247</w:t>
            </w:r>
          </w:p>
        </w:tc>
        <w:tc>
          <w:tcPr>
            <w:tcW w:w="1170" w:type="dxa"/>
            <w:vAlign w:val="center"/>
          </w:tcPr>
          <w:p w14:paraId="31198921" w14:textId="23030A68" w:rsidR="00917EB8" w:rsidRDefault="00917EB8" w:rsidP="00917EB8">
            <w:pPr>
              <w:pStyle w:val="Body"/>
              <w:spacing w:after="0"/>
              <w:jc w:val="center"/>
              <w:rPr>
                <w:rFonts w:ascii="Arial" w:hAnsi="Arial" w:cs="Arial"/>
              </w:rPr>
            </w:pPr>
            <w:r>
              <w:rPr>
                <w:rFonts w:ascii="Calibri" w:hAnsi="Calibri" w:cs="Calibri"/>
                <w:color w:val="000000"/>
              </w:rPr>
              <w:t>0.34649</w:t>
            </w:r>
          </w:p>
        </w:tc>
        <w:tc>
          <w:tcPr>
            <w:tcW w:w="990" w:type="dxa"/>
            <w:vMerge/>
            <w:vAlign w:val="center"/>
          </w:tcPr>
          <w:p w14:paraId="3BAE8E35" w14:textId="77777777" w:rsidR="00917EB8" w:rsidRDefault="00917EB8" w:rsidP="00917EB8">
            <w:pPr>
              <w:pStyle w:val="Body"/>
              <w:spacing w:after="0"/>
              <w:jc w:val="center"/>
              <w:rPr>
                <w:rFonts w:ascii="Arial" w:hAnsi="Arial" w:cs="Arial"/>
              </w:rPr>
            </w:pPr>
          </w:p>
        </w:tc>
        <w:tc>
          <w:tcPr>
            <w:tcW w:w="900" w:type="dxa"/>
            <w:vMerge/>
            <w:vAlign w:val="center"/>
          </w:tcPr>
          <w:p w14:paraId="32924B37" w14:textId="77777777" w:rsidR="00917EB8" w:rsidRDefault="00917EB8" w:rsidP="00917EB8">
            <w:pPr>
              <w:pStyle w:val="Body"/>
              <w:spacing w:after="0"/>
              <w:jc w:val="center"/>
              <w:rPr>
                <w:rFonts w:ascii="Arial" w:hAnsi="Arial" w:cs="Arial"/>
              </w:rPr>
            </w:pPr>
          </w:p>
        </w:tc>
        <w:tc>
          <w:tcPr>
            <w:tcW w:w="1170" w:type="dxa"/>
            <w:vAlign w:val="center"/>
          </w:tcPr>
          <w:p w14:paraId="315C4D28" w14:textId="5AAB7046" w:rsidR="00917EB8" w:rsidRDefault="00917EB8" w:rsidP="00917EB8">
            <w:pPr>
              <w:pStyle w:val="Body"/>
              <w:spacing w:after="0"/>
              <w:jc w:val="center"/>
              <w:rPr>
                <w:rFonts w:ascii="Arial" w:hAnsi="Arial" w:cs="Arial"/>
              </w:rPr>
            </w:pPr>
            <w:r>
              <w:rPr>
                <w:rFonts w:ascii="Calibri" w:hAnsi="Calibri" w:cs="Calibri"/>
                <w:color w:val="000000"/>
              </w:rPr>
              <w:t>240.0079</w:t>
            </w:r>
          </w:p>
        </w:tc>
        <w:tc>
          <w:tcPr>
            <w:tcW w:w="1003" w:type="dxa"/>
            <w:vMerge/>
            <w:vAlign w:val="center"/>
          </w:tcPr>
          <w:p w14:paraId="571313C5" w14:textId="77777777" w:rsidR="00917EB8" w:rsidRDefault="00917EB8" w:rsidP="00917EB8">
            <w:pPr>
              <w:pStyle w:val="Body"/>
              <w:spacing w:after="0"/>
              <w:jc w:val="center"/>
              <w:rPr>
                <w:rFonts w:ascii="Calibri" w:hAnsi="Calibri" w:cs="Calibri"/>
                <w:color w:val="000000"/>
              </w:rPr>
            </w:pPr>
          </w:p>
        </w:tc>
      </w:tr>
      <w:tr w:rsidR="00917EB8" w14:paraId="24883FC2" w14:textId="11EA4A4E" w:rsidTr="00917EB8">
        <w:tc>
          <w:tcPr>
            <w:tcW w:w="895" w:type="dxa"/>
            <w:vMerge/>
            <w:vAlign w:val="center"/>
          </w:tcPr>
          <w:p w14:paraId="12A065DD" w14:textId="77777777" w:rsidR="00917EB8" w:rsidRDefault="00917EB8" w:rsidP="00917EB8">
            <w:pPr>
              <w:pStyle w:val="Body"/>
              <w:spacing w:after="0"/>
              <w:jc w:val="center"/>
              <w:rPr>
                <w:rFonts w:ascii="Arial" w:hAnsi="Arial" w:cs="Arial"/>
              </w:rPr>
            </w:pPr>
          </w:p>
        </w:tc>
        <w:tc>
          <w:tcPr>
            <w:tcW w:w="810" w:type="dxa"/>
            <w:vAlign w:val="center"/>
          </w:tcPr>
          <w:p w14:paraId="2E70938C" w14:textId="0A032D48" w:rsidR="00917EB8" w:rsidRDefault="00917EB8" w:rsidP="00917EB8">
            <w:pPr>
              <w:pStyle w:val="Body"/>
              <w:spacing w:after="0"/>
              <w:jc w:val="center"/>
              <w:rPr>
                <w:rFonts w:ascii="Arial" w:hAnsi="Arial" w:cs="Arial"/>
              </w:rPr>
            </w:pPr>
            <w:r>
              <w:rPr>
                <w:rFonts w:ascii="Arial" w:hAnsi="Arial" w:cs="Arial"/>
              </w:rPr>
              <w:t>[102]</w:t>
            </w:r>
          </w:p>
        </w:tc>
        <w:tc>
          <w:tcPr>
            <w:tcW w:w="1260" w:type="dxa"/>
            <w:vAlign w:val="center"/>
          </w:tcPr>
          <w:p w14:paraId="2FD9278B" w14:textId="46B3052F" w:rsidR="00917EB8" w:rsidRDefault="00917EB8" w:rsidP="00917EB8">
            <w:pPr>
              <w:pStyle w:val="Body"/>
              <w:spacing w:after="0"/>
              <w:jc w:val="center"/>
              <w:rPr>
                <w:rFonts w:ascii="Arial" w:hAnsi="Arial" w:cs="Arial"/>
              </w:rPr>
            </w:pPr>
            <w:r>
              <w:rPr>
                <w:rFonts w:ascii="Calibri" w:hAnsi="Calibri" w:cs="Calibri"/>
                <w:color w:val="000000"/>
              </w:rPr>
              <w:t>36.23011</w:t>
            </w:r>
          </w:p>
        </w:tc>
        <w:tc>
          <w:tcPr>
            <w:tcW w:w="1170" w:type="dxa"/>
            <w:vAlign w:val="center"/>
          </w:tcPr>
          <w:p w14:paraId="38CED67D" w14:textId="5CDAA7E6" w:rsidR="00917EB8" w:rsidRDefault="00917EB8" w:rsidP="00917EB8">
            <w:pPr>
              <w:pStyle w:val="Body"/>
              <w:spacing w:after="0"/>
              <w:jc w:val="center"/>
              <w:rPr>
                <w:rFonts w:ascii="Arial" w:hAnsi="Arial" w:cs="Arial"/>
              </w:rPr>
            </w:pPr>
            <w:r>
              <w:rPr>
                <w:rFonts w:ascii="Calibri" w:hAnsi="Calibri" w:cs="Calibri"/>
                <w:color w:val="000000"/>
              </w:rPr>
              <w:t>0.26391</w:t>
            </w:r>
          </w:p>
        </w:tc>
        <w:tc>
          <w:tcPr>
            <w:tcW w:w="990" w:type="dxa"/>
            <w:vMerge/>
            <w:vAlign w:val="center"/>
          </w:tcPr>
          <w:p w14:paraId="72074ED3" w14:textId="77777777" w:rsidR="00917EB8" w:rsidRDefault="00917EB8" w:rsidP="00917EB8">
            <w:pPr>
              <w:pStyle w:val="Body"/>
              <w:spacing w:after="0"/>
              <w:jc w:val="center"/>
              <w:rPr>
                <w:rFonts w:ascii="Arial" w:hAnsi="Arial" w:cs="Arial"/>
              </w:rPr>
            </w:pPr>
          </w:p>
        </w:tc>
        <w:tc>
          <w:tcPr>
            <w:tcW w:w="900" w:type="dxa"/>
            <w:vMerge/>
            <w:vAlign w:val="center"/>
          </w:tcPr>
          <w:p w14:paraId="1D67F78E" w14:textId="77777777" w:rsidR="00917EB8" w:rsidRDefault="00917EB8" w:rsidP="00917EB8">
            <w:pPr>
              <w:pStyle w:val="Body"/>
              <w:spacing w:after="0"/>
              <w:jc w:val="center"/>
              <w:rPr>
                <w:rFonts w:ascii="Arial" w:hAnsi="Arial" w:cs="Arial"/>
              </w:rPr>
            </w:pPr>
          </w:p>
        </w:tc>
        <w:tc>
          <w:tcPr>
            <w:tcW w:w="1170" w:type="dxa"/>
            <w:vAlign w:val="center"/>
          </w:tcPr>
          <w:p w14:paraId="3890C2A7" w14:textId="7DFF1594" w:rsidR="00917EB8" w:rsidRDefault="00917EB8" w:rsidP="00917EB8">
            <w:pPr>
              <w:pStyle w:val="Body"/>
              <w:spacing w:after="0"/>
              <w:jc w:val="center"/>
              <w:rPr>
                <w:rFonts w:ascii="Arial" w:hAnsi="Arial" w:cs="Arial"/>
              </w:rPr>
            </w:pPr>
            <w:r>
              <w:rPr>
                <w:rFonts w:ascii="Calibri" w:hAnsi="Calibri" w:cs="Calibri"/>
                <w:color w:val="000000"/>
              </w:rPr>
              <w:t>316.7212</w:t>
            </w:r>
          </w:p>
        </w:tc>
        <w:tc>
          <w:tcPr>
            <w:tcW w:w="1003" w:type="dxa"/>
            <w:vMerge/>
            <w:vAlign w:val="center"/>
          </w:tcPr>
          <w:p w14:paraId="64314EBA" w14:textId="77777777" w:rsidR="00917EB8" w:rsidRDefault="00917EB8" w:rsidP="00917EB8">
            <w:pPr>
              <w:pStyle w:val="Body"/>
              <w:spacing w:after="0"/>
              <w:jc w:val="center"/>
              <w:rPr>
                <w:rFonts w:ascii="Calibri" w:hAnsi="Calibri" w:cs="Calibri"/>
                <w:color w:val="000000"/>
              </w:rPr>
            </w:pPr>
          </w:p>
        </w:tc>
      </w:tr>
      <w:tr w:rsidR="00917EB8" w14:paraId="366FC1BA" w14:textId="52A61ED8" w:rsidTr="00917EB8">
        <w:tc>
          <w:tcPr>
            <w:tcW w:w="895" w:type="dxa"/>
            <w:vMerge/>
            <w:vAlign w:val="center"/>
          </w:tcPr>
          <w:p w14:paraId="1A02CD12" w14:textId="77777777" w:rsidR="00917EB8" w:rsidRDefault="00917EB8" w:rsidP="00917EB8">
            <w:pPr>
              <w:pStyle w:val="Body"/>
              <w:spacing w:after="0"/>
              <w:jc w:val="center"/>
              <w:rPr>
                <w:rFonts w:ascii="Arial" w:hAnsi="Arial" w:cs="Arial"/>
              </w:rPr>
            </w:pPr>
          </w:p>
        </w:tc>
        <w:tc>
          <w:tcPr>
            <w:tcW w:w="810" w:type="dxa"/>
            <w:vAlign w:val="center"/>
          </w:tcPr>
          <w:p w14:paraId="7881EBF9" w14:textId="36ECDD3A" w:rsidR="00917EB8" w:rsidRDefault="00917EB8" w:rsidP="00917EB8">
            <w:pPr>
              <w:pStyle w:val="Body"/>
              <w:spacing w:after="0"/>
              <w:jc w:val="center"/>
              <w:rPr>
                <w:rFonts w:ascii="Arial" w:hAnsi="Arial" w:cs="Arial"/>
              </w:rPr>
            </w:pPr>
            <w:r>
              <w:rPr>
                <w:rFonts w:ascii="Arial" w:hAnsi="Arial" w:cs="Arial"/>
              </w:rPr>
              <w:t>[112]</w:t>
            </w:r>
          </w:p>
        </w:tc>
        <w:tc>
          <w:tcPr>
            <w:tcW w:w="1260" w:type="dxa"/>
            <w:vAlign w:val="center"/>
          </w:tcPr>
          <w:p w14:paraId="2B46B7C1" w14:textId="4B681BDD" w:rsidR="00917EB8" w:rsidRDefault="00917EB8" w:rsidP="00917EB8">
            <w:pPr>
              <w:pStyle w:val="Body"/>
              <w:spacing w:after="0"/>
              <w:jc w:val="center"/>
              <w:rPr>
                <w:rFonts w:ascii="Arial" w:hAnsi="Arial" w:cs="Arial"/>
              </w:rPr>
            </w:pPr>
            <w:r>
              <w:rPr>
                <w:rFonts w:ascii="Calibri" w:hAnsi="Calibri" w:cs="Calibri"/>
                <w:color w:val="000000"/>
              </w:rPr>
              <w:t>43.80513</w:t>
            </w:r>
          </w:p>
        </w:tc>
        <w:tc>
          <w:tcPr>
            <w:tcW w:w="1170" w:type="dxa"/>
            <w:vAlign w:val="center"/>
          </w:tcPr>
          <w:p w14:paraId="53042A2C" w14:textId="7401CA0B" w:rsidR="00917EB8" w:rsidRDefault="00917EB8" w:rsidP="00917EB8">
            <w:pPr>
              <w:pStyle w:val="Body"/>
              <w:spacing w:after="0"/>
              <w:jc w:val="center"/>
              <w:rPr>
                <w:rFonts w:ascii="Arial" w:hAnsi="Arial" w:cs="Arial"/>
              </w:rPr>
            </w:pPr>
            <w:r>
              <w:rPr>
                <w:rFonts w:ascii="Calibri" w:hAnsi="Calibri" w:cs="Calibri"/>
                <w:color w:val="000000"/>
              </w:rPr>
              <w:t>0.24989</w:t>
            </w:r>
          </w:p>
        </w:tc>
        <w:tc>
          <w:tcPr>
            <w:tcW w:w="990" w:type="dxa"/>
            <w:vMerge/>
            <w:vAlign w:val="center"/>
          </w:tcPr>
          <w:p w14:paraId="61D2C9A0" w14:textId="77777777" w:rsidR="00917EB8" w:rsidRDefault="00917EB8" w:rsidP="00917EB8">
            <w:pPr>
              <w:pStyle w:val="Body"/>
              <w:spacing w:after="0"/>
              <w:jc w:val="center"/>
              <w:rPr>
                <w:rFonts w:ascii="Arial" w:hAnsi="Arial" w:cs="Arial"/>
              </w:rPr>
            </w:pPr>
          </w:p>
        </w:tc>
        <w:tc>
          <w:tcPr>
            <w:tcW w:w="900" w:type="dxa"/>
            <w:vMerge/>
            <w:vAlign w:val="center"/>
          </w:tcPr>
          <w:p w14:paraId="6E8DF1B0" w14:textId="77777777" w:rsidR="00917EB8" w:rsidRDefault="00917EB8" w:rsidP="00917EB8">
            <w:pPr>
              <w:pStyle w:val="Body"/>
              <w:spacing w:after="0"/>
              <w:jc w:val="center"/>
              <w:rPr>
                <w:rFonts w:ascii="Arial" w:hAnsi="Arial" w:cs="Arial"/>
              </w:rPr>
            </w:pPr>
          </w:p>
        </w:tc>
        <w:tc>
          <w:tcPr>
            <w:tcW w:w="1170" w:type="dxa"/>
            <w:vAlign w:val="center"/>
          </w:tcPr>
          <w:p w14:paraId="567DE2B9" w14:textId="3DEBBB0A" w:rsidR="00917EB8" w:rsidRDefault="00917EB8" w:rsidP="00917EB8">
            <w:pPr>
              <w:pStyle w:val="Body"/>
              <w:spacing w:after="0"/>
              <w:jc w:val="center"/>
              <w:rPr>
                <w:rFonts w:ascii="Arial" w:hAnsi="Arial" w:cs="Arial"/>
              </w:rPr>
            </w:pPr>
            <w:r>
              <w:rPr>
                <w:rFonts w:ascii="Calibri" w:hAnsi="Calibri" w:cs="Calibri"/>
                <w:color w:val="000000"/>
              </w:rPr>
              <w:t>342.6436</w:t>
            </w:r>
          </w:p>
        </w:tc>
        <w:tc>
          <w:tcPr>
            <w:tcW w:w="1003" w:type="dxa"/>
            <w:vMerge/>
            <w:vAlign w:val="center"/>
          </w:tcPr>
          <w:p w14:paraId="49FA262D" w14:textId="77777777" w:rsidR="00917EB8" w:rsidRDefault="00917EB8" w:rsidP="00917EB8">
            <w:pPr>
              <w:pStyle w:val="Body"/>
              <w:spacing w:after="0"/>
              <w:jc w:val="center"/>
              <w:rPr>
                <w:rFonts w:ascii="Calibri" w:hAnsi="Calibri" w:cs="Calibri"/>
                <w:color w:val="000000"/>
              </w:rPr>
            </w:pPr>
          </w:p>
        </w:tc>
      </w:tr>
      <w:tr w:rsidR="00917EB8" w14:paraId="7C4C05D6" w14:textId="1C9760CB" w:rsidTr="00917EB8">
        <w:tc>
          <w:tcPr>
            <w:tcW w:w="895" w:type="dxa"/>
            <w:vMerge w:val="restart"/>
            <w:vAlign w:val="center"/>
          </w:tcPr>
          <w:p w14:paraId="7867D356" w14:textId="41DEC96E" w:rsidR="00917EB8" w:rsidRDefault="00917EB8" w:rsidP="00917EB8">
            <w:pPr>
              <w:pStyle w:val="Body"/>
              <w:spacing w:after="0"/>
              <w:jc w:val="center"/>
              <w:rPr>
                <w:rFonts w:ascii="Arial" w:hAnsi="Arial" w:cs="Arial"/>
              </w:rPr>
            </w:pPr>
            <w:r>
              <w:rPr>
                <w:rFonts w:ascii="Arial" w:hAnsi="Arial" w:cs="Arial"/>
              </w:rPr>
              <w:t>0.5 M</w:t>
            </w:r>
          </w:p>
        </w:tc>
        <w:tc>
          <w:tcPr>
            <w:tcW w:w="810" w:type="dxa"/>
            <w:vAlign w:val="center"/>
          </w:tcPr>
          <w:p w14:paraId="4223711E" w14:textId="0B80A0C0" w:rsidR="00917EB8" w:rsidRDefault="00917EB8" w:rsidP="00917EB8">
            <w:pPr>
              <w:pStyle w:val="Body"/>
              <w:spacing w:after="0"/>
              <w:jc w:val="center"/>
              <w:rPr>
                <w:rFonts w:ascii="Arial" w:hAnsi="Arial" w:cs="Arial"/>
              </w:rPr>
            </w:pPr>
            <w:r>
              <w:rPr>
                <w:rFonts w:ascii="Arial" w:hAnsi="Arial" w:cs="Arial"/>
              </w:rPr>
              <w:t>[002]</w:t>
            </w:r>
          </w:p>
        </w:tc>
        <w:tc>
          <w:tcPr>
            <w:tcW w:w="1260" w:type="dxa"/>
            <w:vAlign w:val="center"/>
          </w:tcPr>
          <w:p w14:paraId="64B774DF" w14:textId="5EB67E0B" w:rsidR="00917EB8" w:rsidRDefault="00917EB8" w:rsidP="00917EB8">
            <w:pPr>
              <w:pStyle w:val="Body"/>
              <w:spacing w:after="0"/>
              <w:jc w:val="center"/>
              <w:rPr>
                <w:rFonts w:ascii="Arial" w:hAnsi="Arial" w:cs="Arial"/>
              </w:rPr>
            </w:pPr>
            <w:r>
              <w:rPr>
                <w:rFonts w:ascii="Calibri" w:hAnsi="Calibri" w:cs="Calibri"/>
                <w:color w:val="000000"/>
              </w:rPr>
              <w:t>34.34585</w:t>
            </w:r>
          </w:p>
        </w:tc>
        <w:tc>
          <w:tcPr>
            <w:tcW w:w="1170" w:type="dxa"/>
            <w:vAlign w:val="center"/>
          </w:tcPr>
          <w:p w14:paraId="6D0B7B35" w14:textId="1A0E5067" w:rsidR="00917EB8" w:rsidRDefault="00917EB8" w:rsidP="00917EB8">
            <w:pPr>
              <w:pStyle w:val="Body"/>
              <w:spacing w:after="0"/>
              <w:jc w:val="center"/>
              <w:rPr>
                <w:rFonts w:ascii="Arial" w:hAnsi="Arial" w:cs="Arial"/>
              </w:rPr>
            </w:pPr>
            <w:r>
              <w:rPr>
                <w:rFonts w:ascii="Calibri" w:hAnsi="Calibri" w:cs="Calibri"/>
                <w:color w:val="000000"/>
              </w:rPr>
              <w:t>0.41655</w:t>
            </w:r>
          </w:p>
        </w:tc>
        <w:tc>
          <w:tcPr>
            <w:tcW w:w="990" w:type="dxa"/>
            <w:vMerge/>
            <w:vAlign w:val="center"/>
          </w:tcPr>
          <w:p w14:paraId="6C82852E" w14:textId="77777777" w:rsidR="00917EB8" w:rsidRDefault="00917EB8" w:rsidP="00917EB8">
            <w:pPr>
              <w:pStyle w:val="Body"/>
              <w:spacing w:after="0"/>
              <w:jc w:val="center"/>
              <w:rPr>
                <w:rFonts w:ascii="Arial" w:hAnsi="Arial" w:cs="Arial"/>
              </w:rPr>
            </w:pPr>
          </w:p>
        </w:tc>
        <w:tc>
          <w:tcPr>
            <w:tcW w:w="900" w:type="dxa"/>
            <w:vMerge/>
            <w:vAlign w:val="center"/>
          </w:tcPr>
          <w:p w14:paraId="663C2953" w14:textId="77777777" w:rsidR="00917EB8" w:rsidRDefault="00917EB8" w:rsidP="00917EB8">
            <w:pPr>
              <w:pStyle w:val="Body"/>
              <w:spacing w:after="0"/>
              <w:jc w:val="center"/>
              <w:rPr>
                <w:rFonts w:ascii="Arial" w:hAnsi="Arial" w:cs="Arial"/>
              </w:rPr>
            </w:pPr>
          </w:p>
        </w:tc>
        <w:tc>
          <w:tcPr>
            <w:tcW w:w="1170" w:type="dxa"/>
            <w:vAlign w:val="center"/>
          </w:tcPr>
          <w:p w14:paraId="2D0A397C" w14:textId="193343FD" w:rsidR="00917EB8" w:rsidRDefault="00917EB8" w:rsidP="00917EB8">
            <w:pPr>
              <w:pStyle w:val="Body"/>
              <w:spacing w:after="0"/>
              <w:jc w:val="center"/>
              <w:rPr>
                <w:rFonts w:ascii="Arial" w:hAnsi="Arial" w:cs="Arial"/>
              </w:rPr>
            </w:pPr>
            <w:r>
              <w:rPr>
                <w:rFonts w:ascii="Calibri" w:hAnsi="Calibri" w:cs="Calibri"/>
                <w:color w:val="000000"/>
              </w:rPr>
              <w:t>199.6156</w:t>
            </w:r>
          </w:p>
        </w:tc>
        <w:tc>
          <w:tcPr>
            <w:tcW w:w="1003" w:type="dxa"/>
            <w:vMerge/>
            <w:vAlign w:val="center"/>
          </w:tcPr>
          <w:p w14:paraId="76691A6B" w14:textId="77777777" w:rsidR="00917EB8" w:rsidRDefault="00917EB8" w:rsidP="00917EB8">
            <w:pPr>
              <w:pStyle w:val="Body"/>
              <w:spacing w:after="0"/>
              <w:jc w:val="center"/>
              <w:rPr>
                <w:rFonts w:ascii="Calibri" w:hAnsi="Calibri" w:cs="Calibri"/>
                <w:color w:val="000000"/>
              </w:rPr>
            </w:pPr>
          </w:p>
        </w:tc>
      </w:tr>
      <w:tr w:rsidR="00917EB8" w14:paraId="319A5093" w14:textId="3927706F" w:rsidTr="00917EB8">
        <w:tc>
          <w:tcPr>
            <w:tcW w:w="895" w:type="dxa"/>
            <w:vMerge/>
            <w:vAlign w:val="center"/>
          </w:tcPr>
          <w:p w14:paraId="7D405D22" w14:textId="77777777" w:rsidR="00917EB8" w:rsidRDefault="00917EB8" w:rsidP="00917EB8">
            <w:pPr>
              <w:pStyle w:val="Body"/>
              <w:spacing w:after="0"/>
              <w:jc w:val="center"/>
              <w:rPr>
                <w:rFonts w:ascii="Arial" w:hAnsi="Arial" w:cs="Arial"/>
              </w:rPr>
            </w:pPr>
          </w:p>
        </w:tc>
        <w:tc>
          <w:tcPr>
            <w:tcW w:w="810" w:type="dxa"/>
            <w:vAlign w:val="center"/>
          </w:tcPr>
          <w:p w14:paraId="2941EEF8" w14:textId="60A3ABA8" w:rsidR="00917EB8" w:rsidRDefault="00917EB8" w:rsidP="00917EB8">
            <w:pPr>
              <w:pStyle w:val="Body"/>
              <w:spacing w:after="0"/>
              <w:jc w:val="center"/>
              <w:rPr>
                <w:rFonts w:ascii="Arial" w:hAnsi="Arial" w:cs="Arial"/>
              </w:rPr>
            </w:pPr>
            <w:r>
              <w:rPr>
                <w:rFonts w:ascii="Arial" w:hAnsi="Arial" w:cs="Arial"/>
              </w:rPr>
              <w:t>[102]</w:t>
            </w:r>
          </w:p>
        </w:tc>
        <w:tc>
          <w:tcPr>
            <w:tcW w:w="1260" w:type="dxa"/>
            <w:vAlign w:val="center"/>
          </w:tcPr>
          <w:p w14:paraId="61795F42" w14:textId="322F422E" w:rsidR="00917EB8" w:rsidRDefault="00917EB8" w:rsidP="00917EB8">
            <w:pPr>
              <w:pStyle w:val="Body"/>
              <w:spacing w:after="0"/>
              <w:jc w:val="center"/>
              <w:rPr>
                <w:rFonts w:ascii="Arial" w:hAnsi="Arial" w:cs="Arial"/>
              </w:rPr>
            </w:pPr>
            <w:r>
              <w:rPr>
                <w:rFonts w:ascii="Calibri" w:hAnsi="Calibri" w:cs="Calibri"/>
                <w:color w:val="000000"/>
              </w:rPr>
              <w:t>36.16541</w:t>
            </w:r>
          </w:p>
        </w:tc>
        <w:tc>
          <w:tcPr>
            <w:tcW w:w="1170" w:type="dxa"/>
            <w:vAlign w:val="center"/>
          </w:tcPr>
          <w:p w14:paraId="0848458A" w14:textId="5A0AB27B" w:rsidR="00917EB8" w:rsidRDefault="00917EB8" w:rsidP="00917EB8">
            <w:pPr>
              <w:pStyle w:val="Body"/>
              <w:spacing w:after="0"/>
              <w:jc w:val="center"/>
              <w:rPr>
                <w:rFonts w:ascii="Arial" w:hAnsi="Arial" w:cs="Arial"/>
              </w:rPr>
            </w:pPr>
            <w:r>
              <w:rPr>
                <w:rFonts w:ascii="Calibri" w:hAnsi="Calibri" w:cs="Calibri"/>
                <w:color w:val="000000"/>
              </w:rPr>
              <w:t>0.36583</w:t>
            </w:r>
          </w:p>
        </w:tc>
        <w:tc>
          <w:tcPr>
            <w:tcW w:w="990" w:type="dxa"/>
            <w:vMerge/>
            <w:vAlign w:val="center"/>
          </w:tcPr>
          <w:p w14:paraId="57A07B73" w14:textId="77777777" w:rsidR="00917EB8" w:rsidRDefault="00917EB8" w:rsidP="00917EB8">
            <w:pPr>
              <w:pStyle w:val="Body"/>
              <w:spacing w:after="0"/>
              <w:jc w:val="center"/>
              <w:rPr>
                <w:rFonts w:ascii="Arial" w:hAnsi="Arial" w:cs="Arial"/>
              </w:rPr>
            </w:pPr>
          </w:p>
        </w:tc>
        <w:tc>
          <w:tcPr>
            <w:tcW w:w="900" w:type="dxa"/>
            <w:vMerge/>
            <w:vAlign w:val="center"/>
          </w:tcPr>
          <w:p w14:paraId="42ACCD15" w14:textId="77777777" w:rsidR="00917EB8" w:rsidRDefault="00917EB8" w:rsidP="00917EB8">
            <w:pPr>
              <w:pStyle w:val="Body"/>
              <w:spacing w:after="0"/>
              <w:jc w:val="center"/>
              <w:rPr>
                <w:rFonts w:ascii="Arial" w:hAnsi="Arial" w:cs="Arial"/>
              </w:rPr>
            </w:pPr>
          </w:p>
        </w:tc>
        <w:tc>
          <w:tcPr>
            <w:tcW w:w="1170" w:type="dxa"/>
            <w:vAlign w:val="center"/>
          </w:tcPr>
          <w:p w14:paraId="7A448474" w14:textId="5EC3F2D0" w:rsidR="00917EB8" w:rsidRDefault="00917EB8" w:rsidP="00917EB8">
            <w:pPr>
              <w:pStyle w:val="Body"/>
              <w:spacing w:after="0"/>
              <w:jc w:val="center"/>
              <w:rPr>
                <w:rFonts w:ascii="Arial" w:hAnsi="Arial" w:cs="Arial"/>
              </w:rPr>
            </w:pPr>
            <w:r>
              <w:rPr>
                <w:rFonts w:ascii="Calibri" w:hAnsi="Calibri" w:cs="Calibri"/>
                <w:color w:val="000000"/>
              </w:rPr>
              <w:t>228.4408</w:t>
            </w:r>
          </w:p>
        </w:tc>
        <w:tc>
          <w:tcPr>
            <w:tcW w:w="1003" w:type="dxa"/>
            <w:vMerge/>
            <w:vAlign w:val="center"/>
          </w:tcPr>
          <w:p w14:paraId="39112C04" w14:textId="77777777" w:rsidR="00917EB8" w:rsidRDefault="00917EB8" w:rsidP="00917EB8">
            <w:pPr>
              <w:pStyle w:val="Body"/>
              <w:spacing w:after="0"/>
              <w:jc w:val="center"/>
              <w:rPr>
                <w:rFonts w:ascii="Calibri" w:hAnsi="Calibri" w:cs="Calibri"/>
                <w:color w:val="000000"/>
              </w:rPr>
            </w:pPr>
          </w:p>
        </w:tc>
      </w:tr>
      <w:tr w:rsidR="00917EB8" w14:paraId="00D32B42" w14:textId="62D25930" w:rsidTr="00917EB8">
        <w:tc>
          <w:tcPr>
            <w:tcW w:w="895" w:type="dxa"/>
            <w:vMerge/>
            <w:vAlign w:val="center"/>
          </w:tcPr>
          <w:p w14:paraId="21D27D36" w14:textId="77777777" w:rsidR="00917EB8" w:rsidRDefault="00917EB8" w:rsidP="00917EB8">
            <w:pPr>
              <w:pStyle w:val="Body"/>
              <w:spacing w:after="0"/>
              <w:jc w:val="center"/>
              <w:rPr>
                <w:rFonts w:ascii="Arial" w:hAnsi="Arial" w:cs="Arial"/>
              </w:rPr>
            </w:pPr>
          </w:p>
        </w:tc>
        <w:tc>
          <w:tcPr>
            <w:tcW w:w="810" w:type="dxa"/>
            <w:vAlign w:val="center"/>
          </w:tcPr>
          <w:p w14:paraId="231A3A3D" w14:textId="01FD37EF" w:rsidR="00917EB8" w:rsidRDefault="00917EB8" w:rsidP="00917EB8">
            <w:pPr>
              <w:pStyle w:val="Body"/>
              <w:spacing w:after="0"/>
              <w:jc w:val="center"/>
              <w:rPr>
                <w:rFonts w:ascii="Arial" w:hAnsi="Arial" w:cs="Arial"/>
              </w:rPr>
            </w:pPr>
            <w:r>
              <w:rPr>
                <w:rFonts w:ascii="Arial" w:hAnsi="Arial" w:cs="Arial"/>
              </w:rPr>
              <w:t>[112]</w:t>
            </w:r>
          </w:p>
        </w:tc>
        <w:tc>
          <w:tcPr>
            <w:tcW w:w="1260" w:type="dxa"/>
            <w:vAlign w:val="center"/>
          </w:tcPr>
          <w:p w14:paraId="403903C9" w14:textId="676DF55E" w:rsidR="00917EB8" w:rsidRDefault="00917EB8" w:rsidP="00917EB8">
            <w:pPr>
              <w:pStyle w:val="Body"/>
              <w:spacing w:after="0"/>
              <w:jc w:val="center"/>
              <w:rPr>
                <w:rFonts w:ascii="Arial" w:hAnsi="Arial" w:cs="Arial"/>
              </w:rPr>
            </w:pPr>
            <w:r>
              <w:rPr>
                <w:rFonts w:ascii="Calibri" w:hAnsi="Calibri" w:cs="Calibri"/>
                <w:color w:val="000000"/>
              </w:rPr>
              <w:t>43.82635</w:t>
            </w:r>
          </w:p>
        </w:tc>
        <w:tc>
          <w:tcPr>
            <w:tcW w:w="1170" w:type="dxa"/>
            <w:vAlign w:val="center"/>
          </w:tcPr>
          <w:p w14:paraId="665316C0" w14:textId="006B0B71" w:rsidR="00917EB8" w:rsidRDefault="00917EB8" w:rsidP="00917EB8">
            <w:pPr>
              <w:pStyle w:val="Body"/>
              <w:spacing w:after="0"/>
              <w:jc w:val="center"/>
              <w:rPr>
                <w:rFonts w:ascii="Arial" w:hAnsi="Arial" w:cs="Arial"/>
              </w:rPr>
            </w:pPr>
            <w:r>
              <w:rPr>
                <w:rFonts w:ascii="Calibri" w:hAnsi="Calibri" w:cs="Calibri"/>
                <w:color w:val="000000"/>
              </w:rPr>
              <w:t>0.26496</w:t>
            </w:r>
          </w:p>
        </w:tc>
        <w:tc>
          <w:tcPr>
            <w:tcW w:w="990" w:type="dxa"/>
            <w:vMerge/>
            <w:vAlign w:val="center"/>
          </w:tcPr>
          <w:p w14:paraId="1C9CB0B3" w14:textId="77777777" w:rsidR="00917EB8" w:rsidRDefault="00917EB8" w:rsidP="00917EB8">
            <w:pPr>
              <w:pStyle w:val="Body"/>
              <w:spacing w:after="0"/>
              <w:jc w:val="center"/>
              <w:rPr>
                <w:rFonts w:ascii="Arial" w:hAnsi="Arial" w:cs="Arial"/>
              </w:rPr>
            </w:pPr>
          </w:p>
        </w:tc>
        <w:tc>
          <w:tcPr>
            <w:tcW w:w="900" w:type="dxa"/>
            <w:vMerge/>
            <w:vAlign w:val="center"/>
          </w:tcPr>
          <w:p w14:paraId="42337A8D" w14:textId="77777777" w:rsidR="00917EB8" w:rsidRDefault="00917EB8" w:rsidP="00917EB8">
            <w:pPr>
              <w:pStyle w:val="Body"/>
              <w:spacing w:after="0"/>
              <w:jc w:val="center"/>
              <w:rPr>
                <w:rFonts w:ascii="Arial" w:hAnsi="Arial" w:cs="Arial"/>
              </w:rPr>
            </w:pPr>
          </w:p>
        </w:tc>
        <w:tc>
          <w:tcPr>
            <w:tcW w:w="1170" w:type="dxa"/>
            <w:vAlign w:val="center"/>
          </w:tcPr>
          <w:p w14:paraId="4BF13D8D" w14:textId="1E46EE5B" w:rsidR="00917EB8" w:rsidRDefault="00917EB8" w:rsidP="00917EB8">
            <w:pPr>
              <w:pStyle w:val="Body"/>
              <w:spacing w:after="0"/>
              <w:jc w:val="center"/>
              <w:rPr>
                <w:rFonts w:ascii="Arial" w:hAnsi="Arial" w:cs="Arial"/>
              </w:rPr>
            </w:pPr>
            <w:r>
              <w:rPr>
                <w:rFonts w:ascii="Calibri" w:hAnsi="Calibri" w:cs="Calibri"/>
                <w:color w:val="000000"/>
              </w:rPr>
              <w:t>323.1793</w:t>
            </w:r>
          </w:p>
        </w:tc>
        <w:tc>
          <w:tcPr>
            <w:tcW w:w="1003" w:type="dxa"/>
            <w:vMerge/>
            <w:vAlign w:val="center"/>
          </w:tcPr>
          <w:p w14:paraId="3AB46812" w14:textId="77777777" w:rsidR="00917EB8" w:rsidRDefault="00917EB8" w:rsidP="00917EB8">
            <w:pPr>
              <w:pStyle w:val="Body"/>
              <w:spacing w:after="0"/>
              <w:jc w:val="center"/>
              <w:rPr>
                <w:rFonts w:ascii="Calibri" w:hAnsi="Calibri" w:cs="Calibri"/>
                <w:color w:val="000000"/>
              </w:rPr>
            </w:pPr>
          </w:p>
        </w:tc>
      </w:tr>
    </w:tbl>
    <w:p w14:paraId="70EC3152" w14:textId="10725F20" w:rsidR="00CD3175" w:rsidRPr="00FB3A86" w:rsidRDefault="00B579A2" w:rsidP="00441B6F">
      <w:pPr>
        <w:pStyle w:val="Body"/>
        <w:spacing w:after="0"/>
        <w:rPr>
          <w:rFonts w:ascii="Arial" w:hAnsi="Arial" w:cs="Arial"/>
        </w:rPr>
      </w:pPr>
      <w:r>
        <w:rPr>
          <w:rFonts w:ascii="Arial" w:hAnsi="Arial" w:cs="Arial"/>
        </w:rPr>
        <w:t xml:space="preserve">. </w:t>
      </w:r>
    </w:p>
    <w:p w14:paraId="0200A378" w14:textId="77777777" w:rsidR="00447E05" w:rsidRDefault="00447E05" w:rsidP="00CD3175">
      <w:pPr>
        <w:pStyle w:val="ConcHead"/>
        <w:jc w:val="both"/>
        <w:rPr>
          <w:rFonts w:ascii="Arial" w:hAnsi="Arial" w:cs="Arial"/>
        </w:rPr>
      </w:pPr>
    </w:p>
    <w:p w14:paraId="5F8A00BD" w14:textId="2CC0F841" w:rsidR="00790ADA" w:rsidRPr="00FB3A86" w:rsidRDefault="00000F8F" w:rsidP="00CD3175">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764CB652" w14:textId="77777777" w:rsidR="00D94D38" w:rsidRPr="00D94D38" w:rsidRDefault="00D94D38" w:rsidP="00D94D38">
      <w:pPr>
        <w:pStyle w:val="Body"/>
        <w:rPr>
          <w:rFonts w:ascii="Arial" w:hAnsi="Arial" w:cs="Arial"/>
        </w:rPr>
      </w:pPr>
      <w:r w:rsidRPr="00D94D38">
        <w:rPr>
          <w:rFonts w:ascii="Arial" w:hAnsi="Arial" w:cs="Arial"/>
        </w:rPr>
        <w:t>This study demonstrates that the precursor molar concentration significantly influences the structural and optical properties of ZnO thin films synthesized via ultrasonic spray pyrolysis (USP). X-ray diffraction (XRD) analysis confirmed that increasing the precursor concentration enhances the crystallinity with the 0.5 M sample showing the sharpest (002) and (102) peaks and highest intensity, indicating optimal crystal quality. Scanning electron microscopy (SEM) revealed uniform and well-packed grains, further supporting the improved structural integrity at higher concentrations.</w:t>
      </w:r>
    </w:p>
    <w:p w14:paraId="77FB5362" w14:textId="77777777" w:rsidR="00D94D38" w:rsidRPr="00D94D38" w:rsidRDefault="00D94D38" w:rsidP="00D94D38">
      <w:pPr>
        <w:pStyle w:val="Body"/>
        <w:rPr>
          <w:rFonts w:ascii="Arial" w:hAnsi="Arial" w:cs="Arial"/>
        </w:rPr>
      </w:pPr>
      <w:r w:rsidRPr="00D94D38">
        <w:rPr>
          <w:rFonts w:ascii="Arial" w:hAnsi="Arial" w:cs="Arial"/>
        </w:rPr>
        <w:t>Photoluminescence (PL) measurements indicated strong near-band-edge emissions across all samples, while defect-related luminescence, primarily associated with oxygen vacancies and zinc interstitials, decreased as the precursor concentration increased. The 0.5 M sample exhibited reduced defect emissions and sharper excitonic peaks, suggesting fewer vacancies and improved optical quality. The presence of free electron-acceptor recombination peak at lower energy shifts highlighted the impact of zinc vacancies, with energy separations indicating varying defect densities among the samples.</w:t>
      </w:r>
    </w:p>
    <w:p w14:paraId="7C080FE2" w14:textId="7FBAD082" w:rsidR="00790ADA" w:rsidRPr="00FB3A86" w:rsidRDefault="00D94D38" w:rsidP="00D94D38">
      <w:pPr>
        <w:pStyle w:val="Body"/>
        <w:spacing w:after="0"/>
        <w:rPr>
          <w:rFonts w:ascii="Arial" w:hAnsi="Arial" w:cs="Arial"/>
        </w:rPr>
      </w:pPr>
      <w:r w:rsidRPr="00D94D38">
        <w:rPr>
          <w:rFonts w:ascii="Arial" w:hAnsi="Arial" w:cs="Arial"/>
        </w:rPr>
        <w:t>Overall, these findings confirm that optimizing the precursor molar concentration during USP deposition is crucial for enhancing the crystallinity, reducing defect density, and improving the optical properties of ZnO thin films. This research supports the potential application of high-quality ZnO thin films in optoelectronic devices, where minimal defect density and strong excitonic emissions are essential for performance.</w:t>
      </w:r>
    </w:p>
    <w:p w14:paraId="6DAD1B26" w14:textId="77777777" w:rsidR="00746C24" w:rsidRDefault="00746C24" w:rsidP="00746C24">
      <w:pPr>
        <w:spacing w:after="160" w:line="259" w:lineRule="auto"/>
        <w:rPr>
          <w:rFonts w:ascii="Calibri" w:eastAsia="Calibri" w:hAnsi="Calibri"/>
          <w:b/>
          <w:sz w:val="22"/>
          <w:szCs w:val="22"/>
        </w:rPr>
      </w:pPr>
    </w:p>
    <w:p w14:paraId="3CD5EC77" w14:textId="7DFC1A9B" w:rsidR="00746C24" w:rsidRPr="00746C24" w:rsidRDefault="00746C24" w:rsidP="00746C24">
      <w:pPr>
        <w:spacing w:after="160" w:line="259" w:lineRule="auto"/>
        <w:rPr>
          <w:rFonts w:ascii="Calibri" w:eastAsia="Calibri" w:hAnsi="Calibri"/>
          <w:b/>
          <w:sz w:val="22"/>
          <w:szCs w:val="22"/>
        </w:rPr>
      </w:pPr>
      <w:r w:rsidRPr="00746C24">
        <w:rPr>
          <w:rFonts w:ascii="Calibri" w:eastAsia="Calibri" w:hAnsi="Calibri"/>
          <w:b/>
          <w:sz w:val="22"/>
          <w:szCs w:val="22"/>
        </w:rPr>
        <w:t>DISCLAIMER (ARTIFICIAL INTELLIGENCE)</w:t>
      </w:r>
    </w:p>
    <w:p w14:paraId="4A8C8145" w14:textId="1A430A96" w:rsidR="00746C24" w:rsidRDefault="00746C24" w:rsidP="00746C24">
      <w:pPr>
        <w:spacing w:after="160" w:line="259" w:lineRule="auto"/>
        <w:jc w:val="both"/>
        <w:rPr>
          <w:rFonts w:ascii="Calibri" w:eastAsia="Calibri" w:hAnsi="Calibri"/>
          <w:sz w:val="22"/>
          <w:szCs w:val="22"/>
        </w:rPr>
      </w:pPr>
      <w:r w:rsidRPr="00746C24">
        <w:rPr>
          <w:rFonts w:ascii="Calibri" w:eastAsia="Calibri" w:hAnsi="Calibri"/>
          <w:sz w:val="22"/>
          <w:szCs w:val="22"/>
        </w:rPr>
        <w:t>Author(s) hereby declare that NO generative AI technologies such as Large Language Models (</w:t>
      </w:r>
      <w:proofErr w:type="spellStart"/>
      <w:r w:rsidRPr="00746C24">
        <w:rPr>
          <w:rFonts w:ascii="Calibri" w:eastAsia="Calibri" w:hAnsi="Calibri"/>
          <w:sz w:val="22"/>
          <w:szCs w:val="22"/>
        </w:rPr>
        <w:t>ChatGPT</w:t>
      </w:r>
      <w:proofErr w:type="spellEnd"/>
      <w:r w:rsidRPr="00746C24">
        <w:rPr>
          <w:rFonts w:ascii="Calibri" w:eastAsia="Calibri" w:hAnsi="Calibri"/>
          <w:sz w:val="22"/>
          <w:szCs w:val="22"/>
        </w:rPr>
        <w:t xml:space="preserve">, COPILOT, etc.) and text-to-image generators have been used during the writing or editing of this manuscript. </w:t>
      </w:r>
    </w:p>
    <w:p w14:paraId="4F5F36DF" w14:textId="7BA1070E" w:rsidR="00EA66CA" w:rsidRDefault="00EA66CA" w:rsidP="00441B6F">
      <w:pPr>
        <w:pStyle w:val="ReferHead"/>
        <w:spacing w:after="0"/>
        <w:jc w:val="both"/>
        <w:rPr>
          <w:rFonts w:ascii="Arial" w:hAnsi="Arial" w:cs="Arial"/>
        </w:rPr>
      </w:pPr>
    </w:p>
    <w:p w14:paraId="6EC186F3" w14:textId="3B6C9364" w:rsidR="00B01FCD" w:rsidRDefault="00B01FCD" w:rsidP="00441B6F">
      <w:pPr>
        <w:pStyle w:val="ReferHead"/>
        <w:spacing w:after="0"/>
        <w:jc w:val="both"/>
        <w:rPr>
          <w:rFonts w:ascii="Arial" w:hAnsi="Arial" w:cs="Arial"/>
        </w:rPr>
      </w:pPr>
      <w:r w:rsidRPr="00FB3A86">
        <w:rPr>
          <w:rFonts w:ascii="Arial" w:hAnsi="Arial" w:cs="Arial"/>
        </w:rPr>
        <w:t>References</w:t>
      </w:r>
    </w:p>
    <w:p w14:paraId="1F517CE2" w14:textId="77777777" w:rsidR="000D70BA" w:rsidRPr="000D70BA" w:rsidRDefault="000D70BA" w:rsidP="000D70BA">
      <w:pPr>
        <w:jc w:val="both"/>
        <w:rPr>
          <w:rFonts w:ascii="Times New Roman" w:hAnsi="Times New Roman"/>
        </w:rPr>
      </w:pPr>
      <w:r w:rsidRPr="000D70BA">
        <w:rPr>
          <w:rFonts w:ascii="Times New Roman" w:hAnsi="Times New Roman"/>
        </w:rPr>
        <w:t xml:space="preserve">[1] B. K. Meyer et al., "Bound exciton and donor–acceptor pair </w:t>
      </w:r>
      <w:proofErr w:type="spellStart"/>
      <w:r w:rsidRPr="000D70BA">
        <w:rPr>
          <w:rFonts w:ascii="Times New Roman" w:hAnsi="Times New Roman"/>
        </w:rPr>
        <w:t>recombinations</w:t>
      </w:r>
      <w:proofErr w:type="spellEnd"/>
      <w:r w:rsidRPr="000D70BA">
        <w:rPr>
          <w:rFonts w:ascii="Times New Roman" w:hAnsi="Times New Roman"/>
        </w:rPr>
        <w:t xml:space="preserve"> in </w:t>
      </w:r>
      <w:proofErr w:type="spellStart"/>
      <w:r w:rsidRPr="000D70BA">
        <w:rPr>
          <w:rFonts w:ascii="Times New Roman" w:hAnsi="Times New Roman"/>
        </w:rPr>
        <w:t>ZnO</w:t>
      </w:r>
      <w:proofErr w:type="spellEnd"/>
      <w:r w:rsidRPr="000D70BA">
        <w:rPr>
          <w:rFonts w:ascii="Times New Roman" w:hAnsi="Times New Roman"/>
        </w:rPr>
        <w:t xml:space="preserve">," </w:t>
      </w:r>
      <w:proofErr w:type="spellStart"/>
      <w:r w:rsidRPr="000D70BA">
        <w:rPr>
          <w:rFonts w:ascii="Times New Roman" w:hAnsi="Times New Roman"/>
        </w:rPr>
        <w:t>Physica</w:t>
      </w:r>
      <w:proofErr w:type="spellEnd"/>
      <w:r w:rsidRPr="000D70BA">
        <w:rPr>
          <w:rFonts w:ascii="Times New Roman" w:hAnsi="Times New Roman"/>
        </w:rPr>
        <w:t xml:space="preserve"> Status Solidi B, vol. 241, no. 2, pp. 231–260, 2004. DOI: 10.1002/pssb.200301962.</w:t>
      </w:r>
    </w:p>
    <w:p w14:paraId="7BD9703F" w14:textId="27CD0DA4" w:rsidR="006D41A7" w:rsidRDefault="000D70BA" w:rsidP="000D70BA">
      <w:pPr>
        <w:jc w:val="both"/>
        <w:rPr>
          <w:rFonts w:ascii="Times New Roman" w:hAnsi="Times New Roman"/>
        </w:rPr>
      </w:pPr>
      <w:r w:rsidRPr="000D70BA">
        <w:rPr>
          <w:rFonts w:ascii="Times New Roman" w:hAnsi="Times New Roman"/>
        </w:rPr>
        <w:t xml:space="preserve">[2] </w:t>
      </w:r>
      <w:r w:rsidR="006D41A7" w:rsidRPr="006D41A7">
        <w:rPr>
          <w:rFonts w:ascii="Times New Roman" w:hAnsi="Times New Roman"/>
        </w:rPr>
        <w:t xml:space="preserve">A. </w:t>
      </w:r>
      <w:proofErr w:type="spellStart"/>
      <w:r w:rsidR="006D41A7" w:rsidRPr="006D41A7">
        <w:rPr>
          <w:rFonts w:ascii="Times New Roman" w:hAnsi="Times New Roman"/>
        </w:rPr>
        <w:t>Odedunmoye</w:t>
      </w:r>
      <w:proofErr w:type="spellEnd"/>
      <w:r w:rsidR="006D41A7" w:rsidRPr="006D41A7">
        <w:rPr>
          <w:rFonts w:ascii="Times New Roman" w:hAnsi="Times New Roman"/>
        </w:rPr>
        <w:t xml:space="preserve"> Y, T. Bello I, </w:t>
      </w:r>
      <w:proofErr w:type="spellStart"/>
      <w:r w:rsidR="006D41A7" w:rsidRPr="006D41A7">
        <w:rPr>
          <w:rFonts w:ascii="Times New Roman" w:hAnsi="Times New Roman"/>
        </w:rPr>
        <w:t>Adedokun</w:t>
      </w:r>
      <w:proofErr w:type="spellEnd"/>
      <w:r w:rsidR="006D41A7" w:rsidRPr="006D41A7">
        <w:rPr>
          <w:rFonts w:ascii="Times New Roman" w:hAnsi="Times New Roman"/>
        </w:rPr>
        <w:t xml:space="preserve"> O, K. </w:t>
      </w:r>
      <w:proofErr w:type="spellStart"/>
      <w:r w:rsidR="006D41A7" w:rsidRPr="006D41A7">
        <w:rPr>
          <w:rFonts w:ascii="Times New Roman" w:hAnsi="Times New Roman"/>
        </w:rPr>
        <w:t>Awodele</w:t>
      </w:r>
      <w:proofErr w:type="spellEnd"/>
      <w:r w:rsidR="006D41A7" w:rsidRPr="006D41A7">
        <w:rPr>
          <w:rFonts w:ascii="Times New Roman" w:hAnsi="Times New Roman"/>
        </w:rPr>
        <w:t xml:space="preserve"> M, O. </w:t>
      </w:r>
      <w:proofErr w:type="spellStart"/>
      <w:r w:rsidR="006D41A7" w:rsidRPr="006D41A7">
        <w:rPr>
          <w:rFonts w:ascii="Times New Roman" w:hAnsi="Times New Roman"/>
        </w:rPr>
        <w:t>Awodugba</w:t>
      </w:r>
      <w:proofErr w:type="spellEnd"/>
      <w:r w:rsidR="006D41A7" w:rsidRPr="006D41A7">
        <w:rPr>
          <w:rFonts w:ascii="Times New Roman" w:hAnsi="Times New Roman"/>
        </w:rPr>
        <w:t xml:space="preserve"> A. Morphological and Optical Characteristics of ZnO and F: ZnO Thin Films by a Sol-Gel Spin Coating Technique. Asian J. Phys. Chem. Sci. [Internet]. 2018 Jun. 14 [cited 2025 Jan. 30];6(2):1-11. Available from: </w:t>
      </w:r>
      <w:hyperlink r:id="rId20" w:history="1">
        <w:r w:rsidR="006D41A7" w:rsidRPr="00B31AEA">
          <w:rPr>
            <w:rStyle w:val="Hyperlink"/>
            <w:rFonts w:ascii="Times New Roman" w:hAnsi="Times New Roman"/>
          </w:rPr>
          <w:t>https://journalajopacs.com/index.php/AJOPACS/article/view/39</w:t>
        </w:r>
      </w:hyperlink>
    </w:p>
    <w:p w14:paraId="2B1C65C8" w14:textId="5628F204" w:rsidR="000D70BA" w:rsidRPr="000D70BA" w:rsidRDefault="000D70BA" w:rsidP="000D70BA">
      <w:pPr>
        <w:jc w:val="both"/>
        <w:rPr>
          <w:rFonts w:ascii="Times New Roman" w:hAnsi="Times New Roman"/>
        </w:rPr>
      </w:pPr>
      <w:r w:rsidRPr="000D70BA">
        <w:rPr>
          <w:rFonts w:ascii="Times New Roman" w:hAnsi="Times New Roman"/>
        </w:rPr>
        <w:t xml:space="preserve">[3] Ü. </w:t>
      </w:r>
      <w:proofErr w:type="spellStart"/>
      <w:r w:rsidRPr="000D70BA">
        <w:rPr>
          <w:rFonts w:ascii="Times New Roman" w:hAnsi="Times New Roman"/>
        </w:rPr>
        <w:t>Özgür</w:t>
      </w:r>
      <w:proofErr w:type="spellEnd"/>
      <w:r w:rsidRPr="000D70BA">
        <w:rPr>
          <w:rFonts w:ascii="Times New Roman" w:hAnsi="Times New Roman"/>
        </w:rPr>
        <w:t xml:space="preserve"> et al., "A comprehensive review of ZnO materials and devices," Journal of Applied Physics, vol. 98, no. 4, p. 041301, 2005. DOI: 10.1063/1.1992666.</w:t>
      </w:r>
    </w:p>
    <w:p w14:paraId="7B7964C5" w14:textId="77777777" w:rsidR="000D70BA" w:rsidRPr="000D70BA" w:rsidRDefault="000D70BA" w:rsidP="000D70BA">
      <w:pPr>
        <w:jc w:val="both"/>
        <w:rPr>
          <w:rFonts w:ascii="Times New Roman" w:hAnsi="Times New Roman"/>
        </w:rPr>
      </w:pPr>
      <w:r w:rsidRPr="000D70BA">
        <w:rPr>
          <w:rFonts w:ascii="Times New Roman" w:hAnsi="Times New Roman"/>
        </w:rPr>
        <w:t xml:space="preserve">[4] C. F. </w:t>
      </w:r>
      <w:proofErr w:type="spellStart"/>
      <w:r w:rsidRPr="000D70BA">
        <w:rPr>
          <w:rFonts w:ascii="Times New Roman" w:hAnsi="Times New Roman"/>
        </w:rPr>
        <w:t>Klingshirn</w:t>
      </w:r>
      <w:proofErr w:type="spellEnd"/>
      <w:r w:rsidRPr="000D70BA">
        <w:rPr>
          <w:rFonts w:ascii="Times New Roman" w:hAnsi="Times New Roman"/>
        </w:rPr>
        <w:t xml:space="preserve">, </w:t>
      </w:r>
      <w:proofErr w:type="spellStart"/>
      <w:r w:rsidRPr="000D70BA">
        <w:rPr>
          <w:rFonts w:ascii="Times New Roman" w:hAnsi="Times New Roman"/>
        </w:rPr>
        <w:t>ZnO</w:t>
      </w:r>
      <w:proofErr w:type="spellEnd"/>
      <w:r w:rsidRPr="000D70BA">
        <w:rPr>
          <w:rFonts w:ascii="Times New Roman" w:hAnsi="Times New Roman"/>
        </w:rPr>
        <w:t>: From Basics Towards Applications, Springer, 2010. DOI: 10.1007/978-3-642-10577-7.</w:t>
      </w:r>
    </w:p>
    <w:p w14:paraId="7B1BE5D4" w14:textId="77777777" w:rsidR="000D70BA" w:rsidRPr="000D70BA" w:rsidRDefault="000D70BA" w:rsidP="000D70BA">
      <w:pPr>
        <w:jc w:val="both"/>
        <w:rPr>
          <w:rFonts w:ascii="Times New Roman" w:hAnsi="Times New Roman"/>
        </w:rPr>
      </w:pPr>
      <w:r w:rsidRPr="000D70BA">
        <w:rPr>
          <w:rFonts w:ascii="Times New Roman" w:hAnsi="Times New Roman"/>
        </w:rPr>
        <w:lastRenderedPageBreak/>
        <w:t xml:space="preserve">[5] H. </w:t>
      </w:r>
      <w:proofErr w:type="spellStart"/>
      <w:r w:rsidRPr="000D70BA">
        <w:rPr>
          <w:rFonts w:ascii="Times New Roman" w:hAnsi="Times New Roman"/>
        </w:rPr>
        <w:t>Morkoç</w:t>
      </w:r>
      <w:proofErr w:type="spellEnd"/>
      <w:r w:rsidRPr="000D70BA">
        <w:rPr>
          <w:rFonts w:ascii="Times New Roman" w:hAnsi="Times New Roman"/>
        </w:rPr>
        <w:t xml:space="preserve"> and Ü. </w:t>
      </w:r>
      <w:proofErr w:type="spellStart"/>
      <w:r w:rsidRPr="000D70BA">
        <w:rPr>
          <w:rFonts w:ascii="Times New Roman" w:hAnsi="Times New Roman"/>
        </w:rPr>
        <w:t>Özgür</w:t>
      </w:r>
      <w:proofErr w:type="spellEnd"/>
      <w:r w:rsidRPr="000D70BA">
        <w:rPr>
          <w:rFonts w:ascii="Times New Roman" w:hAnsi="Times New Roman"/>
        </w:rPr>
        <w:t xml:space="preserve">, </w:t>
      </w:r>
      <w:proofErr w:type="spellStart"/>
      <w:r w:rsidRPr="000D70BA">
        <w:rPr>
          <w:rFonts w:ascii="Times New Roman" w:hAnsi="Times New Roman"/>
        </w:rPr>
        <w:t>ZnO</w:t>
      </w:r>
      <w:proofErr w:type="spellEnd"/>
      <w:r w:rsidRPr="000D70BA">
        <w:rPr>
          <w:rFonts w:ascii="Times New Roman" w:hAnsi="Times New Roman"/>
        </w:rPr>
        <w:t>: Fundamentals, Materials and Device Technology, Wiley, 2009. DOI: 10.1002/9783527628545.</w:t>
      </w:r>
    </w:p>
    <w:p w14:paraId="784CF76A" w14:textId="77777777" w:rsidR="000D70BA" w:rsidRPr="000D70BA" w:rsidRDefault="000D70BA" w:rsidP="000D70BA">
      <w:pPr>
        <w:jc w:val="both"/>
        <w:rPr>
          <w:rFonts w:ascii="Times New Roman" w:hAnsi="Times New Roman"/>
        </w:rPr>
      </w:pPr>
      <w:r w:rsidRPr="000D70BA">
        <w:rPr>
          <w:rFonts w:ascii="Times New Roman" w:hAnsi="Times New Roman"/>
        </w:rPr>
        <w:t>[6] Z. L. Wang, "Zinc oxide nanostructures: Growth, properties and applications," Journal of Physics: Condensed Matter, vol. 16, no. 25, pp. R829–R858, 2004. DOI: 10.1088/0953-8984/16/25/R01.</w:t>
      </w:r>
    </w:p>
    <w:p w14:paraId="3BBC9206" w14:textId="77777777" w:rsidR="000D70BA" w:rsidRPr="000D70BA" w:rsidRDefault="000D70BA" w:rsidP="000D70BA">
      <w:pPr>
        <w:jc w:val="both"/>
        <w:rPr>
          <w:rFonts w:ascii="Times New Roman" w:hAnsi="Times New Roman"/>
        </w:rPr>
      </w:pPr>
      <w:r w:rsidRPr="000D70BA">
        <w:rPr>
          <w:rFonts w:ascii="Times New Roman" w:hAnsi="Times New Roman"/>
        </w:rPr>
        <w:t>[7] A. Umar et al., "Synthesis of ZnO nanostructures by spray pyrolysis method for dye-sensitized solar cells," Journal of Alloys and Compounds, vol. 509, no. 5, pp. 1776–1781, 2011. DOI: 10.1016/j.jallcom.2010.10.021.</w:t>
      </w:r>
    </w:p>
    <w:p w14:paraId="4C3AB50A" w14:textId="77777777" w:rsidR="000D70BA" w:rsidRPr="000D70BA" w:rsidRDefault="000D70BA" w:rsidP="000D70BA">
      <w:pPr>
        <w:jc w:val="both"/>
        <w:rPr>
          <w:rFonts w:ascii="Times New Roman" w:hAnsi="Times New Roman"/>
        </w:rPr>
      </w:pPr>
      <w:r w:rsidRPr="000D70BA">
        <w:rPr>
          <w:rFonts w:ascii="Times New Roman" w:hAnsi="Times New Roman"/>
        </w:rPr>
        <w:t xml:space="preserve">[8] G. </w:t>
      </w:r>
      <w:proofErr w:type="spellStart"/>
      <w:r w:rsidRPr="000D70BA">
        <w:rPr>
          <w:rFonts w:ascii="Times New Roman" w:hAnsi="Times New Roman"/>
        </w:rPr>
        <w:t>Korotcenkov</w:t>
      </w:r>
      <w:proofErr w:type="spellEnd"/>
      <w:r w:rsidRPr="000D70BA">
        <w:rPr>
          <w:rFonts w:ascii="Times New Roman" w:hAnsi="Times New Roman"/>
        </w:rPr>
        <w:t>, "Spray pyrolysis deposition method for metal oxide thin films," Current Opinion in Chemical Engineering, vol. 2, no. 2, pp. 179–185, 2013. DOI: 10.1016/j.coche.2013.02.001.</w:t>
      </w:r>
    </w:p>
    <w:p w14:paraId="034017B4" w14:textId="77777777" w:rsidR="000D70BA" w:rsidRPr="000D70BA" w:rsidRDefault="000D70BA" w:rsidP="000D70BA">
      <w:pPr>
        <w:jc w:val="both"/>
        <w:rPr>
          <w:rFonts w:ascii="Times New Roman" w:hAnsi="Times New Roman"/>
        </w:rPr>
      </w:pPr>
      <w:r w:rsidRPr="000D70BA">
        <w:rPr>
          <w:rFonts w:ascii="Times New Roman" w:hAnsi="Times New Roman"/>
        </w:rPr>
        <w:t>[9] M. R. Wagner et al., "Bound excitons in ZnO: Structural defect complexes versus shallow impurity centers," Physical Review B, vol. 84, p. 035313, 2011. DOI: 10.1103/PhysRevB.84.035313.</w:t>
      </w:r>
    </w:p>
    <w:p w14:paraId="4CDA0A6A" w14:textId="77777777" w:rsidR="000D70BA" w:rsidRPr="000D70BA" w:rsidRDefault="000D70BA" w:rsidP="000D70BA">
      <w:pPr>
        <w:jc w:val="both"/>
        <w:rPr>
          <w:rFonts w:ascii="Times New Roman" w:hAnsi="Times New Roman"/>
        </w:rPr>
      </w:pPr>
      <w:r w:rsidRPr="000D70BA">
        <w:rPr>
          <w:rFonts w:ascii="Times New Roman" w:hAnsi="Times New Roman"/>
        </w:rPr>
        <w:t>[10] J. W. Reynolds, "Optical and Structural Properties of ZnO Thin Films Grown on Silicon," Journal of Applied Physics, vol. 90, pp. 185–191, 2005. DOI: 10.1063/1.2896642.</w:t>
      </w:r>
    </w:p>
    <w:p w14:paraId="63CE5CEC" w14:textId="77777777" w:rsidR="000D70BA" w:rsidRPr="000D70BA" w:rsidRDefault="000D70BA" w:rsidP="000D70BA">
      <w:pPr>
        <w:jc w:val="both"/>
        <w:rPr>
          <w:rFonts w:ascii="Times New Roman" w:hAnsi="Times New Roman"/>
        </w:rPr>
      </w:pPr>
      <w:r w:rsidRPr="000D70BA">
        <w:rPr>
          <w:rFonts w:ascii="Times New Roman" w:hAnsi="Times New Roman"/>
        </w:rPr>
        <w:t xml:space="preserve">[11] K. E. </w:t>
      </w:r>
      <w:proofErr w:type="spellStart"/>
      <w:r w:rsidRPr="000D70BA">
        <w:rPr>
          <w:rFonts w:ascii="Times New Roman" w:hAnsi="Times New Roman"/>
        </w:rPr>
        <w:t>Knutsen</w:t>
      </w:r>
      <w:proofErr w:type="spellEnd"/>
      <w:r w:rsidRPr="000D70BA">
        <w:rPr>
          <w:rFonts w:ascii="Times New Roman" w:hAnsi="Times New Roman"/>
        </w:rPr>
        <w:t xml:space="preserve"> et al., "Zinc vacancy and oxygen interstitial in ZnO revealed by sequential annealing and electron irradiation," Physical Review B, vol. 86, no. 12, p. 121203, 2012. DOI: 10.1103/PhysRevB.86.121203.</w:t>
      </w:r>
    </w:p>
    <w:p w14:paraId="7ECFC776" w14:textId="77777777" w:rsidR="000D70BA" w:rsidRPr="000D70BA" w:rsidRDefault="000D70BA" w:rsidP="000D70BA">
      <w:pPr>
        <w:jc w:val="both"/>
        <w:rPr>
          <w:rFonts w:ascii="Times New Roman" w:hAnsi="Times New Roman"/>
        </w:rPr>
      </w:pPr>
      <w:r w:rsidRPr="000D70BA">
        <w:rPr>
          <w:rFonts w:ascii="Times New Roman" w:hAnsi="Times New Roman"/>
        </w:rPr>
        <w:t xml:space="preserve">[12] B. K. Meyer et al., "Bound exciton and donor–acceptor pair </w:t>
      </w:r>
      <w:proofErr w:type="spellStart"/>
      <w:r w:rsidRPr="000D70BA">
        <w:rPr>
          <w:rFonts w:ascii="Times New Roman" w:hAnsi="Times New Roman"/>
        </w:rPr>
        <w:t>recombinations</w:t>
      </w:r>
      <w:proofErr w:type="spellEnd"/>
      <w:r w:rsidRPr="000D70BA">
        <w:rPr>
          <w:rFonts w:ascii="Times New Roman" w:hAnsi="Times New Roman"/>
        </w:rPr>
        <w:t xml:space="preserve"> in </w:t>
      </w:r>
      <w:proofErr w:type="spellStart"/>
      <w:r w:rsidRPr="000D70BA">
        <w:rPr>
          <w:rFonts w:ascii="Times New Roman" w:hAnsi="Times New Roman"/>
        </w:rPr>
        <w:t>ZnO</w:t>
      </w:r>
      <w:proofErr w:type="spellEnd"/>
      <w:r w:rsidRPr="000D70BA">
        <w:rPr>
          <w:rFonts w:ascii="Times New Roman" w:hAnsi="Times New Roman"/>
        </w:rPr>
        <w:t xml:space="preserve">," </w:t>
      </w:r>
      <w:proofErr w:type="spellStart"/>
      <w:r w:rsidRPr="000D70BA">
        <w:rPr>
          <w:rFonts w:ascii="Times New Roman" w:hAnsi="Times New Roman"/>
        </w:rPr>
        <w:t>Physica</w:t>
      </w:r>
      <w:proofErr w:type="spellEnd"/>
      <w:r w:rsidRPr="000D70BA">
        <w:rPr>
          <w:rFonts w:ascii="Times New Roman" w:hAnsi="Times New Roman"/>
        </w:rPr>
        <w:t xml:space="preserve"> Status Solidi B, vol. 241, no. 2, pp. 231–260, 2004. DOI: 10.1002/pssb.200301962.</w:t>
      </w:r>
    </w:p>
    <w:p w14:paraId="0423F222" w14:textId="77777777" w:rsidR="000D70BA" w:rsidRPr="000D70BA" w:rsidRDefault="000D70BA" w:rsidP="000D70BA">
      <w:pPr>
        <w:jc w:val="both"/>
        <w:rPr>
          <w:rFonts w:ascii="Times New Roman" w:hAnsi="Times New Roman"/>
        </w:rPr>
      </w:pPr>
      <w:r w:rsidRPr="000D70BA">
        <w:rPr>
          <w:rFonts w:ascii="Times New Roman" w:hAnsi="Times New Roman"/>
        </w:rPr>
        <w:t>[13] D. C. Look, "Recent advances in ZnO materials and devices," Materials Science and Engineering: B, vol. 80, no. 1, pp. 383–387, 2001. DOI: 10.1016/S0921-5107(00)00604-8.</w:t>
      </w:r>
    </w:p>
    <w:p w14:paraId="720CA3FE" w14:textId="77777777" w:rsidR="000D70BA" w:rsidRPr="000D70BA" w:rsidRDefault="000D70BA" w:rsidP="000D70BA">
      <w:pPr>
        <w:jc w:val="both"/>
        <w:rPr>
          <w:rFonts w:ascii="Times New Roman" w:hAnsi="Times New Roman"/>
        </w:rPr>
      </w:pPr>
      <w:r w:rsidRPr="000D70BA">
        <w:rPr>
          <w:rFonts w:ascii="Times New Roman" w:hAnsi="Times New Roman"/>
        </w:rPr>
        <w:t xml:space="preserve">[14] C. F. </w:t>
      </w:r>
      <w:proofErr w:type="spellStart"/>
      <w:r w:rsidRPr="000D70BA">
        <w:rPr>
          <w:rFonts w:ascii="Times New Roman" w:hAnsi="Times New Roman"/>
        </w:rPr>
        <w:t>Klingshirn</w:t>
      </w:r>
      <w:proofErr w:type="spellEnd"/>
      <w:r w:rsidRPr="000D70BA">
        <w:rPr>
          <w:rFonts w:ascii="Times New Roman" w:hAnsi="Times New Roman"/>
        </w:rPr>
        <w:t xml:space="preserve">, </w:t>
      </w:r>
      <w:proofErr w:type="spellStart"/>
      <w:r w:rsidRPr="000D70BA">
        <w:rPr>
          <w:rFonts w:ascii="Times New Roman" w:hAnsi="Times New Roman"/>
        </w:rPr>
        <w:t>ZnO</w:t>
      </w:r>
      <w:proofErr w:type="spellEnd"/>
      <w:r w:rsidRPr="000D70BA">
        <w:rPr>
          <w:rFonts w:ascii="Times New Roman" w:hAnsi="Times New Roman"/>
        </w:rPr>
        <w:t>: From Basics Towards Applications, Springer, 2010. DOI: 10.1007/978-3-642-10577-7.</w:t>
      </w:r>
    </w:p>
    <w:p w14:paraId="69FC3677" w14:textId="5B865195" w:rsidR="000D70BA" w:rsidRDefault="000D70BA" w:rsidP="000D70BA">
      <w:pPr>
        <w:jc w:val="both"/>
        <w:rPr>
          <w:rFonts w:ascii="Times New Roman" w:hAnsi="Times New Roman"/>
        </w:rPr>
      </w:pPr>
      <w:r w:rsidRPr="000D70BA">
        <w:rPr>
          <w:rFonts w:ascii="Times New Roman" w:hAnsi="Times New Roman"/>
        </w:rPr>
        <w:t xml:space="preserve">[15] Parchinskiy, P. B., </w:t>
      </w:r>
      <w:proofErr w:type="spellStart"/>
      <w:r w:rsidRPr="000D70BA">
        <w:rPr>
          <w:rFonts w:ascii="Times New Roman" w:hAnsi="Times New Roman"/>
        </w:rPr>
        <w:t>Gazizulina</w:t>
      </w:r>
      <w:proofErr w:type="spellEnd"/>
      <w:r w:rsidRPr="000D70BA">
        <w:rPr>
          <w:rFonts w:ascii="Times New Roman" w:hAnsi="Times New Roman"/>
        </w:rPr>
        <w:t xml:space="preserve">, A. S., </w:t>
      </w:r>
      <w:proofErr w:type="spellStart"/>
      <w:r w:rsidRPr="000D70BA">
        <w:rPr>
          <w:rFonts w:ascii="Times New Roman" w:hAnsi="Times New Roman"/>
        </w:rPr>
        <w:t>Yuldashev</w:t>
      </w:r>
      <w:proofErr w:type="spellEnd"/>
      <w:r w:rsidRPr="000D70BA">
        <w:rPr>
          <w:rFonts w:ascii="Times New Roman" w:hAnsi="Times New Roman"/>
        </w:rPr>
        <w:t xml:space="preserve">, Sh. U., </w:t>
      </w:r>
      <w:proofErr w:type="spellStart"/>
      <w:r w:rsidRPr="000D70BA">
        <w:rPr>
          <w:rFonts w:ascii="Times New Roman" w:hAnsi="Times New Roman"/>
        </w:rPr>
        <w:t>Nebesniy</w:t>
      </w:r>
      <w:proofErr w:type="spellEnd"/>
      <w:r w:rsidRPr="000D70BA">
        <w:rPr>
          <w:rFonts w:ascii="Times New Roman" w:hAnsi="Times New Roman"/>
        </w:rPr>
        <w:t xml:space="preserve">, A. A., Arslanov, A. O., </w:t>
      </w:r>
      <w:proofErr w:type="spellStart"/>
      <w:r w:rsidRPr="000D70BA">
        <w:rPr>
          <w:rFonts w:ascii="Times New Roman" w:hAnsi="Times New Roman"/>
        </w:rPr>
        <w:t>Nasirov</w:t>
      </w:r>
      <w:proofErr w:type="spellEnd"/>
      <w:r w:rsidRPr="000D70BA">
        <w:rPr>
          <w:rFonts w:ascii="Times New Roman" w:hAnsi="Times New Roman"/>
        </w:rPr>
        <w:t xml:space="preserve">, A. A., &amp; </w:t>
      </w:r>
      <w:proofErr w:type="spellStart"/>
      <w:r w:rsidRPr="000D70BA">
        <w:rPr>
          <w:rFonts w:ascii="Times New Roman" w:hAnsi="Times New Roman"/>
        </w:rPr>
        <w:t>Nusretov</w:t>
      </w:r>
      <w:proofErr w:type="spellEnd"/>
      <w:r w:rsidRPr="000D70BA">
        <w:rPr>
          <w:rFonts w:ascii="Times New Roman" w:hAnsi="Times New Roman"/>
        </w:rPr>
        <w:t>, R. A. (2022). Effect of the doping compensation on the photoluminescence spectra of ZnO doped by nitrogen. 2022 International Conference on Information Science and Communications Technologies (ICISCT), pp. 1-6. IEEE. DOI: 10.1109/ICISCT55600.2022.10146781.</w:t>
      </w:r>
    </w:p>
    <w:p w14:paraId="03F699B8" w14:textId="62AB2E49" w:rsidR="00F61FF7" w:rsidRDefault="000D70BA" w:rsidP="00F61FF7">
      <w:pPr>
        <w:pStyle w:val="ReferHead"/>
        <w:spacing w:after="0"/>
        <w:jc w:val="both"/>
        <w:rPr>
          <w:rStyle w:val="Hyperlink"/>
          <w:rFonts w:ascii="Times New Roman" w:hAnsi="Times New Roman"/>
          <w:b w:val="0"/>
          <w:bCs/>
          <w:caps w:val="0"/>
          <w:sz w:val="20"/>
        </w:rPr>
      </w:pPr>
      <w:r w:rsidRPr="00055A50">
        <w:rPr>
          <w:rFonts w:ascii="Times New Roman" w:hAnsi="Times New Roman"/>
          <w:b w:val="0"/>
          <w:bCs/>
          <w:caps w:val="0"/>
          <w:sz w:val="20"/>
        </w:rPr>
        <w:t xml:space="preserve">[16] Arslanov, A. O., </w:t>
      </w:r>
      <w:proofErr w:type="spellStart"/>
      <w:r w:rsidRPr="00055A50">
        <w:rPr>
          <w:rFonts w:ascii="Times New Roman" w:hAnsi="Times New Roman"/>
          <w:b w:val="0"/>
          <w:bCs/>
          <w:caps w:val="0"/>
          <w:sz w:val="20"/>
        </w:rPr>
        <w:t>Yuldashev</w:t>
      </w:r>
      <w:proofErr w:type="spellEnd"/>
      <w:r w:rsidRPr="00055A50">
        <w:rPr>
          <w:rFonts w:ascii="Times New Roman" w:hAnsi="Times New Roman"/>
          <w:b w:val="0"/>
          <w:bCs/>
          <w:caps w:val="0"/>
          <w:sz w:val="20"/>
        </w:rPr>
        <w:t xml:space="preserve">, S. U., Kwon, Y., &amp; Il-Ho, A. (2024). Impact of sulfur concentration on the magnetic and electrical characteristics of </w:t>
      </w:r>
      <w:proofErr w:type="spellStart"/>
      <w:r w:rsidRPr="00055A50">
        <w:rPr>
          <w:rFonts w:ascii="Times New Roman" w:hAnsi="Times New Roman"/>
          <w:b w:val="0"/>
          <w:bCs/>
          <w:caps w:val="0"/>
          <w:sz w:val="20"/>
        </w:rPr>
        <w:t>ZnMnO</w:t>
      </w:r>
      <w:proofErr w:type="spellEnd"/>
      <w:r w:rsidRPr="00055A50">
        <w:rPr>
          <w:rFonts w:ascii="Times New Roman" w:hAnsi="Times New Roman"/>
          <w:b w:val="0"/>
          <w:bCs/>
          <w:caps w:val="0"/>
          <w:sz w:val="20"/>
        </w:rPr>
        <w:t xml:space="preserve"> thin films. East European Journal </w:t>
      </w:r>
      <w:proofErr w:type="gramStart"/>
      <w:r w:rsidRPr="00055A50">
        <w:rPr>
          <w:rFonts w:ascii="Times New Roman" w:hAnsi="Times New Roman"/>
          <w:b w:val="0"/>
          <w:bCs/>
          <w:caps w:val="0"/>
          <w:sz w:val="20"/>
        </w:rPr>
        <w:t>Of</w:t>
      </w:r>
      <w:proofErr w:type="gramEnd"/>
      <w:r w:rsidRPr="00055A50">
        <w:rPr>
          <w:rFonts w:ascii="Times New Roman" w:hAnsi="Times New Roman"/>
          <w:b w:val="0"/>
          <w:bCs/>
          <w:caps w:val="0"/>
          <w:sz w:val="20"/>
        </w:rPr>
        <w:t xml:space="preserve"> Physics, 4(284-288).</w:t>
      </w:r>
      <w:r w:rsidRPr="00F56F1C">
        <w:rPr>
          <w:rFonts w:ascii="Times New Roman" w:hAnsi="Times New Roman"/>
          <w:b w:val="0"/>
          <w:bCs/>
          <w:caps w:val="0"/>
          <w:color w:val="1F497D" w:themeColor="text2"/>
          <w:sz w:val="20"/>
        </w:rPr>
        <w:t xml:space="preserve"> </w:t>
      </w:r>
      <w:hyperlink r:id="rId21" w:history="1">
        <w:r w:rsidR="00E80976" w:rsidRPr="00F56F1C">
          <w:rPr>
            <w:rStyle w:val="Hyperlink"/>
            <w:rFonts w:ascii="Times New Roman" w:hAnsi="Times New Roman"/>
            <w:b w:val="0"/>
            <w:bCs/>
            <w:caps w:val="0"/>
            <w:color w:val="1F497D" w:themeColor="text2"/>
            <w:sz w:val="20"/>
          </w:rPr>
          <w:t>https://doi.org/10.26565/2312-4334-2024-4-30</w:t>
        </w:r>
      </w:hyperlink>
    </w:p>
    <w:p w14:paraId="558B1F87" w14:textId="222FACAB" w:rsidR="00F56F1C" w:rsidRPr="00F56F1C" w:rsidRDefault="00F56F1C" w:rsidP="00F61FF7">
      <w:pPr>
        <w:pStyle w:val="ReferHead"/>
        <w:spacing w:after="0"/>
        <w:jc w:val="both"/>
        <w:rPr>
          <w:rFonts w:ascii="Times New Roman" w:hAnsi="Times New Roman"/>
          <w:b w:val="0"/>
          <w:bCs/>
          <w:color w:val="000000" w:themeColor="text1"/>
          <w:sz w:val="20"/>
        </w:rPr>
      </w:pPr>
      <w:r w:rsidRPr="00F56F1C">
        <w:rPr>
          <w:rStyle w:val="Hyperlink"/>
          <w:rFonts w:ascii="Times New Roman" w:hAnsi="Times New Roman"/>
          <w:b w:val="0"/>
          <w:bCs/>
          <w:caps w:val="0"/>
          <w:color w:val="000000" w:themeColor="text1"/>
          <w:sz w:val="20"/>
        </w:rPr>
        <w:t>[17</w:t>
      </w:r>
      <w:proofErr w:type="gramStart"/>
      <w:r w:rsidRPr="00F56F1C">
        <w:rPr>
          <w:rStyle w:val="Hyperlink"/>
          <w:rFonts w:ascii="Arial" w:hAnsi="Arial" w:cs="Arial"/>
          <w:b w:val="0"/>
          <w:bCs/>
          <w:caps w:val="0"/>
          <w:color w:val="000000" w:themeColor="text1"/>
          <w:sz w:val="20"/>
        </w:rPr>
        <w:t xml:space="preserve">]  </w:t>
      </w:r>
      <w:r>
        <w:rPr>
          <w:rFonts w:ascii="Arial" w:hAnsi="Arial" w:cs="Arial"/>
          <w:b w:val="0"/>
          <w:bCs/>
          <w:caps w:val="0"/>
          <w:color w:val="202122"/>
          <w:sz w:val="20"/>
          <w:shd w:val="clear" w:color="auto" w:fill="FFFFFF"/>
        </w:rPr>
        <w:t>R</w:t>
      </w:r>
      <w:r w:rsidRPr="00F56F1C">
        <w:rPr>
          <w:rFonts w:ascii="Arial" w:hAnsi="Arial" w:cs="Arial"/>
          <w:b w:val="0"/>
          <w:bCs/>
          <w:caps w:val="0"/>
          <w:color w:val="202122"/>
          <w:sz w:val="20"/>
          <w:shd w:val="clear" w:color="auto" w:fill="FFFFFF"/>
        </w:rPr>
        <w:t>.</w:t>
      </w:r>
      <w:proofErr w:type="gramEnd"/>
      <w:r w:rsidRPr="00F56F1C">
        <w:rPr>
          <w:rFonts w:ascii="Arial" w:hAnsi="Arial" w:cs="Arial"/>
          <w:b w:val="0"/>
          <w:bCs/>
          <w:caps w:val="0"/>
          <w:color w:val="202122"/>
          <w:sz w:val="20"/>
          <w:shd w:val="clear" w:color="auto" w:fill="FFFFFF"/>
        </w:rPr>
        <w:t xml:space="preserve"> </w:t>
      </w:r>
      <w:r>
        <w:rPr>
          <w:rFonts w:ascii="Arial" w:hAnsi="Arial" w:cs="Arial"/>
          <w:b w:val="0"/>
          <w:bCs/>
          <w:caps w:val="0"/>
          <w:color w:val="202122"/>
          <w:sz w:val="20"/>
          <w:shd w:val="clear" w:color="auto" w:fill="FFFFFF"/>
        </w:rPr>
        <w:t>J</w:t>
      </w:r>
      <w:r w:rsidRPr="00F56F1C">
        <w:rPr>
          <w:rFonts w:ascii="Arial" w:hAnsi="Arial" w:cs="Arial"/>
          <w:b w:val="0"/>
          <w:bCs/>
          <w:caps w:val="0"/>
          <w:color w:val="202122"/>
          <w:sz w:val="20"/>
          <w:shd w:val="clear" w:color="auto" w:fill="FFFFFF"/>
        </w:rPr>
        <w:t xml:space="preserve">enkins &amp; </w:t>
      </w:r>
      <w:r>
        <w:rPr>
          <w:rFonts w:ascii="Arial" w:hAnsi="Arial" w:cs="Arial"/>
          <w:b w:val="0"/>
          <w:bCs/>
          <w:caps w:val="0"/>
          <w:color w:val="202122"/>
          <w:sz w:val="20"/>
          <w:shd w:val="clear" w:color="auto" w:fill="FFFFFF"/>
        </w:rPr>
        <w:t>R</w:t>
      </w:r>
      <w:r w:rsidRPr="00F56F1C">
        <w:rPr>
          <w:rFonts w:ascii="Arial" w:hAnsi="Arial" w:cs="Arial"/>
          <w:b w:val="0"/>
          <w:bCs/>
          <w:caps w:val="0"/>
          <w:color w:val="202122"/>
          <w:sz w:val="20"/>
          <w:shd w:val="clear" w:color="auto" w:fill="FFFFFF"/>
        </w:rPr>
        <w:t>.</w:t>
      </w:r>
      <w:r>
        <w:rPr>
          <w:rFonts w:ascii="Arial" w:hAnsi="Arial" w:cs="Arial"/>
          <w:b w:val="0"/>
          <w:bCs/>
          <w:caps w:val="0"/>
          <w:color w:val="202122"/>
          <w:sz w:val="20"/>
          <w:shd w:val="clear" w:color="auto" w:fill="FFFFFF"/>
        </w:rPr>
        <w:t>I</w:t>
      </w:r>
      <w:r w:rsidRPr="00F56F1C">
        <w:rPr>
          <w:rFonts w:ascii="Arial" w:hAnsi="Arial" w:cs="Arial"/>
          <w:b w:val="0"/>
          <w:bCs/>
          <w:caps w:val="0"/>
          <w:color w:val="202122"/>
          <w:sz w:val="20"/>
          <w:shd w:val="clear" w:color="auto" w:fill="FFFFFF"/>
        </w:rPr>
        <w:t xml:space="preserve">. </w:t>
      </w:r>
      <w:r>
        <w:rPr>
          <w:rFonts w:ascii="Arial" w:hAnsi="Arial" w:cs="Arial"/>
          <w:b w:val="0"/>
          <w:bCs/>
          <w:caps w:val="0"/>
          <w:color w:val="202122"/>
          <w:sz w:val="20"/>
          <w:shd w:val="clear" w:color="auto" w:fill="FFFFFF"/>
        </w:rPr>
        <w:t>S</w:t>
      </w:r>
      <w:r w:rsidRPr="00F56F1C">
        <w:rPr>
          <w:rFonts w:ascii="Arial" w:hAnsi="Arial" w:cs="Arial"/>
          <w:b w:val="0"/>
          <w:bCs/>
          <w:caps w:val="0"/>
          <w:color w:val="202122"/>
          <w:sz w:val="20"/>
          <w:shd w:val="clear" w:color="auto" w:fill="FFFFFF"/>
        </w:rPr>
        <w:t>nyder,</w:t>
      </w:r>
      <w:r>
        <w:rPr>
          <w:rFonts w:ascii="Arial" w:hAnsi="Arial" w:cs="Arial"/>
          <w:b w:val="0"/>
          <w:bCs/>
          <w:caps w:val="0"/>
          <w:color w:val="202122"/>
          <w:sz w:val="20"/>
          <w:shd w:val="clear" w:color="auto" w:fill="FFFFFF"/>
        </w:rPr>
        <w:t xml:space="preserve"> </w:t>
      </w:r>
      <w:r>
        <w:rPr>
          <w:rFonts w:ascii="Arial" w:hAnsi="Arial" w:cs="Arial"/>
          <w:b w:val="0"/>
          <w:bCs/>
          <w:i/>
          <w:iCs/>
          <w:caps w:val="0"/>
          <w:color w:val="202122"/>
          <w:sz w:val="20"/>
          <w:shd w:val="clear" w:color="auto" w:fill="FFFFFF"/>
        </w:rPr>
        <w:t>I</w:t>
      </w:r>
      <w:r w:rsidRPr="00F56F1C">
        <w:rPr>
          <w:rFonts w:ascii="Arial" w:hAnsi="Arial" w:cs="Arial"/>
          <w:b w:val="0"/>
          <w:bCs/>
          <w:i/>
          <w:iCs/>
          <w:caps w:val="0"/>
          <w:color w:val="202122"/>
          <w:sz w:val="20"/>
          <w:shd w:val="clear" w:color="auto" w:fill="FFFFFF"/>
        </w:rPr>
        <w:t xml:space="preserve">ntroduction to </w:t>
      </w:r>
      <w:r>
        <w:rPr>
          <w:rFonts w:ascii="Arial" w:hAnsi="Arial" w:cs="Arial"/>
          <w:b w:val="0"/>
          <w:bCs/>
          <w:i/>
          <w:iCs/>
          <w:caps w:val="0"/>
          <w:color w:val="202122"/>
          <w:sz w:val="20"/>
          <w:shd w:val="clear" w:color="auto" w:fill="FFFFFF"/>
        </w:rPr>
        <w:t>X</w:t>
      </w:r>
      <w:r w:rsidRPr="00F56F1C">
        <w:rPr>
          <w:rFonts w:ascii="Arial" w:hAnsi="Arial" w:cs="Arial"/>
          <w:b w:val="0"/>
          <w:bCs/>
          <w:i/>
          <w:iCs/>
          <w:caps w:val="0"/>
          <w:color w:val="202122"/>
          <w:sz w:val="20"/>
          <w:shd w:val="clear" w:color="auto" w:fill="FFFFFF"/>
        </w:rPr>
        <w:t>-ray powder diffractometry</w:t>
      </w:r>
      <w:r w:rsidRPr="00F56F1C">
        <w:rPr>
          <w:rFonts w:ascii="Arial" w:hAnsi="Arial" w:cs="Arial"/>
          <w:b w:val="0"/>
          <w:bCs/>
          <w:caps w:val="0"/>
          <w:color w:val="202122"/>
          <w:sz w:val="20"/>
          <w:shd w:val="clear" w:color="auto" w:fill="FFFFFF"/>
        </w:rPr>
        <w:t xml:space="preserve">, </w:t>
      </w:r>
      <w:r>
        <w:rPr>
          <w:rFonts w:ascii="Arial" w:hAnsi="Arial" w:cs="Arial"/>
          <w:b w:val="0"/>
          <w:bCs/>
          <w:caps w:val="0"/>
          <w:color w:val="202122"/>
          <w:sz w:val="20"/>
          <w:shd w:val="clear" w:color="auto" w:fill="FFFFFF"/>
        </w:rPr>
        <w:t>J</w:t>
      </w:r>
      <w:r w:rsidRPr="00F56F1C">
        <w:rPr>
          <w:rFonts w:ascii="Arial" w:hAnsi="Arial" w:cs="Arial"/>
          <w:b w:val="0"/>
          <w:bCs/>
          <w:caps w:val="0"/>
          <w:color w:val="202122"/>
          <w:sz w:val="20"/>
          <w:shd w:val="clear" w:color="auto" w:fill="FFFFFF"/>
        </w:rPr>
        <w:t xml:space="preserve">ohn </w:t>
      </w:r>
      <w:r>
        <w:rPr>
          <w:rFonts w:ascii="Arial" w:hAnsi="Arial" w:cs="Arial"/>
          <w:b w:val="0"/>
          <w:bCs/>
          <w:caps w:val="0"/>
          <w:color w:val="202122"/>
          <w:sz w:val="20"/>
          <w:shd w:val="clear" w:color="auto" w:fill="FFFFFF"/>
        </w:rPr>
        <w:t>W</w:t>
      </w:r>
      <w:r w:rsidRPr="00F56F1C">
        <w:rPr>
          <w:rFonts w:ascii="Arial" w:hAnsi="Arial" w:cs="Arial"/>
          <w:b w:val="0"/>
          <w:bCs/>
          <w:caps w:val="0"/>
          <w:color w:val="202122"/>
          <w:sz w:val="20"/>
          <w:shd w:val="clear" w:color="auto" w:fill="FFFFFF"/>
        </w:rPr>
        <w:t xml:space="preserve">iley &amp; </w:t>
      </w:r>
      <w:r>
        <w:rPr>
          <w:rFonts w:ascii="Arial" w:hAnsi="Arial" w:cs="Arial"/>
          <w:b w:val="0"/>
          <w:bCs/>
          <w:caps w:val="0"/>
          <w:color w:val="202122"/>
          <w:sz w:val="20"/>
          <w:shd w:val="clear" w:color="auto" w:fill="FFFFFF"/>
        </w:rPr>
        <w:t>S</w:t>
      </w:r>
      <w:r w:rsidRPr="00F56F1C">
        <w:rPr>
          <w:rFonts w:ascii="Arial" w:hAnsi="Arial" w:cs="Arial"/>
          <w:b w:val="0"/>
          <w:bCs/>
          <w:caps w:val="0"/>
          <w:color w:val="202122"/>
          <w:sz w:val="20"/>
          <w:shd w:val="clear" w:color="auto" w:fill="FFFFFF"/>
        </w:rPr>
        <w:t xml:space="preserve">ons </w:t>
      </w:r>
      <w:r>
        <w:rPr>
          <w:rFonts w:ascii="Arial" w:hAnsi="Arial" w:cs="Arial"/>
          <w:b w:val="0"/>
          <w:bCs/>
          <w:caps w:val="0"/>
          <w:color w:val="202122"/>
          <w:sz w:val="20"/>
          <w:shd w:val="clear" w:color="auto" w:fill="FFFFFF"/>
        </w:rPr>
        <w:t xml:space="preserve">   </w:t>
      </w:r>
      <w:r w:rsidRPr="00F56F1C">
        <w:rPr>
          <w:rFonts w:ascii="Arial" w:hAnsi="Arial" w:cs="Arial"/>
          <w:b w:val="0"/>
          <w:bCs/>
          <w:caps w:val="0"/>
          <w:color w:val="202122"/>
          <w:sz w:val="20"/>
          <w:shd w:val="clear" w:color="auto" w:fill="FFFFFF"/>
        </w:rPr>
        <w:t>inc., 1996, p 89-91</w:t>
      </w:r>
      <w:r>
        <w:rPr>
          <w:rFonts w:ascii="Arial" w:hAnsi="Arial" w:cs="Arial"/>
          <w:b w:val="0"/>
          <w:bCs/>
          <w:caps w:val="0"/>
          <w:color w:val="202122"/>
          <w:sz w:val="20"/>
          <w:shd w:val="clear" w:color="auto" w:fill="FFFFFF"/>
        </w:rPr>
        <w:t>.</w:t>
      </w:r>
      <w:r>
        <w:rPr>
          <w:rStyle w:val="Hyperlink"/>
          <w:rFonts w:ascii="Times New Roman" w:hAnsi="Times New Roman"/>
          <w:b w:val="0"/>
          <w:bCs/>
          <w:caps w:val="0"/>
          <w:color w:val="000000" w:themeColor="text1"/>
          <w:sz w:val="20"/>
        </w:rPr>
        <w:t xml:space="preserve">        </w:t>
      </w:r>
    </w:p>
    <w:p w14:paraId="3F50A207" w14:textId="5E389752" w:rsidR="005654C6" w:rsidRPr="00055A50" w:rsidRDefault="005654C6" w:rsidP="00F61FF7">
      <w:pPr>
        <w:pStyle w:val="ReferHead"/>
        <w:spacing w:after="0"/>
        <w:jc w:val="both"/>
        <w:rPr>
          <w:rFonts w:ascii="Times New Roman" w:hAnsi="Times New Roman"/>
          <w:b w:val="0"/>
          <w:bCs/>
          <w:sz w:val="20"/>
        </w:rPr>
      </w:pPr>
    </w:p>
    <w:p w14:paraId="1E81B31E" w14:textId="1AF9C56D" w:rsidR="005654C6" w:rsidRPr="004A2645" w:rsidRDefault="005654C6" w:rsidP="005654C6">
      <w:pPr>
        <w:shd w:val="clear" w:color="auto" w:fill="FFFFFF"/>
        <w:jc w:val="both"/>
        <w:outlineLvl w:val="0"/>
        <w:rPr>
          <w:rStyle w:val="Hyperlink"/>
          <w:color w:val="0000FF"/>
          <w:spacing w:val="-2"/>
          <w:sz w:val="18"/>
          <w:szCs w:val="18"/>
          <w:shd w:val="clear" w:color="auto" w:fill="FFFFFF"/>
          <w:lang w:val="uz-Cyrl-UZ"/>
        </w:rPr>
      </w:pPr>
    </w:p>
    <w:p w14:paraId="36012737" w14:textId="77777777" w:rsidR="005654C6" w:rsidRPr="005654C6" w:rsidRDefault="005654C6" w:rsidP="00F61FF7">
      <w:pPr>
        <w:pStyle w:val="ReferHead"/>
        <w:spacing w:after="0"/>
        <w:jc w:val="both"/>
        <w:rPr>
          <w:rFonts w:ascii="Arial" w:hAnsi="Arial" w:cs="Arial"/>
          <w:b w:val="0"/>
          <w:bCs/>
          <w:sz w:val="20"/>
          <w:szCs w:val="18"/>
          <w:lang w:val="uz-Cyrl-UZ"/>
        </w:rPr>
      </w:pPr>
    </w:p>
    <w:p w14:paraId="4F00CED9" w14:textId="77777777" w:rsidR="00790ADA" w:rsidRPr="00FB3A86" w:rsidRDefault="00790ADA" w:rsidP="00441B6F">
      <w:pPr>
        <w:pStyle w:val="Body"/>
        <w:spacing w:after="0"/>
        <w:rPr>
          <w:rFonts w:ascii="Arial" w:hAnsi="Arial" w:cs="Arial"/>
        </w:rPr>
      </w:pPr>
    </w:p>
    <w:p w14:paraId="6D0C44C7" w14:textId="151A3A45" w:rsidR="004D4277" w:rsidRPr="00FB3A86" w:rsidRDefault="004D4277" w:rsidP="00441B6F">
      <w:pPr>
        <w:pStyle w:val="Appendix"/>
        <w:spacing w:after="0"/>
        <w:jc w:val="both"/>
        <w:rPr>
          <w:rFonts w:ascii="Arial" w:hAnsi="Arial" w:cs="Arial"/>
          <w:b w:val="0"/>
        </w:rPr>
        <w:sectPr w:rsidR="004D4277" w:rsidRPr="00FB3A86" w:rsidSect="00EA66CA">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0AB7805B" w14:textId="33AF21F1" w:rsidR="00B01FCD" w:rsidRDefault="00B01FCD" w:rsidP="00441B6F">
      <w:pPr>
        <w:pStyle w:val="Appendix"/>
        <w:spacing w:after="0"/>
        <w:jc w:val="both"/>
        <w:rPr>
          <w:rFonts w:ascii="Arial" w:hAnsi="Arial" w:cs="Arial"/>
          <w:b w:val="0"/>
        </w:rPr>
      </w:pPr>
    </w:p>
    <w:p w14:paraId="60B5DE22" w14:textId="77777777" w:rsidR="005654C6" w:rsidRPr="00FB3A86" w:rsidRDefault="005654C6" w:rsidP="00441B6F">
      <w:pPr>
        <w:pStyle w:val="Appendix"/>
        <w:spacing w:after="0"/>
        <w:jc w:val="both"/>
        <w:rPr>
          <w:rFonts w:ascii="Arial" w:hAnsi="Arial" w:cs="Arial"/>
          <w:b w:val="0"/>
        </w:rPr>
      </w:pPr>
    </w:p>
    <w:sectPr w:rsidR="005654C6" w:rsidRPr="00FB3A86" w:rsidSect="00EA66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B564B" w14:textId="77777777" w:rsidR="005E28B7" w:rsidRDefault="005E28B7" w:rsidP="00C37E61">
      <w:r>
        <w:separator/>
      </w:r>
    </w:p>
  </w:endnote>
  <w:endnote w:type="continuationSeparator" w:id="0">
    <w:p w14:paraId="5C4601F4" w14:textId="77777777" w:rsidR="005E28B7" w:rsidRDefault="005E28B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739D" w14:textId="77777777" w:rsidR="00EA66CA" w:rsidRDefault="00EA6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2562" w14:textId="77777777" w:rsidR="00EA66CA" w:rsidRDefault="00EA6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B6DF" w14:textId="7865424D" w:rsidR="00754C9A" w:rsidRPr="00EA66CA" w:rsidRDefault="00754C9A" w:rsidP="00EA66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0BB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C8CD" w14:textId="77777777" w:rsidR="005E28B7" w:rsidRDefault="005E28B7" w:rsidP="00C37E61">
      <w:r>
        <w:separator/>
      </w:r>
    </w:p>
  </w:footnote>
  <w:footnote w:type="continuationSeparator" w:id="0">
    <w:p w14:paraId="0B7AA7C7" w14:textId="77777777" w:rsidR="005E28B7" w:rsidRDefault="005E28B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BCC0" w14:textId="6F930AC8" w:rsidR="00EA66CA" w:rsidRDefault="005E28B7">
    <w:pPr>
      <w:pStyle w:val="Header"/>
    </w:pPr>
    <w:r>
      <w:rPr>
        <w:noProof/>
      </w:rPr>
      <w:pict w14:anchorId="65A7C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F7DD" w14:textId="67067CD4" w:rsidR="00EA66CA" w:rsidRDefault="005E28B7">
    <w:pPr>
      <w:pStyle w:val="Header"/>
    </w:pPr>
    <w:r>
      <w:rPr>
        <w:noProof/>
      </w:rPr>
      <w:pict w14:anchorId="7493D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01A3" w14:textId="766B50E6" w:rsidR="00296529" w:rsidRPr="00296529" w:rsidRDefault="005E28B7" w:rsidP="00296529">
    <w:pPr>
      <w:ind w:left="2160"/>
      <w:jc w:val="center"/>
      <w:rPr>
        <w:rFonts w:ascii="Times New Roman" w:eastAsia="Calibri" w:hAnsi="Times New Roman"/>
        <w:i/>
        <w:sz w:val="18"/>
        <w:szCs w:val="22"/>
      </w:rPr>
    </w:pPr>
    <w:r>
      <w:rPr>
        <w:noProof/>
      </w:rPr>
      <w:pict w14:anchorId="7796F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A5E9A8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5B6F2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C529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DF962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8F084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3CEC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F8D7" w14:textId="14DB988F" w:rsidR="00EA66CA" w:rsidRDefault="005E28B7">
    <w:pPr>
      <w:pStyle w:val="Header"/>
    </w:pPr>
    <w:r>
      <w:rPr>
        <w:noProof/>
      </w:rPr>
      <w:pict w14:anchorId="57208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082A" w14:textId="4F80FB51" w:rsidR="00EA66CA" w:rsidRDefault="005E28B7">
    <w:pPr>
      <w:pStyle w:val="Header"/>
    </w:pPr>
    <w:r>
      <w:rPr>
        <w:noProof/>
      </w:rPr>
      <w:pict w14:anchorId="3D17A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ABCF" w14:textId="0D624C5B" w:rsidR="00EA66CA" w:rsidRDefault="005E28B7">
    <w:pPr>
      <w:pStyle w:val="Header"/>
    </w:pPr>
    <w:r>
      <w:rPr>
        <w:noProof/>
      </w:rPr>
      <w:pict w14:anchorId="2A9AB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1280"/>
    <w:rsid w:val="0004579C"/>
    <w:rsid w:val="00055A50"/>
    <w:rsid w:val="00084FC7"/>
    <w:rsid w:val="000A47FA"/>
    <w:rsid w:val="000A5FA8"/>
    <w:rsid w:val="000A65D3"/>
    <w:rsid w:val="000B1E33"/>
    <w:rsid w:val="000D689F"/>
    <w:rsid w:val="000D70BA"/>
    <w:rsid w:val="000E7B7B"/>
    <w:rsid w:val="000E7D62"/>
    <w:rsid w:val="00103357"/>
    <w:rsid w:val="00123C9F"/>
    <w:rsid w:val="00125F86"/>
    <w:rsid w:val="00126190"/>
    <w:rsid w:val="00130F17"/>
    <w:rsid w:val="001320BF"/>
    <w:rsid w:val="00163BC4"/>
    <w:rsid w:val="00187649"/>
    <w:rsid w:val="00191062"/>
    <w:rsid w:val="00192B72"/>
    <w:rsid w:val="001A1612"/>
    <w:rsid w:val="001A29D8"/>
    <w:rsid w:val="001A5CAA"/>
    <w:rsid w:val="001B0427"/>
    <w:rsid w:val="001B7203"/>
    <w:rsid w:val="001D3A51"/>
    <w:rsid w:val="001E0B67"/>
    <w:rsid w:val="001E10D2"/>
    <w:rsid w:val="001E25B4"/>
    <w:rsid w:val="001E44FE"/>
    <w:rsid w:val="00200595"/>
    <w:rsid w:val="00204835"/>
    <w:rsid w:val="002201DD"/>
    <w:rsid w:val="00222A99"/>
    <w:rsid w:val="00231920"/>
    <w:rsid w:val="0023195C"/>
    <w:rsid w:val="0024282C"/>
    <w:rsid w:val="002460DC"/>
    <w:rsid w:val="00250985"/>
    <w:rsid w:val="00251AC6"/>
    <w:rsid w:val="00255689"/>
    <w:rsid w:val="002556F6"/>
    <w:rsid w:val="00283105"/>
    <w:rsid w:val="00284C4C"/>
    <w:rsid w:val="00287E68"/>
    <w:rsid w:val="00296529"/>
    <w:rsid w:val="002B27FB"/>
    <w:rsid w:val="002B685A"/>
    <w:rsid w:val="002C57D2"/>
    <w:rsid w:val="002E0D56"/>
    <w:rsid w:val="002E37BF"/>
    <w:rsid w:val="00315186"/>
    <w:rsid w:val="0033343E"/>
    <w:rsid w:val="003512C2"/>
    <w:rsid w:val="003515A2"/>
    <w:rsid w:val="0036209D"/>
    <w:rsid w:val="00371FB6"/>
    <w:rsid w:val="003763C1"/>
    <w:rsid w:val="00376BBE"/>
    <w:rsid w:val="0039224F"/>
    <w:rsid w:val="00393341"/>
    <w:rsid w:val="00397519"/>
    <w:rsid w:val="003A43A4"/>
    <w:rsid w:val="003A7E18"/>
    <w:rsid w:val="003B0482"/>
    <w:rsid w:val="003C4C86"/>
    <w:rsid w:val="003C6258"/>
    <w:rsid w:val="003E2904"/>
    <w:rsid w:val="00401927"/>
    <w:rsid w:val="0041027F"/>
    <w:rsid w:val="00412475"/>
    <w:rsid w:val="00423789"/>
    <w:rsid w:val="00432DC1"/>
    <w:rsid w:val="00440E3F"/>
    <w:rsid w:val="00440F43"/>
    <w:rsid w:val="00441B6F"/>
    <w:rsid w:val="00446221"/>
    <w:rsid w:val="00447E05"/>
    <w:rsid w:val="00450E62"/>
    <w:rsid w:val="004539DB"/>
    <w:rsid w:val="00471A80"/>
    <w:rsid w:val="00481E17"/>
    <w:rsid w:val="0049207B"/>
    <w:rsid w:val="004D0BD4"/>
    <w:rsid w:val="004D305E"/>
    <w:rsid w:val="004D4277"/>
    <w:rsid w:val="004E0349"/>
    <w:rsid w:val="00502516"/>
    <w:rsid w:val="00505F06"/>
    <w:rsid w:val="00506828"/>
    <w:rsid w:val="0053056E"/>
    <w:rsid w:val="00554FDA"/>
    <w:rsid w:val="00564EFA"/>
    <w:rsid w:val="005654C6"/>
    <w:rsid w:val="005865B8"/>
    <w:rsid w:val="005C50CD"/>
    <w:rsid w:val="005C784C"/>
    <w:rsid w:val="005D17F6"/>
    <w:rsid w:val="005D694D"/>
    <w:rsid w:val="005E28B7"/>
    <w:rsid w:val="005E44C5"/>
    <w:rsid w:val="005E5539"/>
    <w:rsid w:val="00602BF5"/>
    <w:rsid w:val="00617FDD"/>
    <w:rsid w:val="00633614"/>
    <w:rsid w:val="00633F68"/>
    <w:rsid w:val="00636EB2"/>
    <w:rsid w:val="006375B8"/>
    <w:rsid w:val="00660046"/>
    <w:rsid w:val="0066510A"/>
    <w:rsid w:val="00673F9F"/>
    <w:rsid w:val="00686953"/>
    <w:rsid w:val="00687DEA"/>
    <w:rsid w:val="00687E67"/>
    <w:rsid w:val="006967F7"/>
    <w:rsid w:val="006A250C"/>
    <w:rsid w:val="006B21D3"/>
    <w:rsid w:val="006B57D0"/>
    <w:rsid w:val="006B6667"/>
    <w:rsid w:val="006C78B9"/>
    <w:rsid w:val="006D30FF"/>
    <w:rsid w:val="006D41A7"/>
    <w:rsid w:val="006D6940"/>
    <w:rsid w:val="006D7238"/>
    <w:rsid w:val="006F11EC"/>
    <w:rsid w:val="0070082C"/>
    <w:rsid w:val="007166FA"/>
    <w:rsid w:val="007369E6"/>
    <w:rsid w:val="00746C24"/>
    <w:rsid w:val="00746E59"/>
    <w:rsid w:val="00754C9A"/>
    <w:rsid w:val="0075599A"/>
    <w:rsid w:val="00761D52"/>
    <w:rsid w:val="00772C95"/>
    <w:rsid w:val="0077749E"/>
    <w:rsid w:val="00790ADA"/>
    <w:rsid w:val="007D2288"/>
    <w:rsid w:val="007E088F"/>
    <w:rsid w:val="007F7B32"/>
    <w:rsid w:val="00804BC2"/>
    <w:rsid w:val="0081431A"/>
    <w:rsid w:val="0083216F"/>
    <w:rsid w:val="00860000"/>
    <w:rsid w:val="00861BA2"/>
    <w:rsid w:val="00863BD3"/>
    <w:rsid w:val="008641ED"/>
    <w:rsid w:val="00866D66"/>
    <w:rsid w:val="008671C6"/>
    <w:rsid w:val="00875803"/>
    <w:rsid w:val="008B459E"/>
    <w:rsid w:val="008E13AE"/>
    <w:rsid w:val="008E1506"/>
    <w:rsid w:val="008E710C"/>
    <w:rsid w:val="008F69D6"/>
    <w:rsid w:val="00902823"/>
    <w:rsid w:val="0091099B"/>
    <w:rsid w:val="00915CA6"/>
    <w:rsid w:val="00917EB8"/>
    <w:rsid w:val="009261F3"/>
    <w:rsid w:val="00927834"/>
    <w:rsid w:val="009500A6"/>
    <w:rsid w:val="00952F65"/>
    <w:rsid w:val="00956813"/>
    <w:rsid w:val="00956F85"/>
    <w:rsid w:val="00957C18"/>
    <w:rsid w:val="009659BA"/>
    <w:rsid w:val="00983040"/>
    <w:rsid w:val="00992413"/>
    <w:rsid w:val="009B3FB9"/>
    <w:rsid w:val="009C2465"/>
    <w:rsid w:val="009D35A0"/>
    <w:rsid w:val="009D43B3"/>
    <w:rsid w:val="009D5184"/>
    <w:rsid w:val="009D7EB7"/>
    <w:rsid w:val="009E048A"/>
    <w:rsid w:val="009E08E9"/>
    <w:rsid w:val="009E3DB9"/>
    <w:rsid w:val="009E6E35"/>
    <w:rsid w:val="009F0EDA"/>
    <w:rsid w:val="009F5CE1"/>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0126"/>
    <w:rsid w:val="00AF4310"/>
    <w:rsid w:val="00B01FCD"/>
    <w:rsid w:val="00B1776C"/>
    <w:rsid w:val="00B27223"/>
    <w:rsid w:val="00B36E4C"/>
    <w:rsid w:val="00B52583"/>
    <w:rsid w:val="00B52896"/>
    <w:rsid w:val="00B579A2"/>
    <w:rsid w:val="00B95236"/>
    <w:rsid w:val="00B96BD9"/>
    <w:rsid w:val="00BA1B01"/>
    <w:rsid w:val="00BA2641"/>
    <w:rsid w:val="00BA2A88"/>
    <w:rsid w:val="00BB37AA"/>
    <w:rsid w:val="00BC48CA"/>
    <w:rsid w:val="00BC53A0"/>
    <w:rsid w:val="00BC5D19"/>
    <w:rsid w:val="00BE62AD"/>
    <w:rsid w:val="00BF121F"/>
    <w:rsid w:val="00BF1F80"/>
    <w:rsid w:val="00C07C77"/>
    <w:rsid w:val="00C166EF"/>
    <w:rsid w:val="00C17EB0"/>
    <w:rsid w:val="00C27F5F"/>
    <w:rsid w:val="00C30A0F"/>
    <w:rsid w:val="00C37E61"/>
    <w:rsid w:val="00C66476"/>
    <w:rsid w:val="00C70F1B"/>
    <w:rsid w:val="00C71A47"/>
    <w:rsid w:val="00C7464C"/>
    <w:rsid w:val="00C85588"/>
    <w:rsid w:val="00C872BB"/>
    <w:rsid w:val="00C96155"/>
    <w:rsid w:val="00CD3175"/>
    <w:rsid w:val="00CD6755"/>
    <w:rsid w:val="00CD6856"/>
    <w:rsid w:val="00CE0089"/>
    <w:rsid w:val="00CE793C"/>
    <w:rsid w:val="00CF193C"/>
    <w:rsid w:val="00D0349D"/>
    <w:rsid w:val="00D13A37"/>
    <w:rsid w:val="00D173F1"/>
    <w:rsid w:val="00D41DC3"/>
    <w:rsid w:val="00D74CB0"/>
    <w:rsid w:val="00D8295D"/>
    <w:rsid w:val="00D94D38"/>
    <w:rsid w:val="00DB18B0"/>
    <w:rsid w:val="00DB4594"/>
    <w:rsid w:val="00DC2A65"/>
    <w:rsid w:val="00DD2426"/>
    <w:rsid w:val="00DE15F0"/>
    <w:rsid w:val="00DE5663"/>
    <w:rsid w:val="00DE78AA"/>
    <w:rsid w:val="00E032E0"/>
    <w:rsid w:val="00E053D0"/>
    <w:rsid w:val="00E109C0"/>
    <w:rsid w:val="00E11452"/>
    <w:rsid w:val="00E1187C"/>
    <w:rsid w:val="00E15994"/>
    <w:rsid w:val="00E3114E"/>
    <w:rsid w:val="00E31A70"/>
    <w:rsid w:val="00E31C81"/>
    <w:rsid w:val="00E35B02"/>
    <w:rsid w:val="00E66496"/>
    <w:rsid w:val="00E66B35"/>
    <w:rsid w:val="00E66E10"/>
    <w:rsid w:val="00E67EC8"/>
    <w:rsid w:val="00E769F6"/>
    <w:rsid w:val="00E77F18"/>
    <w:rsid w:val="00E80976"/>
    <w:rsid w:val="00E8407C"/>
    <w:rsid w:val="00E84F3C"/>
    <w:rsid w:val="00EA012C"/>
    <w:rsid w:val="00EA66CA"/>
    <w:rsid w:val="00EB2CE0"/>
    <w:rsid w:val="00EC6A55"/>
    <w:rsid w:val="00ED0288"/>
    <w:rsid w:val="00EE52CB"/>
    <w:rsid w:val="00EE664F"/>
    <w:rsid w:val="00EF581D"/>
    <w:rsid w:val="00EF7FD8"/>
    <w:rsid w:val="00F06F59"/>
    <w:rsid w:val="00F17988"/>
    <w:rsid w:val="00F32AAD"/>
    <w:rsid w:val="00F469F0"/>
    <w:rsid w:val="00F53273"/>
    <w:rsid w:val="00F5429B"/>
    <w:rsid w:val="00F56F1C"/>
    <w:rsid w:val="00F61FF7"/>
    <w:rsid w:val="00F647C6"/>
    <w:rsid w:val="00F755E4"/>
    <w:rsid w:val="00F77D02"/>
    <w:rsid w:val="00FA2AFA"/>
    <w:rsid w:val="00FB3A86"/>
    <w:rsid w:val="00FD36C8"/>
    <w:rsid w:val="00FD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56CD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7166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4781664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156092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53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6565/2312-4334-2024-4-30"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journalajopacs.com/index.php/AJOPACS/article/view/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en.wikipedia.org/wiki/Bragg_diffracti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82A0-289F-4C87-A8B4-AB9EFBD7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8</Pages>
  <Words>2857</Words>
  <Characters>16288</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19107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11</cp:revision>
  <cp:lastPrinted>1999-07-06T11:00:00Z</cp:lastPrinted>
  <dcterms:created xsi:type="dcterms:W3CDTF">2025-02-07T14:44:00Z</dcterms:created>
  <dcterms:modified xsi:type="dcterms:W3CDTF">2025-02-11T10:24:00Z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df9cd0ffa34e042991385ffb4c92830b539f4e15361face6eea0f4285c19d310</vt:lpwstr>
  </property>
</Properties>
</file>