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78" w:rsidRPr="00457478" w:rsidRDefault="00457478">
      <w:pPr>
        <w:pStyle w:val="Normal1"/>
        <w:pBdr>
          <w:top w:val="nil"/>
          <w:left w:val="nil"/>
          <w:bottom w:val="nil"/>
          <w:right w:val="nil"/>
          <w:between w:val="nil"/>
        </w:pBdr>
        <w:jc w:val="both"/>
        <w:rPr>
          <w:rFonts w:ascii="Times New Roman" w:eastAsia="Times New Roman" w:hAnsi="Times New Roman" w:cs="Times New Roman"/>
          <w:b/>
          <w:color w:val="000000"/>
          <w:sz w:val="32"/>
          <w:szCs w:val="32"/>
          <w:lang w:val="id-ID"/>
        </w:rPr>
      </w:pPr>
      <w:r>
        <w:rPr>
          <w:rFonts w:ascii="Times New Roman" w:eastAsia="Times New Roman" w:hAnsi="Times New Roman" w:cs="Times New Roman"/>
          <w:b/>
          <w:color w:val="000000"/>
          <w:sz w:val="32"/>
          <w:szCs w:val="32"/>
          <w:lang w:val="id-ID"/>
        </w:rPr>
        <w:t>C</w:t>
      </w:r>
      <w:r w:rsidR="007D55AB" w:rsidRPr="005B6519">
        <w:rPr>
          <w:rFonts w:ascii="Times New Roman" w:eastAsia="Times New Roman" w:hAnsi="Times New Roman" w:cs="Times New Roman"/>
          <w:b/>
          <w:color w:val="000000"/>
          <w:sz w:val="32"/>
          <w:szCs w:val="32"/>
        </w:rPr>
        <w:t>oncentration of uranium in gro</w:t>
      </w:r>
      <w:r>
        <w:rPr>
          <w:rFonts w:ascii="Times New Roman" w:eastAsia="Times New Roman" w:hAnsi="Times New Roman" w:cs="Times New Roman"/>
          <w:b/>
          <w:color w:val="000000"/>
          <w:sz w:val="32"/>
          <w:szCs w:val="32"/>
        </w:rPr>
        <w:t>undwater and its health effects</w:t>
      </w:r>
      <w:r w:rsidR="007D55AB" w:rsidRPr="005B6519">
        <w:rPr>
          <w:rFonts w:ascii="Times New Roman" w:eastAsia="Times New Roman" w:hAnsi="Times New Roman" w:cs="Times New Roman"/>
          <w:b/>
          <w:color w:val="000000"/>
          <w:sz w:val="32"/>
          <w:szCs w:val="32"/>
        </w:rPr>
        <w:t xml:space="preserve"> around the Indira Gandhi Super Thermal Power Project in Jharli, Haryana (India</w:t>
      </w:r>
      <w:r>
        <w:rPr>
          <w:rFonts w:ascii="Times New Roman" w:eastAsia="Times New Roman" w:hAnsi="Times New Roman" w:cs="Times New Roman"/>
          <w:b/>
          <w:color w:val="000000"/>
          <w:sz w:val="32"/>
          <w:szCs w:val="32"/>
          <w:lang w:val="id-ID"/>
        </w:rPr>
        <w:t>).</w:t>
      </w:r>
    </w:p>
    <w:p w:rsidR="00457478" w:rsidRPr="00457478" w:rsidRDefault="00457478" w:rsidP="00457478">
      <w:pPr>
        <w:pStyle w:val="Normal1"/>
        <w:pBdr>
          <w:top w:val="nil"/>
          <w:left w:val="nil"/>
          <w:bottom w:val="nil"/>
          <w:right w:val="nil"/>
          <w:between w:val="nil"/>
        </w:pBdr>
        <w:jc w:val="center"/>
        <w:rPr>
          <w:rFonts w:ascii="Times New Roman" w:eastAsia="Times New Roman" w:hAnsi="Times New Roman" w:cs="Times New Roman"/>
          <w:b/>
          <w:color w:val="000000"/>
          <w:sz w:val="32"/>
          <w:szCs w:val="32"/>
          <w:lang w:val="id-ID"/>
        </w:rPr>
      </w:pPr>
      <w:r>
        <w:rPr>
          <w:rFonts w:ascii="Times New Roman" w:eastAsia="Times New Roman" w:hAnsi="Times New Roman" w:cs="Times New Roman"/>
          <w:b/>
          <w:color w:val="000000"/>
          <w:sz w:val="32"/>
          <w:szCs w:val="32"/>
          <w:lang w:val="id-ID"/>
        </w:rPr>
        <w:t>Original research article</w:t>
      </w:r>
    </w:p>
    <w:p w:rsidR="00B35F61" w:rsidRDefault="00B35F61">
      <w:pPr>
        <w:pStyle w:val="Normal1"/>
        <w:pBdr>
          <w:top w:val="single" w:sz="6" w:space="1" w:color="000000"/>
          <w:left w:val="nil"/>
          <w:bottom w:val="single" w:sz="6" w:space="1" w:color="000000"/>
          <w:right w:val="nil"/>
          <w:between w:val="nil"/>
        </w:pBdr>
        <w:jc w:val="both"/>
        <w:rPr>
          <w:rFonts w:ascii="Times New Roman" w:eastAsia="Times New Roman" w:hAnsi="Times New Roman" w:cs="Times New Roman"/>
          <w:b/>
          <w:color w:val="000000"/>
          <w:sz w:val="24"/>
          <w:szCs w:val="24"/>
        </w:rPr>
      </w:pPr>
    </w:p>
    <w:p w:rsidR="00573EA0" w:rsidRDefault="007D55AB">
      <w:pPr>
        <w:pStyle w:val="Normal1"/>
        <w:pBdr>
          <w:top w:val="single" w:sz="6" w:space="1" w:color="000000"/>
          <w:left w:val="nil"/>
          <w:bottom w:val="single" w:sz="6" w:space="1" w:color="000000"/>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rsidR="00573EA0" w:rsidRPr="00726A7C" w:rsidRDefault="00457478">
      <w:pPr>
        <w:pStyle w:val="Normal1"/>
        <w:pBdr>
          <w:top w:val="single" w:sz="6" w:space="1" w:color="000000"/>
          <w:left w:val="nil"/>
          <w:bottom w:val="single" w:sz="6" w:space="1" w:color="000000"/>
          <w:right w:val="nil"/>
          <w:between w:val="nil"/>
        </w:pBdr>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 </w:t>
      </w:r>
      <w:r w:rsidR="00726A7C">
        <w:rPr>
          <w:rFonts w:ascii="Times New Roman" w:eastAsia="Times New Roman" w:hAnsi="Times New Roman" w:cs="Times New Roman"/>
          <w:color w:val="000000"/>
          <w:sz w:val="24"/>
          <w:szCs w:val="24"/>
          <w:lang w:val="id-ID"/>
        </w:rPr>
        <w:t>Contamination of uranium in ground water is topic of concern now a days across the world as the ground water is the primary source</w:t>
      </w:r>
      <w:r w:rsidR="00FB79BF">
        <w:rPr>
          <w:rFonts w:ascii="Times New Roman" w:eastAsia="Times New Roman" w:hAnsi="Times New Roman" w:cs="Times New Roman"/>
          <w:color w:val="000000"/>
          <w:sz w:val="24"/>
          <w:szCs w:val="24"/>
          <w:lang w:val="id-ID"/>
        </w:rPr>
        <w:t xml:space="preserve"> in rural and urban parts of India. </w:t>
      </w:r>
      <w:r w:rsidR="00726A7C">
        <w:rPr>
          <w:rFonts w:ascii="Times New Roman" w:eastAsia="Times New Roman" w:hAnsi="Times New Roman" w:cs="Times New Roman"/>
          <w:color w:val="000000"/>
          <w:sz w:val="24"/>
          <w:szCs w:val="24"/>
          <w:lang w:val="id-ID"/>
        </w:rPr>
        <w:t xml:space="preserve"> </w:t>
      </w:r>
      <w:r w:rsidR="007D55AB">
        <w:rPr>
          <w:rFonts w:ascii="Times New Roman" w:eastAsia="Times New Roman" w:hAnsi="Times New Roman" w:cs="Times New Roman"/>
          <w:color w:val="000000"/>
          <w:sz w:val="24"/>
          <w:szCs w:val="24"/>
        </w:rPr>
        <w:t>Burning coal in thermal power projects is one of the several actions that might discharge uranium into the environment.  These efforts unintentionally raised the Technically Enhanced Natural Radioactivity (TENR) levels of natural radionuclides and their radiation levels in the surroundings.  The most significant sources of electricity produced are thermal power projects.  But the environmental effects of these indust</w:t>
      </w:r>
      <w:r>
        <w:rPr>
          <w:rFonts w:ascii="Times New Roman" w:eastAsia="Times New Roman" w:hAnsi="Times New Roman" w:cs="Times New Roman"/>
          <w:color w:val="000000"/>
          <w:sz w:val="24"/>
          <w:szCs w:val="24"/>
        </w:rPr>
        <w:t>rial operations cause questions</w:t>
      </w:r>
      <w:r>
        <w:rPr>
          <w:rFonts w:ascii="Times New Roman" w:eastAsia="Times New Roman" w:hAnsi="Times New Roman" w:cs="Times New Roman"/>
          <w:color w:val="000000"/>
          <w:sz w:val="24"/>
          <w:szCs w:val="24"/>
          <w:lang w:val="id-ID"/>
        </w:rPr>
        <w:t xml:space="preserve">. </w:t>
      </w:r>
      <w:r w:rsidR="007D55AB">
        <w:rPr>
          <w:rFonts w:ascii="Times New Roman" w:eastAsia="Times New Roman" w:hAnsi="Times New Roman" w:cs="Times New Roman"/>
          <w:color w:val="000000"/>
          <w:sz w:val="24"/>
          <w:szCs w:val="24"/>
        </w:rPr>
        <w:t xml:space="preserve"> This study examines the uranium concentration in groundwater around the Power Plant and its health ef</w:t>
      </w:r>
      <w:r>
        <w:rPr>
          <w:rFonts w:ascii="Times New Roman" w:eastAsia="Times New Roman" w:hAnsi="Times New Roman" w:cs="Times New Roman"/>
          <w:color w:val="000000"/>
          <w:sz w:val="24"/>
          <w:szCs w:val="24"/>
        </w:rPr>
        <w:t>fects on nearby populations.</w:t>
      </w:r>
      <w:r w:rsidR="007D55AB">
        <w:rPr>
          <w:rFonts w:ascii="Times New Roman" w:eastAsia="Times New Roman" w:hAnsi="Times New Roman" w:cs="Times New Roman"/>
          <w:color w:val="000000"/>
          <w:sz w:val="24"/>
          <w:szCs w:val="24"/>
        </w:rPr>
        <w:t xml:space="preserve">  High uranium content in drinking water can seriously compromise your health. This is so because uranium is radioactive and can cause nephrotoxicity and higher cancer risk. Groundwater samples were gathered and examined within a 0 to 4 kilometer range from many locations surrounding the water plant.  Finding the degree of Uranium contamination is the aim of the project</w:t>
      </w:r>
      <w:r w:rsidR="00FB79BF">
        <w:rPr>
          <w:rFonts w:ascii="Times New Roman" w:eastAsia="Times New Roman" w:hAnsi="Times New Roman" w:cs="Times New Roman"/>
          <w:color w:val="000000"/>
          <w:sz w:val="24"/>
          <w:szCs w:val="24"/>
          <w:lang w:val="id-ID"/>
        </w:rPr>
        <w:t xml:space="preserve"> and LED fluorimetery technique is used</w:t>
      </w:r>
      <w:r w:rsidR="007D55AB">
        <w:rPr>
          <w:rFonts w:ascii="Times New Roman" w:eastAsia="Times New Roman" w:hAnsi="Times New Roman" w:cs="Times New Roman"/>
          <w:color w:val="000000"/>
          <w:sz w:val="24"/>
          <w:szCs w:val="24"/>
        </w:rPr>
        <w:t>.  In terms of radiation and chemistry as well, uranium is a well-known dangerous element. The USEPA labeled uranium a carcinogen in 1991 and urged that drinking water should contain no uranium.  With an average of 47.59 µg/L, the uranium content ranged from 2.64 to 201.9 µg/L. Average of 1.18 Bq/L, the activity concentration (Ac) ranged from 0.06 to 5.07 Bq/L.</w:t>
      </w:r>
      <w:r w:rsidR="00726A7C">
        <w:rPr>
          <w:rFonts w:ascii="Times New Roman" w:eastAsia="Times New Roman" w:hAnsi="Times New Roman" w:cs="Times New Roman"/>
          <w:color w:val="000000"/>
          <w:sz w:val="24"/>
          <w:szCs w:val="24"/>
          <w:lang w:val="id-ID"/>
        </w:rPr>
        <w:t xml:space="preserve">  The average LADD range of 0.05/4.00 </w:t>
      </w:r>
      <w:r w:rsidR="00726A7C">
        <w:rPr>
          <w:rFonts w:ascii="Times New Roman" w:eastAsia="Times New Roman" w:hAnsi="Times New Roman" w:cs="Times New Roman"/>
          <w:color w:val="000000"/>
          <w:sz w:val="24"/>
          <w:szCs w:val="24"/>
        </w:rPr>
        <w:t>µg/</w:t>
      </w:r>
      <w:r w:rsidR="00726A7C">
        <w:rPr>
          <w:rFonts w:ascii="Times New Roman" w:eastAsia="Times New Roman" w:hAnsi="Times New Roman" w:cs="Times New Roman"/>
          <w:color w:val="000000"/>
          <w:sz w:val="24"/>
          <w:szCs w:val="24"/>
          <w:lang w:val="id-ID"/>
        </w:rPr>
        <w:t>kg/day was observed.</w:t>
      </w:r>
      <w:r w:rsidR="007D55AB">
        <w:rPr>
          <w:rFonts w:ascii="Times New Roman" w:eastAsia="Times New Roman" w:hAnsi="Times New Roman" w:cs="Times New Roman"/>
          <w:color w:val="000000"/>
          <w:sz w:val="24"/>
          <w:szCs w:val="24"/>
        </w:rPr>
        <w:t xml:space="preserve">  </w:t>
      </w:r>
      <w:r w:rsidR="00726A7C">
        <w:rPr>
          <w:rFonts w:ascii="Times New Roman" w:eastAsia="Times New Roman" w:hAnsi="Times New Roman" w:cs="Times New Roman"/>
          <w:color w:val="000000"/>
          <w:sz w:val="24"/>
          <w:szCs w:val="24"/>
        </w:rPr>
        <w:t>T</w:t>
      </w:r>
      <w:r w:rsidR="00726A7C">
        <w:rPr>
          <w:rFonts w:ascii="Times New Roman" w:eastAsia="Times New Roman" w:hAnsi="Times New Roman" w:cs="Times New Roman"/>
          <w:color w:val="000000"/>
          <w:sz w:val="24"/>
          <w:szCs w:val="24"/>
          <w:lang w:val="id-ID"/>
        </w:rPr>
        <w:t>he findings of this study h</w:t>
      </w:r>
      <w:r w:rsidR="0009600C">
        <w:rPr>
          <w:rFonts w:ascii="Times New Roman" w:eastAsia="Times New Roman" w:hAnsi="Times New Roman" w:cs="Times New Roman"/>
          <w:color w:val="000000"/>
          <w:sz w:val="24"/>
          <w:szCs w:val="24"/>
          <w:lang w:val="id-ID"/>
        </w:rPr>
        <w:t>elps in assessing</w:t>
      </w:r>
      <w:r w:rsidR="00726A7C">
        <w:rPr>
          <w:rFonts w:ascii="Times New Roman" w:eastAsia="Times New Roman" w:hAnsi="Times New Roman" w:cs="Times New Roman"/>
          <w:color w:val="000000"/>
          <w:sz w:val="24"/>
          <w:szCs w:val="24"/>
          <w:lang w:val="id-ID"/>
        </w:rPr>
        <w:t xml:space="preserve"> public health</w:t>
      </w:r>
      <w:r w:rsidR="0009600C">
        <w:rPr>
          <w:rFonts w:ascii="Times New Roman" w:eastAsia="Times New Roman" w:hAnsi="Times New Roman" w:cs="Times New Roman"/>
          <w:color w:val="000000"/>
          <w:sz w:val="24"/>
          <w:szCs w:val="24"/>
          <w:lang w:val="id-ID"/>
        </w:rPr>
        <w:t xml:space="preserve"> and radiological risks</w:t>
      </w:r>
      <w:r w:rsidR="00726A7C">
        <w:rPr>
          <w:rFonts w:ascii="Times New Roman" w:eastAsia="Times New Roman" w:hAnsi="Times New Roman" w:cs="Times New Roman"/>
          <w:color w:val="000000"/>
          <w:sz w:val="24"/>
          <w:szCs w:val="24"/>
          <w:lang w:val="id-ID"/>
        </w:rPr>
        <w:t xml:space="preserve"> and </w:t>
      </w:r>
      <w:r w:rsidR="0009600C">
        <w:rPr>
          <w:rFonts w:ascii="Times New Roman" w:eastAsia="Times New Roman" w:hAnsi="Times New Roman" w:cs="Times New Roman"/>
          <w:color w:val="000000"/>
          <w:sz w:val="24"/>
          <w:szCs w:val="24"/>
          <w:lang w:val="id-ID"/>
        </w:rPr>
        <w:t xml:space="preserve">mainly asseses water quality with major implications towards environmental health. The study helps in evaluation of contamination risks </w:t>
      </w:r>
      <w:r w:rsidR="00501512">
        <w:rPr>
          <w:rFonts w:ascii="Times New Roman" w:eastAsia="Times New Roman" w:hAnsi="Times New Roman" w:cs="Times New Roman"/>
          <w:color w:val="000000"/>
          <w:sz w:val="24"/>
          <w:szCs w:val="24"/>
          <w:lang w:val="id-ID"/>
        </w:rPr>
        <w:t xml:space="preserve">including </w:t>
      </w:r>
      <w:r w:rsidR="00726A7C">
        <w:rPr>
          <w:rFonts w:ascii="Times New Roman" w:eastAsia="Times New Roman" w:hAnsi="Times New Roman" w:cs="Times New Roman"/>
          <w:color w:val="000000"/>
          <w:sz w:val="24"/>
          <w:szCs w:val="24"/>
          <w:lang w:val="id-ID"/>
        </w:rPr>
        <w:t>health risks like kidney damage and cancer.</w:t>
      </w:r>
    </w:p>
    <w:p w:rsidR="00573EA0" w:rsidRDefault="007D55AB">
      <w:pPr>
        <w:pStyle w:val="Normal1"/>
        <w:pBdr>
          <w:top w:val="single" w:sz="6" w:space="1" w:color="000000"/>
          <w:left w:val="nil"/>
          <w:bottom w:val="single" w:sz="6" w:space="1" w:color="000000"/>
          <w:right w:val="nil"/>
          <w:between w:val="nil"/>
        </w:pBdr>
        <w:jc w:val="both"/>
        <w:rPr>
          <w:rFonts w:ascii="Times New Roman" w:eastAsia="Times New Roman" w:hAnsi="Times New Roman" w:cs="Times New Roman"/>
          <w:color w:val="000000"/>
          <w:sz w:val="24"/>
          <w:szCs w:val="24"/>
        </w:rPr>
        <w:sectPr w:rsidR="00573EA0">
          <w:headerReference w:type="even" r:id="rId7"/>
          <w:headerReference w:type="default" r:id="rId8"/>
          <w:footerReference w:type="default" r:id="rId9"/>
          <w:headerReference w:type="first" r:id="rId10"/>
          <w:pgSz w:w="11906" w:h="16838"/>
          <w:pgMar w:top="1440" w:right="1440" w:bottom="1440" w:left="1440" w:header="708" w:footer="708" w:gutter="0"/>
          <w:pgNumType w:start="1"/>
          <w:cols w:space="720"/>
        </w:sect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Uranium, LED fluorimeter, E.C.R., groundwater, LADD, chemical risks.</w:t>
      </w:r>
    </w:p>
    <w:p w:rsidR="00573EA0" w:rsidRDefault="007D55AB" w:rsidP="007D55AB">
      <w:pPr>
        <w:pStyle w:val="Normal1"/>
        <w:pBdr>
          <w:top w:val="nil"/>
          <w:left w:val="nil"/>
          <w:bottom w:val="nil"/>
          <w:right w:val="nil"/>
          <w:between w:val="nil"/>
        </w:pBdr>
        <w:rPr>
          <w:rFonts w:ascii="Times New Roman" w:eastAsia="Times New Roman" w:hAnsi="Times New Roman" w:cs="Times New Roman"/>
          <w:b/>
          <w:color w:val="000000"/>
          <w:sz w:val="24"/>
          <w:szCs w:val="24"/>
        </w:rPr>
        <w:sectPr w:rsidR="00573EA0">
          <w:type w:val="continuous"/>
          <w:pgSz w:w="11906" w:h="16838"/>
          <w:pgMar w:top="1440" w:right="1440" w:bottom="1440" w:left="1440" w:header="708" w:footer="708" w:gutter="0"/>
          <w:cols w:space="720"/>
        </w:sectPr>
      </w:pPr>
      <w:r>
        <w:rPr>
          <w:rFonts w:ascii="Times New Roman" w:eastAsia="Times New Roman" w:hAnsi="Times New Roman" w:cs="Times New Roman"/>
          <w:b/>
          <w:color w:val="000000"/>
          <w:sz w:val="24"/>
          <w:szCs w:val="24"/>
          <w:lang w:val="id-ID"/>
        </w:rPr>
        <w:lastRenderedPageBreak/>
        <w:t xml:space="preserve">1.  </w:t>
      </w:r>
      <w:r>
        <w:rPr>
          <w:rFonts w:ascii="Times New Roman" w:eastAsia="Times New Roman" w:hAnsi="Times New Roman" w:cs="Times New Roman"/>
          <w:b/>
          <w:color w:val="000000"/>
          <w:sz w:val="24"/>
          <w:szCs w:val="24"/>
        </w:rPr>
        <w:t>Introduction</w:t>
      </w:r>
    </w:p>
    <w:p w:rsidR="00573EA0" w:rsidRDefault="007D55AB">
      <w:pPr>
        <w:pStyle w:val="Normal1"/>
        <w:pBdr>
          <w:top w:val="nil"/>
          <w:left w:val="nil"/>
          <w:bottom w:val="nil"/>
          <w:right w:val="nil"/>
          <w:between w:val="nil"/>
        </w:pBdr>
        <w:spacing w:after="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A naturally occurring radioactive material, uranium can find several routes of seeping into ground. Public health is seriously threatened when the uranium concentration in groundwater exceeds the allowed limits. Uranium denser than lead by seventy percent.  The isotope composition of uranium in nature is exactly that of uranium-238 (99.2739-99.2752%). Exceptionally low Uranium-234 (0.050-0.0059%) and Uranium-235 (0.7198-0.7202%) concentrations.  The UN Scientific Committee on the Effects of Atomic Radiation (UNSCEAR) reports a range of 300 µg kg -1 to 11.7 mg kg -1 for soil uranium content. For a 70-kg male, uranium intake averages 2.6 µg daily, with one-third coming from drinking water (ATSDR, 1999). By (USEPA 2012; W.H.O 2011)  Long-term uranium contamination </w:t>
      </w:r>
      <w:r>
        <w:rPr>
          <w:rFonts w:ascii="Times New Roman" w:eastAsia="Times New Roman" w:hAnsi="Times New Roman" w:cs="Times New Roman"/>
          <w:color w:val="222222"/>
          <w:sz w:val="24"/>
          <w:szCs w:val="24"/>
          <w:highlight w:val="white"/>
        </w:rPr>
        <w:lastRenderedPageBreak/>
        <w:t xml:space="preserve">of drinking water can lead to a range of health issues, particularly with regard to the kidneys. Studies on drinking water high in uranium have linked a higher risk of kidney damage, chronic kidney disease, and perhaps other health problems. Children, pregnant women, and people with renal issues prior to uranium exposure are more likely to suffer harmful consequences from the element. WHO and USEPA set a 30 ppb maximum contamination level (MCL). </w:t>
      </w:r>
    </w:p>
    <w:p w:rsidR="00573EA0" w:rsidRDefault="00573EA0">
      <w:pPr>
        <w:pStyle w:val="Normal1"/>
        <w:pBdr>
          <w:top w:val="nil"/>
          <w:left w:val="nil"/>
          <w:bottom w:val="nil"/>
          <w:right w:val="nil"/>
          <w:between w:val="nil"/>
        </w:pBdr>
        <w:spacing w:after="0"/>
        <w:jc w:val="both"/>
        <w:rPr>
          <w:rFonts w:ascii="Times New Roman" w:eastAsia="Times New Roman" w:hAnsi="Times New Roman" w:cs="Times New Roman"/>
          <w:color w:val="222222"/>
          <w:sz w:val="24"/>
          <w:szCs w:val="24"/>
          <w:highlight w:val="white"/>
        </w:rPr>
      </w:pPr>
    </w:p>
    <w:p w:rsidR="00573EA0" w:rsidRDefault="007D55AB">
      <w:pPr>
        <w:pStyle w:val="Normal1"/>
        <w:pBdr>
          <w:top w:val="nil"/>
          <w:left w:val="nil"/>
          <w:bottom w:val="nil"/>
          <w:right w:val="nil"/>
          <w:between w:val="nil"/>
        </w:pBdr>
        <w:spacing w:after="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 Research by ( W.H.O. 1998; R.Jakhu et al., 2016) Chemical toxicity hazards are more severe than radiological ones. According to L.Domingo et al., 1995)  Uranium metal is clearly bad for our bodies, especially for our kidneys. Water and other meals are the main ways one consumes uranium. Uranium often accumulates in the kidneys, liver, and bones (P.Kurttio et al., 2005)  following intake.  About 66% of the uranium the body absorbs passes right away through urine. The residual uranium is distributed and accumulates in soft tissues ( M.E. Wrenn et al., 1985), kidneys (12–25%), and bones (10–15%).  Apart from that, uranium contamination can change the ecological balance, therefore affecting agricultural output and aquatic life. Eating food products polluted with uranium could seriously endanger human health since uranium can build up in the food chain.  </w:t>
      </w:r>
    </w:p>
    <w:p w:rsidR="00573EA0" w:rsidRDefault="007D55AB">
      <w:pPr>
        <w:pStyle w:val="Normal1"/>
        <w:pBdr>
          <w:top w:val="nil"/>
          <w:left w:val="nil"/>
          <w:bottom w:val="nil"/>
          <w:right w:val="nil"/>
          <w:between w:val="nil"/>
        </w:pBdr>
        <w:spacing w:after="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Comprehensive assessments of groundwater quality must be conducted, especially in areas where thermal plants and industrial complexes can be sources of uranium pollution. To protect humans and the environment from uranium-contaminated groundwater, monitoring, remediation, and public awareness campaigns are essential.  This study estimates chemical and radioactive dangers around the Indira Gandhi Super Thermal Power Project within 0–4 km.  These findings can inform local management methods and laws.</w:t>
      </w:r>
    </w:p>
    <w:p w:rsidR="00573EA0" w:rsidRDefault="00573EA0">
      <w:pPr>
        <w:pStyle w:val="Normal1"/>
        <w:pBdr>
          <w:top w:val="nil"/>
          <w:left w:val="nil"/>
          <w:bottom w:val="nil"/>
          <w:right w:val="nil"/>
          <w:between w:val="nil"/>
        </w:pBdr>
        <w:spacing w:after="0"/>
        <w:jc w:val="both"/>
        <w:rPr>
          <w:rFonts w:ascii="Times New Roman" w:eastAsia="Times New Roman" w:hAnsi="Times New Roman" w:cs="Times New Roman"/>
          <w:color w:val="222222"/>
          <w:sz w:val="24"/>
          <w:szCs w:val="24"/>
          <w:highlight w:val="white"/>
        </w:rPr>
        <w:sectPr w:rsidR="00573EA0">
          <w:type w:val="continuous"/>
          <w:pgSz w:w="11906" w:h="16838"/>
          <w:pgMar w:top="1440" w:right="1440" w:bottom="1440" w:left="1440" w:header="708" w:footer="708" w:gutter="0"/>
          <w:cols w:space="720"/>
        </w:sectPr>
      </w:pPr>
    </w:p>
    <w:p w:rsidR="00540563" w:rsidRDefault="00540563">
      <w:pPr>
        <w:pStyle w:val="Normal1"/>
        <w:pBdr>
          <w:top w:val="nil"/>
          <w:left w:val="nil"/>
          <w:bottom w:val="nil"/>
          <w:right w:val="nil"/>
          <w:between w:val="nil"/>
        </w:pBdr>
        <w:rPr>
          <w:rFonts w:ascii="Times New Roman" w:eastAsia="Times New Roman" w:hAnsi="Times New Roman" w:cs="Times New Roman"/>
          <w:b/>
          <w:color w:val="222222"/>
          <w:sz w:val="24"/>
          <w:szCs w:val="24"/>
          <w:highlight w:val="white"/>
          <w:lang w:val="id-ID"/>
        </w:rPr>
      </w:pPr>
    </w:p>
    <w:p w:rsidR="00573EA0" w:rsidRDefault="00540563">
      <w:pPr>
        <w:pStyle w:val="Normal1"/>
        <w:pBdr>
          <w:top w:val="nil"/>
          <w:left w:val="nil"/>
          <w:bottom w:val="nil"/>
          <w:right w:val="nil"/>
          <w:between w:val="nil"/>
        </w:pBdr>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2.</w:t>
      </w:r>
      <w:r w:rsidR="007D55AB">
        <w:rPr>
          <w:rFonts w:ascii="Times New Roman" w:eastAsia="Times New Roman" w:hAnsi="Times New Roman" w:cs="Times New Roman"/>
          <w:b/>
          <w:color w:val="222222"/>
          <w:sz w:val="24"/>
          <w:szCs w:val="24"/>
          <w:highlight w:val="white"/>
        </w:rPr>
        <w:t>Study Area</w:t>
      </w:r>
    </w:p>
    <w:p w:rsidR="00573EA0" w:rsidRDefault="007D55AB">
      <w:pPr>
        <w:pStyle w:val="Normal1"/>
        <w:pBdr>
          <w:top w:val="nil"/>
          <w:left w:val="nil"/>
          <w:bottom w:val="nil"/>
          <w:right w:val="nil"/>
          <w:between w:val="nil"/>
        </w:pBdr>
        <w:spacing w:after="0"/>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Indira Gandhi Super Thermal Power Project is in Jhajjar, Haryana. Jharli hamlet to the north and Khanpur Khurd to the south border the plant.  Fig. 1 shows the project site between 28°28'43"N and 76°22'31".  APCPL is a joint venture. NTPC Ltd., 25% HPGCL, and 25% IPGCL control half of it. Registered as a private limited company by the Central Government of India, Delhi, and Haryana on December 21, 2006. In Haryana's Jhajjar District, APCPL built the coal-based Indira Gandhi Super Thermal Power Project (IGSTPP) near Jharli Village. A 3x 500MW power plant is being built in Stage I. all three of the units have been commissioned at present. In Haryana, it has the largest thermal capacity plant.</w:t>
      </w:r>
    </w:p>
    <w:p w:rsidR="00573EA0" w:rsidRDefault="007D55AB">
      <w:pPr>
        <w:pStyle w:val="Normal1"/>
        <w:pBdr>
          <w:top w:val="nil"/>
          <w:left w:val="nil"/>
          <w:bottom w:val="nil"/>
          <w:right w:val="nil"/>
          <w:between w:val="nil"/>
        </w:pBdr>
        <w:spacing w:after="0"/>
        <w:jc w:val="both"/>
        <w:rPr>
          <w:rFonts w:ascii="Times New Roman" w:eastAsia="Times New Roman" w:hAnsi="Times New Roman" w:cs="Times New Roman"/>
          <w:color w:val="202122"/>
          <w:sz w:val="24"/>
          <w:szCs w:val="24"/>
          <w:highlight w:val="white"/>
        </w:rPr>
      </w:pPr>
      <w:r>
        <w:rPr>
          <w:rFonts w:ascii="Times New Roman" w:eastAsia="Times New Roman" w:hAnsi="Times New Roman" w:cs="Times New Roman"/>
          <w:color w:val="202122"/>
          <w:sz w:val="24"/>
          <w:szCs w:val="24"/>
          <w:highlight w:val="white"/>
        </w:rPr>
        <w:t>Generation of energy from this facility is mostly dependent on The area boasts alluvial deposits that influence groundwater flow and quality, therefore impacting the hydrological characteristics.  Commonly found in the Indo-Gangetic Plains, the geology of the area is essentially composed of sedimentary rocks, sandstones, shales, and clays.  Both the spread of groundwater and the likelihood of pollution from industrial activities depend on these formations.  Understanding the geological background is essential to assess the environmental impact of the power plant, particularly with relation to the quality of the groundwater and the likely migration of heavy elements such as uranium.</w:t>
      </w:r>
    </w:p>
    <w:p w:rsidR="00573EA0" w:rsidRDefault="00573EA0">
      <w:pPr>
        <w:pStyle w:val="Normal1"/>
        <w:pBdr>
          <w:top w:val="nil"/>
          <w:left w:val="nil"/>
          <w:bottom w:val="nil"/>
          <w:right w:val="nil"/>
          <w:between w:val="nil"/>
        </w:pBdr>
        <w:spacing w:after="0"/>
        <w:jc w:val="both"/>
        <w:rPr>
          <w:rFonts w:ascii="Times New Roman" w:eastAsia="Times New Roman" w:hAnsi="Times New Roman" w:cs="Times New Roman"/>
          <w:color w:val="202122"/>
          <w:sz w:val="24"/>
          <w:szCs w:val="24"/>
          <w:highlight w:val="white"/>
        </w:rPr>
      </w:pPr>
    </w:p>
    <w:p w:rsidR="00573EA0" w:rsidRDefault="00573EA0">
      <w:pPr>
        <w:pStyle w:val="Normal1"/>
        <w:pBdr>
          <w:top w:val="nil"/>
          <w:left w:val="nil"/>
          <w:bottom w:val="nil"/>
          <w:right w:val="nil"/>
          <w:between w:val="nil"/>
        </w:pBdr>
        <w:jc w:val="both"/>
        <w:rPr>
          <w:rFonts w:ascii="Times New Roman" w:eastAsia="Times New Roman" w:hAnsi="Times New Roman" w:cs="Times New Roman"/>
          <w:color w:val="202122"/>
          <w:sz w:val="24"/>
          <w:szCs w:val="24"/>
          <w:highlight w:val="white"/>
        </w:rPr>
      </w:pPr>
    </w:p>
    <w:p w:rsidR="00573EA0" w:rsidRDefault="00573EA0">
      <w:pPr>
        <w:pStyle w:val="Normal1"/>
        <w:pBdr>
          <w:top w:val="nil"/>
          <w:left w:val="nil"/>
          <w:bottom w:val="nil"/>
          <w:right w:val="nil"/>
          <w:between w:val="nil"/>
        </w:pBdr>
        <w:jc w:val="both"/>
        <w:rPr>
          <w:rFonts w:ascii="Times New Roman" w:eastAsia="Times New Roman" w:hAnsi="Times New Roman" w:cs="Times New Roman"/>
          <w:color w:val="202122"/>
          <w:sz w:val="24"/>
          <w:szCs w:val="24"/>
        </w:rPr>
      </w:pPr>
    </w:p>
    <w:p w:rsidR="00573EA0" w:rsidRDefault="00573EA0">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202122"/>
          <w:sz w:val="24"/>
          <w:szCs w:val="24"/>
        </w:rPr>
      </w:pPr>
    </w:p>
    <w:p w:rsidR="00573EA0" w:rsidRDefault="007D55AB">
      <w:pPr>
        <w:pStyle w:val="Normal1"/>
        <w:pBdr>
          <w:top w:val="nil"/>
          <w:left w:val="nil"/>
          <w:bottom w:val="nil"/>
          <w:right w:val="nil"/>
          <w:between w:val="nil"/>
        </w:pBdr>
        <w:shd w:val="clear" w:color="auto" w:fill="FFFFFF"/>
        <w:spacing w:before="120" w:after="240" w:line="240" w:lineRule="auto"/>
        <w:jc w:val="center"/>
        <w:rPr>
          <w:rFonts w:ascii="Times New Roman" w:eastAsia="Times New Roman" w:hAnsi="Times New Roman" w:cs="Times New Roman"/>
          <w:color w:val="202122"/>
          <w:sz w:val="24"/>
          <w:szCs w:val="24"/>
        </w:rPr>
      </w:pPr>
      <w:r>
        <w:rPr>
          <w:rFonts w:ascii="Times New Roman" w:eastAsia="Times New Roman" w:hAnsi="Times New Roman" w:cs="Times New Roman"/>
          <w:noProof/>
          <w:color w:val="202122"/>
          <w:sz w:val="24"/>
          <w:szCs w:val="24"/>
        </w:rPr>
        <w:drawing>
          <wp:inline distT="0" distB="0" distL="0" distR="0">
            <wp:extent cx="4693737" cy="3276600"/>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15700" t="23491" r="5119" b="13983"/>
                    <a:stretch>
                      <a:fillRect/>
                    </a:stretch>
                  </pic:blipFill>
                  <pic:spPr>
                    <a:xfrm>
                      <a:off x="0" y="0"/>
                      <a:ext cx="4701607" cy="3282094"/>
                    </a:xfrm>
                    <a:prstGeom prst="rect">
                      <a:avLst/>
                    </a:prstGeom>
                    <a:ln/>
                  </pic:spPr>
                </pic:pic>
              </a:graphicData>
            </a:graphic>
          </wp:inline>
        </w:drawing>
      </w:r>
    </w:p>
    <w:p w:rsidR="00C305CE" w:rsidRDefault="00C305CE" w:rsidP="00C305CE">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1.Haryana's Indira Gandhi Super Thermal Power Project</w:t>
      </w:r>
    </w:p>
    <w:p w:rsidR="00573EA0" w:rsidRDefault="007D55AB">
      <w:pPr>
        <w:pStyle w:val="Normal1"/>
        <w:pBdr>
          <w:top w:val="nil"/>
          <w:left w:val="nil"/>
          <w:bottom w:val="nil"/>
          <w:right w:val="nil"/>
          <w:between w:val="nil"/>
        </w:pBd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 xml:space="preserve">3. Experimental Techniques </w:t>
      </w:r>
    </w:p>
    <w:p w:rsidR="00573EA0" w:rsidRDefault="007D55AB">
      <w:pPr>
        <w:pStyle w:val="Normal1"/>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Sampling</w:t>
      </w:r>
    </w:p>
    <w:p w:rsidR="00573EA0" w:rsidRPr="00FB79BF" w:rsidRDefault="007D55AB">
      <w:pPr>
        <w:pStyle w:val="Normal1"/>
        <w:pBdr>
          <w:top w:val="nil"/>
          <w:left w:val="nil"/>
          <w:bottom w:val="nil"/>
          <w:right w:val="nil"/>
          <w:between w:val="nil"/>
        </w:pBdr>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 Hand pumps, canals, tubewells, bowlis, and wells were sampled.  Water samples were carefully collected in polyethylene bottles pre washed with distilled water to avoid contamination.  Uranium, pH, and TDS were measured after filtering with 0.45 micron paper.</w:t>
      </w:r>
      <w:r w:rsidR="00FB79BF">
        <w:rPr>
          <w:rFonts w:ascii="Times New Roman" w:eastAsia="Times New Roman" w:hAnsi="Times New Roman" w:cs="Times New Roman"/>
          <w:color w:val="000000"/>
          <w:sz w:val="24"/>
          <w:szCs w:val="24"/>
          <w:lang w:val="id-ID"/>
        </w:rPr>
        <w:t xml:space="preserve">  Within 3 days of sampling TDS were measured </w:t>
      </w:r>
      <w:r w:rsidR="00597EB3">
        <w:rPr>
          <w:rFonts w:ascii="Times New Roman" w:eastAsia="Times New Roman" w:hAnsi="Times New Roman" w:cs="Times New Roman"/>
          <w:color w:val="000000"/>
          <w:sz w:val="24"/>
          <w:szCs w:val="24"/>
          <w:lang w:val="id-ID"/>
        </w:rPr>
        <w:t>and analyzed for uranium content.  All samples were collect during the month of May, 2024 and analyzed.</w:t>
      </w:r>
    </w:p>
    <w:p w:rsidR="00573EA0" w:rsidRDefault="007D55AB">
      <w:pPr>
        <w:pStyle w:val="Normal1"/>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Estimation of Uranium concentration</w:t>
      </w:r>
    </w:p>
    <w:p w:rsidR="00573EA0" w:rsidRDefault="007D55A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LED Fluorimeter is used to identify and count luminous compounds, including uranium.  It is detected and measured after using light emitting diodes as the excitation source to produce light at a designated wavelength, hence activating the fluorescent species.</w:t>
      </w:r>
    </w:p>
    <w:p w:rsidR="00573EA0" w:rsidRDefault="007D55A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Quantifying uranium is most sensitive and efficient with a detection limit of 0.5 µg/L to 1000 µg/L with an accuracy of ±10% or 0.05 µg/L. Kumar et al. (2016) report better reproducibility than ±5%. ICP-MS achieved precisions of ±5% RSD and similar degrees of accuracy (Rani et al., 2013).  Using an LED fluorimeter (Quantalase LF-2a), figure 2 displays the estimated uranium concentration of the gathered water samples.  Varied uranium complexes had varied fluorescence yields, thus Fluren was added to the sample to combine them.  </w:t>
      </w:r>
      <w:r w:rsidR="00597EB3">
        <w:rPr>
          <w:rFonts w:ascii="Times New Roman" w:eastAsia="Times New Roman" w:hAnsi="Times New Roman" w:cs="Times New Roman"/>
          <w:color w:val="000000"/>
          <w:sz w:val="24"/>
          <w:szCs w:val="24"/>
          <w:lang w:val="id-ID"/>
        </w:rPr>
        <w:t xml:space="preserve">Fluren (Fluorescence Enhancing Reagent) an inorganic reagent was added to convert all the complexes into a single form.  </w:t>
      </w:r>
      <w:r>
        <w:rPr>
          <w:rFonts w:ascii="Times New Roman" w:eastAsia="Times New Roman" w:hAnsi="Times New Roman" w:cs="Times New Roman"/>
          <w:color w:val="000000"/>
          <w:sz w:val="24"/>
          <w:szCs w:val="24"/>
        </w:rPr>
        <w:t>Using an ultra-low fluorescence fused silica cuvette, a 6 ml sample with 10% Fluren was analyzed for Uranium in the fluorimeter.</w:t>
      </w:r>
    </w:p>
    <w:p w:rsidR="00573EA0" w:rsidRDefault="00573EA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rsidR="00573EA0" w:rsidRDefault="00573EA0">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rsidR="00573EA0" w:rsidRDefault="008D29AD">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448050" cy="1913504"/>
            <wp:effectExtent l="19050" t="0" r="0" b="0"/>
            <wp:docPr id="2" name="Picture 1" descr="flourime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urimeter.jpg"/>
                    <pic:cNvPicPr/>
                  </pic:nvPicPr>
                  <pic:blipFill>
                    <a:blip r:embed="rId12"/>
                    <a:stretch>
                      <a:fillRect/>
                    </a:stretch>
                  </pic:blipFill>
                  <pic:spPr>
                    <a:xfrm>
                      <a:off x="0" y="0"/>
                      <a:ext cx="3452515" cy="1915982"/>
                    </a:xfrm>
                    <a:prstGeom prst="rect">
                      <a:avLst/>
                    </a:prstGeom>
                  </pic:spPr>
                </pic:pic>
              </a:graphicData>
            </a:graphic>
          </wp:inline>
        </w:drawing>
      </w:r>
    </w:p>
    <w:p w:rsidR="00573EA0" w:rsidRDefault="007D55A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Figure 2. </w:t>
      </w:r>
      <w:r>
        <w:rPr>
          <w:rFonts w:ascii="Times New Roman" w:eastAsia="Times New Roman" w:hAnsi="Times New Roman" w:cs="Times New Roman"/>
          <w:color w:val="000000"/>
          <w:sz w:val="24"/>
          <w:szCs w:val="24"/>
        </w:rPr>
        <w:t>LED Fluorimeter (Quantalase LF-2a)</w:t>
      </w:r>
      <w:r>
        <w:rPr>
          <w:rFonts w:ascii="Times New Roman" w:eastAsia="Times New Roman" w:hAnsi="Times New Roman" w:cs="Times New Roman"/>
          <w:sz w:val="24"/>
          <w:szCs w:val="24"/>
        </w:rPr>
        <w:t xml:space="preserve">. </w:t>
      </w:r>
    </w:p>
    <w:p w:rsidR="00573EA0" w:rsidRDefault="00573EA0">
      <w:pPr>
        <w:pStyle w:val="Normal1"/>
        <w:pBdr>
          <w:top w:val="nil"/>
          <w:left w:val="nil"/>
          <w:bottom w:val="nil"/>
          <w:right w:val="nil"/>
          <w:between w:val="nil"/>
        </w:pBdr>
        <w:rPr>
          <w:rFonts w:ascii="Times New Roman" w:eastAsia="Times New Roman" w:hAnsi="Times New Roman" w:cs="Times New Roman"/>
          <w:b/>
          <w:color w:val="000000"/>
          <w:sz w:val="24"/>
          <w:szCs w:val="24"/>
        </w:rPr>
      </w:pPr>
    </w:p>
    <w:p w:rsidR="00573EA0" w:rsidRDefault="007D55AB">
      <w:pPr>
        <w:pStyle w:val="Normal1"/>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Health Risk Assesment</w:t>
      </w:r>
    </w:p>
    <w:p w:rsidR="00573EA0" w:rsidRDefault="007D55AB">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research predicts lifelong average daily dosage and excess cancer risk (ECR).Uranium-generated ionizing radiation causes excess cancer risk, while chemicals produce LADD.  Chemical toxicity, not radioactivity, is uranium's biggest health risk.</w:t>
      </w:r>
    </w:p>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573EA0" w:rsidRDefault="007D55AB">
      <w:pPr>
        <w:pStyle w:val="Normal1"/>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3.3.1 Estimation of Excess Cancer Risk</w:t>
      </w:r>
    </w:p>
    <w:p w:rsidR="00573EA0" w:rsidRDefault="007D55AB">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Radiological risk—Extra cancer risk—assessed using these calculations</w:t>
      </w:r>
      <w:r>
        <w:rPr>
          <w:rFonts w:ascii="Times New Roman" w:eastAsia="Times New Roman" w:hAnsi="Times New Roman" w:cs="Times New Roman"/>
          <w:sz w:val="24"/>
          <w:szCs w:val="24"/>
        </w:rPr>
        <w:t xml:space="preserve">( EPA 2000). </w:t>
      </w:r>
    </w:p>
    <w:p w:rsidR="00573EA0" w:rsidRPr="008D29AD" w:rsidRDefault="007D55AB">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 xml:space="preserve">Ground Water Excess Cancer Risk </w:t>
      </w:r>
      <w:r w:rsidR="00C305CE">
        <w:rPr>
          <w:rFonts w:ascii="Times New Roman" w:eastAsia="Times New Roman" w:hAnsi="Times New Roman" w:cs="Times New Roman"/>
          <w:color w:val="000000"/>
          <w:sz w:val="24"/>
          <w:szCs w:val="24"/>
          <w:lang w:val="id-ID"/>
        </w:rPr>
        <w:t>= Uranium</w:t>
      </w:r>
      <w:r>
        <w:rPr>
          <w:rFonts w:ascii="Times New Roman" w:eastAsia="Times New Roman" w:hAnsi="Times New Roman" w:cs="Times New Roman"/>
          <w:color w:val="000000"/>
          <w:sz w:val="24"/>
          <w:szCs w:val="24"/>
        </w:rPr>
        <w:t xml:space="preserve"> Conc</w:t>
      </w:r>
      <w:r w:rsidR="00C305CE">
        <w:rPr>
          <w:rFonts w:ascii="Times New Roman" w:eastAsia="Times New Roman" w:hAnsi="Times New Roman" w:cs="Times New Roman"/>
          <w:color w:val="000000"/>
          <w:sz w:val="24"/>
          <w:szCs w:val="24"/>
          <w:lang w:val="id-ID"/>
        </w:rPr>
        <w:t>entration</w:t>
      </w:r>
      <w:r>
        <w:rPr>
          <w:rFonts w:ascii="Times New Roman" w:eastAsia="Times New Roman" w:hAnsi="Times New Roman" w:cs="Times New Roman"/>
          <w:color w:val="000000"/>
          <w:sz w:val="24"/>
          <w:szCs w:val="24"/>
        </w:rPr>
        <w:t xml:space="preserve"> x Risk Factor (Per </w:t>
      </w:r>
      <w:r w:rsidR="00185F66">
        <w:rPr>
          <w:rFonts w:ascii="Times New Roman" w:eastAsia="Times New Roman" w:hAnsi="Times New Roman" w:cs="Times New Roman"/>
          <w:color w:val="000000"/>
          <w:sz w:val="24"/>
          <w:szCs w:val="24"/>
        </w:rPr>
        <w:t>Bq/L)</w:t>
      </w:r>
      <w:r w:rsidR="008D29AD">
        <w:rPr>
          <w:rFonts w:ascii="Times New Roman" w:eastAsia="Times New Roman" w:hAnsi="Times New Roman" w:cs="Times New Roman"/>
          <w:color w:val="000000"/>
          <w:sz w:val="24"/>
          <w:szCs w:val="24"/>
          <w:lang w:val="id-ID"/>
        </w:rPr>
        <w:t xml:space="preserve"> (1)</w:t>
      </w:r>
    </w:p>
    <w:p w:rsidR="00573EA0" w:rsidRDefault="007D55AB">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w:t>
      </w:r>
      <w:r w:rsidR="00C305CE">
        <w:rPr>
          <w:rFonts w:ascii="Times New Roman" w:eastAsia="Times New Roman" w:hAnsi="Times New Roman" w:cs="Times New Roman"/>
          <w:color w:val="000000"/>
          <w:sz w:val="24"/>
          <w:szCs w:val="24"/>
          <w:lang w:val="id-ID"/>
        </w:rPr>
        <w:t xml:space="preserve">ranium </w:t>
      </w:r>
      <w:r>
        <w:rPr>
          <w:rFonts w:ascii="Times New Roman" w:eastAsia="Times New Roman" w:hAnsi="Times New Roman" w:cs="Times New Roman"/>
          <w:color w:val="000000"/>
          <w:sz w:val="24"/>
          <w:szCs w:val="24"/>
        </w:rPr>
        <w:t>value (μg/L) x conversion factor (0.025 Bq/L) Bq/L U</w:t>
      </w:r>
      <w:r w:rsidR="00C305CE">
        <w:rPr>
          <w:rFonts w:ascii="Times New Roman" w:eastAsia="Times New Roman" w:hAnsi="Times New Roman" w:cs="Times New Roman"/>
          <w:color w:val="000000"/>
          <w:sz w:val="24"/>
          <w:szCs w:val="24"/>
          <w:lang w:val="id-ID"/>
        </w:rPr>
        <w:t>ranium</w:t>
      </w:r>
      <w:r>
        <w:rPr>
          <w:rFonts w:ascii="Times New Roman" w:eastAsia="Times New Roman" w:hAnsi="Times New Roman" w:cs="Times New Roman"/>
          <w:color w:val="000000"/>
          <w:sz w:val="24"/>
          <w:szCs w:val="24"/>
        </w:rPr>
        <w:t xml:space="preserve"> Conc</w:t>
      </w:r>
      <w:r w:rsidR="00C305CE">
        <w:rPr>
          <w:rFonts w:ascii="Times New Roman" w:eastAsia="Times New Roman" w:hAnsi="Times New Roman" w:cs="Times New Roman"/>
          <w:color w:val="000000"/>
          <w:sz w:val="24"/>
          <w:szCs w:val="24"/>
          <w:lang w:val="id-ID"/>
        </w:rPr>
        <w:t>entration</w:t>
      </w:r>
      <w:r>
        <w:rPr>
          <w:rFonts w:ascii="Times New Roman" w:eastAsia="Times New Roman" w:hAnsi="Times New Roman" w:cs="Times New Roman"/>
          <w:color w:val="000000"/>
          <w:sz w:val="24"/>
          <w:szCs w:val="24"/>
        </w:rPr>
        <w:t>.</w:t>
      </w:r>
    </w:p>
    <w:p w:rsidR="00573EA0" w:rsidRPr="00185F66" w:rsidRDefault="007D55AB">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Risk factor is calculated by multiplying risk coefficient (Bq-1) by water intake rate (L/day</w:t>
      </w:r>
      <w:r w:rsidR="00185F66">
        <w:rPr>
          <w:rFonts w:ascii="Times New Roman" w:eastAsia="Times New Roman" w:hAnsi="Times New Roman" w:cs="Times New Roman"/>
          <w:color w:val="000000"/>
          <w:sz w:val="24"/>
          <w:szCs w:val="24"/>
        </w:rPr>
        <w:t>) and exposure period (days).</w:t>
      </w:r>
    </w:p>
    <w:p w:rsidR="00573EA0" w:rsidRDefault="00573EA0">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p>
    <w:p w:rsidR="00573EA0" w:rsidRDefault="007D55AB">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risk coefficients for death and morbidity were 1.19 and 1.84 x 10-9 Bq-1. Daily water consumption was 1.38 liters; exposure was 25,509 days.  Death and morbidity risk factors were 4.19 and 6.48 x 10-5, respectively. The variation in cancer mortality and morbidity was 2.51 x 10-6 to 1.96 x 10-4 and 4.27 x 10-6 to 3.03 x 10-3.</w:t>
      </w:r>
    </w:p>
    <w:p w:rsidR="00573EA0" w:rsidRDefault="00573EA0">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p>
    <w:p w:rsidR="00573EA0" w:rsidRDefault="00573EA0">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p>
    <w:p w:rsidR="00573EA0" w:rsidRDefault="00573EA0">
      <w:pPr>
        <w:pStyle w:val="Normal1"/>
        <w:widowControl w:val="0"/>
        <w:pBdr>
          <w:top w:val="nil"/>
          <w:left w:val="nil"/>
          <w:bottom w:val="nil"/>
          <w:right w:val="nil"/>
          <w:between w:val="nil"/>
        </w:pBdr>
        <w:spacing w:before="121" w:after="0" w:line="240" w:lineRule="auto"/>
        <w:ind w:left="234" w:right="213"/>
        <w:jc w:val="both"/>
        <w:rPr>
          <w:rFonts w:ascii="Times New Roman" w:eastAsia="Times New Roman" w:hAnsi="Times New Roman" w:cs="Times New Roman"/>
          <w:color w:val="000000"/>
          <w:sz w:val="24"/>
          <w:szCs w:val="24"/>
        </w:rPr>
      </w:pPr>
    </w:p>
    <w:p w:rsidR="00573EA0" w:rsidRDefault="007D55AB">
      <w:pPr>
        <w:pStyle w:val="Normal1"/>
        <w:widowControl w:val="0"/>
        <w:pBdr>
          <w:top w:val="nil"/>
          <w:left w:val="nil"/>
          <w:bottom w:val="nil"/>
          <w:right w:val="nil"/>
          <w:between w:val="nil"/>
        </w:pBdr>
        <w:spacing w:before="121" w:after="0" w:line="240" w:lineRule="auto"/>
        <w:ind w:right="21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3.3.2 Estimation of Life</w:t>
      </w:r>
      <w:r w:rsidR="00185F66">
        <w:rPr>
          <w:rFonts w:ascii="Times New Roman" w:eastAsia="Times New Roman" w:hAnsi="Times New Roman" w:cs="Times New Roman"/>
          <w:b/>
          <w:color w:val="000000"/>
          <w:sz w:val="24"/>
          <w:szCs w:val="24"/>
          <w:lang w:val="id-ID"/>
        </w:rPr>
        <w:t xml:space="preserve"> </w:t>
      </w:r>
      <w:r>
        <w:rPr>
          <w:rFonts w:ascii="Times New Roman" w:eastAsia="Times New Roman" w:hAnsi="Times New Roman" w:cs="Times New Roman"/>
          <w:b/>
          <w:color w:val="000000"/>
          <w:sz w:val="24"/>
          <w:szCs w:val="24"/>
        </w:rPr>
        <w:t>Time Average Daily Dose</w:t>
      </w: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material's chemical toxicity risk can be determined by LADD (Lifetime Average Daily Dose).  By</w:t>
      </w:r>
      <w:r>
        <w:rPr>
          <w:rFonts w:ascii="Times New Roman" w:eastAsia="Times New Roman" w:hAnsi="Times New Roman" w:cs="Times New Roman"/>
          <w:sz w:val="24"/>
          <w:szCs w:val="24"/>
        </w:rPr>
        <w:t>( W.H.O. 1998) for</w:t>
      </w:r>
      <w:r>
        <w:rPr>
          <w:rFonts w:ascii="Times New Roman" w:eastAsia="Times New Roman" w:hAnsi="Times New Roman" w:cs="Times New Roman"/>
          <w:color w:val="000000"/>
          <w:sz w:val="24"/>
          <w:szCs w:val="24"/>
        </w:rPr>
        <w:t xml:space="preserve"> estimation, use these formulas</w:t>
      </w:r>
    </w:p>
    <w:p w:rsidR="00573EA0" w:rsidRDefault="00573EA0">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LADD = Ci x IR </w:t>
      </w:r>
      <w:r w:rsidR="008D29AD">
        <w:rPr>
          <w:rFonts w:ascii="Times New Roman" w:eastAsia="Times New Roman" w:hAnsi="Times New Roman" w:cs="Times New Roman"/>
          <w:color w:val="000000"/>
          <w:sz w:val="24"/>
          <w:szCs w:val="24"/>
        </w:rPr>
        <w:t>x EF x LEBW x AT (μg/kg/Day) (</w:t>
      </w:r>
      <w:r w:rsidR="008D29AD">
        <w:rPr>
          <w:rFonts w:ascii="Times New Roman" w:eastAsia="Times New Roman" w:hAnsi="Times New Roman" w:cs="Times New Roman"/>
          <w:color w:val="000000"/>
          <w:sz w:val="24"/>
          <w:szCs w:val="24"/>
          <w:lang w:val="id-ID"/>
        </w:rPr>
        <w:t>2</w:t>
      </w:r>
      <w:r>
        <w:rPr>
          <w:rFonts w:ascii="Times New Roman" w:eastAsia="Times New Roman" w:hAnsi="Times New Roman" w:cs="Times New Roman"/>
          <w:color w:val="000000"/>
          <w:sz w:val="24"/>
          <w:szCs w:val="24"/>
        </w:rPr>
        <w:t>)</w:t>
      </w:r>
    </w:p>
    <w:p w:rsidR="00573EA0" w:rsidRDefault="00573EA0">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Assume 1.38 L/Day ing</w:t>
      </w:r>
      <w:r w:rsidR="008D29AD">
        <w:rPr>
          <w:rFonts w:ascii="Times New Roman" w:eastAsia="Times New Roman" w:hAnsi="Times New Roman" w:cs="Times New Roman"/>
          <w:color w:val="000000"/>
          <w:sz w:val="24"/>
          <w:szCs w:val="24"/>
        </w:rPr>
        <w:t>ested rate (IR). For equation (</w:t>
      </w:r>
      <w:r w:rsidR="008D29AD">
        <w:rPr>
          <w:rFonts w:ascii="Times New Roman" w:eastAsia="Times New Roman" w:hAnsi="Times New Roman" w:cs="Times New Roman"/>
          <w:color w:val="000000"/>
          <w:sz w:val="24"/>
          <w:szCs w:val="24"/>
          <w:lang w:val="id-ID"/>
        </w:rPr>
        <w:t>2</w:t>
      </w:r>
      <w:r>
        <w:rPr>
          <w:rFonts w:ascii="Times New Roman" w:eastAsia="Times New Roman" w:hAnsi="Times New Roman" w:cs="Times New Roman"/>
          <w:color w:val="000000"/>
          <w:sz w:val="24"/>
          <w:szCs w:val="24"/>
        </w:rPr>
        <w:t>), Ci represents the concentration of U in groundwater (μg/L). EF is exposure frequency—days/year—365 days. LE 69.89 years means years of life expectancy. BW is 70 kg. Average time is 25509 days</w:t>
      </w:r>
      <w:r>
        <w:rPr>
          <w:rFonts w:ascii="Times New Roman" w:eastAsia="Times New Roman" w:hAnsi="Times New Roman" w:cs="Times New Roman"/>
          <w:sz w:val="24"/>
          <w:szCs w:val="24"/>
        </w:rPr>
        <w:t>( W.H.O. 1998).</w:t>
      </w:r>
      <w:r>
        <w:rPr>
          <w:rFonts w:ascii="Times New Roman" w:eastAsia="Times New Roman" w:hAnsi="Times New Roman" w:cs="Times New Roman"/>
          <w:color w:val="000000"/>
          <w:sz w:val="24"/>
          <w:szCs w:val="24"/>
        </w:rPr>
        <w:t xml:space="preserve">  A chemical toxicity risk (LADD) range of 0.05-4.00 μg/kg/day was observed.  </w:t>
      </w:r>
    </w:p>
    <w:p w:rsidR="00573EA0" w:rsidRDefault="00573EA0">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p>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D33D41" w:rsidRDefault="00D33D4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73EA0" w:rsidRPr="005B6519" w:rsidRDefault="007D55AB">
      <w:pPr>
        <w:pStyle w:val="Normal1"/>
        <w:pBdr>
          <w:top w:val="nil"/>
          <w:left w:val="nil"/>
          <w:bottom w:val="nil"/>
          <w:right w:val="nil"/>
          <w:between w:val="nil"/>
        </w:pBdr>
        <w:rPr>
          <w:rFonts w:ascii="Times New Roman" w:eastAsia="Times New Roman" w:hAnsi="Times New Roman" w:cs="Times New Roman"/>
          <w:b/>
          <w:color w:val="000000"/>
          <w:sz w:val="28"/>
          <w:szCs w:val="28"/>
          <w:lang w:val="id-ID"/>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b/>
          <w:color w:val="000000"/>
          <w:sz w:val="28"/>
          <w:szCs w:val="28"/>
        </w:rPr>
        <w:t>.  Resul</w:t>
      </w:r>
      <w:r w:rsidR="005B6519">
        <w:rPr>
          <w:rFonts w:ascii="Times New Roman" w:eastAsia="Times New Roman" w:hAnsi="Times New Roman" w:cs="Times New Roman"/>
          <w:b/>
          <w:color w:val="000000"/>
          <w:sz w:val="28"/>
          <w:szCs w:val="28"/>
        </w:rPr>
        <w:t>ts</w:t>
      </w:r>
    </w:p>
    <w:p w:rsidR="00573EA0" w:rsidRDefault="007D55AB">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1 lists computed radiological risks and chemical hazards as well as concentration of Uranium for every water sample.  LED Fluorimeter (Quantalase LF-2a) analysis of the samples With mean value 47.59 µg/L and activity concentration (Ac) in the range (0.06 – 5.07) Bq/L with mean value 1.18 Bq/L and life time average daily dose (LADD) in the range 0.05 – 4, the concentration of Uranium varied from (2.64 – 202.9) µg/L.  </w:t>
      </w:r>
    </w:p>
    <w:p w:rsidR="00832249" w:rsidRDefault="007D55AB" w:rsidP="00D33D4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the 15 samples, 7 (47%) were determined to be less than 15 µg/L—the WHO 2004 acceptable limit</w:t>
      </w:r>
      <w:r>
        <w:rPr>
          <w:rFonts w:ascii="Times New Roman" w:eastAsia="Times New Roman" w:hAnsi="Times New Roman" w:cs="Times New Roman"/>
          <w:sz w:val="24"/>
          <w:szCs w:val="24"/>
        </w:rPr>
        <w:t>( W.H.O. 2004).</w:t>
      </w:r>
      <w:r>
        <w:rPr>
          <w:rFonts w:ascii="Times New Roman" w:eastAsia="Times New Roman" w:hAnsi="Times New Roman" w:cs="Times New Roman"/>
          <w:color w:val="000000"/>
          <w:sz w:val="24"/>
          <w:szCs w:val="24"/>
        </w:rPr>
        <w:t xml:space="preserve">  Four (27%) showed levels below 30 µg/L, the USEPA limit</w:t>
      </w:r>
      <w:r>
        <w:rPr>
          <w:rFonts w:ascii="Times New Roman" w:eastAsia="Times New Roman" w:hAnsi="Times New Roman" w:cs="Times New Roman"/>
          <w:sz w:val="24"/>
          <w:szCs w:val="24"/>
        </w:rPr>
        <w:t xml:space="preserve"> (USEPA 2012)</w:t>
      </w:r>
      <w:r>
        <w:rPr>
          <w:rFonts w:ascii="Times New Roman" w:eastAsia="Times New Roman" w:hAnsi="Times New Roman" w:cs="Times New Roman"/>
          <w:color w:val="000000"/>
          <w:sz w:val="24"/>
          <w:szCs w:val="24"/>
        </w:rPr>
        <w:t xml:space="preserve">.  Four out of 15 samples (26%) exceeded the allowable amount of 60 µg/L defined by AERB, DAE </w:t>
      </w:r>
      <w:r>
        <w:rPr>
          <w:rFonts w:ascii="Times New Roman" w:eastAsia="Times New Roman" w:hAnsi="Times New Roman" w:cs="Times New Roman"/>
          <w:sz w:val="24"/>
          <w:szCs w:val="24"/>
        </w:rPr>
        <w:t>(P.K.Ghosh et al., 2007).</w:t>
      </w:r>
      <w:r>
        <w:rPr>
          <w:rFonts w:ascii="Times New Roman" w:eastAsia="Times New Roman" w:hAnsi="Times New Roman" w:cs="Times New Roman"/>
          <w:color w:val="000000"/>
          <w:sz w:val="24"/>
          <w:szCs w:val="24"/>
        </w:rPr>
        <w:t xml:space="preserve">  Pie chart</w:t>
      </w:r>
    </w:p>
    <w:p w:rsidR="00540563" w:rsidRDefault="007D55AB" w:rsidP="00D33D41">
      <w:pPr>
        <w:pStyle w:val="Normal1"/>
        <w:pBdr>
          <w:top w:val="nil"/>
          <w:left w:val="nil"/>
          <w:bottom w:val="nil"/>
          <w:right w:val="nil"/>
          <w:between w:val="nil"/>
        </w:pBdr>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s in fig 3 show samples of various concentrations.</w:t>
      </w:r>
    </w:p>
    <w:p w:rsidR="00D33D41" w:rsidRPr="00D33D41" w:rsidRDefault="00D33D41" w:rsidP="00D33D41">
      <w:pPr>
        <w:pStyle w:val="Normal1"/>
        <w:pBdr>
          <w:top w:val="nil"/>
          <w:left w:val="nil"/>
          <w:bottom w:val="nil"/>
          <w:right w:val="nil"/>
          <w:between w:val="nil"/>
        </w:pBdr>
        <w:jc w:val="both"/>
        <w:rPr>
          <w:rFonts w:ascii="Times New Roman" w:eastAsia="Times New Roman" w:hAnsi="Times New Roman" w:cs="Times New Roman"/>
          <w:color w:val="000000"/>
          <w:sz w:val="24"/>
          <w:szCs w:val="24"/>
          <w:lang w:val="id-ID"/>
        </w:rPr>
      </w:pPr>
    </w:p>
    <w:p w:rsidR="00540563" w:rsidRDefault="00540563">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540563">
        <w:rPr>
          <w:rFonts w:ascii="Times New Roman" w:eastAsia="Times New Roman" w:hAnsi="Times New Roman" w:cs="Times New Roman"/>
          <w:noProof/>
          <w:color w:val="000000"/>
          <w:sz w:val="24"/>
          <w:szCs w:val="24"/>
        </w:rPr>
        <w:drawing>
          <wp:inline distT="0" distB="0" distL="0" distR="0">
            <wp:extent cx="5648325" cy="3533775"/>
            <wp:effectExtent l="19050" t="0" r="9525"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48325" cy="3533775"/>
                    </a:xfrm>
                    <a:prstGeom prst="rect">
                      <a:avLst/>
                    </a:prstGeom>
                    <a:ln/>
                  </pic:spPr>
                </pic:pic>
              </a:graphicData>
            </a:graphic>
          </wp:inline>
        </w:drawing>
      </w:r>
    </w:p>
    <w:p w:rsidR="00640AF1" w:rsidRDefault="00640AF1"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3. Pie Chart of different concentration of Uranium</w:t>
      </w:r>
    </w:p>
    <w:p w:rsidR="008261D4" w:rsidRDefault="008261D4"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lang w:val="id-ID"/>
        </w:rPr>
      </w:pPr>
    </w:p>
    <w:p w:rsidR="008261D4" w:rsidRDefault="008261D4"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lang w:val="id-ID"/>
        </w:rPr>
      </w:pPr>
    </w:p>
    <w:p w:rsidR="008261D4" w:rsidRDefault="008261D4"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lang w:val="id-ID"/>
        </w:rPr>
      </w:pPr>
    </w:p>
    <w:p w:rsidR="008261D4" w:rsidRDefault="008261D4"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lang w:val="id-ID"/>
        </w:rPr>
      </w:pPr>
    </w:p>
    <w:p w:rsidR="008261D4" w:rsidRDefault="008261D4"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lang w:val="id-ID"/>
        </w:rPr>
      </w:pPr>
    </w:p>
    <w:p w:rsidR="008261D4" w:rsidRDefault="008261D4"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lang w:val="id-ID"/>
        </w:rPr>
      </w:pPr>
    </w:p>
    <w:p w:rsidR="00573EA0" w:rsidRDefault="00540563" w:rsidP="00640AF1">
      <w:pPr>
        <w:pStyle w:val="Normal1"/>
        <w:widowControl w:val="0"/>
        <w:pBdr>
          <w:top w:val="nil"/>
          <w:left w:val="nil"/>
          <w:bottom w:val="nil"/>
          <w:right w:val="nil"/>
          <w:between w:val="nil"/>
        </w:pBdr>
        <w:tabs>
          <w:tab w:val="left" w:pos="3314"/>
        </w:tabs>
        <w:spacing w:before="114" w:after="0" w:line="240" w:lineRule="auto"/>
        <w:ind w:right="2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tbl>
      <w:tblPr>
        <w:tblStyle w:val="a"/>
        <w:tblpPr w:leftFromText="180" w:rightFromText="180" w:vertAnchor="page" w:horzAnchor="margin" w:tblpX="-601" w:tblpY="1331"/>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92"/>
        <w:gridCol w:w="850"/>
        <w:gridCol w:w="1276"/>
        <w:gridCol w:w="1276"/>
        <w:gridCol w:w="850"/>
        <w:gridCol w:w="993"/>
        <w:gridCol w:w="850"/>
        <w:gridCol w:w="851"/>
        <w:gridCol w:w="850"/>
        <w:gridCol w:w="851"/>
        <w:gridCol w:w="851"/>
      </w:tblGrid>
      <w:tr w:rsidR="00573EA0" w:rsidRPr="008261D4" w:rsidTr="001B019D">
        <w:trPr>
          <w:cantSplit/>
          <w:trHeight w:val="964"/>
          <w:tblHeader/>
        </w:trPr>
        <w:tc>
          <w:tcPr>
            <w:tcW w:w="9890" w:type="dxa"/>
            <w:gridSpan w:val="11"/>
            <w:tcBorders>
              <w:right w:val="single" w:sz="4" w:space="0" w:color="000000"/>
            </w:tcBorders>
          </w:tcPr>
          <w:p w:rsidR="001B019D"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lastRenderedPageBreak/>
              <w:t xml:space="preserve">Table </w:t>
            </w:r>
            <w:r w:rsidR="001B019D" w:rsidRPr="008261D4">
              <w:rPr>
                <w:rFonts w:ascii="Times New Roman" w:eastAsia="Times New Roman" w:hAnsi="Times New Roman" w:cs="Times New Roman"/>
                <w:b/>
                <w:color w:val="000000"/>
                <w:sz w:val="24"/>
                <w:szCs w:val="24"/>
              </w:rPr>
              <w:t>–</w:t>
            </w:r>
            <w:r w:rsidRPr="008261D4">
              <w:rPr>
                <w:rFonts w:ascii="Times New Roman" w:eastAsia="Times New Roman" w:hAnsi="Times New Roman" w:cs="Times New Roman"/>
                <w:b/>
                <w:color w:val="000000"/>
                <w:sz w:val="24"/>
                <w:szCs w:val="24"/>
              </w:rPr>
              <w:t xml:space="preserve"> 1</w:t>
            </w:r>
          </w:p>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t>Concentration of Uranium, computed radiological and chemical hazards per water sample around Indira Gandhi Super Thermal Power Project (Jharli) India</w:t>
            </w:r>
          </w:p>
        </w:tc>
      </w:tr>
      <w:tr w:rsidR="00573EA0" w:rsidRPr="008261D4" w:rsidTr="001B019D">
        <w:trPr>
          <w:cantSplit/>
          <w:tblHeader/>
        </w:trPr>
        <w:tc>
          <w:tcPr>
            <w:tcW w:w="392" w:type="dxa"/>
            <w:vMerge w:val="restart"/>
          </w:tcPr>
          <w:p w:rsidR="00573EA0" w:rsidRPr="008938A2" w:rsidRDefault="007D55AB" w:rsidP="008938A2">
            <w:pPr>
              <w:pStyle w:val="Normal1"/>
              <w:pBdr>
                <w:top w:val="nil"/>
                <w:left w:val="nil"/>
                <w:bottom w:val="nil"/>
                <w:right w:val="nil"/>
                <w:between w:val="nil"/>
              </w:pBdr>
              <w:ind w:left="-142" w:right="-108"/>
              <w:jc w:val="center"/>
              <w:rPr>
                <w:rFonts w:ascii="Times New Roman" w:eastAsia="Times New Roman" w:hAnsi="Times New Roman" w:cs="Times New Roman"/>
                <w:b/>
                <w:color w:val="000000"/>
                <w:sz w:val="20"/>
                <w:szCs w:val="20"/>
              </w:rPr>
            </w:pPr>
            <w:r w:rsidRPr="008938A2">
              <w:rPr>
                <w:rFonts w:ascii="Times New Roman" w:eastAsia="Times New Roman" w:hAnsi="Times New Roman" w:cs="Times New Roman"/>
                <w:b/>
                <w:color w:val="000000"/>
                <w:sz w:val="20"/>
                <w:szCs w:val="20"/>
              </w:rPr>
              <w:t>Sr No</w:t>
            </w:r>
          </w:p>
        </w:tc>
        <w:tc>
          <w:tcPr>
            <w:tcW w:w="850" w:type="dxa"/>
            <w:vMerge w:val="restart"/>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t xml:space="preserve">Label of </w:t>
            </w:r>
            <w:r w:rsidRPr="008938A2">
              <w:rPr>
                <w:rFonts w:ascii="Times New Roman" w:eastAsia="Times New Roman" w:hAnsi="Times New Roman" w:cs="Times New Roman"/>
                <w:b/>
                <w:color w:val="000000"/>
                <w:sz w:val="20"/>
                <w:szCs w:val="20"/>
              </w:rPr>
              <w:t>Sample</w:t>
            </w:r>
          </w:p>
        </w:tc>
        <w:tc>
          <w:tcPr>
            <w:tcW w:w="2552" w:type="dxa"/>
            <w:gridSpan w:val="2"/>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8261D4">
              <w:rPr>
                <w:rFonts w:ascii="Times New Roman" w:eastAsia="Times New Roman" w:hAnsi="Times New Roman" w:cs="Times New Roman"/>
                <w:b/>
                <w:color w:val="000000"/>
                <w:sz w:val="24"/>
                <w:szCs w:val="24"/>
              </w:rPr>
              <w:t>GPS Location</w:t>
            </w:r>
          </w:p>
        </w:tc>
        <w:tc>
          <w:tcPr>
            <w:tcW w:w="850" w:type="dxa"/>
            <w:vMerge w:val="restart"/>
            <w:tcBorders>
              <w:righ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8261D4">
              <w:rPr>
                <w:rFonts w:ascii="Times New Roman" w:eastAsia="Times New Roman" w:hAnsi="Times New Roman" w:cs="Times New Roman"/>
                <w:b/>
                <w:color w:val="000000"/>
                <w:sz w:val="24"/>
                <w:szCs w:val="24"/>
              </w:rPr>
              <w:t>Conc. of U</w:t>
            </w:r>
          </w:p>
          <w:p w:rsidR="00573EA0" w:rsidRPr="008938A2"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sidRPr="008938A2">
              <w:rPr>
                <w:rFonts w:ascii="Times New Roman" w:eastAsia="Times New Roman" w:hAnsi="Times New Roman" w:cs="Times New Roman"/>
                <w:b/>
                <w:color w:val="000000"/>
                <w:sz w:val="20"/>
                <w:szCs w:val="20"/>
              </w:rPr>
              <w:t>(</w:t>
            </w:r>
            <w:r w:rsidRPr="008938A2">
              <w:rPr>
                <w:rFonts w:ascii="Times New Roman" w:eastAsia="Times New Roman" w:hAnsi="Times New Roman" w:cs="Times New Roman"/>
                <w:color w:val="000000"/>
                <w:sz w:val="20"/>
                <w:szCs w:val="20"/>
              </w:rPr>
              <w:t>µg/L)</w:t>
            </w:r>
          </w:p>
        </w:tc>
        <w:tc>
          <w:tcPr>
            <w:tcW w:w="993" w:type="dxa"/>
            <w:vMerge w:val="restart"/>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rPr>
            </w:pPr>
            <w:r w:rsidRPr="008261D4">
              <w:rPr>
                <w:rFonts w:ascii="Times New Roman" w:eastAsia="Times New Roman" w:hAnsi="Times New Roman" w:cs="Times New Roman"/>
                <w:b/>
                <w:color w:val="000000"/>
                <w:sz w:val="24"/>
                <w:szCs w:val="24"/>
              </w:rPr>
              <w:t>Ac</w:t>
            </w:r>
          </w:p>
          <w:p w:rsidR="008938A2" w:rsidRDefault="008938A2" w:rsidP="00FA633E">
            <w:pPr>
              <w:pStyle w:val="Normal1"/>
              <w:pBdr>
                <w:top w:val="nil"/>
                <w:left w:val="nil"/>
                <w:bottom w:val="nil"/>
                <w:right w:val="nil"/>
                <w:between w:val="nil"/>
              </w:pBdr>
              <w:jc w:val="center"/>
              <w:rPr>
                <w:rFonts w:ascii="Times New Roman" w:eastAsia="Times New Roman" w:hAnsi="Times New Roman" w:cs="Times New Roman"/>
                <w:b/>
                <w:color w:val="000000"/>
                <w:sz w:val="20"/>
                <w:szCs w:val="20"/>
                <w:lang w:val="id-ID"/>
              </w:rPr>
            </w:pPr>
          </w:p>
          <w:p w:rsidR="00573EA0" w:rsidRPr="008938A2"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0"/>
                <w:szCs w:val="20"/>
              </w:rPr>
            </w:pPr>
            <w:r w:rsidRPr="008938A2">
              <w:rPr>
                <w:rFonts w:ascii="Times New Roman" w:eastAsia="Times New Roman" w:hAnsi="Times New Roman" w:cs="Times New Roman"/>
                <w:b/>
                <w:color w:val="000000"/>
                <w:sz w:val="20"/>
                <w:szCs w:val="20"/>
              </w:rPr>
              <w:t>(Bq/L)</w:t>
            </w:r>
          </w:p>
        </w:tc>
        <w:tc>
          <w:tcPr>
            <w:tcW w:w="850" w:type="dxa"/>
            <w:vMerge w:val="restart"/>
            <w:tcBorders>
              <w:left w:val="single" w:sz="4" w:space="0" w:color="000000"/>
            </w:tcBorders>
          </w:tcPr>
          <w:p w:rsidR="008938A2" w:rsidRDefault="007D55AB" w:rsidP="008938A2">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t xml:space="preserve">R </w:t>
            </w:r>
          </w:p>
          <w:p w:rsidR="008938A2" w:rsidRDefault="008938A2" w:rsidP="008938A2">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p>
          <w:p w:rsidR="00573EA0" w:rsidRPr="008938A2" w:rsidRDefault="007D55AB" w:rsidP="008938A2">
            <w:pPr>
              <w:pStyle w:val="Normal1"/>
              <w:pBdr>
                <w:top w:val="nil"/>
                <w:left w:val="nil"/>
                <w:bottom w:val="nil"/>
                <w:right w:val="nil"/>
                <w:between w:val="nil"/>
              </w:pBdr>
              <w:ind w:left="-108" w:right="-108"/>
              <w:jc w:val="center"/>
              <w:rPr>
                <w:rFonts w:ascii="Times New Roman" w:eastAsia="Times New Roman" w:hAnsi="Times New Roman" w:cs="Times New Roman"/>
                <w:b/>
                <w:color w:val="000000"/>
                <w:sz w:val="24"/>
                <w:szCs w:val="24"/>
                <w:lang w:val="id-ID"/>
              </w:rPr>
            </w:pPr>
            <w:r w:rsidRPr="008938A2">
              <w:rPr>
                <w:rFonts w:ascii="Times New Roman" w:eastAsia="Times New Roman" w:hAnsi="Times New Roman" w:cs="Times New Roman"/>
                <w:b/>
                <w:color w:val="000000"/>
                <w:sz w:val="18"/>
                <w:szCs w:val="14"/>
              </w:rPr>
              <w:t>Mortality</w:t>
            </w:r>
          </w:p>
        </w:tc>
        <w:tc>
          <w:tcPr>
            <w:tcW w:w="851" w:type="dxa"/>
            <w:vMerge w:val="restart"/>
            <w:tcBorders>
              <w:left w:val="single" w:sz="4" w:space="0" w:color="000000"/>
            </w:tcBorders>
          </w:tcPr>
          <w:p w:rsidR="008938A2"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t xml:space="preserve">R </w:t>
            </w:r>
          </w:p>
          <w:p w:rsidR="008938A2" w:rsidRDefault="008938A2"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p>
          <w:p w:rsidR="00573EA0" w:rsidRPr="008261D4" w:rsidRDefault="007D55AB" w:rsidP="008938A2">
            <w:pPr>
              <w:pStyle w:val="Normal1"/>
              <w:pBdr>
                <w:top w:val="nil"/>
                <w:left w:val="nil"/>
                <w:bottom w:val="nil"/>
                <w:right w:val="nil"/>
                <w:between w:val="nil"/>
              </w:pBdr>
              <w:ind w:left="-108" w:right="-108"/>
              <w:jc w:val="center"/>
              <w:rPr>
                <w:rFonts w:ascii="Times New Roman" w:eastAsia="Times New Roman" w:hAnsi="Times New Roman" w:cs="Times New Roman"/>
                <w:b/>
                <w:color w:val="000000"/>
                <w:sz w:val="24"/>
                <w:szCs w:val="24"/>
              </w:rPr>
            </w:pPr>
            <w:r w:rsidRPr="008938A2">
              <w:rPr>
                <w:rFonts w:ascii="Times New Roman" w:eastAsia="Times New Roman" w:hAnsi="Times New Roman" w:cs="Times New Roman"/>
                <w:b/>
                <w:color w:val="000000"/>
                <w:sz w:val="18"/>
                <w:szCs w:val="14"/>
              </w:rPr>
              <w:t>Morbility</w:t>
            </w:r>
          </w:p>
        </w:tc>
        <w:tc>
          <w:tcPr>
            <w:tcW w:w="850" w:type="dxa"/>
            <w:vMerge w:val="restart"/>
            <w:tcBorders>
              <w:left w:val="single" w:sz="4" w:space="0" w:color="000000"/>
            </w:tcBorders>
          </w:tcPr>
          <w:p w:rsidR="008938A2"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t xml:space="preserve">ECR </w:t>
            </w:r>
          </w:p>
          <w:p w:rsidR="008938A2" w:rsidRDefault="008938A2"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p>
          <w:p w:rsidR="00573EA0" w:rsidRPr="008261D4" w:rsidRDefault="007D55AB" w:rsidP="008938A2">
            <w:pPr>
              <w:pStyle w:val="Normal1"/>
              <w:pBdr>
                <w:top w:val="nil"/>
                <w:left w:val="nil"/>
                <w:bottom w:val="nil"/>
                <w:right w:val="nil"/>
                <w:between w:val="nil"/>
              </w:pBdr>
              <w:ind w:left="-108" w:right="-108"/>
              <w:jc w:val="center"/>
              <w:rPr>
                <w:rFonts w:ascii="Times New Roman" w:eastAsia="Times New Roman" w:hAnsi="Times New Roman" w:cs="Times New Roman"/>
                <w:b/>
                <w:color w:val="000000"/>
                <w:sz w:val="24"/>
                <w:szCs w:val="24"/>
              </w:rPr>
            </w:pPr>
            <w:r w:rsidRPr="008938A2">
              <w:rPr>
                <w:rFonts w:ascii="Times New Roman" w:eastAsia="Times New Roman" w:hAnsi="Times New Roman" w:cs="Times New Roman"/>
                <w:b/>
                <w:color w:val="000000"/>
                <w:sz w:val="18"/>
                <w:szCs w:val="14"/>
              </w:rPr>
              <w:t>Mortality</w:t>
            </w:r>
          </w:p>
        </w:tc>
        <w:tc>
          <w:tcPr>
            <w:tcW w:w="851" w:type="dxa"/>
            <w:vMerge w:val="restart"/>
            <w:tcBorders>
              <w:left w:val="single" w:sz="4" w:space="0" w:color="000000"/>
            </w:tcBorders>
          </w:tcPr>
          <w:p w:rsidR="008938A2"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r w:rsidRPr="008261D4">
              <w:rPr>
                <w:rFonts w:ascii="Times New Roman" w:eastAsia="Times New Roman" w:hAnsi="Times New Roman" w:cs="Times New Roman"/>
                <w:b/>
                <w:color w:val="000000"/>
                <w:sz w:val="24"/>
                <w:szCs w:val="24"/>
              </w:rPr>
              <w:t xml:space="preserve">ECR </w:t>
            </w:r>
          </w:p>
          <w:p w:rsidR="008938A2" w:rsidRDefault="008938A2" w:rsidP="00FA633E">
            <w:pPr>
              <w:pStyle w:val="Normal1"/>
              <w:pBdr>
                <w:top w:val="nil"/>
                <w:left w:val="nil"/>
                <w:bottom w:val="nil"/>
                <w:right w:val="nil"/>
                <w:between w:val="nil"/>
              </w:pBdr>
              <w:jc w:val="center"/>
              <w:rPr>
                <w:rFonts w:ascii="Times New Roman" w:eastAsia="Times New Roman" w:hAnsi="Times New Roman" w:cs="Times New Roman"/>
                <w:b/>
                <w:color w:val="000000"/>
                <w:sz w:val="24"/>
                <w:szCs w:val="24"/>
                <w:lang w:val="id-ID"/>
              </w:rPr>
            </w:pPr>
          </w:p>
          <w:p w:rsidR="00573EA0" w:rsidRPr="008261D4" w:rsidRDefault="007D55AB" w:rsidP="008938A2">
            <w:pPr>
              <w:pStyle w:val="Normal1"/>
              <w:pBdr>
                <w:top w:val="nil"/>
                <w:left w:val="nil"/>
                <w:bottom w:val="nil"/>
                <w:right w:val="nil"/>
                <w:between w:val="nil"/>
              </w:pBdr>
              <w:ind w:left="-108" w:right="-108"/>
              <w:jc w:val="center"/>
              <w:rPr>
                <w:rFonts w:ascii="Times New Roman" w:eastAsia="Times New Roman" w:hAnsi="Times New Roman" w:cs="Times New Roman"/>
                <w:b/>
                <w:color w:val="000000"/>
                <w:sz w:val="24"/>
                <w:szCs w:val="24"/>
              </w:rPr>
            </w:pPr>
            <w:r w:rsidRPr="008938A2">
              <w:rPr>
                <w:rFonts w:ascii="Times New Roman" w:eastAsia="Times New Roman" w:hAnsi="Times New Roman" w:cs="Times New Roman"/>
                <w:b/>
                <w:color w:val="000000"/>
                <w:sz w:val="18"/>
                <w:szCs w:val="14"/>
              </w:rPr>
              <w:t>Morbility</w:t>
            </w:r>
          </w:p>
        </w:tc>
        <w:tc>
          <w:tcPr>
            <w:tcW w:w="851" w:type="dxa"/>
            <w:vMerge w:val="restart"/>
            <w:tcBorders>
              <w:left w:val="single" w:sz="4" w:space="0" w:color="000000"/>
            </w:tcBorders>
          </w:tcPr>
          <w:p w:rsidR="008938A2" w:rsidRDefault="007D55AB" w:rsidP="00FA633E">
            <w:pPr>
              <w:pStyle w:val="Normal1"/>
              <w:pBdr>
                <w:top w:val="nil"/>
                <w:left w:val="nil"/>
                <w:bottom w:val="nil"/>
                <w:right w:val="nil"/>
                <w:between w:val="nil"/>
              </w:pBdr>
              <w:jc w:val="center"/>
              <w:rPr>
                <w:rFonts w:ascii="Times New Roman" w:eastAsia="Times New Roman" w:hAnsi="Times New Roman" w:cs="Times New Roman"/>
                <w:b/>
                <w:color w:val="000000"/>
                <w:sz w:val="20"/>
                <w:szCs w:val="20"/>
                <w:lang w:val="id-ID"/>
              </w:rPr>
            </w:pPr>
            <w:r w:rsidRPr="008938A2">
              <w:rPr>
                <w:rFonts w:ascii="Times New Roman" w:eastAsia="Times New Roman" w:hAnsi="Times New Roman" w:cs="Times New Roman"/>
                <w:b/>
                <w:color w:val="000000"/>
                <w:sz w:val="20"/>
                <w:szCs w:val="20"/>
              </w:rPr>
              <w:t xml:space="preserve">LADD  </w:t>
            </w:r>
          </w:p>
          <w:p w:rsidR="008938A2" w:rsidRDefault="008938A2" w:rsidP="00FA633E">
            <w:pPr>
              <w:pStyle w:val="Normal1"/>
              <w:pBdr>
                <w:top w:val="nil"/>
                <w:left w:val="nil"/>
                <w:bottom w:val="nil"/>
                <w:right w:val="nil"/>
                <w:between w:val="nil"/>
              </w:pBdr>
              <w:jc w:val="center"/>
              <w:rPr>
                <w:rFonts w:ascii="Times New Roman" w:eastAsia="Times New Roman" w:hAnsi="Times New Roman" w:cs="Times New Roman"/>
                <w:b/>
                <w:color w:val="000000"/>
                <w:sz w:val="20"/>
                <w:szCs w:val="20"/>
                <w:lang w:val="id-ID"/>
              </w:rPr>
            </w:pPr>
          </w:p>
          <w:p w:rsidR="008938A2" w:rsidRDefault="008938A2" w:rsidP="008938A2">
            <w:pPr>
              <w:pStyle w:val="Normal1"/>
              <w:pBdr>
                <w:top w:val="nil"/>
                <w:left w:val="nil"/>
                <w:bottom w:val="nil"/>
                <w:right w:val="nil"/>
                <w:between w:val="nil"/>
              </w:pBdr>
              <w:ind w:left="-108" w:right="-107"/>
              <w:rPr>
                <w:rFonts w:ascii="Times New Roman" w:eastAsia="Times New Roman" w:hAnsi="Times New Roman" w:cs="Times New Roman"/>
                <w:b/>
                <w:color w:val="000000"/>
                <w:sz w:val="16"/>
                <w:szCs w:val="20"/>
                <w:lang w:val="id-ID"/>
              </w:rPr>
            </w:pPr>
          </w:p>
          <w:p w:rsidR="00573EA0" w:rsidRPr="008938A2" w:rsidRDefault="007D55AB" w:rsidP="008938A2">
            <w:pPr>
              <w:pStyle w:val="Normal1"/>
              <w:pBdr>
                <w:top w:val="nil"/>
                <w:left w:val="nil"/>
                <w:bottom w:val="nil"/>
                <w:right w:val="nil"/>
                <w:between w:val="nil"/>
              </w:pBdr>
              <w:ind w:left="-108" w:right="-107"/>
              <w:rPr>
                <w:rFonts w:ascii="Times New Roman" w:eastAsia="Times New Roman" w:hAnsi="Times New Roman" w:cs="Times New Roman"/>
                <w:b/>
                <w:color w:val="000000"/>
                <w:sz w:val="20"/>
                <w:szCs w:val="20"/>
              </w:rPr>
            </w:pPr>
            <w:r w:rsidRPr="008938A2">
              <w:rPr>
                <w:rFonts w:ascii="Times New Roman" w:eastAsia="Times New Roman" w:hAnsi="Times New Roman" w:cs="Times New Roman"/>
                <w:b/>
                <w:color w:val="000000"/>
                <w:sz w:val="16"/>
                <w:szCs w:val="20"/>
              </w:rPr>
              <w:t>(</w:t>
            </w:r>
            <w:r w:rsidRPr="008938A2">
              <w:rPr>
                <w:rFonts w:ascii="Times New Roman" w:eastAsia="Times New Roman" w:hAnsi="Times New Roman" w:cs="Times New Roman"/>
                <w:color w:val="000000"/>
                <w:sz w:val="16"/>
                <w:szCs w:val="20"/>
              </w:rPr>
              <w:t>µg/kg/day)</w:t>
            </w:r>
          </w:p>
        </w:tc>
      </w:tr>
      <w:tr w:rsidR="00573EA0" w:rsidRPr="008261D4" w:rsidTr="008938A2">
        <w:trPr>
          <w:cantSplit/>
          <w:trHeight w:val="573"/>
          <w:tblHeader/>
        </w:trPr>
        <w:tc>
          <w:tcPr>
            <w:tcW w:w="392" w:type="dxa"/>
            <w:vMerge/>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50" w:type="dxa"/>
            <w:vMerge/>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b/>
                <w:color w:val="000000"/>
                <w:sz w:val="24"/>
                <w:szCs w:val="24"/>
              </w:rPr>
            </w:pPr>
            <w:r w:rsidRPr="008261D4">
              <w:rPr>
                <w:rFonts w:ascii="Times New Roman" w:eastAsia="Times New Roman" w:hAnsi="Times New Roman" w:cs="Times New Roman"/>
                <w:b/>
                <w:color w:val="000000"/>
                <w:sz w:val="24"/>
                <w:szCs w:val="24"/>
              </w:rPr>
              <w:t>Latitude</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b/>
                <w:color w:val="000000"/>
                <w:sz w:val="24"/>
                <w:szCs w:val="24"/>
              </w:rPr>
            </w:pPr>
            <w:r w:rsidRPr="008261D4">
              <w:rPr>
                <w:rFonts w:ascii="Times New Roman" w:eastAsia="Times New Roman" w:hAnsi="Times New Roman" w:cs="Times New Roman"/>
                <w:b/>
                <w:color w:val="000000"/>
                <w:sz w:val="24"/>
                <w:szCs w:val="24"/>
              </w:rPr>
              <w:t>Longitude</w:t>
            </w:r>
          </w:p>
        </w:tc>
        <w:tc>
          <w:tcPr>
            <w:tcW w:w="850" w:type="dxa"/>
            <w:vMerge/>
            <w:tcBorders>
              <w:righ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993" w:type="dxa"/>
            <w:vMerge/>
            <w:tcBorders>
              <w:lef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50" w:type="dxa"/>
            <w:vMerge/>
            <w:tcBorders>
              <w:lef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51" w:type="dxa"/>
            <w:vMerge/>
            <w:tcBorders>
              <w:lef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50" w:type="dxa"/>
            <w:vMerge/>
            <w:tcBorders>
              <w:lef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51" w:type="dxa"/>
            <w:vMerge/>
            <w:tcBorders>
              <w:lef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51" w:type="dxa"/>
            <w:vMerge/>
            <w:tcBorders>
              <w:left w:val="single" w:sz="4" w:space="0" w:color="000000"/>
            </w:tcBorders>
          </w:tcPr>
          <w:p w:rsidR="00573EA0" w:rsidRPr="008261D4" w:rsidRDefault="00573EA0" w:rsidP="00FA633E">
            <w:pPr>
              <w:pStyle w:val="Normal1"/>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573EA0" w:rsidRPr="008261D4" w:rsidTr="008261D4">
        <w:trPr>
          <w:cantSplit/>
          <w:trHeight w:val="580"/>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28°29'44.9"N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76°21'42.1"E</w:t>
            </w:r>
          </w:p>
        </w:tc>
        <w:tc>
          <w:tcPr>
            <w:tcW w:w="850" w:type="dxa"/>
            <w:tcBorders>
              <w:righ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94.46</w:t>
            </w:r>
          </w:p>
        </w:tc>
        <w:tc>
          <w:tcPr>
            <w:tcW w:w="993" w:type="dxa"/>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2.36</w:t>
            </w:r>
          </w:p>
        </w:tc>
        <w:tc>
          <w:tcPr>
            <w:tcW w:w="850" w:type="dxa"/>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9.88 E-05</w:t>
            </w:r>
          </w:p>
        </w:tc>
        <w:tc>
          <w:tcPr>
            <w:tcW w:w="851" w:type="dxa"/>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1.52 E-04</w:t>
            </w:r>
          </w:p>
        </w:tc>
        <w:tc>
          <w:tcPr>
            <w:tcW w:w="851" w:type="dxa"/>
            <w:tcBorders>
              <w:left w:val="single" w:sz="4" w:space="0" w:color="000000"/>
            </w:tcBorders>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1.86</w:t>
            </w:r>
          </w:p>
        </w:tc>
      </w:tr>
      <w:tr w:rsidR="00573EA0" w:rsidRPr="008261D4" w:rsidTr="008261D4">
        <w:trPr>
          <w:cantSplit/>
          <w:trHeight w:val="579"/>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S-2</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28°30'36.3"N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76°22'15.1"E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6.619</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0.16</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6.70 E-06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1.03 E-05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0.13</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S-3</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28°30'48.1"N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76°21'32.2"E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14.24</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0.35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1.46 E-05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2.27 E-04</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0.28</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S-4</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28°29'34.4"N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76°21'35.6"E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187.2</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4.68</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1.96 E-04</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3.03 E-03</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3.69</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S-5</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28°31'05.6"N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76°21'57.6"E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6.56</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0.16</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6.70 E-06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1.03 E-05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0.13</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S-6</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28°29'54.7"N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76°21'10.6"E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21.42</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0.53</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2.22 E-05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3.43 E-05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0.42</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S-7</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28°30'03.4"N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76°20'53.7"E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12.48</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0.31</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1.29 E-05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2.00 E-05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0.25</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S-8</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28°28'21.6"N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76°20'19.6"E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17.64</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0.44</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1.84 E-05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2.85 E-05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0.35</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S-9</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28°28'39.5"N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76°24'12.2"E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24.43</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0.61</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2.55 E-05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3.95 E-05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0.48</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S-10</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28°27'46.6"N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76°22'40.6"E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27.61</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0.69</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2.89 E-05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4.47 E-05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0.54</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S-11</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28°29'56.0"N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76°23'04.3"E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86.32</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2.15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9.00 E-05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1.39 E-04</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1.70</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S-12</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28°28'28.2"N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76°21'22.4"E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202.9</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5.07</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2.12 E-04</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3.29 E-04</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4.00</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S-13</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28°27'45.9"N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76°21'30.3"E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2.96</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0.07</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2.93 E-06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4.53 E-06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0.06</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S-14</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28°29'27.9"N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76°22'47.7"E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2.64</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0.06</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2.51 E-06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4.27 E-06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0.05</w:t>
            </w:r>
          </w:p>
        </w:tc>
      </w:tr>
      <w:tr w:rsidR="00573EA0" w:rsidRPr="008261D4" w:rsidTr="001B019D">
        <w:trPr>
          <w:cantSplit/>
          <w:tblHeader/>
        </w:trPr>
        <w:tc>
          <w:tcPr>
            <w:tcW w:w="392" w:type="dxa"/>
          </w:tcPr>
          <w:p w:rsidR="00573EA0" w:rsidRPr="008261D4" w:rsidRDefault="00573EA0" w:rsidP="00FA633E">
            <w:pPr>
              <w:pStyle w:val="Normal1"/>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S-15</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 xml:space="preserve">28°30'31.8"N </w:t>
            </w:r>
          </w:p>
        </w:tc>
        <w:tc>
          <w:tcPr>
            <w:tcW w:w="1276" w:type="dxa"/>
          </w:tcPr>
          <w:p w:rsidR="00573EA0" w:rsidRPr="008261D4" w:rsidRDefault="007D55AB" w:rsidP="00FA633E">
            <w:pPr>
              <w:pStyle w:val="Normal1"/>
              <w:pBdr>
                <w:top w:val="nil"/>
                <w:left w:val="nil"/>
                <w:bottom w:val="nil"/>
                <w:right w:val="nil"/>
                <w:between w:val="nil"/>
              </w:pBdr>
              <w:shd w:val="clear" w:color="auto" w:fill="FFFFFF"/>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76°22'30.5"E</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6.26</w:t>
            </w:r>
          </w:p>
        </w:tc>
        <w:tc>
          <w:tcPr>
            <w:tcW w:w="993"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0.15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4.19 E-05</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6.48 E-05</w:t>
            </w:r>
          </w:p>
        </w:tc>
        <w:tc>
          <w:tcPr>
            <w:tcW w:w="850"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6.28 E-06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9.71 E-06</w:t>
            </w:r>
          </w:p>
        </w:tc>
        <w:tc>
          <w:tcPr>
            <w:tcW w:w="851" w:type="dxa"/>
          </w:tcPr>
          <w:p w:rsidR="00573EA0" w:rsidRPr="008261D4" w:rsidRDefault="007D55AB" w:rsidP="00FA633E">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r w:rsidRPr="008261D4">
              <w:rPr>
                <w:rFonts w:ascii="Times New Roman" w:eastAsia="Times New Roman" w:hAnsi="Times New Roman" w:cs="Times New Roman"/>
                <w:color w:val="000000"/>
                <w:sz w:val="24"/>
                <w:szCs w:val="24"/>
              </w:rPr>
              <w:t>0.12</w:t>
            </w:r>
          </w:p>
        </w:tc>
      </w:tr>
    </w:tbl>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4C6C31" w:rsidRDefault="004C6C3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8938A2" w:rsidRDefault="008938A2"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p>
    <w:p w:rsidR="00640AF1" w:rsidRDefault="00640AF1" w:rsidP="00640AF1">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Concentration of Uranium varying in the range 2.64 μg/L to 202.9 μg/L is shown by the fig 4 below:</w:t>
      </w:r>
    </w:p>
    <w:p w:rsidR="00640AF1" w:rsidRPr="00640AF1" w:rsidRDefault="00640AF1">
      <w:pPr>
        <w:pStyle w:val="Normal1"/>
        <w:pBdr>
          <w:top w:val="nil"/>
          <w:left w:val="nil"/>
          <w:bottom w:val="nil"/>
          <w:right w:val="nil"/>
          <w:between w:val="nil"/>
        </w:pBdr>
        <w:rPr>
          <w:rFonts w:ascii="Times New Roman" w:eastAsia="Times New Roman" w:hAnsi="Times New Roman" w:cs="Times New Roman"/>
          <w:color w:val="000000"/>
          <w:sz w:val="24"/>
          <w:szCs w:val="24"/>
          <w:lang w:val="id-ID"/>
        </w:rPr>
      </w:pPr>
    </w:p>
    <w:p w:rsidR="00573EA0" w:rsidRDefault="007D55AB">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105400" cy="31318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105400" cy="3131820"/>
                    </a:xfrm>
                    <a:prstGeom prst="rect">
                      <a:avLst/>
                    </a:prstGeom>
                    <a:ln/>
                  </pic:spPr>
                </pic:pic>
              </a:graphicData>
            </a:graphic>
          </wp:inline>
        </w:drawing>
      </w:r>
    </w:p>
    <w:p w:rsidR="00573EA0" w:rsidRDefault="007D55AB">
      <w:pPr>
        <w:pStyle w:val="Normal1"/>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4. Concentration of Uranium in μg/L in different water samples</w:t>
      </w:r>
    </w:p>
    <w:p w:rsidR="00573EA0" w:rsidRDefault="007D55AB">
      <w:pPr>
        <w:pStyle w:val="Normal1"/>
        <w:pBdr>
          <w:top w:val="nil"/>
          <w:left w:val="nil"/>
          <w:bottom w:val="nil"/>
          <w:right w:val="nil"/>
          <w:between w:val="nil"/>
        </w:pBdr>
        <w:rPr>
          <w:rFonts w:ascii="Times New Roman" w:eastAsia="Times New Roman" w:hAnsi="Times New Roman" w:cs="Times New Roman"/>
          <w:color w:val="000000"/>
          <w:sz w:val="24"/>
          <w:szCs w:val="24"/>
        </w:rPr>
      </w:pPr>
      <w:r>
        <w:br w:type="page"/>
      </w:r>
    </w:p>
    <w:p w:rsidR="005B6519" w:rsidRDefault="005B6519">
      <w:pPr>
        <w:pStyle w:val="Normal1"/>
        <w:pBdr>
          <w:top w:val="nil"/>
          <w:left w:val="nil"/>
          <w:bottom w:val="nil"/>
          <w:right w:val="nil"/>
          <w:between w:val="nil"/>
        </w:pBdr>
        <w:rPr>
          <w:rFonts w:ascii="Times New Roman" w:eastAsia="Times New Roman" w:hAnsi="Times New Roman" w:cs="Times New Roman"/>
          <w:color w:val="000000"/>
          <w:sz w:val="24"/>
          <w:szCs w:val="24"/>
          <w:lang w:val="id-ID"/>
        </w:rPr>
      </w:pPr>
      <w:r>
        <w:rPr>
          <w:rFonts w:ascii="Times New Roman" w:eastAsia="Times New Roman" w:hAnsi="Times New Roman" w:cs="Times New Roman"/>
          <w:b/>
          <w:color w:val="000000"/>
          <w:sz w:val="28"/>
          <w:szCs w:val="28"/>
          <w:lang w:val="id-ID"/>
        </w:rPr>
        <w:lastRenderedPageBreak/>
        <w:t xml:space="preserve">5. </w:t>
      </w:r>
      <w:r>
        <w:rPr>
          <w:rFonts w:ascii="Times New Roman" w:eastAsia="Times New Roman" w:hAnsi="Times New Roman" w:cs="Times New Roman"/>
          <w:b/>
          <w:color w:val="000000"/>
          <w:sz w:val="28"/>
          <w:szCs w:val="28"/>
        </w:rPr>
        <w:t>Discussion</w:t>
      </w:r>
    </w:p>
    <w:p w:rsidR="00573EA0" w:rsidRDefault="007D55AB">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results of this study are compared to Uranium levels in water samples from different countries in Table 2:</w:t>
      </w:r>
    </w:p>
    <w:tbl>
      <w:tblPr>
        <w:tblStyle w:val="a0"/>
        <w:tblW w:w="902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0"/>
        <w:gridCol w:w="1810"/>
        <w:gridCol w:w="1805"/>
        <w:gridCol w:w="1800"/>
        <w:gridCol w:w="1817"/>
      </w:tblGrid>
      <w:tr w:rsidR="00573EA0">
        <w:trPr>
          <w:cantSplit/>
          <w:tblHeader/>
        </w:trPr>
        <w:tc>
          <w:tcPr>
            <w:tcW w:w="9022" w:type="dxa"/>
            <w:gridSpan w:val="5"/>
          </w:tcPr>
          <w:p w:rsidR="00573EA0" w:rsidRDefault="007D55AB">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2:</w:t>
            </w:r>
          </w:p>
          <w:p w:rsidR="00573EA0" w:rsidRDefault="007D55AB" w:rsidP="001B019D">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w:t>
            </w:r>
            <w:r w:rsidR="001B019D">
              <w:rPr>
                <w:rFonts w:ascii="Times New Roman" w:eastAsia="Times New Roman" w:hAnsi="Times New Roman" w:cs="Times New Roman"/>
                <w:color w:val="000000"/>
                <w:sz w:val="24"/>
                <w:szCs w:val="24"/>
                <w:lang w:val="id-ID"/>
              </w:rPr>
              <w:t>ranium</w:t>
            </w:r>
            <w:r>
              <w:rPr>
                <w:rFonts w:ascii="Times New Roman" w:eastAsia="Times New Roman" w:hAnsi="Times New Roman" w:cs="Times New Roman"/>
                <w:color w:val="000000"/>
                <w:sz w:val="24"/>
                <w:szCs w:val="24"/>
              </w:rPr>
              <w:t xml:space="preserve"> Conc</w:t>
            </w:r>
            <w:r w:rsidR="001B019D">
              <w:rPr>
                <w:rFonts w:ascii="Times New Roman" w:eastAsia="Times New Roman" w:hAnsi="Times New Roman" w:cs="Times New Roman"/>
                <w:color w:val="000000"/>
                <w:sz w:val="24"/>
                <w:szCs w:val="24"/>
                <w:lang w:val="id-ID"/>
              </w:rPr>
              <w:t>entration</w:t>
            </w:r>
            <w:r w:rsidR="001B019D">
              <w:rPr>
                <w:rFonts w:ascii="Times New Roman" w:eastAsia="Times New Roman" w:hAnsi="Times New Roman" w:cs="Times New Roman"/>
                <w:color w:val="000000"/>
                <w:sz w:val="24"/>
                <w:szCs w:val="24"/>
              </w:rPr>
              <w:t xml:space="preserve"> </w:t>
            </w:r>
            <w:r w:rsidR="001B019D">
              <w:rPr>
                <w:rFonts w:ascii="Times New Roman" w:eastAsia="Times New Roman" w:hAnsi="Times New Roman" w:cs="Times New Roman"/>
                <w:color w:val="000000"/>
                <w:sz w:val="24"/>
                <w:szCs w:val="24"/>
                <w:lang w:val="id-ID"/>
              </w:rPr>
              <w:t>i</w:t>
            </w:r>
            <w:r>
              <w:rPr>
                <w:rFonts w:ascii="Times New Roman" w:eastAsia="Times New Roman" w:hAnsi="Times New Roman" w:cs="Times New Roman"/>
                <w:color w:val="000000"/>
                <w:sz w:val="24"/>
                <w:szCs w:val="24"/>
              </w:rPr>
              <w:t>n Drinking Water Samples From</w:t>
            </w:r>
            <w:r w:rsidR="001B019D">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u w:val="single"/>
              </w:rPr>
              <w:t>Different Countries</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Sr No</w:t>
            </w:r>
          </w:p>
        </w:tc>
        <w:tc>
          <w:tcPr>
            <w:tcW w:w="1810" w:type="dxa"/>
          </w:tcPr>
          <w:p w:rsidR="00573EA0" w:rsidRDefault="007D55AB">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Country</w:t>
            </w:r>
          </w:p>
        </w:tc>
        <w:tc>
          <w:tcPr>
            <w:tcW w:w="1805" w:type="dxa"/>
          </w:tcPr>
          <w:p w:rsidR="00573EA0" w:rsidRDefault="007D55AB">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Basic Source</w:t>
            </w:r>
          </w:p>
        </w:tc>
        <w:tc>
          <w:tcPr>
            <w:tcW w:w="1800" w:type="dxa"/>
          </w:tcPr>
          <w:p w:rsidR="00573EA0" w:rsidRDefault="007D55AB" w:rsidP="001B019D">
            <w:pPr>
              <w:pStyle w:val="Normal1"/>
              <w:widowControl w:val="0"/>
              <w:pBdr>
                <w:top w:val="nil"/>
                <w:left w:val="nil"/>
                <w:bottom w:val="nil"/>
                <w:right w:val="nil"/>
                <w:between w:val="nil"/>
              </w:pBdr>
              <w:spacing w:after="200" w:line="199" w:lineRule="auto"/>
              <w:ind w:right="2"/>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U</w:t>
            </w:r>
            <w:r w:rsidR="001B019D">
              <w:rPr>
                <w:rFonts w:ascii="Times New Roman" w:eastAsia="Times New Roman" w:hAnsi="Times New Roman" w:cs="Times New Roman"/>
                <w:color w:val="000000"/>
                <w:sz w:val="24"/>
                <w:szCs w:val="24"/>
                <w:lang w:val="id-ID"/>
              </w:rPr>
              <w:t xml:space="preserve">ranium </w:t>
            </w:r>
            <w:r>
              <w:rPr>
                <w:rFonts w:ascii="Times New Roman" w:eastAsia="Times New Roman" w:hAnsi="Times New Roman" w:cs="Times New Roman"/>
                <w:color w:val="000000"/>
                <w:sz w:val="24"/>
                <w:szCs w:val="24"/>
              </w:rPr>
              <w:t>Conc</w:t>
            </w:r>
            <w:r w:rsidR="001B019D">
              <w:rPr>
                <w:rFonts w:ascii="Times New Roman" w:eastAsia="Times New Roman" w:hAnsi="Times New Roman" w:cs="Times New Roman"/>
                <w:color w:val="000000"/>
                <w:sz w:val="24"/>
                <w:szCs w:val="24"/>
                <w:lang w:val="id-ID"/>
              </w:rPr>
              <w:t>entration (</w:t>
            </w:r>
            <w:r>
              <w:rPr>
                <w:rFonts w:ascii="Times New Roman" w:eastAsia="Times New Roman" w:hAnsi="Times New Roman" w:cs="Times New Roman"/>
                <w:color w:val="000000"/>
                <w:sz w:val="24"/>
                <w:szCs w:val="24"/>
              </w:rPr>
              <w:t>μg/L)</w:t>
            </w:r>
          </w:p>
        </w:tc>
        <w:tc>
          <w:tcPr>
            <w:tcW w:w="1817" w:type="dxa"/>
          </w:tcPr>
          <w:p w:rsidR="00573EA0" w:rsidRDefault="007D55AB">
            <w:pPr>
              <w:pStyle w:val="Normal1"/>
              <w:widowControl w:val="0"/>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02"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810" w:type="dxa"/>
          </w:tcPr>
          <w:p w:rsidR="00573EA0" w:rsidRDefault="007D55AB">
            <w:pPr>
              <w:pStyle w:val="Normal1"/>
              <w:widowControl w:val="0"/>
              <w:pBdr>
                <w:top w:val="nil"/>
                <w:left w:val="nil"/>
                <w:bottom w:val="nil"/>
                <w:right w:val="nil"/>
                <w:between w:val="nil"/>
              </w:pBdr>
              <w:spacing w:after="200" w:line="242" w:lineRule="auto"/>
              <w:ind w:left="368" w:right="235" w:hanging="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Amazonas (Brazil)</w:t>
            </w:r>
          </w:p>
        </w:tc>
        <w:tc>
          <w:tcPr>
            <w:tcW w:w="1805" w:type="dxa"/>
          </w:tcPr>
          <w:p w:rsidR="00573EA0" w:rsidRDefault="007D55AB">
            <w:pPr>
              <w:pStyle w:val="Normal1"/>
              <w:widowControl w:val="0"/>
              <w:pBdr>
                <w:top w:val="nil"/>
                <w:left w:val="nil"/>
                <w:bottom w:val="nil"/>
                <w:right w:val="nil"/>
                <w:between w:val="nil"/>
              </w:pBdr>
              <w:spacing w:after="200" w:line="202" w:lineRule="auto"/>
              <w:ind w:right="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Groundwater</w:t>
            </w:r>
          </w:p>
        </w:tc>
        <w:tc>
          <w:tcPr>
            <w:tcW w:w="1800" w:type="dxa"/>
          </w:tcPr>
          <w:p w:rsidR="00573EA0" w:rsidRDefault="007D55AB">
            <w:pPr>
              <w:pStyle w:val="Normal1"/>
              <w:widowControl w:val="0"/>
              <w:pBdr>
                <w:top w:val="nil"/>
                <w:left w:val="nil"/>
                <w:bottom w:val="nil"/>
                <w:right w:val="nil"/>
                <w:between w:val="nil"/>
              </w:pBdr>
              <w:spacing w:after="200" w:line="242" w:lineRule="auto"/>
              <w:ind w:left="253" w:right="174" w:hanging="6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 – 1.36</w:t>
            </w:r>
          </w:p>
        </w:tc>
        <w:tc>
          <w:tcPr>
            <w:tcW w:w="1817" w:type="dxa"/>
          </w:tcPr>
          <w:p w:rsidR="00573EA0" w:rsidRDefault="007D55AB">
            <w:pPr>
              <w:pStyle w:val="Normal1"/>
              <w:widowControl w:val="0"/>
              <w:pBdr>
                <w:top w:val="nil"/>
                <w:left w:val="nil"/>
                <w:bottom w:val="nil"/>
                <w:right w:val="nil"/>
                <w:between w:val="nil"/>
              </w:pBdr>
              <w:spacing w:after="200" w:line="202" w:lineRule="auto"/>
              <w:ind w:left="119" w:right="1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CC"/>
                <w:sz w:val="24"/>
                <w:szCs w:val="24"/>
              </w:rPr>
              <w:t>[M.L.D. et al., 2015]</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02"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810" w:type="dxa"/>
          </w:tcPr>
          <w:p w:rsidR="00573EA0" w:rsidRDefault="007D55AB">
            <w:pPr>
              <w:pStyle w:val="Normal1"/>
              <w:widowControl w:val="0"/>
              <w:pBdr>
                <w:top w:val="nil"/>
                <w:left w:val="nil"/>
                <w:bottom w:val="nil"/>
                <w:right w:val="nil"/>
                <w:between w:val="nil"/>
              </w:pBdr>
              <w:spacing w:after="200" w:line="276" w:lineRule="auto"/>
              <w:ind w:left="164" w:right="126"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Southwestern Sinai (Egypt)</w:t>
            </w:r>
          </w:p>
        </w:tc>
        <w:tc>
          <w:tcPr>
            <w:tcW w:w="1805" w:type="dxa"/>
          </w:tcPr>
          <w:p w:rsidR="00573EA0" w:rsidRDefault="007D55AB">
            <w:pPr>
              <w:pStyle w:val="Normal1"/>
              <w:widowControl w:val="0"/>
              <w:pBdr>
                <w:top w:val="nil"/>
                <w:left w:val="nil"/>
                <w:bottom w:val="nil"/>
                <w:right w:val="nil"/>
                <w:between w:val="nil"/>
              </w:pBdr>
              <w:spacing w:after="200" w:line="202" w:lineRule="auto"/>
              <w:ind w:right="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Groundwater</w:t>
            </w:r>
          </w:p>
        </w:tc>
        <w:tc>
          <w:tcPr>
            <w:tcW w:w="1800" w:type="dxa"/>
          </w:tcPr>
          <w:p w:rsidR="00573EA0" w:rsidRDefault="007D55AB">
            <w:pPr>
              <w:pStyle w:val="Normal1"/>
              <w:widowControl w:val="0"/>
              <w:pBdr>
                <w:top w:val="nil"/>
                <w:left w:val="nil"/>
                <w:bottom w:val="nil"/>
                <w:right w:val="nil"/>
                <w:between w:val="nil"/>
              </w:pBdr>
              <w:spacing w:after="200" w:line="202" w:lineRule="auto"/>
              <w:ind w:left="2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328 - 560</w:t>
            </w:r>
          </w:p>
        </w:tc>
        <w:tc>
          <w:tcPr>
            <w:tcW w:w="1817" w:type="dxa"/>
          </w:tcPr>
          <w:p w:rsidR="00573EA0" w:rsidRDefault="007D55AB">
            <w:pPr>
              <w:pStyle w:val="Normal1"/>
              <w:widowControl w:val="0"/>
              <w:pBdr>
                <w:top w:val="nil"/>
                <w:left w:val="nil"/>
                <w:bottom w:val="nil"/>
                <w:right w:val="nil"/>
                <w:between w:val="nil"/>
              </w:pBdr>
              <w:spacing w:after="200" w:line="202" w:lineRule="auto"/>
              <w:ind w:left="119" w:right="1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CC"/>
                <w:sz w:val="24"/>
                <w:szCs w:val="24"/>
              </w:rPr>
              <w:t>[H.A.S. et al., 2013]</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02"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10" w:type="dxa"/>
          </w:tcPr>
          <w:p w:rsidR="00573EA0" w:rsidRDefault="007D55AB">
            <w:pPr>
              <w:pStyle w:val="Normal1"/>
              <w:widowControl w:val="0"/>
              <w:pBdr>
                <w:top w:val="nil"/>
                <w:left w:val="nil"/>
                <w:bottom w:val="nil"/>
                <w:right w:val="nil"/>
                <w:between w:val="nil"/>
              </w:pBdr>
              <w:spacing w:after="200" w:line="276" w:lineRule="auto"/>
              <w:ind w:left="392" w:right="292" w:hanging="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Northern Greece</w:t>
            </w:r>
          </w:p>
        </w:tc>
        <w:tc>
          <w:tcPr>
            <w:tcW w:w="1805" w:type="dxa"/>
          </w:tcPr>
          <w:p w:rsidR="00573EA0" w:rsidRDefault="007D55AB">
            <w:pPr>
              <w:pStyle w:val="Normal1"/>
              <w:widowControl w:val="0"/>
              <w:pBdr>
                <w:top w:val="nil"/>
                <w:left w:val="nil"/>
                <w:bottom w:val="nil"/>
                <w:right w:val="nil"/>
                <w:between w:val="nil"/>
              </w:pBdr>
              <w:spacing w:after="200" w:line="202" w:lineRule="auto"/>
              <w:ind w:right="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Groundwater</w:t>
            </w:r>
          </w:p>
        </w:tc>
        <w:tc>
          <w:tcPr>
            <w:tcW w:w="1800" w:type="dxa"/>
          </w:tcPr>
          <w:p w:rsidR="00573EA0" w:rsidRDefault="007D55AB">
            <w:pPr>
              <w:pStyle w:val="Normal1"/>
              <w:widowControl w:val="0"/>
              <w:pBdr>
                <w:top w:val="nil"/>
                <w:left w:val="nil"/>
                <w:bottom w:val="nil"/>
                <w:right w:val="nil"/>
                <w:between w:val="nil"/>
              </w:pBdr>
              <w:spacing w:after="200" w:line="276" w:lineRule="auto"/>
              <w:ind w:left="320" w:right="174" w:hanging="1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 – 10</w:t>
            </w:r>
          </w:p>
        </w:tc>
        <w:tc>
          <w:tcPr>
            <w:tcW w:w="1817" w:type="dxa"/>
          </w:tcPr>
          <w:p w:rsidR="00573EA0" w:rsidRDefault="007D55AB">
            <w:pPr>
              <w:pStyle w:val="Normal1"/>
              <w:widowControl w:val="0"/>
              <w:pBdr>
                <w:top w:val="nil"/>
                <w:left w:val="nil"/>
                <w:bottom w:val="nil"/>
                <w:right w:val="nil"/>
                <w:between w:val="nil"/>
              </w:pBdr>
              <w:spacing w:after="200" w:line="202" w:lineRule="auto"/>
              <w:ind w:left="119" w:right="1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CC"/>
                <w:sz w:val="24"/>
                <w:szCs w:val="24"/>
              </w:rPr>
              <w:t>[I..A.Katsoyiannis et al., 2007]</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02"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810" w:type="dxa"/>
          </w:tcPr>
          <w:p w:rsidR="00573EA0" w:rsidRDefault="007D55AB">
            <w:pPr>
              <w:pStyle w:val="Normal1"/>
              <w:widowControl w:val="0"/>
              <w:pBdr>
                <w:top w:val="nil"/>
                <w:left w:val="nil"/>
                <w:bottom w:val="nil"/>
                <w:right w:val="nil"/>
                <w:between w:val="nil"/>
              </w:pBdr>
              <w:spacing w:after="200" w:line="202" w:lineRule="auto"/>
              <w:ind w:left="196" w:right="1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Russia</w:t>
            </w:r>
          </w:p>
        </w:tc>
        <w:tc>
          <w:tcPr>
            <w:tcW w:w="1805" w:type="dxa"/>
          </w:tcPr>
          <w:p w:rsidR="00573EA0" w:rsidRDefault="007D55AB">
            <w:pPr>
              <w:pStyle w:val="Normal1"/>
              <w:widowControl w:val="0"/>
              <w:pBdr>
                <w:top w:val="nil"/>
                <w:left w:val="nil"/>
                <w:bottom w:val="nil"/>
                <w:right w:val="nil"/>
                <w:between w:val="nil"/>
              </w:pBdr>
              <w:spacing w:after="200" w:line="202" w:lineRule="auto"/>
              <w:ind w:right="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Groundwater</w:t>
            </w:r>
          </w:p>
        </w:tc>
        <w:tc>
          <w:tcPr>
            <w:tcW w:w="1800" w:type="dxa"/>
          </w:tcPr>
          <w:p w:rsidR="00573EA0" w:rsidRDefault="007D55AB">
            <w:pPr>
              <w:pStyle w:val="Normal1"/>
              <w:widowControl w:val="0"/>
              <w:pBdr>
                <w:top w:val="nil"/>
                <w:left w:val="nil"/>
                <w:bottom w:val="nil"/>
                <w:right w:val="nil"/>
                <w:between w:val="nil"/>
              </w:pBdr>
              <w:spacing w:after="200" w:line="202" w:lineRule="auto"/>
              <w:ind w:left="2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&gt;477</w:t>
            </w:r>
          </w:p>
        </w:tc>
        <w:tc>
          <w:tcPr>
            <w:tcW w:w="1817" w:type="dxa"/>
          </w:tcPr>
          <w:p w:rsidR="00573EA0" w:rsidRDefault="007D55AB">
            <w:pPr>
              <w:pStyle w:val="Normal1"/>
              <w:widowControl w:val="0"/>
              <w:pBdr>
                <w:top w:val="nil"/>
                <w:left w:val="nil"/>
                <w:bottom w:val="nil"/>
                <w:right w:val="nil"/>
                <w:between w:val="nil"/>
              </w:pBdr>
              <w:spacing w:after="200" w:line="202" w:lineRule="auto"/>
              <w:ind w:left="119" w:right="1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CC"/>
                <w:sz w:val="24"/>
                <w:szCs w:val="24"/>
              </w:rPr>
              <w:t>[O.L. Gaskova et al., 2013]</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02"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810" w:type="dxa"/>
          </w:tcPr>
          <w:p w:rsidR="00573EA0" w:rsidRDefault="007D55AB">
            <w:pPr>
              <w:pStyle w:val="Normal1"/>
              <w:widowControl w:val="0"/>
              <w:pBdr>
                <w:top w:val="nil"/>
                <w:left w:val="nil"/>
                <w:bottom w:val="nil"/>
                <w:right w:val="nil"/>
                <w:between w:val="nil"/>
              </w:pBdr>
              <w:spacing w:after="200" w:line="276" w:lineRule="auto"/>
              <w:ind w:left="236" w:right="180" w:hanging="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Ulaanbaatar (Mongolia)</w:t>
            </w:r>
          </w:p>
        </w:tc>
        <w:tc>
          <w:tcPr>
            <w:tcW w:w="1805" w:type="dxa"/>
          </w:tcPr>
          <w:p w:rsidR="00573EA0" w:rsidRDefault="007D55AB">
            <w:pPr>
              <w:pStyle w:val="Normal1"/>
              <w:widowControl w:val="0"/>
              <w:pBdr>
                <w:top w:val="nil"/>
                <w:left w:val="nil"/>
                <w:bottom w:val="nil"/>
                <w:right w:val="nil"/>
                <w:between w:val="nil"/>
              </w:pBdr>
              <w:spacing w:after="200" w:line="202" w:lineRule="auto"/>
              <w:ind w:right="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Groundwater</w:t>
            </w:r>
          </w:p>
        </w:tc>
        <w:tc>
          <w:tcPr>
            <w:tcW w:w="1800" w:type="dxa"/>
          </w:tcPr>
          <w:p w:rsidR="00573EA0" w:rsidRDefault="007D55AB">
            <w:pPr>
              <w:pStyle w:val="Normal1"/>
              <w:widowControl w:val="0"/>
              <w:pBdr>
                <w:top w:val="nil"/>
                <w:left w:val="nil"/>
                <w:bottom w:val="nil"/>
                <w:right w:val="nil"/>
                <w:between w:val="nil"/>
              </w:pBdr>
              <w:spacing w:after="200" w:line="202" w:lineRule="auto"/>
              <w:ind w:left="116" w:right="1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&lt;0.01 –57</w:t>
            </w:r>
          </w:p>
        </w:tc>
        <w:tc>
          <w:tcPr>
            <w:tcW w:w="1817" w:type="dxa"/>
          </w:tcPr>
          <w:p w:rsidR="00573EA0" w:rsidRDefault="007D55AB">
            <w:pPr>
              <w:pStyle w:val="Normal1"/>
              <w:widowControl w:val="0"/>
              <w:pBdr>
                <w:top w:val="nil"/>
                <w:left w:val="nil"/>
                <w:bottom w:val="nil"/>
                <w:right w:val="nil"/>
                <w:between w:val="nil"/>
              </w:pBdr>
              <w:spacing w:after="200" w:line="202" w:lineRule="auto"/>
              <w:ind w:left="119" w:right="134"/>
              <w:jc w:val="center"/>
              <w:rPr>
                <w:rFonts w:ascii="Times New Roman" w:eastAsia="Times New Roman" w:hAnsi="Times New Roman" w:cs="Times New Roman"/>
                <w:sz w:val="24"/>
                <w:szCs w:val="24"/>
              </w:rPr>
            </w:pPr>
            <w:r>
              <w:rPr>
                <w:rFonts w:ascii="Times New Roman" w:eastAsia="Times New Roman" w:hAnsi="Times New Roman" w:cs="Times New Roman"/>
                <w:color w:val="0000CC"/>
                <w:sz w:val="24"/>
                <w:szCs w:val="24"/>
              </w:rPr>
              <w:t>[J.Nriagu et al., 2012]</w:t>
            </w:r>
          </w:p>
        </w:tc>
      </w:tr>
      <w:tr w:rsidR="00573EA0">
        <w:trPr>
          <w:cantSplit/>
          <w:tblHeader/>
        </w:trPr>
        <w:tc>
          <w:tcPr>
            <w:tcW w:w="1790" w:type="dxa"/>
          </w:tcPr>
          <w:p w:rsidR="00573EA0" w:rsidRDefault="007D55AB">
            <w:pPr>
              <w:pStyle w:val="Normal1"/>
              <w:widowControl w:val="0"/>
              <w:pBdr>
                <w:top w:val="nil"/>
                <w:left w:val="nil"/>
                <w:bottom w:val="nil"/>
                <w:right w:val="nil"/>
                <w:between w:val="nil"/>
              </w:pBdr>
              <w:spacing w:after="200" w:line="202" w:lineRule="auto"/>
              <w:ind w:left="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10" w:type="dxa"/>
          </w:tcPr>
          <w:p w:rsidR="00573EA0" w:rsidRDefault="007D55AB">
            <w:pPr>
              <w:pStyle w:val="Normal1"/>
              <w:widowControl w:val="0"/>
              <w:pBdr>
                <w:top w:val="nil"/>
                <w:left w:val="nil"/>
                <w:bottom w:val="nil"/>
                <w:right w:val="nil"/>
                <w:between w:val="nil"/>
              </w:pBdr>
              <w:spacing w:after="200" w:line="202" w:lineRule="auto"/>
              <w:ind w:left="196" w:right="1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Switzerland</w:t>
            </w:r>
          </w:p>
        </w:tc>
        <w:tc>
          <w:tcPr>
            <w:tcW w:w="1805" w:type="dxa"/>
          </w:tcPr>
          <w:p w:rsidR="00573EA0" w:rsidRDefault="007D55AB">
            <w:pPr>
              <w:pStyle w:val="Normal1"/>
              <w:widowControl w:val="0"/>
              <w:pBdr>
                <w:top w:val="nil"/>
                <w:left w:val="nil"/>
                <w:bottom w:val="nil"/>
                <w:right w:val="nil"/>
                <w:between w:val="nil"/>
              </w:pBdr>
              <w:spacing w:after="200" w:line="202" w:lineRule="auto"/>
              <w:ind w:right="134"/>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Groundwater</w:t>
            </w:r>
          </w:p>
        </w:tc>
        <w:tc>
          <w:tcPr>
            <w:tcW w:w="1800" w:type="dxa"/>
          </w:tcPr>
          <w:p w:rsidR="00573EA0" w:rsidRDefault="007D55AB">
            <w:pPr>
              <w:pStyle w:val="Normal1"/>
              <w:widowControl w:val="0"/>
              <w:pBdr>
                <w:top w:val="nil"/>
                <w:left w:val="nil"/>
                <w:bottom w:val="nil"/>
                <w:right w:val="nil"/>
                <w:between w:val="nil"/>
              </w:pBdr>
              <w:spacing w:after="200" w:line="276" w:lineRule="auto"/>
              <w:ind w:left="207" w:right="174" w:hanging="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 – 92.02</w:t>
            </w:r>
          </w:p>
        </w:tc>
        <w:tc>
          <w:tcPr>
            <w:tcW w:w="1817" w:type="dxa"/>
          </w:tcPr>
          <w:p w:rsidR="00573EA0" w:rsidRDefault="007D55AB">
            <w:pPr>
              <w:pStyle w:val="Normal1"/>
              <w:widowControl w:val="0"/>
              <w:pBdr>
                <w:top w:val="nil"/>
                <w:left w:val="nil"/>
                <w:bottom w:val="nil"/>
                <w:right w:val="nil"/>
                <w:between w:val="nil"/>
              </w:pBdr>
              <w:spacing w:after="200" w:line="202" w:lineRule="auto"/>
              <w:ind w:left="119" w:right="1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CC"/>
                <w:sz w:val="24"/>
                <w:szCs w:val="24"/>
              </w:rPr>
              <w:t>[E. Stalder et al., 2012]</w:t>
            </w:r>
          </w:p>
        </w:tc>
      </w:tr>
    </w:tbl>
    <w:p w:rsidR="00573EA0" w:rsidRDefault="00573EA0">
      <w:pPr>
        <w:pStyle w:val="Normal1"/>
        <w:widowControl w:val="0"/>
        <w:pBdr>
          <w:top w:val="nil"/>
          <w:left w:val="nil"/>
          <w:bottom w:val="nil"/>
          <w:right w:val="nil"/>
          <w:between w:val="nil"/>
        </w:pBdr>
        <w:spacing w:after="0" w:line="240" w:lineRule="auto"/>
        <w:ind w:left="220"/>
        <w:jc w:val="both"/>
        <w:rPr>
          <w:rFonts w:ascii="Times New Roman" w:eastAsia="Times New Roman" w:hAnsi="Times New Roman" w:cs="Times New Roman"/>
          <w:color w:val="000000"/>
          <w:sz w:val="24"/>
          <w:szCs w:val="24"/>
        </w:rPr>
      </w:pPr>
    </w:p>
    <w:p w:rsidR="00573EA0" w:rsidRDefault="00573EA0">
      <w:pPr>
        <w:pStyle w:val="Normal1"/>
        <w:widowControl w:val="0"/>
        <w:pBdr>
          <w:top w:val="nil"/>
          <w:left w:val="nil"/>
          <w:bottom w:val="nil"/>
          <w:right w:val="nil"/>
          <w:between w:val="nil"/>
        </w:pBdr>
        <w:spacing w:after="0" w:line="240" w:lineRule="auto"/>
        <w:ind w:left="220"/>
        <w:jc w:val="both"/>
        <w:rPr>
          <w:rFonts w:ascii="Times New Roman" w:eastAsia="Times New Roman" w:hAnsi="Times New Roman" w:cs="Times New Roman"/>
          <w:color w:val="000000"/>
          <w:sz w:val="24"/>
          <w:szCs w:val="24"/>
        </w:rPr>
      </w:pPr>
    </w:p>
    <w:p w:rsidR="00573EA0" w:rsidRDefault="00573EA0">
      <w:pPr>
        <w:pStyle w:val="Normal1"/>
        <w:widowControl w:val="0"/>
        <w:pBdr>
          <w:top w:val="nil"/>
          <w:left w:val="nil"/>
          <w:bottom w:val="nil"/>
          <w:right w:val="nil"/>
          <w:between w:val="nil"/>
        </w:pBdr>
        <w:spacing w:after="0" w:line="240" w:lineRule="auto"/>
        <w:ind w:left="220"/>
        <w:jc w:val="both"/>
        <w:rPr>
          <w:rFonts w:ascii="Times New Roman" w:eastAsia="Times New Roman" w:hAnsi="Times New Roman" w:cs="Times New Roman"/>
          <w:color w:val="000000"/>
          <w:sz w:val="24"/>
          <w:szCs w:val="24"/>
        </w:rPr>
      </w:pPr>
    </w:p>
    <w:p w:rsidR="00573EA0" w:rsidRDefault="005B6519">
      <w:pPr>
        <w:pStyle w:val="Normal1"/>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lang w:val="id-ID"/>
        </w:rPr>
        <w:t>6</w:t>
      </w:r>
      <w:r w:rsidR="007D55AB">
        <w:rPr>
          <w:rFonts w:ascii="Times New Roman" w:eastAsia="Times New Roman" w:hAnsi="Times New Roman" w:cs="Times New Roman"/>
          <w:b/>
          <w:color w:val="000000"/>
          <w:sz w:val="24"/>
          <w:szCs w:val="24"/>
        </w:rPr>
        <w:t xml:space="preserve">.  </w:t>
      </w:r>
      <w:r w:rsidR="007D55AB">
        <w:rPr>
          <w:rFonts w:ascii="Times New Roman" w:eastAsia="Times New Roman" w:hAnsi="Times New Roman" w:cs="Times New Roman"/>
          <w:b/>
          <w:color w:val="000000"/>
          <w:sz w:val="28"/>
          <w:szCs w:val="28"/>
        </w:rPr>
        <w:t>Conclusion</w:t>
      </w: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Uranium concentration in water samples near the Indira Gandhi Super Thermal Power Project ranges from 2.64 to 202.9 μg/L, ranging from 0 to 4 k.  Out of 15 water samples, 74% were below 30 μg/L, meeting WHO, USEPA, and AERB acceptable limits.  However, 26% of samples (4/15) had Uranium concentrations above 30 μg/L.  Uranium concentration averages 47.59 μg/L, Activity concentration is 0.06–5.07 Bq/L, averaging 1.18.  Death and morbidity rates for </w:t>
      </w:r>
      <w:r w:rsidR="00832249" w:rsidRPr="00832249">
        <w:rPr>
          <w:rFonts w:ascii="Times New Roman" w:eastAsia="Times New Roman" w:hAnsi="Times New Roman" w:cs="Times New Roman"/>
          <w:color w:val="000000"/>
          <w:sz w:val="24"/>
          <w:szCs w:val="24"/>
        </w:rPr>
        <w:t>hiv</w:t>
      </w:r>
      <w:r>
        <w:rPr>
          <w:rFonts w:ascii="Times New Roman" w:eastAsia="Times New Roman" w:hAnsi="Times New Roman" w:cs="Times New Roman"/>
          <w:color w:val="000000"/>
          <w:sz w:val="24"/>
          <w:szCs w:val="24"/>
        </w:rPr>
        <w:t xml:space="preserve"> ranged from 2.51 x 10-6 to 1.96 x 10-4 and 4.27 to 3.03 x 10-3. Chemical toxicity risk (LADD) ranged from 0.05 to 4.00 μg/kg/day.  </w:t>
      </w: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present investigation demonstrates that 74% of samples are within permitted levels, hence there is no health risk to study region residents, while 26% are unfit for drinking.</w:t>
      </w:r>
    </w:p>
    <w:p w:rsidR="00573EA0" w:rsidRDefault="00573EA0">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rPr>
      </w:pPr>
    </w:p>
    <w:p w:rsidR="0070686D" w:rsidRDefault="0070686D">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lang w:val="id-ID"/>
        </w:rPr>
      </w:pPr>
    </w:p>
    <w:p w:rsidR="0070686D" w:rsidRDefault="0070686D">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lang w:val="id-ID"/>
        </w:rPr>
      </w:pPr>
    </w:p>
    <w:p w:rsidR="0070686D" w:rsidRDefault="0070686D">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lang w:val="id-ID"/>
        </w:rPr>
      </w:pPr>
      <w:r>
        <w:rPr>
          <w:rFonts w:ascii="Times New Roman" w:eastAsia="Times New Roman" w:hAnsi="Times New Roman" w:cs="Times New Roman"/>
          <w:b/>
          <w:color w:val="000000"/>
          <w:sz w:val="28"/>
          <w:szCs w:val="28"/>
          <w:lang w:val="id-ID"/>
        </w:rPr>
        <w:lastRenderedPageBreak/>
        <w:t xml:space="preserve">Acknowledgement </w:t>
      </w:r>
    </w:p>
    <w:p w:rsidR="0070686D" w:rsidRPr="0070686D" w:rsidRDefault="0070686D">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lang w:val="id-ID"/>
        </w:rPr>
      </w:pPr>
      <w:r w:rsidRPr="0070686D">
        <w:rPr>
          <w:rFonts w:ascii="Times New Roman" w:eastAsia="Times New Roman" w:hAnsi="Times New Roman" w:cs="Times New Roman"/>
          <w:color w:val="000000"/>
          <w:sz w:val="24"/>
          <w:szCs w:val="24"/>
          <w:lang w:val="id-ID"/>
        </w:rPr>
        <w:t xml:space="preserve">Authors </w:t>
      </w:r>
      <w:r>
        <w:rPr>
          <w:rFonts w:ascii="Times New Roman" w:eastAsia="Times New Roman" w:hAnsi="Times New Roman" w:cs="Times New Roman"/>
          <w:color w:val="000000"/>
          <w:sz w:val="24"/>
          <w:szCs w:val="24"/>
          <w:lang w:val="id-ID"/>
        </w:rPr>
        <w:t>sincerely acknowledge the Director, NIT Jallandhar for providing all necessary lab facilities</w:t>
      </w:r>
      <w:r w:rsidR="00530B8F">
        <w:rPr>
          <w:rFonts w:ascii="Times New Roman" w:eastAsia="Times New Roman" w:hAnsi="Times New Roman" w:cs="Times New Roman"/>
          <w:color w:val="000000"/>
          <w:sz w:val="24"/>
          <w:szCs w:val="24"/>
          <w:lang w:val="id-ID"/>
        </w:rPr>
        <w:t xml:space="preserve"> for experimental work and residents of study region near the plant for their support in field work</w:t>
      </w:r>
      <w:r>
        <w:rPr>
          <w:rFonts w:ascii="Times New Roman" w:eastAsia="Times New Roman" w:hAnsi="Times New Roman" w:cs="Times New Roman"/>
          <w:color w:val="000000"/>
          <w:sz w:val="24"/>
          <w:szCs w:val="24"/>
          <w:lang w:val="id-ID"/>
        </w:rPr>
        <w:t>.</w:t>
      </w:r>
      <w:r w:rsidR="00F1227F">
        <w:rPr>
          <w:rFonts w:ascii="Times New Roman" w:eastAsia="Times New Roman" w:hAnsi="Times New Roman" w:cs="Times New Roman"/>
          <w:color w:val="000000"/>
          <w:sz w:val="24"/>
          <w:szCs w:val="24"/>
          <w:lang w:val="id-ID"/>
        </w:rPr>
        <w:t xml:space="preserve">  </w:t>
      </w:r>
    </w:p>
    <w:p w:rsidR="0070686D" w:rsidRDefault="0070686D">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lang w:val="id-ID"/>
        </w:rPr>
      </w:pP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w:t>
      </w:r>
      <w:r w:rsidR="00F1227F">
        <w:rPr>
          <w:rFonts w:ascii="Times New Roman" w:eastAsia="Times New Roman" w:hAnsi="Times New Roman" w:cs="Times New Roman"/>
          <w:b/>
          <w:color w:val="000000"/>
          <w:sz w:val="28"/>
          <w:szCs w:val="28"/>
        </w:rPr>
        <w:t>sclaimer (</w:t>
      </w:r>
      <w:r>
        <w:rPr>
          <w:rFonts w:ascii="Times New Roman" w:eastAsia="Times New Roman" w:hAnsi="Times New Roman" w:cs="Times New Roman"/>
          <w:b/>
          <w:color w:val="000000"/>
          <w:sz w:val="28"/>
          <w:szCs w:val="28"/>
        </w:rPr>
        <w:t>Artificial Intelligence)</w:t>
      </w:r>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Authors hereby declare that No generative AI technologies such as Large Language Models ( ChatGPT, COPILOT etc) and text-to- image generator have been used during writing or editing of this manuscript. </w:t>
      </w:r>
    </w:p>
    <w:p w:rsidR="00573EA0" w:rsidRDefault="00573EA0">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color w:val="000000"/>
          <w:sz w:val="24"/>
          <w:szCs w:val="24"/>
        </w:rPr>
      </w:pPr>
    </w:p>
    <w:p w:rsidR="00573EA0" w:rsidRDefault="00573EA0">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4"/>
          <w:szCs w:val="24"/>
        </w:rPr>
      </w:pPr>
      <w:bookmarkStart w:id="0" w:name="_GoBack"/>
      <w:bookmarkEnd w:id="0"/>
    </w:p>
    <w:p w:rsidR="00573EA0" w:rsidRDefault="007D55AB">
      <w:pPr>
        <w:pStyle w:val="Normal1"/>
        <w:widowControl w:val="0"/>
        <w:pBdr>
          <w:top w:val="nil"/>
          <w:left w:val="nil"/>
          <w:bottom w:val="nil"/>
          <w:right w:val="nil"/>
          <w:between w:val="nil"/>
        </w:pBdr>
        <w:spacing w:before="114" w:after="0" w:line="240" w:lineRule="auto"/>
        <w:ind w:right="21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sz w:val="28"/>
          <w:szCs w:val="28"/>
        </w:rPr>
        <w:t>References</w:t>
      </w:r>
    </w:p>
    <w:p w:rsidR="00573EA0" w:rsidRDefault="007D55AB">
      <w:pPr>
        <w:pStyle w:val="Normal1"/>
        <w:widowControl w:val="0"/>
        <w:pBdr>
          <w:top w:val="nil"/>
          <w:left w:val="nil"/>
          <w:bottom w:val="nil"/>
          <w:right w:val="nil"/>
          <w:between w:val="nil"/>
        </w:pBdr>
        <w:tabs>
          <w:tab w:val="left" w:pos="472"/>
        </w:tabs>
        <w:spacing w:before="121" w:after="0"/>
        <w:ind w:right="11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EPA.(</w:t>
      </w:r>
      <w:r>
        <w:rPr>
          <w:rFonts w:ascii="Times New Roman" w:eastAsia="Times New Roman" w:hAnsi="Times New Roman" w:cs="Times New Roman"/>
          <w:sz w:val="24"/>
          <w:szCs w:val="24"/>
        </w:rPr>
        <w:t>2000)</w:t>
      </w:r>
      <w:r>
        <w:rPr>
          <w:rFonts w:ascii="Times New Roman" w:eastAsia="Times New Roman" w:hAnsi="Times New Roman" w:cs="Times New Roman"/>
          <w:color w:val="000000"/>
          <w:sz w:val="24"/>
          <w:szCs w:val="24"/>
        </w:rPr>
        <w:t xml:space="preserve"> National Primary Drinking Water Regulations- Radionuclides-Final Rule. </w:t>
      </w:r>
      <w:r>
        <w:rPr>
          <w:rFonts w:ascii="Times New Roman" w:eastAsia="Times New Roman" w:hAnsi="Times New Roman" w:cs="Times New Roman"/>
          <w:i/>
          <w:color w:val="000000"/>
          <w:sz w:val="24"/>
          <w:szCs w:val="24"/>
        </w:rPr>
        <w:t>Federal Register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65(236)</w:t>
      </w:r>
      <w:r>
        <w:rPr>
          <w:rFonts w:ascii="Times New Roman" w:eastAsia="Times New Roman" w:hAnsi="Times New Roman" w:cs="Times New Roman"/>
          <w:color w:val="000000"/>
          <w:sz w:val="24"/>
          <w:szCs w:val="24"/>
        </w:rPr>
        <w:t>, 76708- 76753</w:t>
      </w:r>
      <w:r>
        <w:rPr>
          <w:rFonts w:ascii="Times New Roman" w:eastAsia="Times New Roman" w:hAnsi="Times New Roman" w:cs="Times New Roman"/>
          <w:sz w:val="24"/>
          <w:szCs w:val="24"/>
        </w:rPr>
        <w:t xml:space="preserve">. </w:t>
      </w:r>
    </w:p>
    <w:p w:rsidR="00573EA0" w:rsidRDefault="00573EA0">
      <w:pPr>
        <w:pStyle w:val="Normal1"/>
        <w:widowControl w:val="0"/>
        <w:pBdr>
          <w:top w:val="nil"/>
          <w:left w:val="nil"/>
          <w:bottom w:val="nil"/>
          <w:right w:val="nil"/>
          <w:between w:val="nil"/>
        </w:pBdr>
        <w:tabs>
          <w:tab w:val="left" w:pos="472"/>
        </w:tabs>
        <w:spacing w:before="121" w:after="0"/>
        <w:ind w:right="1120"/>
        <w:jc w:val="both"/>
        <w:rPr>
          <w:rFonts w:ascii="Times New Roman" w:eastAsia="Times New Roman" w:hAnsi="Times New Roman" w:cs="Times New Roman"/>
          <w:sz w:val="24"/>
          <w:szCs w:val="24"/>
        </w:rPr>
      </w:pPr>
    </w:p>
    <w:p w:rsidR="00573EA0" w:rsidRDefault="007D55AB">
      <w:pPr>
        <w:pStyle w:val="Normal1"/>
        <w:widowControl w:val="0"/>
        <w:pBdr>
          <w:top w:val="nil"/>
          <w:left w:val="nil"/>
          <w:bottom w:val="nil"/>
          <w:right w:val="nil"/>
          <w:between w:val="nil"/>
        </w:pBdr>
        <w:tabs>
          <w:tab w:val="left" w:pos="1488"/>
        </w:tabs>
        <w:spacing w:before="121" w:after="0" w:line="240" w:lineRule="auto"/>
        <w:ind w:right="10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E. Stalder, A. Blanc, M. Haldimann, V. Dudler.(201</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Occurrence of uranium in Swiss drinking water. </w:t>
      </w:r>
      <w:r>
        <w:rPr>
          <w:rFonts w:ascii="Times New Roman" w:eastAsia="Times New Roman" w:hAnsi="Times New Roman" w:cs="Times New Roman"/>
          <w:i/>
          <w:color w:val="000000"/>
          <w:sz w:val="24"/>
          <w:szCs w:val="24"/>
        </w:rPr>
        <w:t>Chemosphere</w:t>
      </w:r>
      <w:r>
        <w:rPr>
          <w:rFonts w:ascii="Times New Roman" w:eastAsia="Times New Roman" w:hAnsi="Times New Roman" w:cs="Times New Roman"/>
          <w:color w:val="000000"/>
          <w:sz w:val="24"/>
          <w:szCs w:val="24"/>
        </w:rPr>
        <w:t>, 86</w:t>
      </w: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672–679</w:t>
      </w:r>
      <w:r>
        <w:rPr>
          <w:rFonts w:ascii="Times New Roman" w:eastAsia="Times New Roman" w:hAnsi="Times New Roman" w:cs="Times New Roman"/>
          <w:sz w:val="24"/>
          <w:szCs w:val="24"/>
        </w:rPr>
        <w:t>.</w:t>
      </w:r>
      <w:hyperlink r:id="rId15">
        <w:r>
          <w:rPr>
            <w:rFonts w:ascii="Times New Roman" w:eastAsia="Times New Roman" w:hAnsi="Times New Roman" w:cs="Times New Roman"/>
            <w:color w:val="000000"/>
            <w:sz w:val="24"/>
            <w:szCs w:val="24"/>
          </w:rPr>
          <w:t>https://doi.org/10.1016/j.chemosphere.2011.11.022</w:t>
        </w:r>
      </w:hyperlink>
    </w:p>
    <w:p w:rsidR="00573EA0" w:rsidRDefault="00573EA0">
      <w:pPr>
        <w:pStyle w:val="Normal1"/>
        <w:widowControl w:val="0"/>
        <w:pBdr>
          <w:top w:val="nil"/>
          <w:left w:val="nil"/>
          <w:bottom w:val="nil"/>
          <w:right w:val="nil"/>
          <w:between w:val="nil"/>
        </w:pBdr>
        <w:tabs>
          <w:tab w:val="left" w:pos="1488"/>
        </w:tabs>
        <w:spacing w:before="121" w:after="0" w:line="240" w:lineRule="auto"/>
        <w:ind w:right="1088"/>
        <w:jc w:val="both"/>
        <w:rPr>
          <w:rFonts w:ascii="Times New Roman" w:eastAsia="Times New Roman" w:hAnsi="Times New Roman" w:cs="Times New Roman"/>
          <w:sz w:val="24"/>
          <w:szCs w:val="24"/>
        </w:rPr>
      </w:pPr>
    </w:p>
    <w:p w:rsidR="00573EA0" w:rsidRDefault="007D55AB">
      <w:pPr>
        <w:pStyle w:val="Normal1"/>
        <w:widowControl w:val="0"/>
        <w:pBdr>
          <w:top w:val="nil"/>
          <w:left w:val="nil"/>
          <w:bottom w:val="nil"/>
          <w:right w:val="nil"/>
          <w:between w:val="nil"/>
        </w:pBdr>
        <w:tabs>
          <w:tab w:val="left" w:pos="1488"/>
        </w:tabs>
        <w:spacing w:before="121" w:after="0"/>
        <w:ind w:right="108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H.A.S. Aly and F.M. Ragab.(2013). Effect of Ground Water Chemistry and Surrounding Rocks on Radionuclides Distributions and their Environmental Hazard in Southwestern Sinai, Egypt. </w:t>
      </w:r>
      <w:r>
        <w:rPr>
          <w:rFonts w:ascii="Times New Roman" w:eastAsia="Times New Roman" w:hAnsi="Times New Roman" w:cs="Times New Roman"/>
          <w:i/>
          <w:color w:val="000000"/>
          <w:sz w:val="24"/>
          <w:szCs w:val="24"/>
        </w:rPr>
        <w:t xml:space="preserve">J Environ Anal Toxicol., </w:t>
      </w:r>
      <w:r>
        <w:rPr>
          <w:rFonts w:ascii="Times New Roman" w:eastAsia="Times New Roman" w:hAnsi="Times New Roman" w:cs="Times New Roman"/>
          <w:color w:val="000000"/>
          <w:sz w:val="24"/>
          <w:szCs w:val="24"/>
        </w:rPr>
        <w:t>3</w:t>
      </w: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172</w:t>
      </w:r>
      <w:r>
        <w:rPr>
          <w:rFonts w:ascii="Times New Roman" w:eastAsia="Times New Roman" w:hAnsi="Times New Roman" w:cs="Times New Roman"/>
          <w:sz w:val="24"/>
          <w:szCs w:val="24"/>
        </w:rPr>
        <w:t xml:space="preserve">. </w:t>
      </w:r>
    </w:p>
    <w:p w:rsidR="00573EA0" w:rsidRDefault="00573EA0">
      <w:pPr>
        <w:pStyle w:val="Normal1"/>
        <w:widowControl w:val="0"/>
        <w:pBdr>
          <w:top w:val="nil"/>
          <w:left w:val="nil"/>
          <w:bottom w:val="nil"/>
          <w:right w:val="nil"/>
          <w:between w:val="nil"/>
        </w:pBdr>
        <w:tabs>
          <w:tab w:val="left" w:pos="1488"/>
        </w:tabs>
        <w:spacing w:before="121" w:after="0"/>
        <w:ind w:right="1088"/>
        <w:jc w:val="both"/>
        <w:rPr>
          <w:rFonts w:ascii="Times New Roman" w:eastAsia="Times New Roman" w:hAnsi="Times New Roman" w:cs="Times New Roman"/>
          <w:sz w:val="24"/>
          <w:szCs w:val="24"/>
        </w:rPr>
      </w:pPr>
    </w:p>
    <w:p w:rsidR="00573EA0" w:rsidRDefault="007D55AB">
      <w:pPr>
        <w:pStyle w:val="Normal1"/>
        <w:widowControl w:val="0"/>
        <w:pBdr>
          <w:top w:val="nil"/>
          <w:left w:val="nil"/>
          <w:bottom w:val="nil"/>
          <w:right w:val="nil"/>
          <w:between w:val="nil"/>
        </w:pBdr>
        <w:tabs>
          <w:tab w:val="left" w:pos="1488"/>
        </w:tabs>
        <w:spacing w:before="121" w:after="0"/>
        <w:ind w:right="10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I.A. Katsoyiannis , S.J. Hug , A. Ammann, A. Zikoudi, C. Hatziliontos.(2007). Arsenic speciation and uranium concentrations in drinking water supply wells in Northern Greece: Correlations with redox indicative parameters and implications for groundwater treatment. </w:t>
      </w:r>
      <w:r>
        <w:rPr>
          <w:rFonts w:ascii="Times New Roman" w:eastAsia="Times New Roman" w:hAnsi="Times New Roman" w:cs="Times New Roman"/>
          <w:i/>
          <w:sz w:val="24"/>
          <w:szCs w:val="24"/>
        </w:rPr>
        <w:t xml:space="preserve">Sci Total Environ, </w:t>
      </w:r>
      <w:r>
        <w:rPr>
          <w:rFonts w:ascii="Times New Roman" w:eastAsia="Times New Roman" w:hAnsi="Times New Roman" w:cs="Times New Roman"/>
          <w:b/>
          <w:sz w:val="24"/>
          <w:szCs w:val="24"/>
        </w:rPr>
        <w:t>383</w:t>
      </w:r>
      <w:r>
        <w:rPr>
          <w:rFonts w:ascii="Times New Roman" w:eastAsia="Times New Roman" w:hAnsi="Times New Roman" w:cs="Times New Roman"/>
          <w:sz w:val="24"/>
          <w:szCs w:val="24"/>
        </w:rPr>
        <w:t>, 128–140.   DOI: </w:t>
      </w:r>
      <w:hyperlink r:id="rId16">
        <w:r>
          <w:rPr>
            <w:rFonts w:ascii="Times New Roman" w:eastAsia="Times New Roman" w:hAnsi="Times New Roman" w:cs="Times New Roman"/>
            <w:sz w:val="24"/>
            <w:szCs w:val="24"/>
          </w:rPr>
          <w:t>10.1016/j.scitotenv.2007.04.035</w:t>
        </w:r>
      </w:hyperlink>
    </w:p>
    <w:p w:rsidR="00573EA0" w:rsidRDefault="007D55AB">
      <w:pPr>
        <w:pStyle w:val="Normal1"/>
        <w:shd w:val="clear" w:color="auto" w:fill="FFFFFF"/>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J. Nriagu, Dong-Ha Nam, T. A. Ayanwola, H. Dinh, E. Erdenechimeg, C. Ochir , T. A. Bolormaa.(2012). High levels of uranium in groundwater of Ulaanbaatar, Mongolia. </w:t>
      </w:r>
      <w:r>
        <w:rPr>
          <w:rFonts w:ascii="Times New Roman" w:eastAsia="Times New Roman" w:hAnsi="Times New Roman" w:cs="Times New Roman"/>
          <w:i/>
          <w:sz w:val="24"/>
          <w:szCs w:val="24"/>
        </w:rPr>
        <w:t xml:space="preserve">Sci Total Environ, </w:t>
      </w:r>
      <w:r>
        <w:rPr>
          <w:rFonts w:ascii="Times New Roman" w:eastAsia="Times New Roman" w:hAnsi="Times New Roman" w:cs="Times New Roman"/>
          <w:b/>
          <w:sz w:val="24"/>
          <w:szCs w:val="24"/>
        </w:rPr>
        <w:t>414</w:t>
      </w:r>
      <w:r>
        <w:rPr>
          <w:rFonts w:ascii="Times New Roman" w:eastAsia="Times New Roman" w:hAnsi="Times New Roman" w:cs="Times New Roman"/>
          <w:sz w:val="24"/>
          <w:szCs w:val="24"/>
        </w:rPr>
        <w:t>, 722–726. DOI: </w:t>
      </w:r>
      <w:hyperlink r:id="rId17">
        <w:r>
          <w:rPr>
            <w:rFonts w:ascii="Times New Roman" w:eastAsia="Times New Roman" w:hAnsi="Times New Roman" w:cs="Times New Roman"/>
            <w:sz w:val="24"/>
            <w:szCs w:val="24"/>
          </w:rPr>
          <w:t>10.1016/j.scitotenv.2011.11.037</w:t>
        </w:r>
      </w:hyperlink>
    </w:p>
    <w:p w:rsidR="00573EA0" w:rsidRDefault="007D55AB">
      <w:pPr>
        <w:pStyle w:val="Normal1"/>
        <w:widowControl w:val="0"/>
        <w:pBdr>
          <w:top w:val="nil"/>
          <w:left w:val="nil"/>
          <w:bottom w:val="nil"/>
          <w:right w:val="nil"/>
          <w:between w:val="nil"/>
        </w:pBdr>
        <w:tabs>
          <w:tab w:val="left" w:pos="472"/>
        </w:tabs>
        <w:spacing w:before="119" w:after="0"/>
        <w:ind w:right="112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.L. Domingo.</w:t>
      </w:r>
      <w:r>
        <w:rPr>
          <w:rFonts w:ascii="Times New Roman" w:eastAsia="Times New Roman" w:hAnsi="Times New Roman" w:cs="Times New Roman"/>
          <w:sz w:val="24"/>
          <w:szCs w:val="24"/>
        </w:rPr>
        <w:t xml:space="preserve">(1995). </w:t>
      </w:r>
      <w:r>
        <w:rPr>
          <w:rFonts w:ascii="Times New Roman" w:eastAsia="Times New Roman" w:hAnsi="Times New Roman" w:cs="Times New Roman"/>
          <w:color w:val="000000"/>
          <w:sz w:val="24"/>
          <w:szCs w:val="24"/>
        </w:rPr>
        <w:t xml:space="preserve">Prevention by chelating agents of metal- induced development toxicity. </w:t>
      </w:r>
      <w:r>
        <w:rPr>
          <w:rFonts w:ascii="Times New Roman" w:eastAsia="Times New Roman" w:hAnsi="Times New Roman" w:cs="Times New Roman"/>
          <w:i/>
          <w:color w:val="000000"/>
          <w:sz w:val="24"/>
          <w:szCs w:val="24"/>
        </w:rPr>
        <w:t>ReprodToxicol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9(2)</w:t>
      </w:r>
      <w:r>
        <w:rPr>
          <w:rFonts w:ascii="Times New Roman" w:eastAsia="Times New Roman" w:hAnsi="Times New Roman" w:cs="Times New Roman"/>
          <w:color w:val="000000"/>
          <w:sz w:val="24"/>
          <w:szCs w:val="24"/>
        </w:rPr>
        <w:t xml:space="preserve">, 105–113.  </w:t>
      </w:r>
      <w:hyperlink r:id="rId18">
        <w:r>
          <w:rPr>
            <w:rFonts w:ascii="Times New Roman" w:eastAsia="Times New Roman" w:hAnsi="Times New Roman" w:cs="Times New Roman"/>
            <w:color w:val="000000"/>
            <w:sz w:val="24"/>
            <w:szCs w:val="24"/>
          </w:rPr>
          <w:t>https://doi.org/10.1016/0890-6238(94)00060-3</w:t>
        </w:r>
      </w:hyperlink>
    </w:p>
    <w:p w:rsidR="00573EA0" w:rsidRDefault="00573EA0">
      <w:pPr>
        <w:pStyle w:val="Normal1"/>
        <w:widowControl w:val="0"/>
        <w:pBdr>
          <w:top w:val="nil"/>
          <w:left w:val="nil"/>
          <w:bottom w:val="nil"/>
          <w:right w:val="nil"/>
          <w:between w:val="nil"/>
        </w:pBdr>
        <w:tabs>
          <w:tab w:val="left" w:pos="472"/>
        </w:tabs>
        <w:spacing w:before="119" w:after="0"/>
        <w:ind w:right="1123"/>
        <w:jc w:val="both"/>
        <w:rPr>
          <w:rFonts w:ascii="Times New Roman" w:eastAsia="Times New Roman" w:hAnsi="Times New Roman" w:cs="Times New Roman"/>
          <w:sz w:val="24"/>
          <w:szCs w:val="24"/>
        </w:rPr>
      </w:pPr>
    </w:p>
    <w:p w:rsidR="00573EA0" w:rsidRDefault="007D55AB">
      <w:pPr>
        <w:pStyle w:val="Normal1"/>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M.E. Wrenn, P.W. Durbin, B. Howard, J.(1985). Lipsztein, J. Rundo, E.T. Still, and D.L. Willis. Metabolism of Ingested U and Ra. </w:t>
      </w:r>
      <w:r>
        <w:rPr>
          <w:rFonts w:ascii="Times New Roman" w:eastAsia="Times New Roman" w:hAnsi="Times New Roman" w:cs="Times New Roman"/>
          <w:i/>
          <w:sz w:val="24"/>
          <w:szCs w:val="24"/>
        </w:rPr>
        <w:t>Health Phys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48(5)</w:t>
      </w:r>
      <w:r>
        <w:rPr>
          <w:rFonts w:ascii="Times New Roman" w:eastAsia="Times New Roman" w:hAnsi="Times New Roman" w:cs="Times New Roman"/>
          <w:sz w:val="24"/>
          <w:szCs w:val="24"/>
        </w:rPr>
        <w:t>, 601-633.   DOI: </w:t>
      </w:r>
      <w:hyperlink r:id="rId19">
        <w:r>
          <w:rPr>
            <w:rFonts w:ascii="Times New Roman" w:eastAsia="Times New Roman" w:hAnsi="Times New Roman" w:cs="Times New Roman"/>
            <w:sz w:val="24"/>
            <w:szCs w:val="24"/>
          </w:rPr>
          <w:t>10.1097/00004032-198505000-00004</w:t>
        </w:r>
      </w:hyperlink>
    </w:p>
    <w:p w:rsidR="00573EA0" w:rsidRDefault="007D55AB">
      <w:pPr>
        <w:pStyle w:val="Normal1"/>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 M.L.D. Silva, D.M. Bonotto.(2015). Uranium isotopes in groundwater occurring at Amazonas State, Brazil. </w:t>
      </w:r>
      <w:r>
        <w:rPr>
          <w:rFonts w:ascii="Times New Roman" w:eastAsia="Times New Roman" w:hAnsi="Times New Roman" w:cs="Times New Roman"/>
          <w:i/>
          <w:sz w:val="24"/>
          <w:szCs w:val="24"/>
        </w:rPr>
        <w:t xml:space="preserve">. Appl. Radiat. Isot., </w:t>
      </w: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 24–33.  DOI: </w:t>
      </w:r>
      <w:hyperlink r:id="rId20">
        <w:r>
          <w:rPr>
            <w:rFonts w:ascii="Times New Roman" w:eastAsia="Times New Roman" w:hAnsi="Times New Roman" w:cs="Times New Roman"/>
            <w:sz w:val="24"/>
            <w:szCs w:val="24"/>
          </w:rPr>
          <w:t>10.1016/j.apradiso.2014.12.012</w:t>
        </w:r>
      </w:hyperlink>
    </w:p>
    <w:p w:rsidR="00573EA0" w:rsidRDefault="007D55AB">
      <w:pPr>
        <w:pStyle w:val="Normal1"/>
        <w:widowControl w:val="0"/>
        <w:pBdr>
          <w:top w:val="nil"/>
          <w:left w:val="nil"/>
          <w:bottom w:val="nil"/>
          <w:right w:val="nil"/>
          <w:between w:val="nil"/>
        </w:pBdr>
        <w:tabs>
          <w:tab w:val="left" w:pos="1488"/>
        </w:tabs>
        <w:spacing w:before="120" w:after="0"/>
        <w:ind w:right="108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O.L. Gaskova, A.E. Boguslavsky.(201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Groundwater geochemistry near the storage sites of low-level radioactive waste: Implications for uranium migration. </w:t>
      </w:r>
      <w:r>
        <w:rPr>
          <w:rFonts w:ascii="Times New Roman" w:eastAsia="Times New Roman" w:hAnsi="Times New Roman" w:cs="Times New Roman"/>
          <w:i/>
          <w:color w:val="000000"/>
          <w:sz w:val="24"/>
          <w:szCs w:val="24"/>
        </w:rPr>
        <w:t>Procedia Earth and Planetary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color w:val="000000"/>
          <w:sz w:val="24"/>
          <w:szCs w:val="24"/>
        </w:rPr>
        <w:t>288 – 291</w:t>
      </w:r>
      <w:r>
        <w:rPr>
          <w:rFonts w:ascii="Times New Roman" w:eastAsia="Times New Roman" w:hAnsi="Times New Roman" w:cs="Times New Roman"/>
          <w:sz w:val="24"/>
          <w:szCs w:val="24"/>
        </w:rPr>
        <w:t xml:space="preserve">. </w:t>
      </w:r>
    </w:p>
    <w:p w:rsidR="00573EA0" w:rsidRDefault="007D55AB">
      <w:pPr>
        <w:pStyle w:val="Normal1"/>
        <w:widowControl w:val="0"/>
        <w:pBdr>
          <w:top w:val="nil"/>
          <w:left w:val="nil"/>
          <w:bottom w:val="nil"/>
          <w:right w:val="nil"/>
          <w:between w:val="nil"/>
        </w:pBdr>
        <w:tabs>
          <w:tab w:val="left" w:pos="472"/>
        </w:tabs>
        <w:spacing w:before="121" w:after="0"/>
        <w:ind w:right="11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P.Kurttio, H. Komulainen, A. Leino, L. Salonen, A. Auvinen, and H. Saha.(2005).  Bone as a Possible Target of Chemical Toxicity of Natural Uranium in Drinking Water. </w:t>
      </w:r>
      <w:r>
        <w:rPr>
          <w:rFonts w:ascii="Times New Roman" w:eastAsia="Times New Roman" w:hAnsi="Times New Roman" w:cs="Times New Roman"/>
          <w:i/>
          <w:color w:val="000000"/>
          <w:sz w:val="24"/>
          <w:szCs w:val="24"/>
        </w:rPr>
        <w:t>Environ Health Perspect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113(1)</w:t>
      </w:r>
      <w:r>
        <w:rPr>
          <w:rFonts w:ascii="Times New Roman" w:eastAsia="Times New Roman" w:hAnsi="Times New Roman" w:cs="Times New Roman"/>
          <w:color w:val="000000"/>
          <w:sz w:val="24"/>
          <w:szCs w:val="24"/>
        </w:rPr>
        <w:t>, 68-72</w:t>
      </w:r>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00000"/>
            <w:sz w:val="24"/>
            <w:szCs w:val="24"/>
            <w:highlight w:val="white"/>
          </w:rPr>
          <w:t>https://doi.org/10.1289/ehp.7475</w:t>
        </w:r>
      </w:hyperlink>
    </w:p>
    <w:p w:rsidR="00573EA0" w:rsidRDefault="00573EA0">
      <w:pPr>
        <w:pStyle w:val="Normal1"/>
        <w:widowControl w:val="0"/>
        <w:pBdr>
          <w:top w:val="nil"/>
          <w:left w:val="nil"/>
          <w:bottom w:val="nil"/>
          <w:right w:val="nil"/>
          <w:between w:val="nil"/>
        </w:pBdr>
        <w:tabs>
          <w:tab w:val="left" w:pos="472"/>
        </w:tabs>
        <w:spacing w:before="121" w:after="0"/>
        <w:ind w:right="1124"/>
        <w:jc w:val="both"/>
        <w:rPr>
          <w:rFonts w:ascii="Times New Roman" w:eastAsia="Times New Roman" w:hAnsi="Times New Roman" w:cs="Times New Roman"/>
          <w:sz w:val="24"/>
          <w:szCs w:val="24"/>
        </w:rPr>
      </w:pPr>
    </w:p>
    <w:p w:rsidR="00573EA0" w:rsidRDefault="007D55AB">
      <w:pPr>
        <w:pStyle w:val="Normal1"/>
        <w:widowControl w:val="0"/>
        <w:pBdr>
          <w:top w:val="nil"/>
          <w:left w:val="nil"/>
          <w:bottom w:val="nil"/>
          <w:right w:val="nil"/>
          <w:between w:val="nil"/>
        </w:pBdr>
        <w:tabs>
          <w:tab w:val="left" w:pos="516"/>
        </w:tabs>
        <w:spacing w:before="119" w:after="0"/>
        <w:ind w:right="11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P.K. Ghosh, S. Bhattacharya, S. Bhattacharya, N. Chodankar,(2007).  </w:t>
      </w:r>
      <w:r>
        <w:rPr>
          <w:rFonts w:ascii="Times New Roman" w:eastAsia="Times New Roman" w:hAnsi="Times New Roman" w:cs="Times New Roman"/>
          <w:i/>
          <w:color w:val="000000"/>
          <w:sz w:val="24"/>
          <w:szCs w:val="24"/>
        </w:rPr>
        <w:t xml:space="preserve">Radiological Safety in Uranium Mining and Milling. </w:t>
      </w:r>
      <w:r>
        <w:rPr>
          <w:rFonts w:ascii="Times New Roman" w:eastAsia="Times New Roman" w:hAnsi="Times New Roman" w:cs="Times New Roman"/>
          <w:color w:val="000000"/>
          <w:sz w:val="24"/>
          <w:szCs w:val="24"/>
        </w:rPr>
        <w:t>AERB, India. 24-28</w:t>
      </w:r>
      <w:r>
        <w:rPr>
          <w:rFonts w:ascii="Times New Roman" w:eastAsia="Times New Roman" w:hAnsi="Times New Roman" w:cs="Times New Roman"/>
          <w:sz w:val="24"/>
          <w:szCs w:val="24"/>
        </w:rPr>
        <w:t xml:space="preserve">. </w:t>
      </w:r>
    </w:p>
    <w:p w:rsidR="00573EA0" w:rsidRDefault="00573EA0">
      <w:pPr>
        <w:pStyle w:val="Normal1"/>
        <w:widowControl w:val="0"/>
        <w:pBdr>
          <w:top w:val="nil"/>
          <w:left w:val="nil"/>
          <w:bottom w:val="nil"/>
          <w:right w:val="nil"/>
          <w:between w:val="nil"/>
        </w:pBdr>
        <w:tabs>
          <w:tab w:val="left" w:pos="472"/>
        </w:tabs>
        <w:spacing w:before="106" w:after="0"/>
        <w:ind w:right="1123"/>
        <w:jc w:val="both"/>
        <w:rPr>
          <w:rFonts w:ascii="Times New Roman" w:eastAsia="Times New Roman" w:hAnsi="Times New Roman" w:cs="Times New Roman"/>
          <w:color w:val="000000"/>
          <w:sz w:val="24"/>
          <w:szCs w:val="24"/>
        </w:rPr>
      </w:pPr>
    </w:p>
    <w:p w:rsidR="00573EA0" w:rsidRDefault="007D55AB">
      <w:pPr>
        <w:pStyle w:val="Normal1"/>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R.Jakhu, R. Mehra, H.M. Mittal.(2016). Exposure assessment of natural uranium from drinking water. </w:t>
      </w:r>
      <w:r>
        <w:rPr>
          <w:rFonts w:ascii="Times New Roman" w:eastAsia="Times New Roman" w:hAnsi="Times New Roman" w:cs="Times New Roman"/>
          <w:i/>
          <w:sz w:val="24"/>
          <w:szCs w:val="24"/>
        </w:rPr>
        <w:t>Environ. Sci.: Processes Impacts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18(12)</w:t>
      </w:r>
      <w:r>
        <w:rPr>
          <w:rFonts w:ascii="Times New Roman" w:eastAsia="Times New Roman" w:hAnsi="Times New Roman" w:cs="Times New Roman"/>
          <w:sz w:val="24"/>
          <w:szCs w:val="24"/>
        </w:rPr>
        <w:t xml:space="preserve">, 1540–1549.   </w:t>
      </w:r>
      <w:hyperlink r:id="rId22">
        <w:r>
          <w:rPr>
            <w:rFonts w:ascii="Times New Roman" w:eastAsia="Times New Roman" w:hAnsi="Times New Roman" w:cs="Times New Roman"/>
            <w:sz w:val="24"/>
            <w:szCs w:val="24"/>
          </w:rPr>
          <w:t>https://doi.org/10.1039/C6EM00514D</w:t>
        </w:r>
      </w:hyperlink>
    </w:p>
    <w:p w:rsidR="00573EA0" w:rsidRDefault="007D55AB">
      <w:pPr>
        <w:pStyle w:val="Normal1"/>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 USEPA. (2012). </w:t>
      </w:r>
      <w:r>
        <w:rPr>
          <w:rFonts w:ascii="Times New Roman" w:eastAsia="Times New Roman" w:hAnsi="Times New Roman" w:cs="Times New Roman"/>
          <w:i/>
          <w:color w:val="000000"/>
          <w:sz w:val="24"/>
          <w:szCs w:val="24"/>
        </w:rPr>
        <w:t xml:space="preserve">Drinking Water Standards and Health </w:t>
      </w:r>
      <w:r>
        <w:rPr>
          <w:rFonts w:ascii="Times New Roman" w:eastAsia="Times New Roman" w:hAnsi="Times New Roman" w:cs="Times New Roman"/>
          <w:color w:val="000000"/>
          <w:sz w:val="24"/>
          <w:szCs w:val="24"/>
        </w:rPr>
        <w:t>Advisories. Washington DC U.S.A., EPA 822-S-12-001</w:t>
      </w:r>
      <w:r>
        <w:rPr>
          <w:rFonts w:ascii="Times New Roman" w:eastAsia="Times New Roman" w:hAnsi="Times New Roman" w:cs="Times New Roman"/>
          <w:sz w:val="24"/>
          <w:szCs w:val="24"/>
        </w:rPr>
        <w:t xml:space="preserve">. </w:t>
      </w:r>
    </w:p>
    <w:p w:rsidR="00573EA0" w:rsidRDefault="00573EA0">
      <w:pPr>
        <w:pStyle w:val="Normal1"/>
        <w:widowControl w:val="0"/>
        <w:pBdr>
          <w:top w:val="nil"/>
          <w:left w:val="nil"/>
          <w:bottom w:val="nil"/>
          <w:right w:val="nil"/>
          <w:between w:val="nil"/>
        </w:pBdr>
        <w:tabs>
          <w:tab w:val="left" w:pos="580"/>
        </w:tabs>
        <w:spacing w:before="121" w:after="0"/>
        <w:ind w:right="105"/>
        <w:jc w:val="both"/>
        <w:rPr>
          <w:rFonts w:ascii="Times New Roman" w:eastAsia="Times New Roman" w:hAnsi="Times New Roman" w:cs="Times New Roman"/>
          <w:color w:val="000000"/>
          <w:sz w:val="24"/>
          <w:szCs w:val="24"/>
        </w:rPr>
      </w:pPr>
    </w:p>
    <w:p w:rsidR="00573EA0" w:rsidRDefault="007D55AB">
      <w:pPr>
        <w:pStyle w:val="Normal1"/>
        <w:widowControl w:val="0"/>
        <w:pBdr>
          <w:top w:val="nil"/>
          <w:left w:val="nil"/>
          <w:bottom w:val="nil"/>
          <w:right w:val="nil"/>
          <w:between w:val="nil"/>
        </w:pBdr>
        <w:tabs>
          <w:tab w:val="left" w:pos="472"/>
        </w:tabs>
        <w:spacing w:before="106" w:after="0"/>
        <w:ind w:right="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W.H.O.,(1998).  Guidelines </w:t>
      </w:r>
      <w:r>
        <w:rPr>
          <w:rFonts w:ascii="Times New Roman" w:eastAsia="Times New Roman" w:hAnsi="Times New Roman" w:cs="Times New Roman"/>
          <w:i/>
          <w:color w:val="000000"/>
          <w:sz w:val="24"/>
          <w:szCs w:val="24"/>
        </w:rPr>
        <w:t>for drinking water quality</w:t>
      </w:r>
      <w:r>
        <w:rPr>
          <w:rFonts w:ascii="Times New Roman" w:eastAsia="Times New Roman" w:hAnsi="Times New Roman" w:cs="Times New Roman"/>
          <w:color w:val="000000"/>
          <w:sz w:val="24"/>
          <w:szCs w:val="24"/>
        </w:rPr>
        <w:t>, World Health Organization, Geneva Switzerland, 72-80</w:t>
      </w:r>
      <w:r>
        <w:rPr>
          <w:rFonts w:ascii="Times New Roman" w:eastAsia="Times New Roman" w:hAnsi="Times New Roman" w:cs="Times New Roman"/>
          <w:sz w:val="24"/>
          <w:szCs w:val="24"/>
        </w:rPr>
        <w:t xml:space="preserve">. </w:t>
      </w:r>
    </w:p>
    <w:p w:rsidR="00573EA0" w:rsidRDefault="00573EA0">
      <w:pPr>
        <w:pStyle w:val="Normal1"/>
        <w:widowControl w:val="0"/>
        <w:pBdr>
          <w:top w:val="nil"/>
          <w:left w:val="nil"/>
          <w:bottom w:val="nil"/>
          <w:right w:val="nil"/>
          <w:between w:val="nil"/>
        </w:pBdr>
        <w:tabs>
          <w:tab w:val="left" w:pos="472"/>
        </w:tabs>
        <w:spacing w:before="106" w:after="0"/>
        <w:ind w:right="1123"/>
        <w:jc w:val="both"/>
        <w:rPr>
          <w:rFonts w:ascii="Times New Roman" w:eastAsia="Times New Roman" w:hAnsi="Times New Roman" w:cs="Times New Roman"/>
          <w:color w:val="000000"/>
          <w:sz w:val="24"/>
          <w:szCs w:val="24"/>
        </w:rPr>
      </w:pPr>
    </w:p>
    <w:p w:rsidR="00573EA0" w:rsidRDefault="007D55AB">
      <w:pPr>
        <w:pStyle w:val="Normal1"/>
        <w:widowControl w:val="0"/>
        <w:pBdr>
          <w:top w:val="nil"/>
          <w:left w:val="nil"/>
          <w:bottom w:val="nil"/>
          <w:right w:val="nil"/>
          <w:between w:val="nil"/>
        </w:pBdr>
        <w:tabs>
          <w:tab w:val="left" w:pos="472"/>
        </w:tabs>
        <w:spacing w:before="106" w:after="0"/>
        <w:ind w:right="11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  W.H.O., (1</w:t>
      </w:r>
      <w:r>
        <w:rPr>
          <w:rFonts w:ascii="Times New Roman" w:eastAsia="Times New Roman" w:hAnsi="Times New Roman" w:cs="Times New Roman"/>
          <w:sz w:val="24"/>
          <w:szCs w:val="24"/>
        </w:rPr>
        <w:t xml:space="preserve">998). </w:t>
      </w:r>
      <w:r>
        <w:rPr>
          <w:rFonts w:ascii="Times New Roman" w:eastAsia="Times New Roman" w:hAnsi="Times New Roman" w:cs="Times New Roman"/>
          <w:color w:val="000000"/>
          <w:sz w:val="24"/>
          <w:szCs w:val="24"/>
        </w:rPr>
        <w:t xml:space="preserve">Guidelines </w:t>
      </w:r>
      <w:r>
        <w:rPr>
          <w:rFonts w:ascii="Times New Roman" w:eastAsia="Times New Roman" w:hAnsi="Times New Roman" w:cs="Times New Roman"/>
          <w:i/>
          <w:color w:val="000000"/>
          <w:sz w:val="24"/>
          <w:szCs w:val="24"/>
        </w:rPr>
        <w:t>for drinking water quality</w:t>
      </w:r>
      <w:r>
        <w:rPr>
          <w:rFonts w:ascii="Times New Roman" w:eastAsia="Times New Roman" w:hAnsi="Times New Roman" w:cs="Times New Roman"/>
          <w:color w:val="000000"/>
          <w:sz w:val="24"/>
          <w:szCs w:val="24"/>
        </w:rPr>
        <w:t>, World Health Organization, Geneva Switzerland, 72-80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ISBN 978 92 4 154815 1</w:t>
      </w:r>
    </w:p>
    <w:p w:rsidR="00573EA0" w:rsidRDefault="00573EA0">
      <w:pPr>
        <w:pStyle w:val="Normal1"/>
        <w:widowControl w:val="0"/>
        <w:pBdr>
          <w:top w:val="nil"/>
          <w:left w:val="nil"/>
          <w:bottom w:val="nil"/>
          <w:right w:val="nil"/>
          <w:between w:val="nil"/>
        </w:pBdr>
        <w:tabs>
          <w:tab w:val="left" w:pos="472"/>
        </w:tabs>
        <w:spacing w:before="106" w:after="0"/>
        <w:ind w:right="1123"/>
        <w:jc w:val="both"/>
        <w:rPr>
          <w:rFonts w:ascii="Times New Roman" w:eastAsia="Times New Roman" w:hAnsi="Times New Roman" w:cs="Times New Roman"/>
          <w:sz w:val="24"/>
          <w:szCs w:val="24"/>
        </w:rPr>
      </w:pPr>
    </w:p>
    <w:p w:rsidR="00573EA0" w:rsidRDefault="007D55AB">
      <w:pPr>
        <w:pStyle w:val="Normal1"/>
        <w:widowControl w:val="0"/>
        <w:pBdr>
          <w:top w:val="nil"/>
          <w:left w:val="nil"/>
          <w:bottom w:val="nil"/>
          <w:right w:val="nil"/>
          <w:between w:val="nil"/>
        </w:pBdr>
        <w:tabs>
          <w:tab w:val="left" w:pos="472"/>
        </w:tabs>
        <w:spacing w:before="121" w:after="0"/>
        <w:ind w:right="112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W.H.O.,</w:t>
      </w:r>
      <w:r>
        <w:rPr>
          <w:rFonts w:ascii="Times New Roman" w:eastAsia="Times New Roman" w:hAnsi="Times New Roman" w:cs="Times New Roman"/>
          <w:sz w:val="24"/>
          <w:szCs w:val="24"/>
        </w:rPr>
        <w:t xml:space="preserve">(2004). </w:t>
      </w:r>
      <w:r>
        <w:rPr>
          <w:rFonts w:ascii="Times New Roman" w:eastAsia="Times New Roman" w:hAnsi="Times New Roman" w:cs="Times New Roman"/>
          <w:color w:val="000000"/>
          <w:sz w:val="24"/>
          <w:szCs w:val="24"/>
        </w:rPr>
        <w:t>Guidelines for Drinking Water Quality. World Health Organization, Geneva Switzerland, 454-456</w:t>
      </w:r>
      <w:r>
        <w:rPr>
          <w:rFonts w:ascii="Times New Roman" w:eastAsia="Times New Roman" w:hAnsi="Times New Roman" w:cs="Times New Roman"/>
          <w:sz w:val="24"/>
          <w:szCs w:val="24"/>
        </w:rPr>
        <w:t xml:space="preserve">. </w:t>
      </w:r>
      <w:r>
        <w:rPr>
          <w:rFonts w:ascii="Times New Roman" w:eastAsia="Times New Roman" w:hAnsi="Times New Roman" w:cs="Times New Roman"/>
          <w:b/>
          <w:smallCaps/>
          <w:color w:val="000000"/>
          <w:sz w:val="24"/>
          <w:szCs w:val="24"/>
          <w:highlight w:val="white"/>
        </w:rPr>
        <w:t>ISBN: </w:t>
      </w:r>
      <w:r>
        <w:rPr>
          <w:rFonts w:ascii="Times New Roman" w:eastAsia="Times New Roman" w:hAnsi="Times New Roman" w:cs="Times New Roman"/>
          <w:color w:val="000000"/>
          <w:sz w:val="24"/>
          <w:szCs w:val="24"/>
          <w:highlight w:val="white"/>
        </w:rPr>
        <w:t>978-92-4-154995-0</w:t>
      </w:r>
    </w:p>
    <w:p w:rsidR="00573EA0" w:rsidRDefault="00573EA0">
      <w:pPr>
        <w:pStyle w:val="Normal1"/>
        <w:widowControl w:val="0"/>
        <w:pBdr>
          <w:top w:val="nil"/>
          <w:left w:val="nil"/>
          <w:bottom w:val="nil"/>
          <w:right w:val="nil"/>
          <w:between w:val="nil"/>
        </w:pBdr>
        <w:tabs>
          <w:tab w:val="left" w:pos="472"/>
        </w:tabs>
        <w:spacing w:before="121" w:after="0"/>
        <w:ind w:right="1125"/>
        <w:jc w:val="both"/>
        <w:rPr>
          <w:rFonts w:ascii="Times New Roman" w:eastAsia="Times New Roman" w:hAnsi="Times New Roman" w:cs="Times New Roman"/>
          <w:sz w:val="24"/>
          <w:szCs w:val="24"/>
          <w:highlight w:val="white"/>
        </w:rPr>
      </w:pPr>
    </w:p>
    <w:p w:rsidR="00573EA0" w:rsidRDefault="007D55AB">
      <w:pPr>
        <w:pStyle w:val="Normal1"/>
        <w:widowControl w:val="0"/>
        <w:pBdr>
          <w:top w:val="nil"/>
          <w:left w:val="nil"/>
          <w:bottom w:val="nil"/>
          <w:right w:val="nil"/>
          <w:between w:val="nil"/>
        </w:pBdr>
        <w:tabs>
          <w:tab w:val="left" w:pos="580"/>
        </w:tabs>
        <w:spacing w:before="121" w:after="0"/>
        <w:ind w:right="105"/>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17</w:t>
      </w:r>
      <w:r>
        <w:rPr>
          <w:rFonts w:ascii="Times New Roman" w:eastAsia="Times New Roman" w:hAnsi="Times New Roman" w:cs="Times New Roman"/>
          <w:color w:val="000000"/>
          <w:sz w:val="24"/>
          <w:szCs w:val="24"/>
        </w:rPr>
        <w:t xml:space="preserve">] W.H.O.,(2011).  </w:t>
      </w:r>
      <w:r>
        <w:rPr>
          <w:rFonts w:ascii="Times New Roman" w:eastAsia="Times New Roman" w:hAnsi="Times New Roman" w:cs="Times New Roman"/>
          <w:i/>
          <w:color w:val="000000"/>
          <w:sz w:val="24"/>
          <w:szCs w:val="24"/>
        </w:rPr>
        <w:t>Guidelines for drinking water quality</w:t>
      </w:r>
      <w:r>
        <w:rPr>
          <w:rFonts w:ascii="Times New Roman" w:eastAsia="Times New Roman" w:hAnsi="Times New Roman" w:cs="Times New Roman"/>
          <w:color w:val="000000"/>
          <w:sz w:val="24"/>
          <w:szCs w:val="24"/>
        </w:rPr>
        <w:t xml:space="preserve">, World Health Organization, Geneva Switzerland, 241-252. </w:t>
      </w:r>
    </w:p>
    <w:p w:rsidR="008D29AD" w:rsidRDefault="008D29AD">
      <w:pPr>
        <w:pStyle w:val="Normal1"/>
        <w:widowControl w:val="0"/>
        <w:pBdr>
          <w:top w:val="nil"/>
          <w:left w:val="nil"/>
          <w:bottom w:val="nil"/>
          <w:right w:val="nil"/>
          <w:between w:val="nil"/>
        </w:pBdr>
        <w:tabs>
          <w:tab w:val="left" w:pos="580"/>
        </w:tabs>
        <w:spacing w:before="121" w:after="0"/>
        <w:ind w:right="105"/>
        <w:jc w:val="both"/>
        <w:rPr>
          <w:rFonts w:ascii="Times New Roman" w:eastAsia="Times New Roman" w:hAnsi="Times New Roman" w:cs="Times New Roman"/>
          <w:color w:val="000000"/>
          <w:sz w:val="24"/>
          <w:szCs w:val="24"/>
          <w:lang w:val="id-ID"/>
        </w:rPr>
      </w:pPr>
    </w:p>
    <w:p w:rsidR="008D29AD" w:rsidRPr="00F4055E" w:rsidRDefault="002E7BBD">
      <w:pPr>
        <w:pStyle w:val="Normal1"/>
        <w:widowControl w:val="0"/>
        <w:pBdr>
          <w:top w:val="nil"/>
          <w:left w:val="nil"/>
          <w:bottom w:val="nil"/>
          <w:right w:val="nil"/>
          <w:between w:val="nil"/>
        </w:pBdr>
        <w:tabs>
          <w:tab w:val="left" w:pos="580"/>
        </w:tabs>
        <w:spacing w:before="121" w:after="0"/>
        <w:ind w:right="105"/>
        <w:jc w:val="both"/>
        <w:rPr>
          <w:rFonts w:ascii="Times New Roman" w:hAnsi="Times New Roman" w:cs="Times New Roman"/>
          <w:sz w:val="24"/>
          <w:szCs w:val="24"/>
          <w:shd w:val="clear" w:color="auto" w:fill="FFFFFF"/>
          <w:lang w:val="id-ID"/>
        </w:rPr>
      </w:pPr>
      <w:r w:rsidRPr="00F4055E">
        <w:rPr>
          <w:rFonts w:ascii="Times New Roman" w:eastAsia="Times New Roman" w:hAnsi="Times New Roman" w:cs="Times New Roman"/>
          <w:sz w:val="24"/>
          <w:szCs w:val="24"/>
          <w:lang w:val="id-ID"/>
        </w:rPr>
        <w:t xml:space="preserve">[18] </w:t>
      </w:r>
      <w:r w:rsidRPr="00F4055E">
        <w:rPr>
          <w:rFonts w:ascii="Times New Roman" w:hAnsi="Times New Roman" w:cs="Times New Roman"/>
          <w:sz w:val="24"/>
          <w:szCs w:val="24"/>
          <w:shd w:val="clear" w:color="auto" w:fill="FFFFFF"/>
        </w:rPr>
        <w:t xml:space="preserve">Quantalase Enterprises Pvt Ltd. Indore, India. Available from: </w:t>
      </w:r>
      <w:hyperlink r:id="rId23" w:history="1">
        <w:r w:rsidR="001B019D" w:rsidRPr="00F4055E">
          <w:rPr>
            <w:rStyle w:val="Hyperlink"/>
            <w:rFonts w:ascii="Times New Roman" w:hAnsi="Times New Roman" w:cs="Times New Roman"/>
            <w:color w:val="auto"/>
            <w:sz w:val="24"/>
            <w:szCs w:val="24"/>
            <w:shd w:val="clear" w:color="auto" w:fill="FFFFFF"/>
          </w:rPr>
          <w:t>https://quantalase.in/</w:t>
        </w:r>
      </w:hyperlink>
    </w:p>
    <w:p w:rsidR="001B019D" w:rsidRDefault="001B019D">
      <w:pPr>
        <w:pStyle w:val="Normal1"/>
        <w:widowControl w:val="0"/>
        <w:pBdr>
          <w:top w:val="nil"/>
          <w:left w:val="nil"/>
          <w:bottom w:val="nil"/>
          <w:right w:val="nil"/>
          <w:between w:val="nil"/>
        </w:pBdr>
        <w:tabs>
          <w:tab w:val="left" w:pos="580"/>
        </w:tabs>
        <w:spacing w:before="121" w:after="0"/>
        <w:ind w:right="105"/>
        <w:jc w:val="both"/>
        <w:rPr>
          <w:rFonts w:ascii="Times New Roman" w:hAnsi="Times New Roman" w:cs="Times New Roman"/>
          <w:color w:val="FF0000"/>
          <w:sz w:val="24"/>
          <w:szCs w:val="24"/>
          <w:shd w:val="clear" w:color="auto" w:fill="FFFFFF"/>
          <w:lang w:val="id-ID"/>
        </w:rPr>
      </w:pPr>
    </w:p>
    <w:p w:rsidR="001B019D" w:rsidRDefault="001B019D">
      <w:pPr>
        <w:pStyle w:val="Normal1"/>
        <w:widowControl w:val="0"/>
        <w:pBdr>
          <w:top w:val="nil"/>
          <w:left w:val="nil"/>
          <w:bottom w:val="nil"/>
          <w:right w:val="nil"/>
          <w:between w:val="nil"/>
        </w:pBdr>
        <w:tabs>
          <w:tab w:val="left" w:pos="580"/>
        </w:tabs>
        <w:spacing w:before="121" w:after="0"/>
        <w:ind w:right="105"/>
        <w:jc w:val="both"/>
        <w:rPr>
          <w:rFonts w:ascii="Times New Roman" w:hAnsi="Times New Roman" w:cs="Times New Roman"/>
          <w:color w:val="000000"/>
          <w:sz w:val="24"/>
          <w:szCs w:val="24"/>
          <w:shd w:val="clear" w:color="auto" w:fill="FFFDE5"/>
          <w:lang w:val="id-ID"/>
        </w:rPr>
      </w:pPr>
      <w:r w:rsidRPr="00F4055E">
        <w:rPr>
          <w:rFonts w:ascii="Times New Roman" w:hAnsi="Times New Roman" w:cs="Times New Roman"/>
          <w:sz w:val="24"/>
          <w:szCs w:val="24"/>
          <w:shd w:val="clear" w:color="auto" w:fill="FFFFFF"/>
          <w:lang w:val="id-ID"/>
        </w:rPr>
        <w:t>[19]</w:t>
      </w:r>
      <w:r>
        <w:rPr>
          <w:rFonts w:ascii="Times New Roman" w:hAnsi="Times New Roman" w:cs="Times New Roman"/>
          <w:color w:val="FF0000"/>
          <w:sz w:val="24"/>
          <w:szCs w:val="24"/>
          <w:shd w:val="clear" w:color="auto" w:fill="FFFFFF"/>
          <w:lang w:val="id-ID"/>
        </w:rPr>
        <w:t xml:space="preserve">  </w:t>
      </w:r>
      <w:r w:rsidRPr="001B019D">
        <w:rPr>
          <w:rFonts w:ascii="Times New Roman" w:hAnsi="Times New Roman" w:cs="Times New Roman"/>
          <w:color w:val="000000"/>
          <w:sz w:val="24"/>
          <w:szCs w:val="24"/>
          <w:shd w:val="clear" w:color="auto" w:fill="FFFDE5"/>
        </w:rPr>
        <w:t>D.P.S. Rathore. Historical Development and Potentiality of LED-fluorimeter. Research &amp; Reviews : Journal of Physics. 2024; 13(01):14-21.</w:t>
      </w:r>
    </w:p>
    <w:p w:rsidR="00530B8F" w:rsidRPr="00904E20" w:rsidRDefault="00530B8F" w:rsidP="00530B8F">
      <w:pPr>
        <w:numPr>
          <w:ilvl w:val="0"/>
          <w:numId w:val="4"/>
        </w:numPr>
        <w:shd w:val="clear" w:color="auto" w:fill="FFFFFF"/>
        <w:spacing w:before="100" w:beforeAutospacing="1" w:after="0" w:afterAutospacing="1" w:line="240" w:lineRule="auto"/>
        <w:ind w:left="0"/>
        <w:jc w:val="both"/>
        <w:rPr>
          <w:rFonts w:ascii="Arial" w:hAnsi="Arial" w:cs="Arial"/>
        </w:rPr>
      </w:pPr>
      <w:r>
        <w:rPr>
          <w:rFonts w:ascii="Arial" w:hAnsi="Arial" w:cs="Arial"/>
          <w:lang w:val="id-ID"/>
        </w:rPr>
        <w:lastRenderedPageBreak/>
        <w:t xml:space="preserve">[20] </w:t>
      </w:r>
      <w:r w:rsidRPr="00530B8F">
        <w:rPr>
          <w:rFonts w:ascii="Arial" w:hAnsi="Arial" w:cs="Arial"/>
        </w:rPr>
        <w:t>May 2017</w:t>
      </w:r>
      <w:r w:rsidRPr="00530B8F">
        <w:rPr>
          <w:rFonts w:ascii="Arial" w:hAnsi="Arial" w:cs="Arial"/>
          <w:lang w:val="id-ID"/>
        </w:rPr>
        <w:t xml:space="preserve"> </w:t>
      </w:r>
      <w:hyperlink r:id="rId24" w:history="1">
        <w:r w:rsidRPr="00530B8F">
          <w:rPr>
            <w:rStyle w:val="Hyperlink"/>
            <w:rFonts w:ascii="inherit" w:hAnsi="inherit" w:cs="Arial"/>
            <w:bdr w:val="none" w:sz="0" w:space="0" w:color="auto" w:frame="1"/>
          </w:rPr>
          <w:t>Journal of Radiation and Nuclear Applications</w:t>
        </w:r>
      </w:hyperlink>
      <w:r w:rsidRPr="00530B8F">
        <w:rPr>
          <w:rFonts w:ascii="Arial" w:hAnsi="Arial" w:cs="Arial"/>
        </w:rPr>
        <w:t> 2(67):67-73</w:t>
      </w:r>
      <w:r>
        <w:rPr>
          <w:rFonts w:ascii="Arial" w:hAnsi="Arial" w:cs="Arial"/>
          <w:lang w:val="id-ID"/>
        </w:rPr>
        <w:t xml:space="preserve"> </w:t>
      </w:r>
      <w:r w:rsidRPr="00530B8F">
        <w:rPr>
          <w:rFonts w:ascii="Arial" w:hAnsi="Arial" w:cs="Arial"/>
        </w:rPr>
        <w:t>DOI:</w:t>
      </w:r>
      <w:hyperlink r:id="rId25" w:tgtFrame="_blank" w:history="1">
        <w:r w:rsidRPr="00530B8F">
          <w:rPr>
            <w:rStyle w:val="Hyperlink"/>
            <w:rFonts w:ascii="inherit" w:hAnsi="inherit" w:cs="Arial"/>
            <w:bdr w:val="none" w:sz="0" w:space="0" w:color="auto" w:frame="1"/>
          </w:rPr>
          <w:t>10.18576/jrna/020205</w:t>
        </w:r>
      </w:hyperlink>
    </w:p>
    <w:p w:rsidR="00904E20" w:rsidRDefault="00904E20" w:rsidP="00904E20">
      <w:pPr>
        <w:shd w:val="clear" w:color="auto" w:fill="FFFFFF"/>
        <w:spacing w:before="100" w:beforeAutospacing="1" w:after="0" w:afterAutospacing="1" w:line="240" w:lineRule="auto"/>
        <w:jc w:val="both"/>
        <w:rPr>
          <w:rFonts w:ascii="Times New Roman" w:hAnsi="Times New Roman" w:cs="Times New Roman"/>
          <w:sz w:val="24"/>
          <w:szCs w:val="24"/>
          <w:lang w:val="id-ID"/>
        </w:rPr>
      </w:pPr>
      <w:r w:rsidRPr="00904E20">
        <w:rPr>
          <w:rFonts w:ascii="Times New Roman" w:hAnsi="Times New Roman" w:cs="Times New Roman"/>
          <w:b/>
          <w:sz w:val="24"/>
          <w:szCs w:val="24"/>
          <w:lang w:val="id-ID"/>
        </w:rPr>
        <w:t>[21]</w:t>
      </w:r>
      <w:r w:rsidRPr="00904E20">
        <w:rPr>
          <w:rFonts w:ascii="Times New Roman" w:hAnsi="Times New Roman" w:cs="Times New Roman"/>
          <w:sz w:val="24"/>
          <w:szCs w:val="24"/>
          <w:lang w:val="id-ID"/>
        </w:rPr>
        <w:t xml:space="preserve"> </w:t>
      </w:r>
      <w:r w:rsidRPr="00904E20">
        <w:rPr>
          <w:rStyle w:val="title-text"/>
          <w:rFonts w:ascii="Times New Roman" w:hAnsi="Times New Roman" w:cs="Times New Roman"/>
          <w:color w:val="1F1F1F"/>
          <w:sz w:val="24"/>
          <w:szCs w:val="24"/>
        </w:rPr>
        <w:t>Environmental impacts of Indian coal thermal power plants and associated human health risk to the nearby residential communities: A potential review</w:t>
      </w:r>
      <w:r w:rsidRPr="00904E20">
        <w:rPr>
          <w:rStyle w:val="title-text"/>
          <w:rFonts w:ascii="Times New Roman" w:hAnsi="Times New Roman" w:cs="Times New Roman"/>
          <w:color w:val="1F1F1F"/>
          <w:sz w:val="24"/>
          <w:szCs w:val="24"/>
          <w:lang w:val="id-ID"/>
        </w:rPr>
        <w:t xml:space="preserve"> </w:t>
      </w:r>
      <w:hyperlink r:id="rId26" w:history="1">
        <w:r w:rsidRPr="009D67BE">
          <w:rPr>
            <w:rStyle w:val="Hyperlink"/>
            <w:rFonts w:ascii="Times New Roman" w:hAnsi="Times New Roman" w:cs="Times New Roman"/>
            <w:sz w:val="24"/>
            <w:szCs w:val="24"/>
            <w:lang w:val="id-ID"/>
          </w:rPr>
          <w:t>https://doi.org/10.1016/j.chemosphere.2023.140103</w:t>
        </w:r>
      </w:hyperlink>
    </w:p>
    <w:p w:rsidR="00904E20" w:rsidRPr="00904E20" w:rsidRDefault="00904E20" w:rsidP="001E35E7">
      <w:pPr>
        <w:pStyle w:val="Heading1"/>
        <w:spacing w:before="0" w:after="0"/>
        <w:rPr>
          <w:rFonts w:ascii="Times New Roman" w:hAnsi="Times New Roman" w:cs="Times New Roman"/>
          <w:b w:val="0"/>
          <w:sz w:val="24"/>
          <w:szCs w:val="24"/>
          <w:lang w:val="id-ID"/>
        </w:rPr>
      </w:pPr>
      <w:r>
        <w:rPr>
          <w:rFonts w:ascii="Times New Roman" w:hAnsi="Times New Roman" w:cs="Times New Roman"/>
          <w:sz w:val="24"/>
          <w:szCs w:val="24"/>
          <w:lang w:val="id-ID"/>
        </w:rPr>
        <w:t>[</w:t>
      </w:r>
      <w:r w:rsidRPr="00904E20">
        <w:rPr>
          <w:rFonts w:ascii="Times New Roman" w:hAnsi="Times New Roman" w:cs="Times New Roman"/>
          <w:b w:val="0"/>
          <w:sz w:val="24"/>
          <w:szCs w:val="24"/>
          <w:lang w:val="id-ID"/>
        </w:rPr>
        <w:t xml:space="preserve">22]  </w:t>
      </w:r>
      <w:r w:rsidRPr="00904E20">
        <w:rPr>
          <w:rStyle w:val="title-text"/>
          <w:rFonts w:ascii="Times New Roman" w:hAnsi="Times New Roman" w:cs="Times New Roman"/>
          <w:b w:val="0"/>
          <w:color w:val="1F1F1F"/>
          <w:sz w:val="24"/>
          <w:szCs w:val="24"/>
        </w:rPr>
        <w:t>Uranium in groundwater in parts of India and world: A comprehensive review of sources, impact to the environment and human health, analytical techniques, and mitigation technologies</w:t>
      </w:r>
      <w:r w:rsidR="001E35E7">
        <w:rPr>
          <w:rStyle w:val="title-text"/>
          <w:rFonts w:ascii="Times New Roman" w:hAnsi="Times New Roman" w:cs="Times New Roman"/>
          <w:b w:val="0"/>
          <w:color w:val="1F1F1F"/>
          <w:sz w:val="24"/>
          <w:szCs w:val="24"/>
          <w:lang w:val="id-ID"/>
        </w:rPr>
        <w:t xml:space="preserve">.   </w:t>
      </w:r>
      <w:r w:rsidRPr="00904E20">
        <w:rPr>
          <w:rFonts w:ascii="Times New Roman" w:hAnsi="Times New Roman" w:cs="Times New Roman"/>
          <w:b w:val="0"/>
          <w:sz w:val="24"/>
          <w:szCs w:val="24"/>
          <w:lang w:val="id-ID"/>
        </w:rPr>
        <w:t>https://doi.org/10.1016/j.geogeo.2022.100043</w:t>
      </w:r>
    </w:p>
    <w:p w:rsidR="00904E20" w:rsidRPr="00904E20" w:rsidRDefault="00904E20" w:rsidP="00904E20">
      <w:pPr>
        <w:pStyle w:val="Heading1"/>
        <w:spacing w:before="0" w:after="0"/>
        <w:rPr>
          <w:color w:val="1F1F1F"/>
          <w:lang w:val="id-ID"/>
        </w:rPr>
      </w:pPr>
    </w:p>
    <w:p w:rsidR="00530B8F" w:rsidRPr="00530B8F" w:rsidRDefault="00530B8F">
      <w:pPr>
        <w:pStyle w:val="Normal1"/>
        <w:widowControl w:val="0"/>
        <w:pBdr>
          <w:top w:val="nil"/>
          <w:left w:val="nil"/>
          <w:bottom w:val="nil"/>
          <w:right w:val="nil"/>
          <w:between w:val="nil"/>
        </w:pBdr>
        <w:tabs>
          <w:tab w:val="left" w:pos="580"/>
        </w:tabs>
        <w:spacing w:before="121" w:after="0"/>
        <w:ind w:right="105"/>
        <w:jc w:val="both"/>
        <w:rPr>
          <w:rFonts w:ascii="Times New Roman" w:eastAsia="Times New Roman" w:hAnsi="Times New Roman" w:cs="Times New Roman"/>
          <w:color w:val="FF0000"/>
          <w:sz w:val="24"/>
          <w:szCs w:val="24"/>
          <w:lang w:val="id-ID"/>
        </w:rPr>
      </w:pPr>
    </w:p>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573EA0" w:rsidRDefault="00573EA0">
      <w:pPr>
        <w:pStyle w:val="Normal1"/>
        <w:pBdr>
          <w:top w:val="nil"/>
          <w:left w:val="nil"/>
          <w:bottom w:val="nil"/>
          <w:right w:val="nil"/>
          <w:between w:val="nil"/>
        </w:pBdr>
        <w:rPr>
          <w:rFonts w:ascii="Times New Roman" w:eastAsia="Times New Roman" w:hAnsi="Times New Roman" w:cs="Times New Roman"/>
          <w:color w:val="000000"/>
          <w:sz w:val="24"/>
          <w:szCs w:val="24"/>
        </w:rPr>
      </w:pPr>
    </w:p>
    <w:p w:rsidR="00573EA0" w:rsidRDefault="00573EA0">
      <w:pPr>
        <w:pStyle w:val="Normal1"/>
        <w:pBdr>
          <w:top w:val="nil"/>
          <w:left w:val="nil"/>
          <w:bottom w:val="nil"/>
          <w:right w:val="nil"/>
          <w:between w:val="nil"/>
        </w:pBdr>
        <w:jc w:val="center"/>
        <w:rPr>
          <w:rFonts w:ascii="Times New Roman" w:eastAsia="Times New Roman" w:hAnsi="Times New Roman" w:cs="Times New Roman"/>
          <w:color w:val="000000"/>
          <w:sz w:val="24"/>
          <w:szCs w:val="24"/>
        </w:rPr>
      </w:pPr>
    </w:p>
    <w:sectPr w:rsidR="00573EA0" w:rsidSect="00573EA0">
      <w:type w:val="continuous"/>
      <w:pgSz w:w="11906" w:h="16838"/>
      <w:pgMar w:top="1440" w:right="1440" w:bottom="1440" w:left="144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BEF" w:rsidRDefault="00117BEF" w:rsidP="00B35F61">
      <w:pPr>
        <w:spacing w:after="0" w:line="240" w:lineRule="auto"/>
      </w:pPr>
      <w:r>
        <w:separator/>
      </w:r>
    </w:p>
  </w:endnote>
  <w:endnote w:type="continuationSeparator" w:id="1">
    <w:p w:rsidR="00117BEF" w:rsidRDefault="00117BEF" w:rsidP="00B35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760501"/>
      <w:docPartObj>
        <w:docPartGallery w:val="Page Numbers (Bottom of Page)"/>
        <w:docPartUnique/>
      </w:docPartObj>
    </w:sdtPr>
    <w:sdtContent>
      <w:p w:rsidR="00726A7C" w:rsidRDefault="00726A7C">
        <w:pPr>
          <w:pStyle w:val="Footer"/>
          <w:jc w:val="center"/>
        </w:pPr>
        <w:fldSimple w:instr=" PAGE   \* MERGEFORMAT ">
          <w:r w:rsidR="00F4055E">
            <w:rPr>
              <w:noProof/>
            </w:rPr>
            <w:t>9</w:t>
          </w:r>
        </w:fldSimple>
      </w:p>
    </w:sdtContent>
  </w:sdt>
  <w:p w:rsidR="00726A7C" w:rsidRDefault="00726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BEF" w:rsidRDefault="00117BEF" w:rsidP="00B35F61">
      <w:pPr>
        <w:spacing w:after="0" w:line="240" w:lineRule="auto"/>
      </w:pPr>
      <w:r>
        <w:separator/>
      </w:r>
    </w:p>
  </w:footnote>
  <w:footnote w:type="continuationSeparator" w:id="1">
    <w:p w:rsidR="00117BEF" w:rsidRDefault="00117BEF" w:rsidP="00B35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7C" w:rsidRDefault="00726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037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7C" w:rsidRDefault="00726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037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A7C" w:rsidRDefault="00726A7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037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F7657"/>
    <w:multiLevelType w:val="hybridMultilevel"/>
    <w:tmpl w:val="6C7C29FA"/>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064E08"/>
    <w:multiLevelType w:val="hybridMultilevel"/>
    <w:tmpl w:val="3E469810"/>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DE3070"/>
    <w:multiLevelType w:val="multilevel"/>
    <w:tmpl w:val="14ECF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56677C7C"/>
    <w:multiLevelType w:val="multilevel"/>
    <w:tmpl w:val="E066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573EA0"/>
    <w:rsid w:val="0009600C"/>
    <w:rsid w:val="00117BEF"/>
    <w:rsid w:val="00142290"/>
    <w:rsid w:val="00185F66"/>
    <w:rsid w:val="001B019D"/>
    <w:rsid w:val="001E35E7"/>
    <w:rsid w:val="002E7BBD"/>
    <w:rsid w:val="004442D6"/>
    <w:rsid w:val="00457478"/>
    <w:rsid w:val="004C6C31"/>
    <w:rsid w:val="00501512"/>
    <w:rsid w:val="00530B8F"/>
    <w:rsid w:val="00540563"/>
    <w:rsid w:val="00573EA0"/>
    <w:rsid w:val="00597EB3"/>
    <w:rsid w:val="005B6519"/>
    <w:rsid w:val="00636B9D"/>
    <w:rsid w:val="00640AF1"/>
    <w:rsid w:val="0070686D"/>
    <w:rsid w:val="00726A7C"/>
    <w:rsid w:val="007D55AB"/>
    <w:rsid w:val="008261D4"/>
    <w:rsid w:val="00832249"/>
    <w:rsid w:val="00834F69"/>
    <w:rsid w:val="008938A2"/>
    <w:rsid w:val="008D29AD"/>
    <w:rsid w:val="00904E20"/>
    <w:rsid w:val="00B21585"/>
    <w:rsid w:val="00B35F61"/>
    <w:rsid w:val="00BC77AA"/>
    <w:rsid w:val="00C305CE"/>
    <w:rsid w:val="00CF6626"/>
    <w:rsid w:val="00D33D41"/>
    <w:rsid w:val="00D67E62"/>
    <w:rsid w:val="00DA2856"/>
    <w:rsid w:val="00F1227F"/>
    <w:rsid w:val="00F4055E"/>
    <w:rsid w:val="00FA633E"/>
    <w:rsid w:val="00FB79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69"/>
  </w:style>
  <w:style w:type="paragraph" w:styleId="Heading1">
    <w:name w:val="heading 1"/>
    <w:basedOn w:val="Normal1"/>
    <w:next w:val="Normal1"/>
    <w:rsid w:val="00573EA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573EA0"/>
    <w:pPr>
      <w:pBdr>
        <w:top w:val="nil"/>
        <w:left w:val="nil"/>
        <w:bottom w:val="nil"/>
        <w:right w:val="nil"/>
        <w:between w:val="nil"/>
      </w:pBdr>
      <w:spacing w:line="240" w:lineRule="auto"/>
      <w:outlineLvl w:val="1"/>
    </w:pPr>
    <w:rPr>
      <w:rFonts w:ascii="Times New Roman" w:eastAsia="Times New Roman" w:hAnsi="Times New Roman" w:cs="Times New Roman"/>
      <w:b/>
      <w:color w:val="000000"/>
      <w:sz w:val="36"/>
      <w:szCs w:val="36"/>
    </w:rPr>
  </w:style>
  <w:style w:type="paragraph" w:styleId="Heading3">
    <w:name w:val="heading 3"/>
    <w:basedOn w:val="Normal1"/>
    <w:next w:val="Normal1"/>
    <w:rsid w:val="00573EA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573EA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573EA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rsid w:val="00573EA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3EA0"/>
  </w:style>
  <w:style w:type="paragraph" w:styleId="Title">
    <w:name w:val="Title"/>
    <w:basedOn w:val="Normal1"/>
    <w:next w:val="Normal1"/>
    <w:rsid w:val="00573EA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573E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573EA0"/>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73EA0"/>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7AA"/>
    <w:rPr>
      <w:rFonts w:ascii="Tahoma" w:hAnsi="Tahoma" w:cs="Tahoma"/>
      <w:sz w:val="16"/>
      <w:szCs w:val="16"/>
    </w:rPr>
  </w:style>
  <w:style w:type="paragraph" w:styleId="Header">
    <w:name w:val="header"/>
    <w:basedOn w:val="Normal"/>
    <w:link w:val="HeaderChar"/>
    <w:uiPriority w:val="99"/>
    <w:unhideWhenUsed/>
    <w:rsid w:val="00B35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F61"/>
  </w:style>
  <w:style w:type="paragraph" w:styleId="Footer">
    <w:name w:val="footer"/>
    <w:basedOn w:val="Normal"/>
    <w:link w:val="FooterChar"/>
    <w:uiPriority w:val="99"/>
    <w:unhideWhenUsed/>
    <w:rsid w:val="00B35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F61"/>
  </w:style>
  <w:style w:type="character" w:styleId="Hyperlink">
    <w:name w:val="Hyperlink"/>
    <w:basedOn w:val="DefaultParagraphFont"/>
    <w:uiPriority w:val="99"/>
    <w:unhideWhenUsed/>
    <w:rsid w:val="001B019D"/>
    <w:rPr>
      <w:color w:val="0000FF" w:themeColor="hyperlink"/>
      <w:u w:val="single"/>
    </w:rPr>
  </w:style>
  <w:style w:type="character" w:customStyle="1" w:styleId="title-text">
    <w:name w:val="title-text"/>
    <w:basedOn w:val="DefaultParagraphFont"/>
    <w:rsid w:val="00904E20"/>
  </w:style>
</w:styles>
</file>

<file path=word/webSettings.xml><?xml version="1.0" encoding="utf-8"?>
<w:webSettings xmlns:r="http://schemas.openxmlformats.org/officeDocument/2006/relationships" xmlns:w="http://schemas.openxmlformats.org/wordprocessingml/2006/main">
  <w:divs>
    <w:div w:id="1323460448">
      <w:bodyDiv w:val="1"/>
      <w:marLeft w:val="0"/>
      <w:marRight w:val="0"/>
      <w:marTop w:val="0"/>
      <w:marBottom w:val="0"/>
      <w:divBdr>
        <w:top w:val="none" w:sz="0" w:space="0" w:color="auto"/>
        <w:left w:val="none" w:sz="0" w:space="0" w:color="auto"/>
        <w:bottom w:val="none" w:sz="0" w:space="0" w:color="auto"/>
        <w:right w:val="none" w:sz="0" w:space="0" w:color="auto"/>
      </w:divBdr>
    </w:div>
    <w:div w:id="1376739799">
      <w:bodyDiv w:val="1"/>
      <w:marLeft w:val="0"/>
      <w:marRight w:val="0"/>
      <w:marTop w:val="0"/>
      <w:marBottom w:val="0"/>
      <w:divBdr>
        <w:top w:val="none" w:sz="0" w:space="0" w:color="auto"/>
        <w:left w:val="none" w:sz="0" w:space="0" w:color="auto"/>
        <w:bottom w:val="none" w:sz="0" w:space="0" w:color="auto"/>
        <w:right w:val="none" w:sz="0" w:space="0" w:color="auto"/>
      </w:divBdr>
    </w:div>
    <w:div w:id="1584676767">
      <w:bodyDiv w:val="1"/>
      <w:marLeft w:val="0"/>
      <w:marRight w:val="0"/>
      <w:marTop w:val="0"/>
      <w:marBottom w:val="0"/>
      <w:divBdr>
        <w:top w:val="none" w:sz="0" w:space="0" w:color="auto"/>
        <w:left w:val="none" w:sz="0" w:space="0" w:color="auto"/>
        <w:bottom w:val="none" w:sz="0" w:space="0" w:color="auto"/>
        <w:right w:val="none" w:sz="0" w:space="0" w:color="auto"/>
      </w:divBdr>
      <w:divsChild>
        <w:div w:id="1158612997">
          <w:marLeft w:val="0"/>
          <w:marRight w:val="0"/>
          <w:marTop w:val="0"/>
          <w:marBottom w:val="40"/>
          <w:divBdr>
            <w:top w:val="none" w:sz="0" w:space="0" w:color="auto"/>
            <w:left w:val="none" w:sz="0" w:space="0" w:color="auto"/>
            <w:bottom w:val="none" w:sz="0" w:space="0" w:color="auto"/>
            <w:right w:val="none" w:sz="0" w:space="0" w:color="auto"/>
          </w:divBdr>
        </w:div>
        <w:div w:id="1101949421">
          <w:marLeft w:val="0"/>
          <w:marRight w:val="0"/>
          <w:marTop w:val="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hyperlink" Target="https://doi.org/10.1016/0890-6238(94)00060-3" TargetMode="External"/><Relationship Id="rId26" Type="http://schemas.openxmlformats.org/officeDocument/2006/relationships/hyperlink" Target="https://doi.org/10.1016/j.chemosphere.2023.140103" TargetMode="External"/><Relationship Id="rId3" Type="http://schemas.openxmlformats.org/officeDocument/2006/relationships/settings" Target="settings.xml"/><Relationship Id="rId21" Type="http://schemas.openxmlformats.org/officeDocument/2006/relationships/hyperlink" Target="https://doi.org/10.1289/ehp.7475" TargetMode="Externa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yperlink" Target="https://doi.org/10.1016/j.scitotenv.2011.11.037" TargetMode="External"/><Relationship Id="rId25" Type="http://schemas.openxmlformats.org/officeDocument/2006/relationships/hyperlink" Target="http://dx.doi.org/10.18576/jrna/020205" TargetMode="External"/><Relationship Id="rId2" Type="http://schemas.openxmlformats.org/officeDocument/2006/relationships/styles" Target="styles.xml"/><Relationship Id="rId16" Type="http://schemas.openxmlformats.org/officeDocument/2006/relationships/hyperlink" Target="https://doi.org/10.1016/j.scitotenv.2007.04.035" TargetMode="External"/><Relationship Id="rId20" Type="http://schemas.openxmlformats.org/officeDocument/2006/relationships/hyperlink" Target="https://doi.org/10.1016/j.apradiso.2014.12.01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researchgate.net/journal/Journal-of-Radiation-and-Nuclear-Applications-2536-9539?_tp=eyJjb250ZXh0Ijp7ImZpcnN0UGFnZSI6InB1YmxpY2F0aW9uIiwicGFnZSI6InB1YmxpY2F0aW9uIn19" TargetMode="External"/><Relationship Id="rId5" Type="http://schemas.openxmlformats.org/officeDocument/2006/relationships/footnotes" Target="footnotes.xml"/><Relationship Id="rId15" Type="http://schemas.openxmlformats.org/officeDocument/2006/relationships/hyperlink" Target="https://doi.org/10.1016/j.chemosphere.2011.11.022" TargetMode="External"/><Relationship Id="rId23" Type="http://schemas.openxmlformats.org/officeDocument/2006/relationships/hyperlink" Target="https://quantalase.in/" TargetMode="External"/><Relationship Id="rId28" Type="http://schemas.openxmlformats.org/officeDocument/2006/relationships/glossaryDocument" Target="glossary/document.xml"/><Relationship Id="rId10" Type="http://schemas.openxmlformats.org/officeDocument/2006/relationships/header" Target="header3.xml"/><Relationship Id="rId19" Type="http://schemas.openxmlformats.org/officeDocument/2006/relationships/hyperlink" Target="https://doi.org/10.1097/00004032-198505000-00004"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doi.org/10.1039/C6EM00514D"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926E1"/>
    <w:rsid w:val="003926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870CB1DF524C8FB77BDCDB3BDAFAE3">
    <w:name w:val="85870CB1DF524C8FB77BDCDB3BDAFAE3"/>
    <w:rsid w:val="003926E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12</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Vikash Dahiya</cp:lastModifiedBy>
  <cp:revision>19</cp:revision>
  <cp:lastPrinted>2025-02-14T12:58:00Z</cp:lastPrinted>
  <dcterms:created xsi:type="dcterms:W3CDTF">2025-02-05T08:22:00Z</dcterms:created>
  <dcterms:modified xsi:type="dcterms:W3CDTF">2025-02-14T17:13:00Z</dcterms:modified>
</cp:coreProperties>
</file>