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456F" w14:textId="58AE2D3E" w:rsidR="002F1658" w:rsidRPr="00BF0360" w:rsidRDefault="00F55FF2" w:rsidP="00F55FF2">
      <w:pPr>
        <w:jc w:val="center"/>
        <w:rPr>
          <w:rFonts w:ascii="Times New Roman" w:hAnsi="Times New Roman" w:cs="Times New Roman"/>
          <w:b/>
          <w:sz w:val="24"/>
          <w:szCs w:val="24"/>
          <w:lang w:val="en-US"/>
        </w:rPr>
      </w:pPr>
      <w:r w:rsidRPr="00BF0360">
        <w:rPr>
          <w:rFonts w:ascii="Times New Roman" w:hAnsi="Times New Roman" w:cs="Times New Roman"/>
          <w:b/>
          <w:sz w:val="24"/>
          <w:szCs w:val="24"/>
          <w:lang w:val="en-US"/>
        </w:rPr>
        <w:t>Influence of different level of Boron on uptake of nutrients in wheat (</w:t>
      </w:r>
      <w:r w:rsidR="00BB0CC1" w:rsidRPr="00BF0360">
        <w:rPr>
          <w:rFonts w:ascii="Times New Roman" w:hAnsi="Times New Roman" w:cs="Times New Roman"/>
          <w:b/>
          <w:i/>
          <w:iCs/>
          <w:sz w:val="24"/>
          <w:szCs w:val="24"/>
          <w:lang w:val="en-US"/>
        </w:rPr>
        <w:t>Triticum</w:t>
      </w:r>
      <w:r w:rsidR="00387FF0">
        <w:rPr>
          <w:rFonts w:ascii="Times New Roman" w:hAnsi="Times New Roman" w:cs="Times New Roman"/>
          <w:b/>
          <w:i/>
          <w:iCs/>
          <w:sz w:val="24"/>
          <w:szCs w:val="24"/>
          <w:lang w:val="en-US"/>
        </w:rPr>
        <w:t xml:space="preserve"> </w:t>
      </w:r>
      <w:r w:rsidR="00BB0CC1" w:rsidRPr="00BF0360">
        <w:rPr>
          <w:rFonts w:ascii="Times New Roman" w:hAnsi="Times New Roman" w:cs="Times New Roman"/>
          <w:b/>
          <w:i/>
          <w:iCs/>
          <w:sz w:val="24"/>
          <w:szCs w:val="24"/>
          <w:lang w:val="en-US"/>
        </w:rPr>
        <w:t>aestivum</w:t>
      </w:r>
      <w:r w:rsidR="00387FF0">
        <w:rPr>
          <w:rFonts w:ascii="Times New Roman" w:hAnsi="Times New Roman" w:cs="Times New Roman"/>
          <w:b/>
          <w:i/>
          <w:iCs/>
          <w:sz w:val="24"/>
          <w:szCs w:val="24"/>
          <w:lang w:val="en-US"/>
        </w:rPr>
        <w:t xml:space="preserve"> </w:t>
      </w:r>
      <w:r w:rsidRPr="00BF0360">
        <w:rPr>
          <w:rFonts w:ascii="Times New Roman" w:hAnsi="Times New Roman" w:cs="Times New Roman"/>
          <w:b/>
          <w:sz w:val="24"/>
          <w:szCs w:val="24"/>
          <w:lang w:val="en-US"/>
        </w:rPr>
        <w:t xml:space="preserve">L.) </w:t>
      </w:r>
      <w:r w:rsidR="00DC17C8" w:rsidRPr="00DC17C8">
        <w:rPr>
          <w:rFonts w:ascii="Times New Roman" w:hAnsi="Times New Roman" w:cs="Times New Roman"/>
          <w:b/>
          <w:sz w:val="24"/>
          <w:szCs w:val="24"/>
          <w:lang w:val="en-US"/>
        </w:rPr>
        <w:t>crop</w:t>
      </w:r>
    </w:p>
    <w:p w14:paraId="75933C7E" w14:textId="77777777" w:rsidR="00387FF0" w:rsidRPr="00BF0360" w:rsidRDefault="00387FF0" w:rsidP="00BB0CC1">
      <w:pPr>
        <w:jc w:val="center"/>
        <w:rPr>
          <w:rFonts w:ascii="Times New Roman" w:hAnsi="Times New Roman" w:cs="Times New Roman"/>
          <w:sz w:val="24"/>
          <w:szCs w:val="24"/>
          <w:lang w:val="en-US"/>
        </w:rPr>
      </w:pPr>
    </w:p>
    <w:p w14:paraId="757FF3D0" w14:textId="082FD1A3" w:rsidR="00567F62" w:rsidRDefault="00F55FF2" w:rsidP="00567F62">
      <w:pPr>
        <w:jc w:val="both"/>
        <w:rPr>
          <w:rFonts w:ascii="Times New Roman" w:hAnsi="Times New Roman" w:cs="Times New Roman"/>
          <w:sz w:val="24"/>
        </w:rPr>
      </w:pPr>
      <w:r w:rsidRPr="00BF0360">
        <w:rPr>
          <w:rFonts w:ascii="Times New Roman" w:hAnsi="Times New Roman" w:cs="Times New Roman"/>
          <w:b/>
          <w:sz w:val="24"/>
          <w:szCs w:val="24"/>
          <w:lang w:val="en-US"/>
        </w:rPr>
        <w:t>Abstract:</w:t>
      </w:r>
      <w:r w:rsidR="00387FF0">
        <w:rPr>
          <w:rFonts w:ascii="Times New Roman" w:hAnsi="Times New Roman" w:cs="Times New Roman"/>
          <w:b/>
          <w:sz w:val="24"/>
          <w:szCs w:val="24"/>
          <w:lang w:val="en-US"/>
        </w:rPr>
        <w:t xml:space="preserve"> </w:t>
      </w:r>
      <w:r w:rsidR="00567F62" w:rsidRPr="00567F62">
        <w:rPr>
          <w:rFonts w:ascii="Times New Roman" w:hAnsi="Times New Roman" w:cs="Times New Roman"/>
          <w:sz w:val="24"/>
          <w:highlight w:val="yellow"/>
        </w:rPr>
        <w:t xml:space="preserve">A field experiment was conducted at the research plot of Udai Pratap Autonomous College (UPAC), Varanasi, Uttar Pradesh, adjoining the Department of Agricultural Chemistry and Soil Science, to study the effect of levels of boron on nutrient uptake in the wheat crop of </w:t>
      </w:r>
      <w:r w:rsidR="00567F62" w:rsidRPr="00567F62">
        <w:rPr>
          <w:rFonts w:ascii="Times New Roman" w:hAnsi="Times New Roman" w:cs="Times New Roman"/>
          <w:i/>
          <w:iCs/>
          <w:sz w:val="24"/>
          <w:highlight w:val="yellow"/>
        </w:rPr>
        <w:t xml:space="preserve">the rabi </w:t>
      </w:r>
      <w:r w:rsidR="00567F62" w:rsidRPr="00567F62">
        <w:rPr>
          <w:rFonts w:ascii="Times New Roman" w:hAnsi="Times New Roman" w:cs="Times New Roman"/>
          <w:sz w:val="24"/>
          <w:highlight w:val="yellow"/>
        </w:rPr>
        <w:t>season 2012-13. Boron was applied at six levels (0.0, 0.5, 1.0, 1.5, 2.0, and 2.5 kg ha</w:t>
      </w:r>
      <w:r w:rsidR="00567F62" w:rsidRPr="00567F62">
        <w:rPr>
          <w:rFonts w:ascii="Times New Roman" w:hAnsi="Times New Roman" w:cs="Times New Roman"/>
          <w:sz w:val="24"/>
          <w:highlight w:val="yellow"/>
          <w:vertAlign w:val="superscript"/>
        </w:rPr>
        <w:t>-1</w:t>
      </w:r>
      <w:r w:rsidR="00567F62">
        <w:rPr>
          <w:rFonts w:ascii="Times New Roman" w:hAnsi="Times New Roman" w:cs="Times New Roman"/>
          <w:sz w:val="24"/>
          <w:highlight w:val="yellow"/>
        </w:rPr>
        <w:t>), with NPK @</w:t>
      </w:r>
      <w:r w:rsidR="00567F62" w:rsidRPr="00567F62">
        <w:rPr>
          <w:rFonts w:ascii="Times New Roman" w:hAnsi="Times New Roman" w:cs="Times New Roman"/>
          <w:sz w:val="24"/>
          <w:highlight w:val="yellow"/>
        </w:rPr>
        <w:t xml:space="preserve"> 120:80:60, and the experiment was laid out in Randomized block design (RBD) with three replications. </w:t>
      </w:r>
      <w:r w:rsidR="00567F62">
        <w:rPr>
          <w:rFonts w:ascii="Times New Roman" w:hAnsi="Times New Roman" w:cs="Times New Roman"/>
          <w:sz w:val="24"/>
          <w:highlight w:val="yellow"/>
        </w:rPr>
        <w:t>The application of 2 kg boron ha</w:t>
      </w:r>
      <w:r w:rsidR="00567F62" w:rsidRPr="00567F62">
        <w:rPr>
          <w:rFonts w:ascii="Times New Roman" w:hAnsi="Times New Roman" w:cs="Times New Roman"/>
          <w:sz w:val="24"/>
          <w:highlight w:val="yellow"/>
          <w:vertAlign w:val="superscript"/>
        </w:rPr>
        <w:t>-1</w:t>
      </w:r>
      <w:r w:rsidR="00567F62" w:rsidRPr="00567F62">
        <w:rPr>
          <w:rFonts w:ascii="Times New Roman" w:hAnsi="Times New Roman" w:cs="Times New Roman"/>
          <w:sz w:val="24"/>
          <w:highlight w:val="yellow"/>
        </w:rPr>
        <w:t xml:space="preserve"> recorded significantly higher boron uptake (95.50 g ha</w:t>
      </w:r>
      <w:r w:rsidR="00567F62" w:rsidRPr="00567F62">
        <w:rPr>
          <w:rFonts w:ascii="Times New Roman" w:hAnsi="Times New Roman" w:cs="Times New Roman"/>
          <w:sz w:val="24"/>
          <w:highlight w:val="yellow"/>
          <w:vertAlign w:val="superscript"/>
        </w:rPr>
        <w:t>-1</w:t>
      </w:r>
      <w:r w:rsidR="00567F62" w:rsidRPr="00567F62">
        <w:rPr>
          <w:rFonts w:ascii="Times New Roman" w:hAnsi="Times New Roman" w:cs="Times New Roman"/>
          <w:sz w:val="24"/>
          <w:highlight w:val="yellow"/>
        </w:rPr>
        <w:t>)</w:t>
      </w:r>
      <w:r w:rsidR="00567F62">
        <w:rPr>
          <w:rFonts w:ascii="Times New Roman" w:hAnsi="Times New Roman" w:cs="Times New Roman"/>
          <w:sz w:val="24"/>
          <w:highlight w:val="yellow"/>
        </w:rPr>
        <w:t xml:space="preserve"> in</w:t>
      </w:r>
      <w:r w:rsidR="00567F62" w:rsidRPr="00567F62">
        <w:rPr>
          <w:rFonts w:ascii="Times New Roman" w:hAnsi="Times New Roman" w:cs="Times New Roman"/>
          <w:sz w:val="24"/>
          <w:highlight w:val="yellow"/>
        </w:rPr>
        <w:t xml:space="preserve"> grain, </w:t>
      </w:r>
      <w:r w:rsidR="00567F62">
        <w:rPr>
          <w:rFonts w:ascii="Times New Roman" w:hAnsi="Times New Roman" w:cs="Times New Roman"/>
          <w:sz w:val="24"/>
          <w:highlight w:val="yellow"/>
        </w:rPr>
        <w:t xml:space="preserve">higher uptake of boron in straw </w:t>
      </w:r>
      <w:r w:rsidR="00567F62" w:rsidRPr="00567F62">
        <w:rPr>
          <w:rFonts w:ascii="Times New Roman" w:hAnsi="Times New Roman" w:cs="Times New Roman"/>
          <w:sz w:val="24"/>
          <w:highlight w:val="yellow"/>
        </w:rPr>
        <w:t>(145.27 g ha</w:t>
      </w:r>
      <w:r w:rsidR="00567F62" w:rsidRPr="00567F62">
        <w:rPr>
          <w:rFonts w:ascii="Times New Roman" w:hAnsi="Times New Roman" w:cs="Times New Roman"/>
          <w:sz w:val="24"/>
          <w:highlight w:val="yellow"/>
          <w:vertAlign w:val="superscript"/>
        </w:rPr>
        <w:t>-1</w:t>
      </w:r>
      <w:r w:rsidR="00567F62" w:rsidRPr="00567F62">
        <w:rPr>
          <w:rFonts w:ascii="Times New Roman" w:hAnsi="Times New Roman" w:cs="Times New Roman"/>
          <w:sz w:val="24"/>
          <w:highlight w:val="yellow"/>
        </w:rPr>
        <w:t>), total boron uptake (240.77 g ha</w:t>
      </w:r>
      <w:r w:rsidR="00567F62" w:rsidRPr="00567F62">
        <w:rPr>
          <w:rFonts w:ascii="Times New Roman" w:hAnsi="Times New Roman" w:cs="Times New Roman"/>
          <w:sz w:val="24"/>
          <w:highlight w:val="yellow"/>
          <w:vertAlign w:val="superscript"/>
        </w:rPr>
        <w:t>-1</w:t>
      </w:r>
      <w:r w:rsidR="00567F62" w:rsidRPr="00D46471">
        <w:rPr>
          <w:rFonts w:ascii="Times New Roman" w:hAnsi="Times New Roman" w:cs="Times New Roman"/>
          <w:sz w:val="24"/>
          <w:highlight w:val="yellow"/>
        </w:rPr>
        <w:t>)</w:t>
      </w:r>
      <w:r w:rsidR="00AF2866" w:rsidRPr="00D46471">
        <w:rPr>
          <w:rFonts w:ascii="Times New Roman" w:hAnsi="Times New Roman" w:cs="Times New Roman"/>
          <w:sz w:val="24"/>
          <w:highlight w:val="yellow"/>
        </w:rPr>
        <w:t>.</w:t>
      </w:r>
      <w:r w:rsidR="00D46471" w:rsidRPr="00D46471">
        <w:rPr>
          <w:rFonts w:ascii="Times New Roman" w:hAnsi="Times New Roman" w:cs="Times New Roman"/>
          <w:sz w:val="24"/>
          <w:highlight w:val="yellow"/>
        </w:rPr>
        <w:t xml:space="preserve"> The amount of increase in P uptake above control was larger at the optimum B level (2.0 kg B ha</w:t>
      </w:r>
      <w:r w:rsidR="00D46471" w:rsidRPr="00D46471">
        <w:rPr>
          <w:rFonts w:ascii="Times New Roman" w:hAnsi="Times New Roman" w:cs="Times New Roman"/>
          <w:sz w:val="24"/>
          <w:highlight w:val="yellow"/>
          <w:vertAlign w:val="superscript"/>
        </w:rPr>
        <w:t>-1</w:t>
      </w:r>
      <w:r w:rsidR="00D46471" w:rsidRPr="00D46471">
        <w:rPr>
          <w:rFonts w:ascii="Times New Roman" w:hAnsi="Times New Roman" w:cs="Times New Roman"/>
          <w:sz w:val="24"/>
          <w:highlight w:val="yellow"/>
        </w:rPr>
        <w:t>) treatment.</w:t>
      </w:r>
      <w:r w:rsidR="00AC738F">
        <w:rPr>
          <w:rFonts w:ascii="Times New Roman" w:hAnsi="Times New Roman" w:cs="Times New Roman"/>
          <w:sz w:val="24"/>
        </w:rPr>
        <w:t xml:space="preserve"> The authors suggested the use of optimum </w:t>
      </w:r>
      <w:r w:rsidR="00FD7BC4">
        <w:rPr>
          <w:rFonts w:ascii="Times New Roman" w:hAnsi="Times New Roman" w:cs="Times New Roman"/>
          <w:sz w:val="24"/>
        </w:rPr>
        <w:t xml:space="preserve">level of </w:t>
      </w:r>
      <w:r w:rsidR="00AC738F">
        <w:rPr>
          <w:rFonts w:ascii="Times New Roman" w:hAnsi="Times New Roman" w:cs="Times New Roman"/>
          <w:sz w:val="24"/>
        </w:rPr>
        <w:t xml:space="preserve">boron for better </w:t>
      </w:r>
      <w:r w:rsidR="00FD7BC4">
        <w:rPr>
          <w:rFonts w:ascii="Times New Roman" w:hAnsi="Times New Roman" w:cs="Times New Roman"/>
          <w:sz w:val="24"/>
        </w:rPr>
        <w:t xml:space="preserve">nutrient uptake. </w:t>
      </w:r>
    </w:p>
    <w:p w14:paraId="7F7BA8C3" w14:textId="0619A338" w:rsidR="00DC17C8" w:rsidRPr="00567F62" w:rsidRDefault="00DC17C8" w:rsidP="00567F62">
      <w:pPr>
        <w:jc w:val="both"/>
        <w:rPr>
          <w:highlight w:val="yellow"/>
        </w:rPr>
      </w:pPr>
      <w:r>
        <w:rPr>
          <w:rFonts w:ascii="Times New Roman" w:hAnsi="Times New Roman" w:cs="Times New Roman"/>
          <w:sz w:val="24"/>
        </w:rPr>
        <w:t xml:space="preserve">Key words: </w:t>
      </w:r>
      <w:r w:rsidRPr="00DC17C8">
        <w:rPr>
          <w:rFonts w:ascii="Times New Roman" w:hAnsi="Times New Roman" w:cs="Times New Roman"/>
          <w:sz w:val="24"/>
        </w:rPr>
        <w:t>wheat</w:t>
      </w:r>
      <w:r>
        <w:rPr>
          <w:rFonts w:ascii="Times New Roman" w:hAnsi="Times New Roman" w:cs="Times New Roman"/>
          <w:sz w:val="24"/>
        </w:rPr>
        <w:t xml:space="preserve">, </w:t>
      </w:r>
      <w:r w:rsidRPr="00DC17C8">
        <w:rPr>
          <w:rFonts w:ascii="Times New Roman" w:hAnsi="Times New Roman" w:cs="Times New Roman"/>
          <w:sz w:val="24"/>
        </w:rPr>
        <w:t>nutrient uptake</w:t>
      </w:r>
      <w:r>
        <w:rPr>
          <w:rFonts w:ascii="Times New Roman" w:hAnsi="Times New Roman" w:cs="Times New Roman"/>
          <w:sz w:val="24"/>
        </w:rPr>
        <w:t xml:space="preserve">, </w:t>
      </w:r>
      <w:r w:rsidRPr="00DC17C8">
        <w:rPr>
          <w:rFonts w:ascii="Times New Roman" w:hAnsi="Times New Roman" w:cs="Times New Roman"/>
          <w:sz w:val="24"/>
        </w:rPr>
        <w:t>crop</w:t>
      </w:r>
      <w:r>
        <w:rPr>
          <w:rFonts w:ascii="Times New Roman" w:hAnsi="Times New Roman" w:cs="Times New Roman"/>
          <w:sz w:val="24"/>
        </w:rPr>
        <w:t xml:space="preserve">, </w:t>
      </w:r>
      <w:r w:rsidRPr="00DC17C8">
        <w:rPr>
          <w:rFonts w:ascii="Times New Roman" w:hAnsi="Times New Roman" w:cs="Times New Roman"/>
          <w:sz w:val="24"/>
        </w:rPr>
        <w:t>soil</w:t>
      </w:r>
    </w:p>
    <w:p w14:paraId="7894A741" w14:textId="721D9F94" w:rsidR="00F55FF2" w:rsidRPr="00BF0360" w:rsidRDefault="00F55FF2" w:rsidP="00567F62">
      <w:pPr>
        <w:jc w:val="both"/>
        <w:rPr>
          <w:rFonts w:ascii="Times New Roman" w:hAnsi="Times New Roman" w:cs="Times New Roman"/>
          <w:sz w:val="24"/>
          <w:szCs w:val="24"/>
          <w:lang w:val="en-US"/>
        </w:rPr>
      </w:pPr>
      <w:r w:rsidRPr="00BF0360">
        <w:rPr>
          <w:rFonts w:ascii="Times New Roman" w:hAnsi="Times New Roman" w:cs="Times New Roman"/>
          <w:b/>
          <w:sz w:val="24"/>
          <w:szCs w:val="24"/>
          <w:lang w:val="en-US"/>
        </w:rPr>
        <w:t>Introduction:</w:t>
      </w:r>
    </w:p>
    <w:p w14:paraId="79E164D7" w14:textId="617507AC" w:rsidR="005E45F8" w:rsidRPr="00BF0360" w:rsidRDefault="00B06B76" w:rsidP="0041405F">
      <w:pPr>
        <w:jc w:val="both"/>
        <w:rPr>
          <w:rFonts w:ascii="Times New Roman" w:hAnsi="Times New Roman" w:cs="Times New Roman"/>
        </w:rPr>
      </w:pPr>
      <w:r w:rsidRPr="00BF0360">
        <w:rPr>
          <w:rFonts w:ascii="Times New Roman" w:hAnsi="Times New Roman" w:cs="Times New Roman"/>
          <w:sz w:val="24"/>
          <w:szCs w:val="24"/>
        </w:rPr>
        <w:t xml:space="preserve">Wheat </w:t>
      </w:r>
      <w:r w:rsidR="00551F25" w:rsidRPr="00551F25">
        <w:rPr>
          <w:rFonts w:ascii="Times New Roman" w:hAnsi="Times New Roman" w:cs="Times New Roman"/>
          <w:sz w:val="24"/>
          <w:szCs w:val="24"/>
          <w:highlight w:val="yellow"/>
        </w:rPr>
        <w:t>(</w:t>
      </w:r>
      <w:r w:rsidR="00551F25" w:rsidRPr="00551F25">
        <w:rPr>
          <w:rFonts w:ascii="Times New Roman" w:hAnsi="Times New Roman" w:cs="Times New Roman"/>
          <w:i/>
          <w:iCs/>
          <w:sz w:val="24"/>
          <w:szCs w:val="24"/>
          <w:highlight w:val="yellow"/>
          <w:lang w:val="en-US"/>
        </w:rPr>
        <w:t xml:space="preserve">Triticum aestivum </w:t>
      </w:r>
      <w:r w:rsidR="00551F25" w:rsidRPr="00551F25">
        <w:rPr>
          <w:rFonts w:ascii="Times New Roman" w:hAnsi="Times New Roman" w:cs="Times New Roman"/>
          <w:sz w:val="24"/>
          <w:szCs w:val="24"/>
          <w:highlight w:val="yellow"/>
          <w:lang w:val="en-US"/>
        </w:rPr>
        <w:t>L</w:t>
      </w:r>
      <w:r w:rsidR="00551F25" w:rsidRPr="00551F25">
        <w:rPr>
          <w:rFonts w:ascii="Times New Roman" w:hAnsi="Times New Roman" w:cs="Times New Roman"/>
          <w:sz w:val="24"/>
          <w:szCs w:val="24"/>
          <w:lang w:val="en-US"/>
        </w:rPr>
        <w:t>.</w:t>
      </w:r>
      <w:r w:rsidR="00551F25" w:rsidRPr="00551F25">
        <w:rPr>
          <w:rFonts w:ascii="Times New Roman" w:hAnsi="Times New Roman" w:cs="Times New Roman"/>
          <w:sz w:val="24"/>
          <w:szCs w:val="24"/>
        </w:rPr>
        <w:t>)</w:t>
      </w:r>
      <w:r w:rsidR="00551F25">
        <w:rPr>
          <w:rFonts w:ascii="Times New Roman" w:hAnsi="Times New Roman" w:cs="Times New Roman"/>
          <w:sz w:val="24"/>
          <w:szCs w:val="24"/>
        </w:rPr>
        <w:t xml:space="preserve"> </w:t>
      </w:r>
      <w:r w:rsidRPr="00BF0360">
        <w:rPr>
          <w:rFonts w:ascii="Times New Roman" w:hAnsi="Times New Roman" w:cs="Times New Roman"/>
          <w:sz w:val="24"/>
          <w:szCs w:val="24"/>
        </w:rPr>
        <w:t xml:space="preserve">is the most important food security crop in the world with a production of 791.02 million tons (MT) on about </w:t>
      </w:r>
      <w:r w:rsidR="00FA3ED4" w:rsidRPr="00BF0360">
        <w:rPr>
          <w:rFonts w:ascii="Times New Roman" w:hAnsi="Times New Roman" w:cs="Times New Roman"/>
          <w:sz w:val="24"/>
          <w:szCs w:val="24"/>
        </w:rPr>
        <w:t>234</w:t>
      </w:r>
      <w:r w:rsidRPr="00BF0360">
        <w:rPr>
          <w:rFonts w:ascii="Times New Roman" w:hAnsi="Times New Roman" w:cs="Times New Roman"/>
          <w:sz w:val="24"/>
          <w:szCs w:val="24"/>
        </w:rPr>
        <w:t xml:space="preserve"> million hectares (Mha) (USDA, 2024). India contributes 14 % of global production of wheat. India ranks third position in </w:t>
      </w:r>
      <w:r w:rsidR="0041405F" w:rsidRPr="00BF0360">
        <w:rPr>
          <w:rFonts w:ascii="Times New Roman" w:hAnsi="Times New Roman" w:cs="Times New Roman"/>
          <w:sz w:val="24"/>
          <w:szCs w:val="24"/>
        </w:rPr>
        <w:t xml:space="preserve">wheat production. </w:t>
      </w:r>
      <w:r w:rsidR="00AD6076" w:rsidRPr="00BF0360">
        <w:rPr>
          <w:rFonts w:ascii="Times New Roman" w:hAnsi="Times New Roman" w:cs="Times New Roman"/>
          <w:sz w:val="24"/>
          <w:szCs w:val="24"/>
        </w:rPr>
        <w:t>Uttar Pradesh contributes 30% of the total production of wheat in the country, Madhya Pradesh contributes 23%, and Punjab contributes 15%</w:t>
      </w:r>
      <w:r w:rsidRPr="00BF0360">
        <w:rPr>
          <w:rFonts w:ascii="Times New Roman" w:hAnsi="Times New Roman" w:cs="Times New Roman"/>
          <w:sz w:val="24"/>
          <w:szCs w:val="24"/>
        </w:rPr>
        <w:t>.</w:t>
      </w:r>
      <w:r w:rsidR="00FA3ED4" w:rsidRPr="00BF0360">
        <w:rPr>
          <w:rFonts w:ascii="Times New Roman" w:hAnsi="Times New Roman" w:cs="Times New Roman"/>
          <w:sz w:val="24"/>
          <w:szCs w:val="24"/>
        </w:rPr>
        <w:t xml:space="preserve"> Wheat serves as a staple food, contributing approximately 20% of the protein and calories consumed globally (FAOSTAT, 2015).</w:t>
      </w:r>
      <w:r w:rsidR="008A15A4" w:rsidRPr="00BF0360">
        <w:rPr>
          <w:rFonts w:ascii="Times New Roman" w:hAnsi="Times New Roman" w:cs="Times New Roman"/>
          <w:sz w:val="24"/>
          <w:szCs w:val="24"/>
        </w:rPr>
        <w:t xml:space="preserve"> It is consumed in various forms, including bread, cakes, biscuits, bakery products, and numerous confectionery items. The straw serves as animal feed and is also utilised in paper manufacturing (Iqtidar</w:t>
      </w:r>
      <w:r w:rsidR="00551F25">
        <w:rPr>
          <w:rFonts w:ascii="Times New Roman" w:hAnsi="Times New Roman" w:cs="Times New Roman"/>
          <w:sz w:val="24"/>
          <w:szCs w:val="24"/>
        </w:rPr>
        <w:t xml:space="preserve"> </w:t>
      </w:r>
      <w:r w:rsidR="008A15A4" w:rsidRPr="00BF0360">
        <w:rPr>
          <w:rFonts w:ascii="Times New Roman" w:hAnsi="Times New Roman" w:cs="Times New Roman"/>
          <w:i/>
          <w:sz w:val="24"/>
          <w:szCs w:val="24"/>
        </w:rPr>
        <w:t>et al</w:t>
      </w:r>
      <w:r w:rsidR="008A15A4" w:rsidRPr="00BF0360">
        <w:rPr>
          <w:rFonts w:ascii="Times New Roman" w:hAnsi="Times New Roman" w:cs="Times New Roman"/>
          <w:sz w:val="24"/>
          <w:szCs w:val="24"/>
        </w:rPr>
        <w:t xml:space="preserve">., 2006). </w:t>
      </w:r>
      <w:r w:rsidR="0041405F" w:rsidRPr="00BF0360">
        <w:rPr>
          <w:rFonts w:ascii="Times New Roman" w:hAnsi="Times New Roman" w:cs="Times New Roman"/>
          <w:sz w:val="24"/>
          <w:szCs w:val="24"/>
        </w:rPr>
        <w:t>Boron is a critical element for vascular plants (Warrington, 1923; Wimmer</w:t>
      </w:r>
      <w:r w:rsidR="00551F25">
        <w:rPr>
          <w:rFonts w:ascii="Times New Roman" w:hAnsi="Times New Roman" w:cs="Times New Roman"/>
          <w:sz w:val="24"/>
          <w:szCs w:val="24"/>
        </w:rPr>
        <w:t xml:space="preserve"> </w:t>
      </w:r>
      <w:r w:rsidR="0041405F" w:rsidRPr="00BF0360">
        <w:rPr>
          <w:rFonts w:ascii="Times New Roman" w:hAnsi="Times New Roman" w:cs="Times New Roman"/>
          <w:i/>
          <w:sz w:val="24"/>
          <w:szCs w:val="24"/>
        </w:rPr>
        <w:t>et al</w:t>
      </w:r>
      <w:r w:rsidR="0041405F" w:rsidRPr="00BF0360">
        <w:rPr>
          <w:rFonts w:ascii="Times New Roman" w:hAnsi="Times New Roman" w:cs="Times New Roman"/>
          <w:sz w:val="24"/>
          <w:szCs w:val="24"/>
        </w:rPr>
        <w:t xml:space="preserve">., 2020). Low availability of Boron (B) in soils hinders the development of floral organs and the elongation of pollen tubes, which leads to a loss of crop production (Shorrocks, 1997). </w:t>
      </w:r>
      <w:r w:rsidR="005E45F8" w:rsidRPr="00BF0360">
        <w:rPr>
          <w:rFonts w:ascii="Times New Roman" w:hAnsi="Times New Roman" w:cs="Times New Roman"/>
          <w:sz w:val="24"/>
          <w:szCs w:val="24"/>
        </w:rPr>
        <w:t>Wheat has more sensitivity</w:t>
      </w:r>
      <w:r w:rsidR="00FD7BC4">
        <w:rPr>
          <w:rFonts w:ascii="Times New Roman" w:hAnsi="Times New Roman" w:cs="Times New Roman"/>
          <w:sz w:val="24"/>
          <w:szCs w:val="24"/>
        </w:rPr>
        <w:t xml:space="preserve"> to boron</w:t>
      </w:r>
      <w:r w:rsidR="005E45F8" w:rsidRPr="00BF0360">
        <w:rPr>
          <w:rFonts w:ascii="Times New Roman" w:hAnsi="Times New Roman" w:cs="Times New Roman"/>
          <w:sz w:val="24"/>
          <w:szCs w:val="24"/>
        </w:rPr>
        <w:t xml:space="preserve">. Boron shortage is more severe than in maize and rice. Boron negatively impacts numerous stages of wheat growth and development. Wheat </w:t>
      </w:r>
      <w:r w:rsidR="00AD6076" w:rsidRPr="00BF0360">
        <w:rPr>
          <w:rFonts w:ascii="Times New Roman" w:hAnsi="Times New Roman" w:cs="Times New Roman"/>
          <w:sz w:val="24"/>
          <w:szCs w:val="24"/>
        </w:rPr>
        <w:t>variety has</w:t>
      </w:r>
      <w:r w:rsidR="005E45F8" w:rsidRPr="00BF0360">
        <w:rPr>
          <w:rFonts w:ascii="Times New Roman" w:hAnsi="Times New Roman" w:cs="Times New Roman"/>
          <w:sz w:val="24"/>
          <w:szCs w:val="24"/>
        </w:rPr>
        <w:t xml:space="preserve"> varying responses to their adaptation to low boron levels in soils.</w:t>
      </w:r>
    </w:p>
    <w:p w14:paraId="56E6929A"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Materials and Methods:</w:t>
      </w:r>
    </w:p>
    <w:p w14:paraId="6692F995" w14:textId="3A997FDC" w:rsidR="00C6367B" w:rsidRPr="00BF0360" w:rsidRDefault="002C3EDC" w:rsidP="00C6367B">
      <w:pPr>
        <w:jc w:val="both"/>
        <w:rPr>
          <w:rFonts w:ascii="Times New Roman" w:hAnsi="Times New Roman" w:cs="Times New Roman"/>
          <w:sz w:val="24"/>
          <w:szCs w:val="24"/>
        </w:rPr>
      </w:pPr>
      <w:r w:rsidRPr="00BF0360">
        <w:rPr>
          <w:rFonts w:ascii="Times New Roman" w:hAnsi="Times New Roman" w:cs="Times New Roman"/>
          <w:sz w:val="24"/>
          <w:szCs w:val="24"/>
        </w:rPr>
        <w:t xml:space="preserve">The experiment was conducted at research plot of </w:t>
      </w:r>
      <w:r w:rsidRPr="006B39C7">
        <w:rPr>
          <w:rFonts w:ascii="Times New Roman" w:hAnsi="Times New Roman" w:cs="Times New Roman"/>
          <w:sz w:val="24"/>
          <w:szCs w:val="24"/>
          <w:highlight w:val="yellow"/>
        </w:rPr>
        <w:t>Udai</w:t>
      </w:r>
      <w:r w:rsidR="00DE0928">
        <w:rPr>
          <w:rFonts w:ascii="Times New Roman" w:hAnsi="Times New Roman" w:cs="Times New Roman"/>
          <w:sz w:val="24"/>
          <w:szCs w:val="24"/>
          <w:highlight w:val="yellow"/>
        </w:rPr>
        <w:t xml:space="preserve"> </w:t>
      </w:r>
      <w:r w:rsidRPr="006B39C7">
        <w:rPr>
          <w:rFonts w:ascii="Times New Roman" w:hAnsi="Times New Roman" w:cs="Times New Roman"/>
          <w:sz w:val="24"/>
          <w:szCs w:val="24"/>
          <w:highlight w:val="yellow"/>
        </w:rPr>
        <w:t>Pratap</w:t>
      </w:r>
      <w:r w:rsidRPr="00BF0360">
        <w:rPr>
          <w:rFonts w:ascii="Times New Roman" w:hAnsi="Times New Roman" w:cs="Times New Roman"/>
          <w:sz w:val="24"/>
          <w:szCs w:val="24"/>
        </w:rPr>
        <w:t xml:space="preserve"> Autonomous College (U.P. College), Varanasi (Uttar Pradesh), adjoining the Department of Agricultural Chemistry and Soil Science during </w:t>
      </w:r>
      <w:r w:rsidRPr="00BF0360">
        <w:rPr>
          <w:rFonts w:ascii="Times New Roman" w:hAnsi="Times New Roman" w:cs="Times New Roman"/>
          <w:i/>
          <w:sz w:val="24"/>
          <w:szCs w:val="24"/>
        </w:rPr>
        <w:t>rabi</w:t>
      </w:r>
      <w:r w:rsidRPr="00BF0360">
        <w:rPr>
          <w:rFonts w:ascii="Times New Roman" w:hAnsi="Times New Roman" w:cs="Times New Roman"/>
          <w:sz w:val="24"/>
          <w:szCs w:val="24"/>
        </w:rPr>
        <w:t xml:space="preserve"> season of 2012-13. The climate of this area is subtropical monsoon type.  </w:t>
      </w:r>
      <w:r w:rsidR="00C6367B" w:rsidRPr="00BF0360">
        <w:rPr>
          <w:rFonts w:ascii="Times New Roman" w:hAnsi="Times New Roman" w:cs="Times New Roman"/>
          <w:sz w:val="24"/>
          <w:szCs w:val="24"/>
        </w:rPr>
        <w:t xml:space="preserve">The experiment was laid out in Randomized Block Design </w:t>
      </w:r>
      <w:r w:rsidR="00A0096B" w:rsidRPr="00BF0360">
        <w:rPr>
          <w:rFonts w:ascii="Times New Roman" w:hAnsi="Times New Roman" w:cs="Times New Roman"/>
          <w:sz w:val="24"/>
          <w:szCs w:val="24"/>
        </w:rPr>
        <w:t xml:space="preserve">(RBD) </w:t>
      </w:r>
      <w:r w:rsidR="00C6367B" w:rsidRPr="00BF0360">
        <w:rPr>
          <w:rFonts w:ascii="Times New Roman" w:hAnsi="Times New Roman" w:cs="Times New Roman"/>
          <w:sz w:val="24"/>
          <w:szCs w:val="24"/>
        </w:rPr>
        <w:t xml:space="preserve">with three replications. The experiment comprised </w:t>
      </w:r>
      <w:r w:rsidRPr="00BF0360">
        <w:rPr>
          <w:rFonts w:ascii="Times New Roman" w:hAnsi="Times New Roman" w:cs="Times New Roman"/>
          <w:sz w:val="24"/>
          <w:szCs w:val="24"/>
        </w:rPr>
        <w:t xml:space="preserve">with six levels of </w:t>
      </w:r>
      <w:r w:rsidRPr="006B39C7">
        <w:rPr>
          <w:rFonts w:ascii="Times New Roman" w:hAnsi="Times New Roman" w:cs="Times New Roman"/>
          <w:sz w:val="24"/>
          <w:szCs w:val="24"/>
          <w:highlight w:val="yellow"/>
        </w:rPr>
        <w:t>boron</w:t>
      </w:r>
      <w:r w:rsidR="00DE0928">
        <w:rPr>
          <w:rFonts w:ascii="Times New Roman" w:hAnsi="Times New Roman" w:cs="Times New Roman"/>
          <w:sz w:val="24"/>
          <w:szCs w:val="24"/>
          <w:highlight w:val="yellow"/>
        </w:rPr>
        <w:t xml:space="preserve"> </w:t>
      </w:r>
      <w:r w:rsidR="00C6367B" w:rsidRPr="006B39C7">
        <w:rPr>
          <w:rFonts w:ascii="Times New Roman" w:hAnsi="Times New Roman" w:cs="Times New Roman"/>
          <w:i/>
          <w:sz w:val="24"/>
          <w:szCs w:val="24"/>
          <w:highlight w:val="yellow"/>
        </w:rPr>
        <w:t>viz</w:t>
      </w:r>
      <w:r w:rsidR="00C6367B" w:rsidRPr="00BF0360">
        <w:rPr>
          <w:rFonts w:ascii="Times New Roman" w:hAnsi="Times New Roman" w:cs="Times New Roman"/>
          <w:i/>
          <w:sz w:val="24"/>
          <w:szCs w:val="24"/>
        </w:rPr>
        <w:t>.</w:t>
      </w:r>
      <w:r w:rsidR="00AF2866">
        <w:rPr>
          <w:rFonts w:ascii="Times New Roman" w:hAnsi="Times New Roman" w:cs="Times New Roman"/>
          <w:i/>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Control</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1</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0.5</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2</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1.0</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3</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1.5</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 xml:space="preserve">2.0 and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 xml:space="preserve">2.5 </w:t>
      </w:r>
      <w:r w:rsidRPr="00BF0360">
        <w:rPr>
          <w:rFonts w:ascii="Times New Roman" w:hAnsi="Times New Roman" w:cs="Times New Roman"/>
          <w:sz w:val="24"/>
          <w:szCs w:val="24"/>
        </w:rPr>
        <w:t xml:space="preserve">kg/ </w:t>
      </w:r>
      <w:r w:rsidR="00C6367B" w:rsidRPr="00BF0360">
        <w:rPr>
          <w:rFonts w:ascii="Times New Roman" w:hAnsi="Times New Roman" w:cs="Times New Roman"/>
          <w:sz w:val="24"/>
          <w:szCs w:val="24"/>
        </w:rPr>
        <w:t>ha</w:t>
      </w:r>
      <w:r w:rsidRPr="00BF0360">
        <w:rPr>
          <w:rFonts w:ascii="Times New Roman" w:hAnsi="Times New Roman" w:cs="Times New Roman"/>
          <w:sz w:val="24"/>
          <w:szCs w:val="24"/>
        </w:rPr>
        <w:t>)</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 xml:space="preserve">There </w:t>
      </w:r>
      <w:r w:rsidR="00487B76" w:rsidRPr="00BF0360">
        <w:rPr>
          <w:rFonts w:ascii="Times New Roman" w:hAnsi="Times New Roman" w:cs="Times New Roman"/>
          <w:sz w:val="24"/>
          <w:szCs w:val="24"/>
        </w:rPr>
        <w:t>were total 18 treatment combinations. The</w:t>
      </w:r>
      <w:r w:rsidR="00C6367B" w:rsidRPr="00BF0360">
        <w:rPr>
          <w:rFonts w:ascii="Times New Roman" w:hAnsi="Times New Roman" w:cs="Times New Roman"/>
          <w:sz w:val="24"/>
          <w:szCs w:val="24"/>
        </w:rPr>
        <w:t xml:space="preserve"> uniform application of 120:80:60</w:t>
      </w:r>
      <w:r w:rsidR="00A0096B"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N:P</w:t>
      </w:r>
      <w:r w:rsidR="00C6367B" w:rsidRPr="00BF0360">
        <w:rPr>
          <w:rFonts w:ascii="Times New Roman" w:hAnsi="Times New Roman" w:cs="Times New Roman"/>
          <w:sz w:val="24"/>
          <w:szCs w:val="24"/>
          <w:vertAlign w:val="subscript"/>
        </w:rPr>
        <w:t>2</w:t>
      </w:r>
      <w:r w:rsidR="00C6367B" w:rsidRPr="00BF0360">
        <w:rPr>
          <w:rFonts w:ascii="Times New Roman" w:hAnsi="Times New Roman" w:cs="Times New Roman"/>
          <w:sz w:val="24"/>
          <w:szCs w:val="24"/>
        </w:rPr>
        <w:t>O</w:t>
      </w:r>
      <w:r w:rsidR="00C6367B" w:rsidRPr="00BF0360">
        <w:rPr>
          <w:rFonts w:ascii="Times New Roman" w:hAnsi="Times New Roman" w:cs="Times New Roman"/>
          <w:sz w:val="24"/>
          <w:szCs w:val="24"/>
          <w:vertAlign w:val="subscript"/>
        </w:rPr>
        <w:t>5</w:t>
      </w:r>
      <w:r w:rsidR="00C6367B" w:rsidRPr="00BF0360">
        <w:rPr>
          <w:rFonts w:ascii="Times New Roman" w:hAnsi="Times New Roman" w:cs="Times New Roman"/>
          <w:sz w:val="24"/>
          <w:szCs w:val="24"/>
        </w:rPr>
        <w:t>:K</w:t>
      </w:r>
      <w:r w:rsidR="00C6367B" w:rsidRPr="00BF0360">
        <w:rPr>
          <w:rFonts w:ascii="Times New Roman" w:hAnsi="Times New Roman" w:cs="Times New Roman"/>
          <w:sz w:val="24"/>
          <w:szCs w:val="24"/>
          <w:vertAlign w:val="subscript"/>
        </w:rPr>
        <w:t>2</w:t>
      </w:r>
      <w:r w:rsidR="00C6367B" w:rsidRPr="00BF0360">
        <w:rPr>
          <w:rFonts w:ascii="Times New Roman" w:hAnsi="Times New Roman" w:cs="Times New Roman"/>
          <w:sz w:val="24"/>
          <w:szCs w:val="24"/>
          <w:vertAlign w:val="subscript"/>
        </w:rPr>
        <w:softHyphen/>
      </w:r>
      <w:r w:rsidR="00C6367B" w:rsidRPr="00BF0360">
        <w:rPr>
          <w:rFonts w:ascii="Times New Roman" w:hAnsi="Times New Roman" w:cs="Times New Roman"/>
          <w:sz w:val="24"/>
          <w:szCs w:val="24"/>
        </w:rPr>
        <w:t>O kg</w:t>
      </w:r>
      <w:r w:rsidR="00487B76" w:rsidRPr="00BF0360">
        <w:rPr>
          <w:rFonts w:ascii="Times New Roman" w:hAnsi="Times New Roman" w:cs="Times New Roman"/>
          <w:sz w:val="24"/>
          <w:szCs w:val="24"/>
        </w:rPr>
        <w:t>/</w:t>
      </w:r>
      <w:r w:rsidR="00C6367B" w:rsidRPr="00BF0360">
        <w:rPr>
          <w:rFonts w:ascii="Times New Roman" w:hAnsi="Times New Roman" w:cs="Times New Roman"/>
          <w:sz w:val="24"/>
          <w:szCs w:val="24"/>
        </w:rPr>
        <w:t xml:space="preserve"> ha except </w:t>
      </w:r>
      <w:r w:rsidR="00C6367B" w:rsidRPr="00BF0360">
        <w:rPr>
          <w:rFonts w:ascii="Times New Roman" w:hAnsi="Times New Roman" w:cs="Times New Roman"/>
          <w:sz w:val="24"/>
          <w:szCs w:val="24"/>
        </w:rPr>
        <w:lastRenderedPageBreak/>
        <w:t>in T</w:t>
      </w:r>
      <w:r w:rsidR="00C6367B" w:rsidRPr="00BF0360">
        <w:rPr>
          <w:rFonts w:ascii="Times New Roman" w:hAnsi="Times New Roman" w:cs="Times New Roman"/>
          <w:sz w:val="24"/>
          <w:szCs w:val="24"/>
          <w:vertAlign w:val="subscript"/>
        </w:rPr>
        <w:t xml:space="preserve">0 </w:t>
      </w:r>
      <w:r w:rsidR="00C6367B" w:rsidRPr="00BF0360">
        <w:rPr>
          <w:rFonts w:ascii="Times New Roman" w:hAnsi="Times New Roman" w:cs="Times New Roman"/>
          <w:sz w:val="24"/>
          <w:szCs w:val="24"/>
        </w:rPr>
        <w:t>(absolute control)</w:t>
      </w:r>
      <w:r w:rsidR="00487B76" w:rsidRPr="00BF0360">
        <w:rPr>
          <w:rFonts w:ascii="Times New Roman" w:hAnsi="Times New Roman" w:cs="Times New Roman"/>
          <w:sz w:val="24"/>
          <w:szCs w:val="24"/>
        </w:rPr>
        <w:t xml:space="preserve"> were </w:t>
      </w:r>
      <w:r w:rsidR="00487B76" w:rsidRPr="006B39C7">
        <w:rPr>
          <w:rFonts w:ascii="Times New Roman" w:hAnsi="Times New Roman" w:cs="Times New Roman"/>
          <w:sz w:val="24"/>
          <w:szCs w:val="24"/>
          <w:highlight w:val="yellow"/>
        </w:rPr>
        <w:t>applied</w:t>
      </w:r>
      <w:r w:rsidR="00C6367B" w:rsidRPr="006B39C7">
        <w:rPr>
          <w:rFonts w:ascii="Times New Roman" w:hAnsi="Times New Roman" w:cs="Times New Roman"/>
          <w:sz w:val="24"/>
          <w:szCs w:val="24"/>
          <w:highlight w:val="yellow"/>
        </w:rPr>
        <w:t>.</w:t>
      </w:r>
      <w:r w:rsidR="00DE0928">
        <w:rPr>
          <w:rFonts w:ascii="Times New Roman" w:hAnsi="Times New Roman" w:cs="Times New Roman"/>
          <w:sz w:val="24"/>
          <w:szCs w:val="24"/>
          <w:highlight w:val="yellow"/>
        </w:rPr>
        <w:t xml:space="preserve"> </w:t>
      </w:r>
      <w:r w:rsidR="00D67CD0" w:rsidRPr="006B39C7">
        <w:rPr>
          <w:rFonts w:ascii="Times New Roman" w:hAnsi="Times New Roman" w:cs="Times New Roman"/>
          <w:sz w:val="24"/>
          <w:szCs w:val="24"/>
          <w:highlight w:val="yellow"/>
        </w:rPr>
        <w:t>Seeds</w:t>
      </w:r>
      <w:r w:rsidR="00D67CD0" w:rsidRPr="00BF0360">
        <w:rPr>
          <w:rFonts w:ascii="Times New Roman" w:hAnsi="Times New Roman" w:cs="Times New Roman"/>
          <w:sz w:val="24"/>
          <w:szCs w:val="24"/>
        </w:rPr>
        <w:t xml:space="preserve"> of wheat were sown </w:t>
      </w:r>
      <w:r w:rsidR="00FD5B43" w:rsidRPr="00BF0360">
        <w:rPr>
          <w:rFonts w:ascii="Times New Roman" w:hAnsi="Times New Roman" w:cs="Times New Roman"/>
          <w:sz w:val="24"/>
          <w:szCs w:val="24"/>
        </w:rPr>
        <w:t xml:space="preserve">with </w:t>
      </w:r>
      <w:r w:rsidR="00D67CD0" w:rsidRPr="00BF0360">
        <w:rPr>
          <w:rFonts w:ascii="Times New Roman" w:hAnsi="Times New Roman" w:cs="Times New Roman"/>
          <w:sz w:val="24"/>
          <w:szCs w:val="24"/>
        </w:rPr>
        <w:t xml:space="preserve">the spacing of </w:t>
      </w:r>
      <w:r w:rsidR="00FD5B43" w:rsidRPr="00BF0360">
        <w:rPr>
          <w:rFonts w:ascii="Times New Roman" w:hAnsi="Times New Roman" w:cs="Times New Roman"/>
          <w:sz w:val="24"/>
          <w:szCs w:val="24"/>
        </w:rPr>
        <w:t xml:space="preserve">20 × </w:t>
      </w:r>
      <w:r w:rsidR="00D67CD0" w:rsidRPr="00BF0360">
        <w:rPr>
          <w:rFonts w:ascii="Times New Roman" w:hAnsi="Times New Roman" w:cs="Times New Roman"/>
          <w:sz w:val="24"/>
          <w:szCs w:val="24"/>
        </w:rPr>
        <w:t xml:space="preserve">10 cm in the </w:t>
      </w:r>
      <w:r w:rsidR="00FD5B43" w:rsidRPr="00BF0360">
        <w:rPr>
          <w:rFonts w:ascii="Times New Roman" w:hAnsi="Times New Roman" w:cs="Times New Roman"/>
          <w:sz w:val="24"/>
          <w:szCs w:val="24"/>
        </w:rPr>
        <w:t>last</w:t>
      </w:r>
      <w:r w:rsidR="00D67CD0" w:rsidRPr="00BF0360">
        <w:rPr>
          <w:rFonts w:ascii="Times New Roman" w:hAnsi="Times New Roman" w:cs="Times New Roman"/>
          <w:sz w:val="24"/>
          <w:szCs w:val="24"/>
        </w:rPr>
        <w:t xml:space="preserve"> week of November. All the recommended cultural was followed throughout the experimental period. </w:t>
      </w:r>
      <w:r w:rsidR="00FD5B43" w:rsidRPr="00BF0360">
        <w:rPr>
          <w:rFonts w:ascii="Times New Roman" w:hAnsi="Times New Roman" w:cs="Times New Roman"/>
          <w:sz w:val="24"/>
          <w:szCs w:val="24"/>
        </w:rPr>
        <w:t xml:space="preserve">Initial physico-chemical properties of experimental soil were presented in table 1. </w:t>
      </w:r>
      <w:r w:rsidR="00D67CD0" w:rsidRPr="00A276C7">
        <w:rPr>
          <w:rFonts w:ascii="Times New Roman" w:hAnsi="Times New Roman" w:cs="Times New Roman"/>
          <w:sz w:val="24"/>
          <w:szCs w:val="24"/>
          <w:highlight w:val="yellow"/>
        </w:rPr>
        <w:t>The data on nutrient uptakes</w:t>
      </w:r>
      <w:r w:rsidR="004420DA" w:rsidRPr="00A276C7">
        <w:rPr>
          <w:rFonts w:ascii="Times New Roman" w:hAnsi="Times New Roman" w:cs="Times New Roman"/>
          <w:sz w:val="24"/>
          <w:szCs w:val="24"/>
          <w:highlight w:val="yellow"/>
        </w:rPr>
        <w:t xml:space="preserve"> </w:t>
      </w:r>
      <w:r w:rsidR="00D67CD0" w:rsidRPr="00A276C7">
        <w:rPr>
          <w:rFonts w:ascii="Times New Roman" w:hAnsi="Times New Roman" w:cs="Times New Roman"/>
          <w:sz w:val="24"/>
          <w:szCs w:val="24"/>
          <w:highlight w:val="yellow"/>
        </w:rPr>
        <w:t xml:space="preserve">were recorded and analysed as per </w:t>
      </w:r>
      <w:r w:rsidR="00A276C7" w:rsidRPr="00A276C7">
        <w:rPr>
          <w:rFonts w:ascii="Times New Roman" w:hAnsi="Times New Roman" w:cs="Times New Roman"/>
          <w:sz w:val="24"/>
          <w:szCs w:val="24"/>
          <w:highlight w:val="yellow"/>
        </w:rPr>
        <w:t xml:space="preserve">Huu </w:t>
      </w:r>
      <w:r w:rsidR="00A276C7" w:rsidRPr="00A276C7">
        <w:rPr>
          <w:rFonts w:ascii="Times New Roman" w:hAnsi="Times New Roman" w:cs="Times New Roman"/>
          <w:i/>
          <w:sz w:val="24"/>
          <w:szCs w:val="24"/>
          <w:highlight w:val="yellow"/>
        </w:rPr>
        <w:t>et al.</w:t>
      </w:r>
      <w:r w:rsidR="00A276C7" w:rsidRPr="00A276C7">
        <w:rPr>
          <w:rFonts w:ascii="Times New Roman" w:hAnsi="Times New Roman" w:cs="Times New Roman"/>
          <w:sz w:val="24"/>
          <w:szCs w:val="24"/>
          <w:highlight w:val="yellow"/>
        </w:rPr>
        <w:t xml:space="preserve"> (2022).</w:t>
      </w:r>
    </w:p>
    <w:p w14:paraId="2F7DA897" w14:textId="58147B5E" w:rsidR="00EE6BE1" w:rsidRPr="00BF0360" w:rsidRDefault="00EE6BE1" w:rsidP="00C6367B">
      <w:pPr>
        <w:jc w:val="both"/>
        <w:rPr>
          <w:rFonts w:ascii="Times New Roman" w:hAnsi="Times New Roman" w:cs="Times New Roman"/>
          <w:sz w:val="24"/>
          <w:szCs w:val="24"/>
        </w:rPr>
      </w:pPr>
      <w:r w:rsidRPr="00BF0360">
        <w:rPr>
          <w:rFonts w:ascii="Times New Roman" w:hAnsi="Times New Roman" w:cs="Times New Roman"/>
          <w:b/>
          <w:sz w:val="24"/>
          <w:szCs w:val="24"/>
        </w:rPr>
        <w:t>Table 1</w:t>
      </w:r>
      <w:r w:rsidR="00BA4627">
        <w:rPr>
          <w:rFonts w:ascii="Times New Roman" w:hAnsi="Times New Roman" w:cs="Times New Roman"/>
          <w:b/>
          <w:sz w:val="24"/>
          <w:szCs w:val="24"/>
        </w:rPr>
        <w:t>.</w:t>
      </w:r>
      <w:r w:rsidRPr="00BF0360">
        <w:rPr>
          <w:rFonts w:ascii="Times New Roman" w:hAnsi="Times New Roman" w:cs="Times New Roman"/>
          <w:sz w:val="24"/>
          <w:szCs w:val="24"/>
        </w:rPr>
        <w:t xml:space="preserve"> Initial physico-chemical properties of experimental soil</w:t>
      </w:r>
    </w:p>
    <w:tbl>
      <w:tblPr>
        <w:tblStyle w:val="TableGrid"/>
        <w:tblW w:w="0" w:type="auto"/>
        <w:tblLayout w:type="fixed"/>
        <w:tblLook w:val="04A0" w:firstRow="1" w:lastRow="0" w:firstColumn="1" w:lastColumn="0" w:noHBand="0" w:noVBand="1"/>
      </w:tblPr>
      <w:tblGrid>
        <w:gridCol w:w="2943"/>
        <w:gridCol w:w="1418"/>
        <w:gridCol w:w="3260"/>
        <w:gridCol w:w="1385"/>
      </w:tblGrid>
      <w:tr w:rsidR="00BF0360" w:rsidRPr="00BF0360" w14:paraId="0E5206E2" w14:textId="77777777" w:rsidTr="00EE6BE1">
        <w:tc>
          <w:tcPr>
            <w:tcW w:w="2943" w:type="dxa"/>
            <w:tcBorders>
              <w:left w:val="nil"/>
              <w:bottom w:val="single" w:sz="4" w:space="0" w:color="auto"/>
              <w:right w:val="nil"/>
            </w:tcBorders>
          </w:tcPr>
          <w:p w14:paraId="02B96C12" w14:textId="77777777" w:rsidR="00FD5B43" w:rsidRPr="00BF0360" w:rsidRDefault="00FD5B43" w:rsidP="00C6367B">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Parameters</w:t>
            </w:r>
          </w:p>
        </w:tc>
        <w:tc>
          <w:tcPr>
            <w:tcW w:w="1418" w:type="dxa"/>
            <w:tcBorders>
              <w:left w:val="nil"/>
              <w:bottom w:val="single" w:sz="4" w:space="0" w:color="auto"/>
              <w:right w:val="nil"/>
            </w:tcBorders>
          </w:tcPr>
          <w:p w14:paraId="1E739F65" w14:textId="77777777" w:rsidR="00FD5B43" w:rsidRPr="00BF0360" w:rsidRDefault="00FD5B43" w:rsidP="00EE6BE1">
            <w:pPr>
              <w:jc w:val="center"/>
              <w:rPr>
                <w:rFonts w:ascii="Times New Roman" w:hAnsi="Times New Roman" w:cs="Times New Roman"/>
                <w:b/>
                <w:sz w:val="24"/>
                <w:szCs w:val="24"/>
                <w:lang w:val="en-US"/>
              </w:rPr>
            </w:pPr>
            <w:r w:rsidRPr="00BF0360">
              <w:rPr>
                <w:rFonts w:ascii="Times New Roman" w:hAnsi="Times New Roman" w:cs="Times New Roman"/>
                <w:b/>
                <w:sz w:val="24"/>
                <w:szCs w:val="24"/>
                <w:lang w:val="en-US"/>
              </w:rPr>
              <w:t>Values</w:t>
            </w:r>
          </w:p>
        </w:tc>
        <w:tc>
          <w:tcPr>
            <w:tcW w:w="3260" w:type="dxa"/>
            <w:tcBorders>
              <w:left w:val="nil"/>
              <w:bottom w:val="single" w:sz="4" w:space="0" w:color="auto"/>
              <w:right w:val="nil"/>
            </w:tcBorders>
          </w:tcPr>
          <w:p w14:paraId="54B6A9A7" w14:textId="77777777" w:rsidR="00FD5B43" w:rsidRPr="00BF0360" w:rsidRDefault="00FD5B43">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Parameters</w:t>
            </w:r>
          </w:p>
        </w:tc>
        <w:tc>
          <w:tcPr>
            <w:tcW w:w="1385" w:type="dxa"/>
            <w:tcBorders>
              <w:left w:val="nil"/>
              <w:bottom w:val="single" w:sz="4" w:space="0" w:color="auto"/>
              <w:right w:val="nil"/>
            </w:tcBorders>
          </w:tcPr>
          <w:p w14:paraId="7E9752D7" w14:textId="77777777" w:rsidR="00FD5B43" w:rsidRPr="00BF0360" w:rsidRDefault="00FD5B43">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Values</w:t>
            </w:r>
          </w:p>
        </w:tc>
      </w:tr>
      <w:tr w:rsidR="00BF0360" w:rsidRPr="00BF0360" w14:paraId="1696E138" w14:textId="77777777" w:rsidTr="00EE6BE1">
        <w:tc>
          <w:tcPr>
            <w:tcW w:w="2943" w:type="dxa"/>
            <w:tcBorders>
              <w:left w:val="nil"/>
              <w:bottom w:val="nil"/>
              <w:right w:val="nil"/>
            </w:tcBorders>
          </w:tcPr>
          <w:p w14:paraId="7BDEBA7B"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Bulk density (Mg/ m</w:t>
            </w:r>
            <w:r w:rsidRPr="00BF0360">
              <w:rPr>
                <w:rFonts w:ascii="Times New Roman" w:hAnsi="Times New Roman" w:cs="Times New Roman"/>
                <w:sz w:val="24"/>
                <w:szCs w:val="24"/>
                <w:vertAlign w:val="superscript"/>
              </w:rPr>
              <w:t>3</w:t>
            </w:r>
            <w:r w:rsidRPr="00BF0360">
              <w:rPr>
                <w:rFonts w:ascii="Times New Roman" w:hAnsi="Times New Roman" w:cs="Times New Roman"/>
                <w:sz w:val="24"/>
                <w:szCs w:val="24"/>
              </w:rPr>
              <w:t>)</w:t>
            </w:r>
          </w:p>
        </w:tc>
        <w:tc>
          <w:tcPr>
            <w:tcW w:w="1418" w:type="dxa"/>
            <w:tcBorders>
              <w:left w:val="nil"/>
              <w:bottom w:val="nil"/>
              <w:right w:val="nil"/>
            </w:tcBorders>
          </w:tcPr>
          <w:p w14:paraId="2AA4EB3C"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1.37</w:t>
            </w:r>
          </w:p>
        </w:tc>
        <w:tc>
          <w:tcPr>
            <w:tcW w:w="3260" w:type="dxa"/>
            <w:tcBorders>
              <w:left w:val="nil"/>
              <w:bottom w:val="nil"/>
              <w:right w:val="nil"/>
            </w:tcBorders>
          </w:tcPr>
          <w:p w14:paraId="13E11BAA"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Available nitrogen (kg/ ha)</w:t>
            </w:r>
          </w:p>
        </w:tc>
        <w:tc>
          <w:tcPr>
            <w:tcW w:w="1385" w:type="dxa"/>
            <w:tcBorders>
              <w:left w:val="nil"/>
              <w:bottom w:val="nil"/>
              <w:right w:val="nil"/>
            </w:tcBorders>
          </w:tcPr>
          <w:p w14:paraId="3DEF0B72"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214.8</w:t>
            </w:r>
          </w:p>
        </w:tc>
      </w:tr>
      <w:tr w:rsidR="00BF0360" w:rsidRPr="00BF0360" w14:paraId="59BAC975" w14:textId="77777777" w:rsidTr="00EE6BE1">
        <w:tc>
          <w:tcPr>
            <w:tcW w:w="2943" w:type="dxa"/>
            <w:tcBorders>
              <w:top w:val="nil"/>
              <w:left w:val="nil"/>
              <w:bottom w:val="nil"/>
              <w:right w:val="nil"/>
            </w:tcBorders>
          </w:tcPr>
          <w:p w14:paraId="354ADBCA"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Particle density (Mg/ m</w:t>
            </w:r>
            <w:r w:rsidRPr="00BF0360">
              <w:rPr>
                <w:rFonts w:ascii="Times New Roman" w:hAnsi="Times New Roman" w:cs="Times New Roman"/>
                <w:sz w:val="24"/>
                <w:szCs w:val="24"/>
                <w:vertAlign w:val="superscript"/>
              </w:rPr>
              <w:t>3</w:t>
            </w:r>
            <w:r w:rsidRPr="00BF0360">
              <w:rPr>
                <w:rFonts w:ascii="Times New Roman" w:hAnsi="Times New Roman" w:cs="Times New Roman"/>
                <w:sz w:val="24"/>
                <w:szCs w:val="24"/>
              </w:rPr>
              <w:t>)</w:t>
            </w:r>
          </w:p>
        </w:tc>
        <w:tc>
          <w:tcPr>
            <w:tcW w:w="1418" w:type="dxa"/>
            <w:tcBorders>
              <w:top w:val="nil"/>
              <w:left w:val="nil"/>
              <w:bottom w:val="nil"/>
              <w:right w:val="nil"/>
            </w:tcBorders>
          </w:tcPr>
          <w:p w14:paraId="13DEA1F0"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2.57</w:t>
            </w:r>
          </w:p>
        </w:tc>
        <w:tc>
          <w:tcPr>
            <w:tcW w:w="3260" w:type="dxa"/>
            <w:tcBorders>
              <w:top w:val="nil"/>
              <w:left w:val="nil"/>
              <w:bottom w:val="nil"/>
              <w:right w:val="nil"/>
            </w:tcBorders>
          </w:tcPr>
          <w:p w14:paraId="5EF72796"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Available phosphorus (kg/ ha)</w:t>
            </w:r>
          </w:p>
        </w:tc>
        <w:tc>
          <w:tcPr>
            <w:tcW w:w="1385" w:type="dxa"/>
            <w:tcBorders>
              <w:top w:val="nil"/>
              <w:left w:val="nil"/>
              <w:bottom w:val="nil"/>
              <w:right w:val="nil"/>
            </w:tcBorders>
          </w:tcPr>
          <w:p w14:paraId="4AB6968F"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16</w:t>
            </w:r>
          </w:p>
        </w:tc>
      </w:tr>
      <w:tr w:rsidR="00BF0360" w:rsidRPr="00BF0360" w14:paraId="09F10B37" w14:textId="77777777" w:rsidTr="00EE6BE1">
        <w:tc>
          <w:tcPr>
            <w:tcW w:w="2943" w:type="dxa"/>
            <w:tcBorders>
              <w:top w:val="nil"/>
              <w:left w:val="nil"/>
              <w:bottom w:val="nil"/>
              <w:right w:val="nil"/>
            </w:tcBorders>
          </w:tcPr>
          <w:p w14:paraId="6DCF81B7"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Porosity (%)</w:t>
            </w:r>
          </w:p>
        </w:tc>
        <w:tc>
          <w:tcPr>
            <w:tcW w:w="1418" w:type="dxa"/>
            <w:tcBorders>
              <w:top w:val="nil"/>
              <w:left w:val="nil"/>
              <w:bottom w:val="nil"/>
              <w:right w:val="nil"/>
            </w:tcBorders>
          </w:tcPr>
          <w:p w14:paraId="4CB03F1E"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47</w:t>
            </w:r>
          </w:p>
        </w:tc>
        <w:tc>
          <w:tcPr>
            <w:tcW w:w="3260" w:type="dxa"/>
            <w:tcBorders>
              <w:top w:val="nil"/>
              <w:left w:val="nil"/>
              <w:bottom w:val="nil"/>
              <w:right w:val="nil"/>
            </w:tcBorders>
          </w:tcPr>
          <w:p w14:paraId="207242A2"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Available potassium (kg</w:t>
            </w:r>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ha)</w:t>
            </w:r>
          </w:p>
        </w:tc>
        <w:tc>
          <w:tcPr>
            <w:tcW w:w="1385" w:type="dxa"/>
            <w:tcBorders>
              <w:top w:val="nil"/>
              <w:left w:val="nil"/>
              <w:bottom w:val="nil"/>
              <w:right w:val="nil"/>
            </w:tcBorders>
          </w:tcPr>
          <w:p w14:paraId="5A73076F"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130</w:t>
            </w:r>
          </w:p>
        </w:tc>
      </w:tr>
      <w:tr w:rsidR="00BF0360" w:rsidRPr="00BF0360" w14:paraId="4F26F5BA" w14:textId="77777777" w:rsidTr="00EE6BE1">
        <w:tc>
          <w:tcPr>
            <w:tcW w:w="2943" w:type="dxa"/>
            <w:tcBorders>
              <w:top w:val="nil"/>
              <w:left w:val="nil"/>
              <w:bottom w:val="nil"/>
              <w:right w:val="nil"/>
            </w:tcBorders>
          </w:tcPr>
          <w:p w14:paraId="7F47E0F1" w14:textId="77777777" w:rsidR="00FD5B43" w:rsidRPr="00BF0360" w:rsidRDefault="00FD5B43" w:rsidP="00FD5B43">
            <w:pPr>
              <w:jc w:val="both"/>
              <w:rPr>
                <w:rFonts w:ascii="Times New Roman" w:hAnsi="Times New Roman" w:cs="Times New Roman"/>
                <w:sz w:val="24"/>
                <w:szCs w:val="24"/>
                <w:vertAlign w:val="superscript"/>
              </w:rPr>
            </w:pPr>
            <w:r w:rsidRPr="00BF0360">
              <w:rPr>
                <w:rFonts w:ascii="Times New Roman" w:hAnsi="Times New Roman" w:cs="Times New Roman"/>
                <w:sz w:val="24"/>
                <w:szCs w:val="24"/>
              </w:rPr>
              <w:t>pH</w:t>
            </w:r>
          </w:p>
        </w:tc>
        <w:tc>
          <w:tcPr>
            <w:tcW w:w="1418" w:type="dxa"/>
            <w:tcBorders>
              <w:top w:val="nil"/>
              <w:left w:val="nil"/>
              <w:bottom w:val="nil"/>
              <w:right w:val="nil"/>
            </w:tcBorders>
          </w:tcPr>
          <w:p w14:paraId="038D84F3"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7.6</w:t>
            </w:r>
          </w:p>
        </w:tc>
        <w:tc>
          <w:tcPr>
            <w:tcW w:w="3260" w:type="dxa"/>
            <w:tcBorders>
              <w:top w:val="nil"/>
              <w:left w:val="nil"/>
              <w:bottom w:val="nil"/>
              <w:right w:val="nil"/>
            </w:tcBorders>
          </w:tcPr>
          <w:p w14:paraId="67321A71" w14:textId="77777777" w:rsidR="00FD5B43" w:rsidRPr="00BF0360" w:rsidRDefault="00FD5B43" w:rsidP="00EE6BE1">
            <w:pPr>
              <w:jc w:val="both"/>
              <w:rPr>
                <w:rFonts w:ascii="Times New Roman" w:hAnsi="Times New Roman" w:cs="Times New Roman"/>
                <w:sz w:val="24"/>
                <w:szCs w:val="24"/>
              </w:rPr>
            </w:pPr>
            <w:r w:rsidRPr="00BF0360">
              <w:rPr>
                <w:rFonts w:ascii="Times New Roman" w:hAnsi="Times New Roman" w:cs="Times New Roman"/>
                <w:sz w:val="24"/>
                <w:szCs w:val="24"/>
              </w:rPr>
              <w:t>Available sulphur (kg</w:t>
            </w:r>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ha)</w:t>
            </w:r>
          </w:p>
        </w:tc>
        <w:tc>
          <w:tcPr>
            <w:tcW w:w="1385" w:type="dxa"/>
            <w:tcBorders>
              <w:top w:val="nil"/>
              <w:left w:val="nil"/>
              <w:bottom w:val="nil"/>
              <w:right w:val="nil"/>
            </w:tcBorders>
          </w:tcPr>
          <w:p w14:paraId="082D5BC9"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12.4</w:t>
            </w:r>
          </w:p>
        </w:tc>
      </w:tr>
      <w:tr w:rsidR="00BF0360" w:rsidRPr="00BF0360" w14:paraId="11208C52" w14:textId="77777777" w:rsidTr="00EE6BE1">
        <w:tc>
          <w:tcPr>
            <w:tcW w:w="2943" w:type="dxa"/>
            <w:tcBorders>
              <w:top w:val="nil"/>
              <w:left w:val="nil"/>
              <w:bottom w:val="nil"/>
              <w:right w:val="nil"/>
            </w:tcBorders>
          </w:tcPr>
          <w:p w14:paraId="24ADB3E4"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EC (dS</w:t>
            </w:r>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m)</w:t>
            </w:r>
          </w:p>
        </w:tc>
        <w:tc>
          <w:tcPr>
            <w:tcW w:w="1418" w:type="dxa"/>
            <w:tcBorders>
              <w:top w:val="nil"/>
              <w:left w:val="nil"/>
              <w:bottom w:val="nil"/>
              <w:right w:val="nil"/>
            </w:tcBorders>
          </w:tcPr>
          <w:p w14:paraId="36DB0B12"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0.29</w:t>
            </w:r>
          </w:p>
        </w:tc>
        <w:tc>
          <w:tcPr>
            <w:tcW w:w="3260" w:type="dxa"/>
            <w:tcBorders>
              <w:top w:val="nil"/>
              <w:left w:val="nil"/>
              <w:bottom w:val="nil"/>
              <w:right w:val="nil"/>
            </w:tcBorders>
          </w:tcPr>
          <w:p w14:paraId="0C4471D5" w14:textId="77777777" w:rsidR="00FD5B43" w:rsidRPr="00BF0360" w:rsidRDefault="00EE6BE1" w:rsidP="00FD5B43">
            <w:pPr>
              <w:jc w:val="both"/>
              <w:rPr>
                <w:rFonts w:ascii="Times New Roman" w:hAnsi="Times New Roman" w:cs="Times New Roman"/>
                <w:sz w:val="24"/>
                <w:szCs w:val="24"/>
              </w:rPr>
            </w:pPr>
            <w:r w:rsidRPr="00BF0360">
              <w:rPr>
                <w:rFonts w:ascii="Times New Roman" w:hAnsi="Times New Roman" w:cs="Times New Roman"/>
                <w:sz w:val="24"/>
                <w:szCs w:val="24"/>
              </w:rPr>
              <w:t xml:space="preserve">Available boron </w:t>
            </w:r>
            <w:r w:rsidR="00FD5B43" w:rsidRPr="00BF0360">
              <w:rPr>
                <w:rFonts w:ascii="Times New Roman" w:hAnsi="Times New Roman" w:cs="Times New Roman"/>
                <w:sz w:val="24"/>
                <w:szCs w:val="24"/>
              </w:rPr>
              <w:t>(ppm)</w:t>
            </w:r>
          </w:p>
        </w:tc>
        <w:tc>
          <w:tcPr>
            <w:tcW w:w="1385" w:type="dxa"/>
            <w:tcBorders>
              <w:top w:val="nil"/>
              <w:left w:val="nil"/>
              <w:bottom w:val="nil"/>
              <w:right w:val="nil"/>
            </w:tcBorders>
          </w:tcPr>
          <w:p w14:paraId="38CFA603"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0.42</w:t>
            </w:r>
          </w:p>
        </w:tc>
      </w:tr>
      <w:tr w:rsidR="00BF0360" w:rsidRPr="00BF0360" w14:paraId="40313496" w14:textId="77777777" w:rsidTr="00EE6BE1">
        <w:tc>
          <w:tcPr>
            <w:tcW w:w="2943" w:type="dxa"/>
            <w:tcBorders>
              <w:top w:val="nil"/>
              <w:left w:val="nil"/>
              <w:right w:val="nil"/>
            </w:tcBorders>
          </w:tcPr>
          <w:p w14:paraId="28B3E75A"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Organic carbon (%)</w:t>
            </w:r>
          </w:p>
        </w:tc>
        <w:tc>
          <w:tcPr>
            <w:tcW w:w="1418" w:type="dxa"/>
            <w:tcBorders>
              <w:top w:val="nil"/>
              <w:left w:val="nil"/>
              <w:right w:val="nil"/>
            </w:tcBorders>
          </w:tcPr>
          <w:p w14:paraId="18BF3F10"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0.54</w:t>
            </w:r>
          </w:p>
        </w:tc>
        <w:tc>
          <w:tcPr>
            <w:tcW w:w="3260" w:type="dxa"/>
            <w:tcBorders>
              <w:top w:val="nil"/>
              <w:left w:val="nil"/>
              <w:right w:val="nil"/>
            </w:tcBorders>
          </w:tcPr>
          <w:p w14:paraId="7BE31AB5"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Texture class</w:t>
            </w:r>
          </w:p>
        </w:tc>
        <w:tc>
          <w:tcPr>
            <w:tcW w:w="1385" w:type="dxa"/>
            <w:tcBorders>
              <w:top w:val="nil"/>
              <w:left w:val="nil"/>
              <w:right w:val="nil"/>
            </w:tcBorders>
          </w:tcPr>
          <w:p w14:paraId="5284800C"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Sandy loam</w:t>
            </w:r>
          </w:p>
        </w:tc>
      </w:tr>
    </w:tbl>
    <w:p w14:paraId="3ABB2B5F" w14:textId="77777777" w:rsidR="00714E18" w:rsidRPr="00BF0360" w:rsidRDefault="00714E18" w:rsidP="00714E18">
      <w:pPr>
        <w:jc w:val="both"/>
        <w:rPr>
          <w:rFonts w:ascii="Times New Roman" w:hAnsi="Times New Roman" w:cs="Times New Roman"/>
          <w:sz w:val="24"/>
          <w:szCs w:val="24"/>
        </w:rPr>
      </w:pPr>
      <w:r>
        <w:rPr>
          <w:rFonts w:ascii="Cambria Math" w:hAnsi="Cambria Math" w:cs="Times New Roman"/>
          <w:sz w:val="24"/>
          <w:szCs w:val="24"/>
        </w:rPr>
        <w:br/>
      </w:r>
      <m:oMathPara>
        <m:oMath>
          <m:r>
            <m:rPr>
              <m:sty m:val="p"/>
            </m:rPr>
            <w:rPr>
              <w:rFonts w:ascii="Cambria Math" w:hAnsi="Cambria Math" w:cs="Times New Roman"/>
              <w:sz w:val="24"/>
              <w:szCs w:val="24"/>
            </w:rPr>
            <m:t xml:space="preserve">Nutrient uptake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kg </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ha</m:t>
                  </m:r>
                </m:e>
                <m:sup>
                  <m:r>
                    <m:rPr>
                      <m:sty m:val="p"/>
                    </m:rPr>
                    <w:rPr>
                      <w:rFonts w:ascii="Cambria Math" w:hAnsi="Cambria Math" w:cs="Times New Roman"/>
                      <w:sz w:val="24"/>
                      <w:szCs w:val="24"/>
                      <w:vertAlign w:val="superscript"/>
                    </w:rPr>
                    <m:t>-1</m:t>
                  </m:r>
                </m:sup>
              </m:sSup>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Nutrient content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 xml:space="preserve">×yield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kg </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ha</m:t>
                      </m:r>
                    </m:e>
                    <m:sup>
                      <m:r>
                        <m:rPr>
                          <m:sty m:val="p"/>
                        </m:rPr>
                        <w:rPr>
                          <w:rFonts w:ascii="Cambria Math" w:hAnsi="Cambria Math" w:cs="Times New Roman"/>
                          <w:sz w:val="24"/>
                          <w:szCs w:val="24"/>
                          <w:vertAlign w:val="superscript"/>
                        </w:rPr>
                        <m:t>-1</m:t>
                      </m:r>
                    </m:sup>
                  </m:sSup>
                </m:e>
              </m:d>
            </m:num>
            <m:den>
              <m:r>
                <m:rPr>
                  <m:sty m:val="p"/>
                </m:rPr>
                <w:rPr>
                  <w:rFonts w:ascii="Cambria Math" w:hAnsi="Cambria Math" w:cs="Times New Roman"/>
                  <w:sz w:val="24"/>
                  <w:szCs w:val="24"/>
                </w:rPr>
                <m:t>100</m:t>
              </m:r>
            </m:den>
          </m:f>
        </m:oMath>
      </m:oMathPara>
    </w:p>
    <w:p w14:paraId="397B9CED"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Result and Discussion:</w:t>
      </w:r>
    </w:p>
    <w:p w14:paraId="563FF987" w14:textId="580856C7" w:rsidR="00417A9A" w:rsidRPr="00BF0360" w:rsidRDefault="00E95243" w:rsidP="00417A9A">
      <w:pPr>
        <w:jc w:val="both"/>
        <w:rPr>
          <w:rFonts w:ascii="Times New Roman" w:hAnsi="Times New Roman" w:cs="Times New Roman"/>
          <w:sz w:val="24"/>
          <w:szCs w:val="24"/>
        </w:rPr>
      </w:pPr>
      <w:r w:rsidRPr="00BF0360">
        <w:rPr>
          <w:rFonts w:ascii="Times New Roman" w:hAnsi="Times New Roman" w:cs="Times New Roman"/>
          <w:sz w:val="24"/>
          <w:szCs w:val="24"/>
        </w:rPr>
        <w:t xml:space="preserve">The data about boron uptake by wheat grain is reported in </w:t>
      </w:r>
      <w:r w:rsidR="00521A31" w:rsidRPr="00BF0360">
        <w:rPr>
          <w:rFonts w:ascii="Times New Roman" w:hAnsi="Times New Roman" w:cs="Times New Roman"/>
          <w:sz w:val="24"/>
          <w:szCs w:val="24"/>
        </w:rPr>
        <w:t>table 2</w:t>
      </w:r>
      <w:r w:rsidRPr="00BF0360">
        <w:rPr>
          <w:rFonts w:ascii="Times New Roman" w:hAnsi="Times New Roman" w:cs="Times New Roman"/>
          <w:sz w:val="24"/>
          <w:szCs w:val="24"/>
        </w:rPr>
        <w:t xml:space="preserve"> and represented in figure 1. The incorporation of boron improved the average boron uptake from 19.30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70.17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1</w:t>
      </w:r>
      <w:r w:rsidRPr="00BF0360">
        <w:rPr>
          <w:rFonts w:ascii="Times New Roman" w:hAnsi="Times New Roman" w:cs="Times New Roman"/>
          <w:sz w:val="24"/>
          <w:szCs w:val="24"/>
        </w:rPr>
        <w:t>), 77.30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2</w:t>
      </w:r>
      <w:r w:rsidRPr="00BF0360">
        <w:rPr>
          <w:rFonts w:ascii="Times New Roman" w:hAnsi="Times New Roman" w:cs="Times New Roman"/>
          <w:sz w:val="24"/>
          <w:szCs w:val="24"/>
        </w:rPr>
        <w:t>), 83.27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3</w:t>
      </w:r>
      <w:r w:rsidRPr="00BF0360">
        <w:rPr>
          <w:rFonts w:ascii="Times New Roman" w:hAnsi="Times New Roman" w:cs="Times New Roman"/>
          <w:sz w:val="24"/>
          <w:szCs w:val="24"/>
        </w:rPr>
        <w:t>), 95.50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and 94.10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under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xml:space="preserve"> treatment. </w:t>
      </w:r>
      <w:r w:rsidR="004B3A05">
        <w:rPr>
          <w:rFonts w:ascii="Times New Roman" w:hAnsi="Times New Roman" w:cs="Times New Roman"/>
          <w:sz w:val="24"/>
          <w:szCs w:val="24"/>
        </w:rPr>
        <w:t>The data in table 2</w:t>
      </w:r>
      <w:r w:rsidR="00417A9A" w:rsidRPr="00BF0360">
        <w:rPr>
          <w:rFonts w:ascii="Times New Roman" w:hAnsi="Times New Roman" w:cs="Times New Roman"/>
          <w:sz w:val="24"/>
          <w:szCs w:val="24"/>
        </w:rPr>
        <w:t xml:space="preserve"> clearly indicates that the application of B significantly changed B uptake by straw across all treatment levels. A comparable tendency was observed with straw, analogous to that of grain. Nevertheless, the extent of boron uptake in straw exceeded that in grain. This may be attributed to an elevated concentration of B in the straw and increased straw yield.</w:t>
      </w:r>
      <w:r w:rsidR="00FB2C30" w:rsidRPr="00BF0360">
        <w:rPr>
          <w:rFonts w:ascii="Times New Roman" w:hAnsi="Times New Roman" w:cs="Times New Roman"/>
          <w:sz w:val="24"/>
          <w:szCs w:val="24"/>
        </w:rPr>
        <w:t xml:space="preserve"> The total boron uptake (grain + straw) altered by soi</w:t>
      </w:r>
      <w:r w:rsidR="004B3A05">
        <w:rPr>
          <w:rFonts w:ascii="Times New Roman" w:hAnsi="Times New Roman" w:cs="Times New Roman"/>
          <w:sz w:val="24"/>
          <w:szCs w:val="24"/>
        </w:rPr>
        <w:t>l-applied boron is reported in t</w:t>
      </w:r>
      <w:r w:rsidR="00FB2C30" w:rsidRPr="00BF0360">
        <w:rPr>
          <w:rFonts w:ascii="Times New Roman" w:hAnsi="Times New Roman" w:cs="Times New Roman"/>
          <w:sz w:val="24"/>
          <w:szCs w:val="24"/>
        </w:rPr>
        <w:t xml:space="preserve">able </w:t>
      </w:r>
      <w:r w:rsidR="00521A31" w:rsidRPr="00BF0360">
        <w:rPr>
          <w:rFonts w:ascii="Times New Roman" w:hAnsi="Times New Roman" w:cs="Times New Roman"/>
          <w:sz w:val="24"/>
          <w:szCs w:val="24"/>
        </w:rPr>
        <w:t>2</w:t>
      </w:r>
      <w:r w:rsidR="00FB2C30" w:rsidRPr="00BF0360">
        <w:rPr>
          <w:rFonts w:ascii="Times New Roman" w:hAnsi="Times New Roman" w:cs="Times New Roman"/>
          <w:sz w:val="24"/>
          <w:szCs w:val="24"/>
        </w:rPr>
        <w:t xml:space="preserve"> and represented in Figure 1. Analysis of the data revealed that higher amounts of applied boron significantly improved its uptake, rising from 54.13 q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in the control treatment to 344.80 q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with the application of 2.0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(T</w:t>
      </w:r>
      <w:r w:rsidR="00FB2C30" w:rsidRPr="00BF0360">
        <w:rPr>
          <w:rFonts w:ascii="Times New Roman" w:hAnsi="Times New Roman" w:cs="Times New Roman"/>
          <w:sz w:val="24"/>
          <w:szCs w:val="24"/>
          <w:vertAlign w:val="subscript"/>
        </w:rPr>
        <w:t>4</w:t>
      </w:r>
      <w:r w:rsidR="00FB2C30" w:rsidRPr="00BF0360">
        <w:rPr>
          <w:rFonts w:ascii="Times New Roman" w:hAnsi="Times New Roman" w:cs="Times New Roman"/>
          <w:sz w:val="24"/>
          <w:szCs w:val="24"/>
        </w:rPr>
        <w:t xml:space="preserve">). Analysis of the total dry matter yield (Table </w:t>
      </w:r>
      <w:r w:rsidR="00336CC1">
        <w:rPr>
          <w:rFonts w:ascii="Times New Roman" w:hAnsi="Times New Roman" w:cs="Times New Roman"/>
          <w:sz w:val="24"/>
          <w:szCs w:val="24"/>
        </w:rPr>
        <w:t>3</w:t>
      </w:r>
      <w:r w:rsidR="00FB2C30" w:rsidRPr="00BF0360">
        <w:rPr>
          <w:rFonts w:ascii="Times New Roman" w:hAnsi="Times New Roman" w:cs="Times New Roman"/>
          <w:sz w:val="24"/>
          <w:szCs w:val="24"/>
        </w:rPr>
        <w:t>) and total boron uptake indicated that dry matter production peaked at 2.0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with a little decline noticed at the higher level of 2.5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w:t>
      </w:r>
      <w:r w:rsidR="00FB2C30" w:rsidRPr="006B39C7">
        <w:rPr>
          <w:rFonts w:ascii="Times New Roman" w:hAnsi="Times New Roman" w:cs="Times New Roman"/>
          <w:sz w:val="24"/>
          <w:szCs w:val="24"/>
          <w:highlight w:val="yellow"/>
        </w:rPr>
        <w:t>This suggests that application of B</w:t>
      </w:r>
      <w:r w:rsidR="003038B4">
        <w:rPr>
          <w:rFonts w:ascii="Times New Roman" w:hAnsi="Times New Roman" w:cs="Times New Roman"/>
          <w:sz w:val="24"/>
          <w:szCs w:val="24"/>
          <w:highlight w:val="yellow"/>
        </w:rPr>
        <w:t>oron</w:t>
      </w:r>
      <w:r w:rsidR="00FB2C30" w:rsidRPr="006B39C7">
        <w:rPr>
          <w:rFonts w:ascii="Times New Roman" w:hAnsi="Times New Roman" w:cs="Times New Roman"/>
          <w:sz w:val="24"/>
          <w:szCs w:val="24"/>
          <w:highlight w:val="yellow"/>
        </w:rPr>
        <w:t xml:space="preserve"> over optimum level had negative influence on crop productivity</w:t>
      </w:r>
      <w:r w:rsidR="003038B4">
        <w:rPr>
          <w:rFonts w:ascii="Times New Roman" w:hAnsi="Times New Roman" w:cs="Times New Roman"/>
          <w:sz w:val="24"/>
          <w:szCs w:val="24"/>
          <w:highlight w:val="yellow"/>
        </w:rPr>
        <w:t xml:space="preserve"> (</w:t>
      </w:r>
      <w:r w:rsidR="003038B4" w:rsidRPr="003038B4">
        <w:rPr>
          <w:rFonts w:ascii="Times New Roman" w:hAnsi="Times New Roman" w:cs="Times New Roman"/>
          <w:sz w:val="24"/>
          <w:szCs w:val="24"/>
          <w:highlight w:val="yellow"/>
        </w:rPr>
        <w:t>Mehboob</w:t>
      </w:r>
      <w:r w:rsidR="003038B4">
        <w:rPr>
          <w:rFonts w:ascii="Times New Roman" w:hAnsi="Times New Roman" w:cs="Times New Roman"/>
          <w:i/>
          <w:sz w:val="24"/>
          <w:szCs w:val="24"/>
          <w:highlight w:val="yellow"/>
        </w:rPr>
        <w:t xml:space="preserve"> et al., </w:t>
      </w:r>
      <w:r w:rsidR="003038B4">
        <w:rPr>
          <w:rFonts w:ascii="Times New Roman" w:hAnsi="Times New Roman" w:cs="Times New Roman"/>
          <w:sz w:val="24"/>
          <w:szCs w:val="24"/>
          <w:highlight w:val="yellow"/>
        </w:rPr>
        <w:t>2021</w:t>
      </w:r>
      <w:r w:rsidR="0025362A">
        <w:rPr>
          <w:rFonts w:ascii="Times New Roman" w:hAnsi="Times New Roman" w:cs="Times New Roman"/>
          <w:sz w:val="24"/>
          <w:szCs w:val="24"/>
          <w:highlight w:val="yellow"/>
        </w:rPr>
        <w:t xml:space="preserve">; </w:t>
      </w:r>
      <w:r w:rsidR="0025362A" w:rsidRPr="0025362A">
        <w:rPr>
          <w:rFonts w:ascii="Times New Roman" w:hAnsi="Times New Roman" w:cs="Times New Roman"/>
          <w:sz w:val="24"/>
          <w:szCs w:val="24"/>
          <w:highlight w:val="yellow"/>
        </w:rPr>
        <w:t>Zhao</w:t>
      </w:r>
      <w:r w:rsidR="0025362A">
        <w:rPr>
          <w:rFonts w:ascii="Times New Roman" w:hAnsi="Times New Roman" w:cs="Times New Roman"/>
          <w:sz w:val="24"/>
          <w:szCs w:val="24"/>
          <w:highlight w:val="yellow"/>
        </w:rPr>
        <w:t xml:space="preserve"> </w:t>
      </w:r>
      <w:r w:rsidR="0025362A">
        <w:rPr>
          <w:rFonts w:ascii="Times New Roman" w:hAnsi="Times New Roman" w:cs="Times New Roman"/>
          <w:i/>
          <w:sz w:val="24"/>
          <w:szCs w:val="24"/>
          <w:highlight w:val="yellow"/>
        </w:rPr>
        <w:t>et al.</w:t>
      </w:r>
      <w:r w:rsidR="0025362A">
        <w:rPr>
          <w:rFonts w:ascii="Times New Roman" w:hAnsi="Times New Roman" w:cs="Times New Roman"/>
          <w:sz w:val="24"/>
          <w:szCs w:val="24"/>
          <w:highlight w:val="yellow"/>
        </w:rPr>
        <w:t>, 2021</w:t>
      </w:r>
      <w:r w:rsidR="003038B4">
        <w:rPr>
          <w:rFonts w:ascii="Times New Roman" w:hAnsi="Times New Roman" w:cs="Times New Roman"/>
          <w:sz w:val="24"/>
          <w:szCs w:val="24"/>
          <w:highlight w:val="yellow"/>
        </w:rPr>
        <w:t>)</w:t>
      </w:r>
      <w:r w:rsidR="00FB2C30" w:rsidRPr="006B39C7">
        <w:rPr>
          <w:rFonts w:ascii="Times New Roman" w:hAnsi="Times New Roman" w:cs="Times New Roman"/>
          <w:sz w:val="24"/>
          <w:szCs w:val="24"/>
          <w:highlight w:val="yellow"/>
        </w:rPr>
        <w:t xml:space="preserve">. </w:t>
      </w:r>
      <w:r w:rsidR="00FB2C30" w:rsidRPr="006B39C7">
        <w:rPr>
          <w:rFonts w:ascii="Times New Roman" w:hAnsi="Times New Roman" w:cs="Times New Roman"/>
          <w:sz w:val="24"/>
          <w:szCs w:val="24"/>
        </w:rPr>
        <w:t>Analysis of the data on boron uptake by grain, straw, and total boron uptake revealed that a smaller</w:t>
      </w:r>
      <w:r w:rsidR="00FB2C30" w:rsidRPr="00BF0360">
        <w:rPr>
          <w:rFonts w:ascii="Times New Roman" w:hAnsi="Times New Roman" w:cs="Times New Roman"/>
          <w:sz w:val="24"/>
          <w:szCs w:val="24"/>
        </w:rPr>
        <w:t xml:space="preserve"> proportion of total boron was utilised in grain production, while a greater amount was kept in straw. This implies limited mobility of B in plant. The rise in total B uptake was proportional to an increase in B level. The percent recovery of applied B ranged from 24.88 at T</w:t>
      </w:r>
      <w:r w:rsidR="00FB2C30" w:rsidRPr="00BF0360">
        <w:rPr>
          <w:rFonts w:ascii="Times New Roman" w:hAnsi="Times New Roman" w:cs="Times New Roman"/>
          <w:sz w:val="24"/>
          <w:szCs w:val="24"/>
          <w:vertAlign w:val="subscript"/>
        </w:rPr>
        <w:t>1</w:t>
      </w:r>
      <w:r w:rsidR="00FB2C30" w:rsidRPr="00BF0360">
        <w:rPr>
          <w:rFonts w:ascii="Times New Roman" w:hAnsi="Times New Roman" w:cs="Times New Roman"/>
          <w:sz w:val="24"/>
          <w:szCs w:val="24"/>
        </w:rPr>
        <w:t xml:space="preserve"> (0.5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to 7.22 percent at 2.5 kg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This indicated that maximum recovery occurred at 0.5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and it reduced with increasing levels of B treatment.</w:t>
      </w:r>
    </w:p>
    <w:p w14:paraId="6F548A2E" w14:textId="77777777" w:rsidR="00013C2B" w:rsidRPr="00BF0360" w:rsidRDefault="00013C2B" w:rsidP="00FB2C30">
      <w:pPr>
        <w:jc w:val="both"/>
        <w:rPr>
          <w:rFonts w:ascii="Times New Roman" w:hAnsi="Times New Roman" w:cs="Times New Roman"/>
          <w:sz w:val="24"/>
          <w:szCs w:val="24"/>
        </w:rPr>
      </w:pPr>
      <w:r w:rsidRPr="00BF0360">
        <w:rPr>
          <w:rFonts w:ascii="Times New Roman" w:hAnsi="Times New Roman" w:cs="Times New Roman"/>
          <w:b/>
          <w:sz w:val="24"/>
          <w:szCs w:val="24"/>
          <w:lang w:val="en-US"/>
        </w:rPr>
        <w:t>Influence of boron application on phosphorus and sulphur uptake</w:t>
      </w:r>
    </w:p>
    <w:p w14:paraId="1945F442" w14:textId="3A95B94C" w:rsidR="00FB2C30" w:rsidRPr="00BF0360" w:rsidRDefault="00FB2C30" w:rsidP="00FB2C30">
      <w:pPr>
        <w:jc w:val="both"/>
        <w:rPr>
          <w:rFonts w:ascii="Times New Roman" w:hAnsi="Times New Roman" w:cs="Times New Roman"/>
          <w:sz w:val="24"/>
          <w:szCs w:val="24"/>
        </w:rPr>
      </w:pPr>
      <w:r w:rsidRPr="0025362A">
        <w:rPr>
          <w:rFonts w:ascii="Times New Roman" w:hAnsi="Times New Roman" w:cs="Times New Roman"/>
          <w:sz w:val="24"/>
          <w:szCs w:val="24"/>
          <w:highlight w:val="yellow"/>
        </w:rPr>
        <w:lastRenderedPageBreak/>
        <w:t xml:space="preserve">Boron, phosphorus, and sulphur are anionic nutritional elements, and the application of one may influence the uptake of </w:t>
      </w:r>
      <w:r w:rsidR="0025362A" w:rsidRPr="0025362A">
        <w:rPr>
          <w:rFonts w:ascii="Times New Roman" w:hAnsi="Times New Roman" w:cs="Times New Roman"/>
          <w:sz w:val="24"/>
          <w:szCs w:val="24"/>
          <w:highlight w:val="yellow"/>
        </w:rPr>
        <w:t xml:space="preserve">other elements (Vera-Maldonado </w:t>
      </w:r>
      <w:r w:rsidR="0025362A" w:rsidRPr="0025362A">
        <w:rPr>
          <w:rFonts w:ascii="Times New Roman" w:hAnsi="Times New Roman" w:cs="Times New Roman"/>
          <w:i/>
          <w:sz w:val="24"/>
          <w:szCs w:val="24"/>
          <w:highlight w:val="yellow"/>
        </w:rPr>
        <w:t xml:space="preserve">et al., </w:t>
      </w:r>
      <w:r w:rsidR="0025362A" w:rsidRPr="0025362A">
        <w:rPr>
          <w:rFonts w:ascii="Times New Roman" w:hAnsi="Times New Roman" w:cs="Times New Roman"/>
          <w:sz w:val="24"/>
          <w:szCs w:val="24"/>
          <w:highlight w:val="yellow"/>
        </w:rPr>
        <w:t>2024)</w:t>
      </w:r>
      <w:r w:rsidRPr="0025362A">
        <w:rPr>
          <w:rFonts w:ascii="Times New Roman" w:hAnsi="Times New Roman" w:cs="Times New Roman"/>
          <w:sz w:val="24"/>
          <w:szCs w:val="24"/>
          <w:highlight w:val="yellow"/>
        </w:rPr>
        <w:t>.</w:t>
      </w:r>
      <w:r w:rsidRPr="00BF0360">
        <w:rPr>
          <w:rFonts w:ascii="Times New Roman" w:hAnsi="Times New Roman" w:cs="Times New Roman"/>
          <w:sz w:val="24"/>
          <w:szCs w:val="24"/>
        </w:rPr>
        <w:t xml:space="preserve"> The variable response of wheat to B might influence P and S nutrition; hence the effect of B treatment on the uptake of these nutrients by the wheat crop was taken under study.</w:t>
      </w:r>
    </w:p>
    <w:p w14:paraId="2BB85109" w14:textId="7E9E49FC" w:rsidR="00A0096B" w:rsidRPr="00BF0360" w:rsidRDefault="00A0096B" w:rsidP="00BB0CC1">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Table </w:t>
      </w:r>
      <w:r w:rsidR="00521A31" w:rsidRPr="00BF0360">
        <w:rPr>
          <w:rFonts w:ascii="Times New Roman" w:hAnsi="Times New Roman" w:cs="Times New Roman"/>
          <w:b/>
          <w:sz w:val="24"/>
          <w:szCs w:val="24"/>
          <w:lang w:val="en-US"/>
        </w:rPr>
        <w:t>2</w:t>
      </w:r>
      <w:r w:rsidR="00BA4627">
        <w:rPr>
          <w:rFonts w:ascii="Times New Roman" w:hAnsi="Times New Roman" w:cs="Times New Roman"/>
          <w:b/>
          <w:sz w:val="24"/>
          <w:szCs w:val="24"/>
          <w:lang w:val="en-US"/>
        </w:rPr>
        <w:t>.</w:t>
      </w:r>
      <w:r w:rsidRPr="00BF0360">
        <w:rPr>
          <w:rFonts w:ascii="Times New Roman" w:hAnsi="Times New Roman" w:cs="Times New Roman"/>
          <w:b/>
          <w:sz w:val="24"/>
          <w:szCs w:val="24"/>
          <w:lang w:val="en-US"/>
        </w:rPr>
        <w:t xml:space="preserve"> </w:t>
      </w:r>
      <w:r w:rsidRPr="00BF0360">
        <w:rPr>
          <w:rFonts w:ascii="Times New Roman" w:hAnsi="Times New Roman" w:cs="Times New Roman"/>
          <w:sz w:val="24"/>
          <w:szCs w:val="24"/>
          <w:lang w:val="en-US"/>
        </w:rPr>
        <w:t>Boron uptake by the wheat crop as affected by different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51"/>
        <w:gridCol w:w="1418"/>
        <w:gridCol w:w="1275"/>
        <w:gridCol w:w="1985"/>
        <w:gridCol w:w="1668"/>
      </w:tblGrid>
      <w:tr w:rsidR="00BF0360" w:rsidRPr="00BF0360" w14:paraId="7D1B5403" w14:textId="77777777" w:rsidTr="005B3AA2">
        <w:trPr>
          <w:trHeight w:val="881"/>
        </w:trPr>
        <w:tc>
          <w:tcPr>
            <w:tcW w:w="727" w:type="pct"/>
            <w:tcBorders>
              <w:left w:val="nil"/>
              <w:bottom w:val="single" w:sz="4" w:space="0" w:color="auto"/>
            </w:tcBorders>
            <w:shd w:val="clear" w:color="auto" w:fill="F2F2F2" w:themeFill="background1" w:themeFillShade="F2"/>
            <w:vAlign w:val="center"/>
          </w:tcPr>
          <w:p w14:paraId="59097D91"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Treatment</w:t>
            </w:r>
          </w:p>
        </w:tc>
        <w:tc>
          <w:tcPr>
            <w:tcW w:w="750" w:type="pct"/>
            <w:tcBorders>
              <w:bottom w:val="single" w:sz="4" w:space="0" w:color="auto"/>
            </w:tcBorders>
            <w:shd w:val="clear" w:color="auto" w:fill="F2F2F2" w:themeFill="background1" w:themeFillShade="F2"/>
          </w:tcPr>
          <w:p w14:paraId="5C22FF76" w14:textId="77777777" w:rsidR="00274C16"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uptake by grain</w:t>
            </w:r>
          </w:p>
          <w:p w14:paraId="45AF3F43"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787" w:type="pct"/>
            <w:tcBorders>
              <w:bottom w:val="single" w:sz="4" w:space="0" w:color="auto"/>
            </w:tcBorders>
            <w:shd w:val="clear" w:color="auto" w:fill="F2F2F2" w:themeFill="background1" w:themeFillShade="F2"/>
          </w:tcPr>
          <w:p w14:paraId="6F1ACEAB"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uptake by straw</w:t>
            </w:r>
          </w:p>
          <w:p w14:paraId="72777473"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708" w:type="pct"/>
            <w:tcBorders>
              <w:bottom w:val="single" w:sz="4" w:space="0" w:color="auto"/>
            </w:tcBorders>
            <w:shd w:val="clear" w:color="auto" w:fill="F2F2F2" w:themeFill="background1" w:themeFillShade="F2"/>
          </w:tcPr>
          <w:p w14:paraId="6BBB4334" w14:textId="77777777" w:rsidR="005B3AA2"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Total B uptake</w:t>
            </w:r>
          </w:p>
          <w:p w14:paraId="0A0E2398"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1102" w:type="pct"/>
            <w:tcBorders>
              <w:bottom w:val="single" w:sz="4" w:space="0" w:color="auto"/>
            </w:tcBorders>
            <w:shd w:val="clear" w:color="auto" w:fill="F2F2F2" w:themeFill="background1" w:themeFillShade="F2"/>
          </w:tcPr>
          <w:p w14:paraId="5B7841E1"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Percent increase over control at B level (kg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926" w:type="pct"/>
            <w:tcBorders>
              <w:bottom w:val="single" w:sz="4" w:space="0" w:color="auto"/>
              <w:right w:val="nil"/>
            </w:tcBorders>
            <w:shd w:val="clear" w:color="auto" w:fill="F2F2F2" w:themeFill="background1" w:themeFillShade="F2"/>
          </w:tcPr>
          <w:p w14:paraId="2F842F67" w14:textId="77777777" w:rsidR="00A0096B" w:rsidRPr="00BF0360" w:rsidRDefault="005B3AA2"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Per</w:t>
            </w:r>
            <w:r w:rsidR="00A0096B" w:rsidRPr="00BF0360">
              <w:rPr>
                <w:rFonts w:ascii="Times New Roman" w:hAnsi="Times New Roman" w:cs="Times New Roman"/>
                <w:b/>
                <w:bCs/>
                <w:sz w:val="24"/>
                <w:szCs w:val="24"/>
                <w:lang w:val="en-US"/>
              </w:rPr>
              <w:t>cent recovery at B level (kg ha</w:t>
            </w:r>
            <w:r w:rsidR="00A0096B" w:rsidRPr="00BF0360">
              <w:rPr>
                <w:rFonts w:ascii="Times New Roman" w:hAnsi="Times New Roman" w:cs="Times New Roman"/>
                <w:b/>
                <w:bCs/>
                <w:sz w:val="24"/>
                <w:szCs w:val="24"/>
                <w:vertAlign w:val="superscript"/>
                <w:lang w:val="en-US"/>
              </w:rPr>
              <w:t>-1</w:t>
            </w:r>
            <w:r w:rsidR="00A0096B" w:rsidRPr="00BF0360">
              <w:rPr>
                <w:rFonts w:ascii="Times New Roman" w:hAnsi="Times New Roman" w:cs="Times New Roman"/>
                <w:b/>
                <w:bCs/>
                <w:sz w:val="24"/>
                <w:szCs w:val="24"/>
                <w:lang w:val="en-US"/>
              </w:rPr>
              <w:t>)</w:t>
            </w:r>
          </w:p>
        </w:tc>
      </w:tr>
      <w:tr w:rsidR="00BF0360" w:rsidRPr="00BF0360" w14:paraId="35BA3A49" w14:textId="77777777" w:rsidTr="00A0096B">
        <w:trPr>
          <w:trHeight w:val="439"/>
        </w:trPr>
        <w:tc>
          <w:tcPr>
            <w:tcW w:w="727" w:type="pct"/>
            <w:tcBorders>
              <w:left w:val="nil"/>
              <w:bottom w:val="nil"/>
              <w:right w:val="nil"/>
            </w:tcBorders>
            <w:vAlign w:val="center"/>
          </w:tcPr>
          <w:p w14:paraId="1C72EFE0"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0</w:t>
            </w:r>
          </w:p>
        </w:tc>
        <w:tc>
          <w:tcPr>
            <w:tcW w:w="750" w:type="pct"/>
            <w:tcBorders>
              <w:left w:val="nil"/>
              <w:bottom w:val="nil"/>
              <w:right w:val="nil"/>
            </w:tcBorders>
            <w:vAlign w:val="center"/>
          </w:tcPr>
          <w:p w14:paraId="006936B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19.30</w:t>
            </w:r>
          </w:p>
        </w:tc>
        <w:tc>
          <w:tcPr>
            <w:tcW w:w="787" w:type="pct"/>
            <w:tcBorders>
              <w:left w:val="nil"/>
              <w:bottom w:val="nil"/>
              <w:right w:val="nil"/>
            </w:tcBorders>
            <w:vAlign w:val="center"/>
          </w:tcPr>
          <w:p w14:paraId="5F65229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34.83</w:t>
            </w:r>
          </w:p>
        </w:tc>
        <w:tc>
          <w:tcPr>
            <w:tcW w:w="708" w:type="pct"/>
            <w:tcBorders>
              <w:left w:val="nil"/>
              <w:bottom w:val="nil"/>
              <w:right w:val="nil"/>
            </w:tcBorders>
            <w:vAlign w:val="center"/>
          </w:tcPr>
          <w:p w14:paraId="45ECA3F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54.13</w:t>
            </w:r>
          </w:p>
        </w:tc>
        <w:tc>
          <w:tcPr>
            <w:tcW w:w="1102" w:type="pct"/>
            <w:tcBorders>
              <w:left w:val="nil"/>
              <w:bottom w:val="nil"/>
              <w:right w:val="nil"/>
            </w:tcBorders>
            <w:vAlign w:val="center"/>
          </w:tcPr>
          <w:p w14:paraId="225C24C9"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left w:val="nil"/>
              <w:bottom w:val="nil"/>
              <w:right w:val="nil"/>
            </w:tcBorders>
            <w:vAlign w:val="center"/>
          </w:tcPr>
          <w:p w14:paraId="43FC00DF"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r w:rsidR="00BF0360" w:rsidRPr="00BF0360" w14:paraId="40212B56" w14:textId="77777777" w:rsidTr="00A0096B">
        <w:trPr>
          <w:trHeight w:val="453"/>
        </w:trPr>
        <w:tc>
          <w:tcPr>
            <w:tcW w:w="727" w:type="pct"/>
            <w:tcBorders>
              <w:top w:val="nil"/>
              <w:left w:val="nil"/>
              <w:bottom w:val="nil"/>
              <w:right w:val="nil"/>
            </w:tcBorders>
            <w:vAlign w:val="center"/>
          </w:tcPr>
          <w:p w14:paraId="445AE31A"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1</w:t>
            </w:r>
          </w:p>
        </w:tc>
        <w:tc>
          <w:tcPr>
            <w:tcW w:w="750" w:type="pct"/>
            <w:tcBorders>
              <w:top w:val="nil"/>
              <w:left w:val="nil"/>
              <w:bottom w:val="nil"/>
              <w:right w:val="nil"/>
            </w:tcBorders>
            <w:vAlign w:val="center"/>
          </w:tcPr>
          <w:p w14:paraId="6DC73B7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70.17</w:t>
            </w:r>
          </w:p>
        </w:tc>
        <w:tc>
          <w:tcPr>
            <w:tcW w:w="787" w:type="pct"/>
            <w:tcBorders>
              <w:top w:val="nil"/>
              <w:left w:val="nil"/>
              <w:bottom w:val="nil"/>
              <w:right w:val="nil"/>
            </w:tcBorders>
            <w:vAlign w:val="center"/>
          </w:tcPr>
          <w:p w14:paraId="0F40B74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108.37</w:t>
            </w:r>
          </w:p>
        </w:tc>
        <w:tc>
          <w:tcPr>
            <w:tcW w:w="708" w:type="pct"/>
            <w:tcBorders>
              <w:top w:val="nil"/>
              <w:left w:val="nil"/>
              <w:bottom w:val="nil"/>
              <w:right w:val="nil"/>
            </w:tcBorders>
            <w:vAlign w:val="center"/>
          </w:tcPr>
          <w:p w14:paraId="40C39BB9"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178.53</w:t>
            </w:r>
          </w:p>
        </w:tc>
        <w:tc>
          <w:tcPr>
            <w:tcW w:w="1102" w:type="pct"/>
            <w:tcBorders>
              <w:top w:val="nil"/>
              <w:left w:val="nil"/>
              <w:bottom w:val="nil"/>
              <w:right w:val="nil"/>
            </w:tcBorders>
            <w:vAlign w:val="center"/>
          </w:tcPr>
          <w:p w14:paraId="2B39D0E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229.82</w:t>
            </w:r>
          </w:p>
        </w:tc>
        <w:tc>
          <w:tcPr>
            <w:tcW w:w="926" w:type="pct"/>
            <w:tcBorders>
              <w:top w:val="nil"/>
              <w:left w:val="nil"/>
              <w:bottom w:val="nil"/>
              <w:right w:val="nil"/>
            </w:tcBorders>
            <w:vAlign w:val="center"/>
          </w:tcPr>
          <w:p w14:paraId="640F75A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24.88</w:t>
            </w:r>
          </w:p>
        </w:tc>
      </w:tr>
      <w:tr w:rsidR="00BF0360" w:rsidRPr="00BF0360" w14:paraId="7F7EEBAA" w14:textId="77777777" w:rsidTr="00A0096B">
        <w:trPr>
          <w:trHeight w:val="453"/>
        </w:trPr>
        <w:tc>
          <w:tcPr>
            <w:tcW w:w="727" w:type="pct"/>
            <w:tcBorders>
              <w:top w:val="nil"/>
              <w:left w:val="nil"/>
              <w:bottom w:val="nil"/>
              <w:right w:val="nil"/>
            </w:tcBorders>
            <w:vAlign w:val="center"/>
          </w:tcPr>
          <w:p w14:paraId="53884766"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2</w:t>
            </w:r>
          </w:p>
        </w:tc>
        <w:tc>
          <w:tcPr>
            <w:tcW w:w="750" w:type="pct"/>
            <w:tcBorders>
              <w:top w:val="nil"/>
              <w:left w:val="nil"/>
              <w:bottom w:val="nil"/>
              <w:right w:val="nil"/>
            </w:tcBorders>
            <w:vAlign w:val="center"/>
          </w:tcPr>
          <w:p w14:paraId="2E2806FF"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77.30</w:t>
            </w:r>
          </w:p>
        </w:tc>
        <w:tc>
          <w:tcPr>
            <w:tcW w:w="787" w:type="pct"/>
            <w:tcBorders>
              <w:top w:val="nil"/>
              <w:left w:val="nil"/>
              <w:bottom w:val="nil"/>
              <w:right w:val="nil"/>
            </w:tcBorders>
            <w:vAlign w:val="center"/>
          </w:tcPr>
          <w:p w14:paraId="50A1308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118.03</w:t>
            </w:r>
          </w:p>
        </w:tc>
        <w:tc>
          <w:tcPr>
            <w:tcW w:w="708" w:type="pct"/>
            <w:tcBorders>
              <w:top w:val="nil"/>
              <w:left w:val="nil"/>
              <w:bottom w:val="nil"/>
              <w:right w:val="nil"/>
            </w:tcBorders>
            <w:vAlign w:val="center"/>
          </w:tcPr>
          <w:p w14:paraId="52CFF80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195.33</w:t>
            </w:r>
          </w:p>
        </w:tc>
        <w:tc>
          <w:tcPr>
            <w:tcW w:w="1102" w:type="pct"/>
            <w:tcBorders>
              <w:top w:val="nil"/>
              <w:left w:val="nil"/>
              <w:bottom w:val="nil"/>
              <w:right w:val="nil"/>
            </w:tcBorders>
            <w:vAlign w:val="center"/>
          </w:tcPr>
          <w:p w14:paraId="0F6BBD01"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261.22</w:t>
            </w:r>
          </w:p>
        </w:tc>
        <w:tc>
          <w:tcPr>
            <w:tcW w:w="926" w:type="pct"/>
            <w:tcBorders>
              <w:top w:val="nil"/>
              <w:left w:val="nil"/>
              <w:bottom w:val="nil"/>
              <w:right w:val="nil"/>
            </w:tcBorders>
            <w:vAlign w:val="center"/>
          </w:tcPr>
          <w:p w14:paraId="333E7E4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14.12</w:t>
            </w:r>
          </w:p>
        </w:tc>
      </w:tr>
      <w:tr w:rsidR="00BF0360" w:rsidRPr="00BF0360" w14:paraId="0CA5FDD0" w14:textId="77777777" w:rsidTr="00A0096B">
        <w:trPr>
          <w:trHeight w:val="453"/>
        </w:trPr>
        <w:tc>
          <w:tcPr>
            <w:tcW w:w="727" w:type="pct"/>
            <w:tcBorders>
              <w:top w:val="nil"/>
              <w:left w:val="nil"/>
              <w:bottom w:val="nil"/>
              <w:right w:val="nil"/>
            </w:tcBorders>
            <w:vAlign w:val="center"/>
          </w:tcPr>
          <w:p w14:paraId="4323C75A"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3</w:t>
            </w:r>
          </w:p>
        </w:tc>
        <w:tc>
          <w:tcPr>
            <w:tcW w:w="750" w:type="pct"/>
            <w:tcBorders>
              <w:top w:val="nil"/>
              <w:left w:val="nil"/>
              <w:bottom w:val="nil"/>
              <w:right w:val="nil"/>
            </w:tcBorders>
            <w:vAlign w:val="center"/>
          </w:tcPr>
          <w:p w14:paraId="4EA3A56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83.27</w:t>
            </w:r>
          </w:p>
        </w:tc>
        <w:tc>
          <w:tcPr>
            <w:tcW w:w="787" w:type="pct"/>
            <w:tcBorders>
              <w:top w:val="nil"/>
              <w:left w:val="nil"/>
              <w:bottom w:val="nil"/>
              <w:right w:val="nil"/>
            </w:tcBorders>
            <w:vAlign w:val="center"/>
          </w:tcPr>
          <w:p w14:paraId="770E4FB7"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127.53</w:t>
            </w:r>
          </w:p>
        </w:tc>
        <w:tc>
          <w:tcPr>
            <w:tcW w:w="708" w:type="pct"/>
            <w:tcBorders>
              <w:top w:val="nil"/>
              <w:left w:val="nil"/>
              <w:bottom w:val="nil"/>
              <w:right w:val="nil"/>
            </w:tcBorders>
            <w:vAlign w:val="center"/>
          </w:tcPr>
          <w:p w14:paraId="7B1508C0"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210.80</w:t>
            </w:r>
          </w:p>
        </w:tc>
        <w:tc>
          <w:tcPr>
            <w:tcW w:w="1102" w:type="pct"/>
            <w:tcBorders>
              <w:top w:val="nil"/>
              <w:left w:val="nil"/>
              <w:bottom w:val="nil"/>
              <w:right w:val="nil"/>
            </w:tcBorders>
            <w:vAlign w:val="center"/>
          </w:tcPr>
          <w:p w14:paraId="70FDB5E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289.94</w:t>
            </w:r>
          </w:p>
        </w:tc>
        <w:tc>
          <w:tcPr>
            <w:tcW w:w="926" w:type="pct"/>
            <w:tcBorders>
              <w:top w:val="nil"/>
              <w:left w:val="nil"/>
              <w:bottom w:val="nil"/>
              <w:right w:val="nil"/>
            </w:tcBorders>
            <w:vAlign w:val="center"/>
          </w:tcPr>
          <w:p w14:paraId="5037EDA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10.44</w:t>
            </w:r>
          </w:p>
        </w:tc>
      </w:tr>
      <w:tr w:rsidR="00BF0360" w:rsidRPr="00BF0360" w14:paraId="6876CBD2" w14:textId="77777777" w:rsidTr="00A0096B">
        <w:trPr>
          <w:trHeight w:val="453"/>
        </w:trPr>
        <w:tc>
          <w:tcPr>
            <w:tcW w:w="727" w:type="pct"/>
            <w:tcBorders>
              <w:top w:val="nil"/>
              <w:left w:val="nil"/>
              <w:bottom w:val="nil"/>
              <w:right w:val="nil"/>
            </w:tcBorders>
            <w:vAlign w:val="center"/>
          </w:tcPr>
          <w:p w14:paraId="5706C09F"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4</w:t>
            </w:r>
          </w:p>
        </w:tc>
        <w:tc>
          <w:tcPr>
            <w:tcW w:w="750" w:type="pct"/>
            <w:tcBorders>
              <w:top w:val="nil"/>
              <w:left w:val="nil"/>
              <w:bottom w:val="nil"/>
              <w:right w:val="nil"/>
            </w:tcBorders>
            <w:vAlign w:val="center"/>
          </w:tcPr>
          <w:p w14:paraId="3918661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95.50</w:t>
            </w:r>
          </w:p>
        </w:tc>
        <w:tc>
          <w:tcPr>
            <w:tcW w:w="787" w:type="pct"/>
            <w:tcBorders>
              <w:top w:val="nil"/>
              <w:left w:val="nil"/>
              <w:bottom w:val="nil"/>
              <w:right w:val="nil"/>
            </w:tcBorders>
            <w:vAlign w:val="center"/>
          </w:tcPr>
          <w:p w14:paraId="78120B8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145.27</w:t>
            </w:r>
          </w:p>
        </w:tc>
        <w:tc>
          <w:tcPr>
            <w:tcW w:w="708" w:type="pct"/>
            <w:tcBorders>
              <w:top w:val="nil"/>
              <w:left w:val="nil"/>
              <w:bottom w:val="nil"/>
              <w:right w:val="nil"/>
            </w:tcBorders>
            <w:vAlign w:val="center"/>
          </w:tcPr>
          <w:p w14:paraId="6751EFB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240.77</w:t>
            </w:r>
          </w:p>
        </w:tc>
        <w:tc>
          <w:tcPr>
            <w:tcW w:w="1102" w:type="pct"/>
            <w:tcBorders>
              <w:top w:val="nil"/>
              <w:left w:val="nil"/>
              <w:bottom w:val="nil"/>
              <w:right w:val="nil"/>
            </w:tcBorders>
            <w:vAlign w:val="center"/>
          </w:tcPr>
          <w:p w14:paraId="4D665B6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344.80</w:t>
            </w:r>
          </w:p>
        </w:tc>
        <w:tc>
          <w:tcPr>
            <w:tcW w:w="926" w:type="pct"/>
            <w:tcBorders>
              <w:top w:val="nil"/>
              <w:left w:val="nil"/>
              <w:bottom w:val="nil"/>
              <w:right w:val="nil"/>
            </w:tcBorders>
            <w:vAlign w:val="center"/>
          </w:tcPr>
          <w:p w14:paraId="6ACD7E6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9.33</w:t>
            </w:r>
          </w:p>
        </w:tc>
      </w:tr>
      <w:tr w:rsidR="00BF0360" w:rsidRPr="00BF0360" w14:paraId="74629D2E" w14:textId="77777777" w:rsidTr="00A0096B">
        <w:trPr>
          <w:trHeight w:val="453"/>
        </w:trPr>
        <w:tc>
          <w:tcPr>
            <w:tcW w:w="727" w:type="pct"/>
            <w:tcBorders>
              <w:top w:val="nil"/>
              <w:left w:val="nil"/>
              <w:bottom w:val="nil"/>
              <w:right w:val="nil"/>
            </w:tcBorders>
            <w:vAlign w:val="center"/>
          </w:tcPr>
          <w:p w14:paraId="30761D1E"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5</w:t>
            </w:r>
          </w:p>
        </w:tc>
        <w:tc>
          <w:tcPr>
            <w:tcW w:w="750" w:type="pct"/>
            <w:tcBorders>
              <w:top w:val="nil"/>
              <w:left w:val="nil"/>
              <w:bottom w:val="nil"/>
              <w:right w:val="nil"/>
            </w:tcBorders>
            <w:vAlign w:val="center"/>
          </w:tcPr>
          <w:p w14:paraId="3E47DBF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94.10</w:t>
            </w:r>
          </w:p>
        </w:tc>
        <w:tc>
          <w:tcPr>
            <w:tcW w:w="787" w:type="pct"/>
            <w:tcBorders>
              <w:top w:val="nil"/>
              <w:left w:val="nil"/>
              <w:bottom w:val="nil"/>
              <w:right w:val="nil"/>
            </w:tcBorders>
            <w:vAlign w:val="center"/>
          </w:tcPr>
          <w:p w14:paraId="65CE8B4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104.67</w:t>
            </w:r>
          </w:p>
        </w:tc>
        <w:tc>
          <w:tcPr>
            <w:tcW w:w="708" w:type="pct"/>
            <w:tcBorders>
              <w:top w:val="nil"/>
              <w:left w:val="nil"/>
              <w:bottom w:val="nil"/>
              <w:right w:val="nil"/>
            </w:tcBorders>
            <w:vAlign w:val="center"/>
          </w:tcPr>
          <w:p w14:paraId="3FC279B0"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234.77</w:t>
            </w:r>
          </w:p>
        </w:tc>
        <w:tc>
          <w:tcPr>
            <w:tcW w:w="1102" w:type="pct"/>
            <w:tcBorders>
              <w:top w:val="nil"/>
              <w:left w:val="nil"/>
              <w:bottom w:val="nil"/>
              <w:right w:val="nil"/>
            </w:tcBorders>
            <w:vAlign w:val="center"/>
          </w:tcPr>
          <w:p w14:paraId="22C32CA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333.72</w:t>
            </w:r>
          </w:p>
        </w:tc>
        <w:tc>
          <w:tcPr>
            <w:tcW w:w="926" w:type="pct"/>
            <w:tcBorders>
              <w:top w:val="nil"/>
              <w:left w:val="nil"/>
              <w:bottom w:val="nil"/>
              <w:right w:val="nil"/>
            </w:tcBorders>
            <w:vAlign w:val="center"/>
          </w:tcPr>
          <w:p w14:paraId="3495DD96"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7.22</w:t>
            </w:r>
          </w:p>
        </w:tc>
      </w:tr>
      <w:tr w:rsidR="00BF0360" w:rsidRPr="00BF0360" w14:paraId="05F4F69C" w14:textId="77777777" w:rsidTr="00A0096B">
        <w:trPr>
          <w:trHeight w:val="453"/>
        </w:trPr>
        <w:tc>
          <w:tcPr>
            <w:tcW w:w="727" w:type="pct"/>
            <w:tcBorders>
              <w:top w:val="nil"/>
              <w:left w:val="nil"/>
              <w:bottom w:val="nil"/>
              <w:right w:val="nil"/>
            </w:tcBorders>
            <w:vAlign w:val="center"/>
          </w:tcPr>
          <w:p w14:paraId="0634D7D0" w14:textId="77777777" w:rsidR="00A0096B" w:rsidRPr="00BF0360" w:rsidRDefault="00521A31" w:rsidP="00521A31">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S.Em</w:t>
            </w:r>
            <w:r w:rsidR="00A0096B" w:rsidRPr="00BF0360">
              <w:rPr>
                <w:rFonts w:ascii="Times New Roman" w:hAnsi="Times New Roman" w:cs="Times New Roman"/>
                <w:b/>
                <w:sz w:val="24"/>
                <w:szCs w:val="24"/>
                <w:lang w:val="en-US"/>
              </w:rPr>
              <w:object w:dxaOrig="220" w:dyaOrig="240" w14:anchorId="13546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2.15pt" o:ole="">
                  <v:imagedata r:id="rId7" o:title=""/>
                </v:shape>
                <o:OLEObject Type="Embed" ProgID="Equation.3" ShapeID="_x0000_i1025" DrawAspect="Content" ObjectID="_1800691270" r:id="rId8"/>
              </w:object>
            </w:r>
          </w:p>
        </w:tc>
        <w:tc>
          <w:tcPr>
            <w:tcW w:w="750" w:type="pct"/>
            <w:tcBorders>
              <w:top w:val="nil"/>
              <w:left w:val="nil"/>
              <w:bottom w:val="nil"/>
              <w:right w:val="nil"/>
            </w:tcBorders>
            <w:vAlign w:val="center"/>
          </w:tcPr>
          <w:p w14:paraId="344801D5"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2.17</w:t>
            </w:r>
          </w:p>
        </w:tc>
        <w:tc>
          <w:tcPr>
            <w:tcW w:w="787" w:type="pct"/>
            <w:tcBorders>
              <w:top w:val="nil"/>
              <w:left w:val="nil"/>
              <w:bottom w:val="nil"/>
              <w:right w:val="nil"/>
            </w:tcBorders>
            <w:vAlign w:val="center"/>
          </w:tcPr>
          <w:p w14:paraId="497B15DB"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2.53</w:t>
            </w:r>
          </w:p>
        </w:tc>
        <w:tc>
          <w:tcPr>
            <w:tcW w:w="708" w:type="pct"/>
            <w:tcBorders>
              <w:top w:val="nil"/>
              <w:left w:val="nil"/>
              <w:bottom w:val="nil"/>
              <w:right w:val="nil"/>
            </w:tcBorders>
            <w:vAlign w:val="center"/>
          </w:tcPr>
          <w:p w14:paraId="1202455C"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4.05</w:t>
            </w:r>
          </w:p>
        </w:tc>
        <w:tc>
          <w:tcPr>
            <w:tcW w:w="1102" w:type="pct"/>
            <w:tcBorders>
              <w:top w:val="nil"/>
              <w:left w:val="nil"/>
              <w:bottom w:val="nil"/>
              <w:right w:val="nil"/>
            </w:tcBorders>
            <w:vAlign w:val="center"/>
          </w:tcPr>
          <w:p w14:paraId="7C2B82E1"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top w:val="nil"/>
              <w:left w:val="nil"/>
              <w:bottom w:val="nil"/>
              <w:right w:val="nil"/>
            </w:tcBorders>
            <w:vAlign w:val="center"/>
          </w:tcPr>
          <w:p w14:paraId="2C48F53D"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r w:rsidR="00BF0360" w:rsidRPr="00BF0360" w14:paraId="1ADE7119" w14:textId="77777777" w:rsidTr="00A0096B">
        <w:trPr>
          <w:trHeight w:val="453"/>
        </w:trPr>
        <w:tc>
          <w:tcPr>
            <w:tcW w:w="727" w:type="pct"/>
            <w:tcBorders>
              <w:top w:val="nil"/>
              <w:left w:val="nil"/>
              <w:right w:val="nil"/>
            </w:tcBorders>
            <w:vAlign w:val="center"/>
          </w:tcPr>
          <w:p w14:paraId="21A58329"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C</w:t>
            </w:r>
            <w:r w:rsidR="00521A31" w:rsidRPr="00BF0360">
              <w:rPr>
                <w:rFonts w:ascii="Times New Roman" w:hAnsi="Times New Roman" w:cs="Times New Roman"/>
                <w:b/>
                <w:sz w:val="24"/>
                <w:szCs w:val="24"/>
                <w:lang w:val="en-US"/>
              </w:rPr>
              <w:t>.</w:t>
            </w:r>
            <w:r w:rsidRPr="00BF0360">
              <w:rPr>
                <w:rFonts w:ascii="Times New Roman" w:hAnsi="Times New Roman" w:cs="Times New Roman"/>
                <w:b/>
                <w:sz w:val="24"/>
                <w:szCs w:val="24"/>
                <w:lang w:val="en-US"/>
              </w:rPr>
              <w:t>D</w:t>
            </w:r>
            <w:r w:rsidR="00521A31" w:rsidRPr="00BF0360">
              <w:rPr>
                <w:rFonts w:ascii="Times New Roman" w:hAnsi="Times New Roman" w:cs="Times New Roman"/>
                <w:b/>
                <w:sz w:val="24"/>
                <w:szCs w:val="24"/>
                <w:lang w:val="en-US"/>
              </w:rPr>
              <w:t>.</w:t>
            </w:r>
          </w:p>
        </w:tc>
        <w:tc>
          <w:tcPr>
            <w:tcW w:w="750" w:type="pct"/>
            <w:tcBorders>
              <w:top w:val="nil"/>
              <w:left w:val="nil"/>
              <w:right w:val="nil"/>
            </w:tcBorders>
            <w:vAlign w:val="center"/>
          </w:tcPr>
          <w:p w14:paraId="65A5701E"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6.91</w:t>
            </w:r>
          </w:p>
        </w:tc>
        <w:tc>
          <w:tcPr>
            <w:tcW w:w="787" w:type="pct"/>
            <w:tcBorders>
              <w:top w:val="nil"/>
              <w:left w:val="nil"/>
              <w:right w:val="nil"/>
            </w:tcBorders>
            <w:vAlign w:val="center"/>
          </w:tcPr>
          <w:p w14:paraId="16CB1FE5"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8.09</w:t>
            </w:r>
          </w:p>
        </w:tc>
        <w:tc>
          <w:tcPr>
            <w:tcW w:w="708" w:type="pct"/>
            <w:tcBorders>
              <w:top w:val="nil"/>
              <w:left w:val="nil"/>
              <w:right w:val="nil"/>
            </w:tcBorders>
            <w:vAlign w:val="center"/>
          </w:tcPr>
          <w:p w14:paraId="09934460"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12.93</w:t>
            </w:r>
          </w:p>
        </w:tc>
        <w:tc>
          <w:tcPr>
            <w:tcW w:w="1102" w:type="pct"/>
            <w:tcBorders>
              <w:top w:val="nil"/>
              <w:left w:val="nil"/>
              <w:right w:val="nil"/>
            </w:tcBorders>
            <w:vAlign w:val="center"/>
          </w:tcPr>
          <w:p w14:paraId="71B2C27B"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top w:val="nil"/>
              <w:left w:val="nil"/>
              <w:right w:val="nil"/>
            </w:tcBorders>
            <w:vAlign w:val="center"/>
          </w:tcPr>
          <w:p w14:paraId="71DBDDF2"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bl>
    <w:p w14:paraId="62A57A03" w14:textId="77777777" w:rsidR="00A0096B" w:rsidRPr="001C099A" w:rsidRDefault="00274C16" w:rsidP="00BB0CC1">
      <w:pPr>
        <w:spacing w:after="0"/>
        <w:jc w:val="both"/>
        <w:rPr>
          <w:rFonts w:ascii="Times New Roman" w:hAnsi="Times New Roman" w:cs="Times New Roman"/>
          <w:b/>
          <w:sz w:val="24"/>
          <w:szCs w:val="24"/>
          <w:lang w:val="it-IT"/>
        </w:rPr>
      </w:pPr>
      <w:r w:rsidRPr="001C099A">
        <w:rPr>
          <w:rFonts w:ascii="Times New Roman" w:hAnsi="Times New Roman" w:cs="Times New Roman"/>
          <w:b/>
          <w:sz w:val="24"/>
          <w:szCs w:val="24"/>
          <w:lang w:val="it-IT"/>
        </w:rPr>
        <w:t xml:space="preserve">Note: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0</w:t>
      </w:r>
      <w:r w:rsidRPr="001C099A">
        <w:rPr>
          <w:rFonts w:ascii="Times New Roman" w:hAnsi="Times New Roman" w:cs="Times New Roman"/>
          <w:sz w:val="24"/>
          <w:szCs w:val="24"/>
          <w:lang w:val="it-IT"/>
        </w:rPr>
        <w:t>= Control (no input), T</w:t>
      </w:r>
      <w:r w:rsidRPr="001C099A">
        <w:rPr>
          <w:rFonts w:ascii="Times New Roman" w:hAnsi="Times New Roman" w:cs="Times New Roman"/>
          <w:sz w:val="24"/>
          <w:szCs w:val="24"/>
          <w:vertAlign w:val="subscript"/>
          <w:lang w:val="it-IT"/>
        </w:rPr>
        <w:t>1</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0.5 kg"/>
        </w:smartTagPr>
        <w:r w:rsidRPr="001C099A">
          <w:rPr>
            <w:rFonts w:ascii="Times New Roman" w:hAnsi="Times New Roman" w:cs="Times New Roman"/>
            <w:sz w:val="24"/>
            <w:szCs w:val="24"/>
            <w:lang w:val="it-IT"/>
          </w:rPr>
          <w:t>0.5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2</w:t>
      </w:r>
      <w:r w:rsidRPr="001C099A">
        <w:rPr>
          <w:rFonts w:ascii="Times New Roman" w:hAnsi="Times New Roman" w:cs="Times New Roman"/>
          <w:sz w:val="24"/>
          <w:szCs w:val="24"/>
          <w:lang w:val="it-IT"/>
        </w:rPr>
        <w:t xml:space="preserve">= B@ </w:t>
      </w:r>
      <w:smartTag w:uri="urn:schemas-microsoft-com:office:smarttags" w:element="metricconverter">
        <w:smartTagPr>
          <w:attr w:name="ProductID" w:val="1.0 kg"/>
        </w:smartTagPr>
        <w:r w:rsidRPr="001C099A">
          <w:rPr>
            <w:rFonts w:ascii="Times New Roman" w:hAnsi="Times New Roman" w:cs="Times New Roman"/>
            <w:sz w:val="24"/>
            <w:szCs w:val="24"/>
            <w:lang w:val="it-IT"/>
          </w:rPr>
          <w:t>1.0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3</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1.5 kg"/>
        </w:smartTagPr>
        <w:r w:rsidRPr="001C099A">
          <w:rPr>
            <w:rFonts w:ascii="Times New Roman" w:hAnsi="Times New Roman" w:cs="Times New Roman"/>
            <w:sz w:val="24"/>
            <w:szCs w:val="24"/>
            <w:lang w:val="it-IT"/>
          </w:rPr>
          <w:t>1.5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T</w:t>
      </w:r>
      <w:r w:rsidRPr="001C099A">
        <w:rPr>
          <w:rFonts w:ascii="Times New Roman" w:hAnsi="Times New Roman" w:cs="Times New Roman"/>
          <w:sz w:val="24"/>
          <w:szCs w:val="24"/>
          <w:vertAlign w:val="subscript"/>
          <w:lang w:val="it-IT"/>
        </w:rPr>
        <w:t>4</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2.0 kg"/>
        </w:smartTagPr>
        <w:r w:rsidRPr="001C099A">
          <w:rPr>
            <w:rFonts w:ascii="Times New Roman" w:hAnsi="Times New Roman" w:cs="Times New Roman"/>
            <w:sz w:val="24"/>
            <w:szCs w:val="24"/>
            <w:lang w:val="it-IT"/>
          </w:rPr>
          <w:t>2.0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xml:space="preserve">, </w:t>
      </w:r>
      <w:r w:rsidRPr="00BF0360">
        <w:rPr>
          <w:rFonts w:ascii="Times New Roman" w:hAnsi="Times New Roman" w:cs="Times New Roman"/>
          <w:sz w:val="24"/>
          <w:szCs w:val="24"/>
          <w:lang w:val="de-DE"/>
        </w:rPr>
        <w:t>T</w:t>
      </w:r>
      <w:r w:rsidRPr="00BF0360">
        <w:rPr>
          <w:rFonts w:ascii="Times New Roman" w:hAnsi="Times New Roman" w:cs="Times New Roman"/>
          <w:sz w:val="24"/>
          <w:szCs w:val="24"/>
          <w:vertAlign w:val="subscript"/>
          <w:lang w:val="de-DE"/>
        </w:rPr>
        <w:t>5</w:t>
      </w:r>
      <w:r w:rsidRPr="00BF0360">
        <w:rPr>
          <w:rFonts w:ascii="Times New Roman" w:hAnsi="Times New Roman" w:cs="Times New Roman"/>
          <w:sz w:val="24"/>
          <w:szCs w:val="24"/>
          <w:lang w:val="de-DE"/>
        </w:rPr>
        <w:t xml:space="preserve">= B @ </w:t>
      </w:r>
      <w:smartTag w:uri="urn:schemas-microsoft-com:office:smarttags" w:element="metricconverter">
        <w:smartTagPr>
          <w:attr w:name="ProductID" w:val="2.5 kg"/>
        </w:smartTagPr>
        <w:r w:rsidRPr="00BF0360">
          <w:rPr>
            <w:rFonts w:ascii="Times New Roman" w:hAnsi="Times New Roman" w:cs="Times New Roman"/>
            <w:sz w:val="24"/>
            <w:szCs w:val="24"/>
            <w:lang w:val="de-DE"/>
          </w:rPr>
          <w:t>2.5 kg</w:t>
        </w:r>
      </w:smartTag>
      <w:r w:rsidRPr="00BF0360">
        <w:rPr>
          <w:rFonts w:ascii="Times New Roman" w:hAnsi="Times New Roman" w:cs="Times New Roman"/>
          <w:sz w:val="24"/>
          <w:szCs w:val="24"/>
          <w:lang w:val="de-DE"/>
        </w:rPr>
        <w:t xml:space="preserve"> ha</w:t>
      </w:r>
      <w:r w:rsidRPr="00BF0360">
        <w:rPr>
          <w:rFonts w:ascii="Times New Roman" w:hAnsi="Times New Roman" w:cs="Times New Roman"/>
          <w:sz w:val="24"/>
          <w:szCs w:val="24"/>
          <w:lang w:val="de-DE"/>
        </w:rPr>
        <w:softHyphen/>
      </w:r>
      <w:r w:rsidRPr="00BF0360">
        <w:rPr>
          <w:rFonts w:ascii="Times New Roman" w:hAnsi="Times New Roman" w:cs="Times New Roman"/>
          <w:sz w:val="24"/>
          <w:szCs w:val="24"/>
          <w:vertAlign w:val="superscript"/>
          <w:lang w:val="de-DE"/>
        </w:rPr>
        <w:t>-1</w:t>
      </w:r>
    </w:p>
    <w:p w14:paraId="0146AC32" w14:textId="77777777" w:rsidR="00274C16" w:rsidRPr="001C099A" w:rsidRDefault="00274C16" w:rsidP="00274C16">
      <w:pPr>
        <w:spacing w:after="0" w:line="240" w:lineRule="auto"/>
        <w:jc w:val="both"/>
        <w:rPr>
          <w:rFonts w:ascii="Times New Roman" w:eastAsia="Times New Roman" w:hAnsi="Times New Roman" w:cs="Times New Roman"/>
          <w:lang w:val="it-IT" w:eastAsia="en-IN"/>
        </w:rPr>
      </w:pPr>
    </w:p>
    <w:p w14:paraId="0F48AB3F" w14:textId="77777777" w:rsidR="00274C16" w:rsidRPr="00BF0360" w:rsidRDefault="00274C16" w:rsidP="00013C2B">
      <w:pPr>
        <w:jc w:val="both"/>
        <w:rPr>
          <w:rFonts w:ascii="Times New Roman" w:hAnsi="Times New Roman" w:cs="Times New Roman"/>
          <w:b/>
          <w:sz w:val="24"/>
          <w:szCs w:val="24"/>
          <w:lang w:val="en-US"/>
        </w:rPr>
      </w:pPr>
      <w:r w:rsidRPr="00BF0360">
        <w:rPr>
          <w:rFonts w:ascii="Times New Roman" w:hAnsi="Times New Roman" w:cs="Times New Roman"/>
          <w:noProof/>
          <w:lang w:eastAsia="en-IN"/>
        </w:rPr>
        <w:drawing>
          <wp:inline distT="0" distB="0" distL="0" distR="0" wp14:anchorId="28A88836" wp14:editId="647E51E3">
            <wp:extent cx="5421086" cy="2707574"/>
            <wp:effectExtent l="0" t="0" r="2730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DE4263" w14:textId="77777777" w:rsidR="00274C16" w:rsidRPr="00BF0360" w:rsidRDefault="00274C16" w:rsidP="00013C2B">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Figure 1: </w:t>
      </w:r>
      <w:r w:rsidRPr="00BF0360">
        <w:rPr>
          <w:rFonts w:ascii="Times New Roman" w:hAnsi="Times New Roman" w:cs="Times New Roman"/>
          <w:sz w:val="24"/>
          <w:szCs w:val="24"/>
          <w:lang w:val="en-US"/>
        </w:rPr>
        <w:t>Boron uptake by the wheat crop as affected by different treatments</w:t>
      </w:r>
    </w:p>
    <w:p w14:paraId="37B08691" w14:textId="77777777" w:rsidR="004B3A05" w:rsidRDefault="004B3A05" w:rsidP="00BB0CC1">
      <w:pPr>
        <w:jc w:val="both"/>
        <w:rPr>
          <w:rFonts w:ascii="Times New Roman" w:hAnsi="Times New Roman" w:cs="Times New Roman"/>
          <w:b/>
          <w:sz w:val="24"/>
          <w:szCs w:val="24"/>
          <w:lang w:val="en-US"/>
        </w:rPr>
      </w:pPr>
    </w:p>
    <w:p w14:paraId="509BF593" w14:textId="77777777" w:rsidR="00013C2B" w:rsidRPr="00BF0360" w:rsidRDefault="00013C2B" w:rsidP="00BB0CC1">
      <w:pPr>
        <w:jc w:val="both"/>
        <w:rPr>
          <w:rFonts w:ascii="Times New Roman" w:hAnsi="Times New Roman" w:cs="Times New Roman"/>
          <w:sz w:val="24"/>
          <w:szCs w:val="24"/>
          <w:lang w:val="en-US"/>
        </w:rPr>
      </w:pPr>
      <w:r w:rsidRPr="00BF0360">
        <w:rPr>
          <w:rFonts w:ascii="Times New Roman" w:hAnsi="Times New Roman" w:cs="Times New Roman"/>
          <w:b/>
          <w:sz w:val="24"/>
          <w:szCs w:val="24"/>
          <w:lang w:val="en-US"/>
        </w:rPr>
        <w:t>Phosphorus uptake (grain + straw)</w:t>
      </w:r>
    </w:p>
    <w:p w14:paraId="0A28EFE2" w14:textId="380BD7D9" w:rsidR="00013C2B" w:rsidRPr="00BF0360" w:rsidRDefault="00013C2B" w:rsidP="00013C2B">
      <w:pPr>
        <w:jc w:val="both"/>
        <w:rPr>
          <w:rFonts w:ascii="Times New Roman" w:hAnsi="Times New Roman" w:cs="Times New Roman"/>
          <w:sz w:val="24"/>
          <w:szCs w:val="24"/>
        </w:rPr>
      </w:pPr>
      <w:r w:rsidRPr="00BF0360">
        <w:rPr>
          <w:rFonts w:ascii="Times New Roman" w:hAnsi="Times New Roman" w:cs="Times New Roman"/>
          <w:sz w:val="24"/>
          <w:szCs w:val="24"/>
        </w:rPr>
        <w:lastRenderedPageBreak/>
        <w:t xml:space="preserve">As regards P uptake by wheat crops, it was revealed that B application greatly influenced it </w:t>
      </w:r>
      <w:r w:rsidR="00521A31" w:rsidRPr="00BF0360">
        <w:rPr>
          <w:rFonts w:ascii="Times New Roman" w:hAnsi="Times New Roman" w:cs="Times New Roman"/>
          <w:sz w:val="24"/>
          <w:szCs w:val="24"/>
        </w:rPr>
        <w:t>(Table 3</w:t>
      </w:r>
      <w:r w:rsidRPr="00BF0360">
        <w:rPr>
          <w:rFonts w:ascii="Times New Roman" w:hAnsi="Times New Roman" w:cs="Times New Roman"/>
          <w:sz w:val="24"/>
          <w:szCs w:val="24"/>
        </w:rPr>
        <w:t>). The total P absorption by the wheat crop changed from 3.84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14.18 and 14.33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with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and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respectively. The amount of increase in P uptake above control was larger at the optimum B level (2.0 kg B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treatment. It was inferred that B application in B-deficient soil boosts the efficiency of wheat crops to exploit native phosphorous for their usage by crops. Increased root growth at even early stages owing to B treatment appears to be the key explanation for this. </w:t>
      </w:r>
      <w:r w:rsidR="00B3756D" w:rsidRPr="00BF0360">
        <w:rPr>
          <w:rFonts w:ascii="Times New Roman" w:hAnsi="Times New Roman" w:cs="Times New Roman"/>
          <w:sz w:val="24"/>
          <w:szCs w:val="24"/>
        </w:rPr>
        <w:t>Irfan</w:t>
      </w:r>
      <w:r w:rsidR="0025362A">
        <w:rPr>
          <w:rFonts w:ascii="Times New Roman" w:hAnsi="Times New Roman" w:cs="Times New Roman"/>
          <w:sz w:val="24"/>
          <w:szCs w:val="24"/>
        </w:rPr>
        <w:t xml:space="preserve"> </w:t>
      </w:r>
      <w:r w:rsidR="00B3756D" w:rsidRPr="00BF0360">
        <w:rPr>
          <w:rFonts w:ascii="Times New Roman" w:hAnsi="Times New Roman" w:cs="Times New Roman"/>
          <w:i/>
          <w:sz w:val="24"/>
          <w:szCs w:val="24"/>
        </w:rPr>
        <w:t>et al.</w:t>
      </w:r>
      <w:r w:rsidR="00B3756D" w:rsidRPr="00BF0360">
        <w:rPr>
          <w:rFonts w:ascii="Times New Roman" w:hAnsi="Times New Roman" w:cs="Times New Roman"/>
          <w:sz w:val="24"/>
          <w:szCs w:val="24"/>
        </w:rPr>
        <w:t xml:space="preserve"> (2019) </w:t>
      </w:r>
      <w:r w:rsidRPr="00BF0360">
        <w:rPr>
          <w:rFonts w:ascii="Times New Roman" w:hAnsi="Times New Roman" w:cs="Times New Roman"/>
          <w:sz w:val="24"/>
          <w:szCs w:val="24"/>
        </w:rPr>
        <w:t>also observed a favourable effect of B treatment on P uptake by the wheat crop.</w:t>
      </w:r>
    </w:p>
    <w:p w14:paraId="5F875EA8" w14:textId="77777777" w:rsidR="00013C2B" w:rsidRPr="00BF0360" w:rsidRDefault="00EC65D9" w:rsidP="00C86578">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Sulphur</w:t>
      </w:r>
      <w:r w:rsidR="00013C2B" w:rsidRPr="00BF0360">
        <w:rPr>
          <w:rFonts w:ascii="Times New Roman" w:hAnsi="Times New Roman" w:cs="Times New Roman"/>
          <w:b/>
          <w:sz w:val="24"/>
          <w:szCs w:val="24"/>
          <w:lang w:val="en-US"/>
        </w:rPr>
        <w:t xml:space="preserve"> uptake (grain + straw)</w:t>
      </w:r>
    </w:p>
    <w:p w14:paraId="67473DA7" w14:textId="77777777" w:rsidR="004E00C1" w:rsidRPr="00BF0360" w:rsidRDefault="004E00C1" w:rsidP="004E00C1">
      <w:pPr>
        <w:jc w:val="both"/>
        <w:rPr>
          <w:rFonts w:ascii="Times New Roman" w:hAnsi="Times New Roman" w:cs="Times New Roman"/>
          <w:sz w:val="24"/>
          <w:szCs w:val="24"/>
        </w:rPr>
      </w:pPr>
      <w:r w:rsidRPr="00BF0360">
        <w:rPr>
          <w:rFonts w:ascii="Times New Roman" w:hAnsi="Times New Roman" w:cs="Times New Roman"/>
          <w:sz w:val="24"/>
          <w:szCs w:val="24"/>
        </w:rPr>
        <w:t xml:space="preserve">As regards P uptake by wheat crops, it was revealed that B application greatly influenced it </w:t>
      </w:r>
      <w:r w:rsidR="00521A31" w:rsidRPr="00BF0360">
        <w:rPr>
          <w:rFonts w:ascii="Times New Roman" w:hAnsi="Times New Roman" w:cs="Times New Roman"/>
          <w:sz w:val="24"/>
          <w:szCs w:val="24"/>
        </w:rPr>
        <w:t>(Table 3</w:t>
      </w:r>
      <w:r w:rsidRPr="00BF0360">
        <w:rPr>
          <w:rFonts w:ascii="Times New Roman" w:hAnsi="Times New Roman" w:cs="Times New Roman"/>
          <w:sz w:val="24"/>
          <w:szCs w:val="24"/>
        </w:rPr>
        <w:t>). The total P absorption by the wheat crop changed from 3.84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14.18 and 14.33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with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and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respectively. The amount of increase in P uptake above control was larger at the optimum B level (2.0 kg B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treatment. It was inferred that B application in B-deficient soil boosts the efficiency of wheat crops to exploit native phosphorous for their usage by crops. Increased root growth at even early stages owing to B treatment appears to b</w:t>
      </w:r>
      <w:r w:rsidR="00EC65D9" w:rsidRPr="00BF0360">
        <w:rPr>
          <w:rFonts w:ascii="Times New Roman" w:hAnsi="Times New Roman" w:cs="Times New Roman"/>
          <w:sz w:val="24"/>
          <w:szCs w:val="24"/>
        </w:rPr>
        <w:t xml:space="preserve">e the key explanation for this. Dash </w:t>
      </w:r>
      <w:r w:rsidR="00EC65D9" w:rsidRPr="00BF0360">
        <w:rPr>
          <w:rFonts w:ascii="Times New Roman" w:hAnsi="Times New Roman" w:cs="Times New Roman"/>
          <w:i/>
          <w:sz w:val="24"/>
          <w:szCs w:val="24"/>
        </w:rPr>
        <w:t xml:space="preserve">et al. </w:t>
      </w:r>
      <w:r w:rsidR="00EC65D9" w:rsidRPr="00BF0360">
        <w:rPr>
          <w:rFonts w:ascii="Times New Roman" w:hAnsi="Times New Roman" w:cs="Times New Roman"/>
          <w:sz w:val="24"/>
          <w:szCs w:val="24"/>
        </w:rPr>
        <w:t xml:space="preserve">(2015) </w:t>
      </w:r>
      <w:r w:rsidRPr="00BF0360">
        <w:rPr>
          <w:rFonts w:ascii="Times New Roman" w:hAnsi="Times New Roman" w:cs="Times New Roman"/>
          <w:sz w:val="24"/>
          <w:szCs w:val="24"/>
        </w:rPr>
        <w:t>also observed a favourable effect of B treatment on P uptake by the wheat crop.</w:t>
      </w:r>
    </w:p>
    <w:p w14:paraId="33151BB7" w14:textId="77777777" w:rsidR="00C6367B" w:rsidRPr="00BF0360" w:rsidRDefault="00C6367B" w:rsidP="00C86578">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Boron content in post-harvest soil</w:t>
      </w:r>
    </w:p>
    <w:p w14:paraId="4BD51279" w14:textId="1B06C57F" w:rsidR="002B198F" w:rsidRPr="00BF0360" w:rsidRDefault="00C6367B" w:rsidP="005B3AA2">
      <w:pPr>
        <w:jc w:val="both"/>
        <w:rPr>
          <w:rFonts w:ascii="Times New Roman" w:hAnsi="Times New Roman" w:cs="Times New Roman"/>
          <w:b/>
          <w:sz w:val="24"/>
          <w:szCs w:val="24"/>
          <w:lang w:val="en-US"/>
        </w:rPr>
      </w:pPr>
      <w:r w:rsidRPr="00BF0360">
        <w:rPr>
          <w:rFonts w:ascii="Times New Roman" w:hAnsi="Times New Roman" w:cs="Times New Roman"/>
          <w:sz w:val="24"/>
          <w:szCs w:val="24"/>
          <w:lang w:val="en-US"/>
        </w:rPr>
        <w:t xml:space="preserve">The data on Boron which is available to plant have been represented in table </w:t>
      </w:r>
      <w:r w:rsidR="00521A31" w:rsidRPr="00BF0360">
        <w:rPr>
          <w:rFonts w:ascii="Times New Roman" w:hAnsi="Times New Roman" w:cs="Times New Roman"/>
          <w:sz w:val="24"/>
          <w:szCs w:val="24"/>
          <w:lang w:val="en-US"/>
        </w:rPr>
        <w:t>3</w:t>
      </w:r>
      <w:r w:rsidR="007A4876"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A glimpse over the data made it evident that application of boron at 0.5, 1.0, 1.5, 2.0 and 2.5 kg ha</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significantly improve the mean available boron in soil from 0.39 (T</w:t>
      </w:r>
      <w:r w:rsidRPr="00BF0360">
        <w:rPr>
          <w:rFonts w:ascii="Times New Roman" w:hAnsi="Times New Roman" w:cs="Times New Roman"/>
          <w:sz w:val="24"/>
          <w:szCs w:val="24"/>
          <w:vertAlign w:val="subscript"/>
          <w:lang w:val="en-US"/>
        </w:rPr>
        <w:t>0</w:t>
      </w:r>
      <w:r w:rsidR="007A4876"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control) to 0.66, 0.70, 0.78, 0.83 and 0.84 mg kg</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respectively. The result also showed that the available B status of soil was enhanced due to B application to sufficient level (more than critical level of 0.48 mg kg</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even after the harvest of wheat crop which confirm the general concept that a sufficient residual amount is left in soil after B application. </w:t>
      </w:r>
      <w:r w:rsidRPr="004420DA">
        <w:rPr>
          <w:rFonts w:ascii="Times New Roman" w:hAnsi="Times New Roman" w:cs="Times New Roman"/>
          <w:sz w:val="24"/>
          <w:szCs w:val="24"/>
          <w:highlight w:val="yellow"/>
          <w:lang w:val="en-US"/>
        </w:rPr>
        <w:t xml:space="preserve">Appreciable increases in B status of soil after </w:t>
      </w:r>
      <w:r w:rsidR="00C86578" w:rsidRPr="004420DA">
        <w:rPr>
          <w:rFonts w:ascii="Times New Roman" w:hAnsi="Times New Roman" w:cs="Times New Roman"/>
          <w:sz w:val="24"/>
          <w:szCs w:val="24"/>
          <w:highlight w:val="yellow"/>
          <w:lang w:val="en-US"/>
        </w:rPr>
        <w:t>their applications have</w:t>
      </w:r>
      <w:r w:rsidRPr="004420DA">
        <w:rPr>
          <w:rFonts w:ascii="Times New Roman" w:hAnsi="Times New Roman" w:cs="Times New Roman"/>
          <w:sz w:val="24"/>
          <w:szCs w:val="24"/>
          <w:highlight w:val="yellow"/>
          <w:lang w:val="en-US"/>
        </w:rPr>
        <w:t xml:space="preserve"> also been reported </w:t>
      </w:r>
      <w:r w:rsidR="00C44899" w:rsidRPr="004420DA">
        <w:rPr>
          <w:rFonts w:ascii="Times New Roman" w:hAnsi="Times New Roman" w:cs="Times New Roman"/>
          <w:sz w:val="24"/>
          <w:szCs w:val="24"/>
          <w:highlight w:val="yellow"/>
          <w:lang w:val="en-US"/>
        </w:rPr>
        <w:t xml:space="preserve">by </w:t>
      </w:r>
      <w:r w:rsidR="004420DA" w:rsidRPr="004420DA">
        <w:rPr>
          <w:rFonts w:ascii="Times New Roman" w:hAnsi="Times New Roman" w:cs="Times New Roman"/>
          <w:sz w:val="24"/>
          <w:szCs w:val="24"/>
          <w:highlight w:val="yellow"/>
        </w:rPr>
        <w:t xml:space="preserve">Laik </w:t>
      </w:r>
      <w:r w:rsidR="004420DA" w:rsidRPr="004420DA">
        <w:rPr>
          <w:rFonts w:ascii="Times New Roman" w:hAnsi="Times New Roman" w:cs="Times New Roman"/>
          <w:i/>
          <w:sz w:val="24"/>
          <w:szCs w:val="24"/>
          <w:highlight w:val="yellow"/>
        </w:rPr>
        <w:t>et al</w:t>
      </w:r>
      <w:r w:rsidR="004420DA" w:rsidRPr="004420DA">
        <w:rPr>
          <w:rFonts w:ascii="Times New Roman" w:hAnsi="Times New Roman" w:cs="Times New Roman"/>
          <w:sz w:val="24"/>
          <w:szCs w:val="24"/>
          <w:highlight w:val="yellow"/>
        </w:rPr>
        <w:t>.</w:t>
      </w:r>
      <w:r w:rsidR="004420DA" w:rsidRPr="004420DA">
        <w:rPr>
          <w:rFonts w:ascii="Times New Roman" w:hAnsi="Times New Roman" w:cs="Times New Roman"/>
          <w:sz w:val="24"/>
          <w:szCs w:val="24"/>
          <w:highlight w:val="yellow"/>
          <w:lang w:val="en-US"/>
        </w:rPr>
        <w:t xml:space="preserve"> (2021</w:t>
      </w:r>
      <w:r w:rsidR="00C44899" w:rsidRPr="004420DA">
        <w:rPr>
          <w:rFonts w:ascii="Times New Roman" w:hAnsi="Times New Roman" w:cs="Times New Roman"/>
          <w:sz w:val="24"/>
          <w:szCs w:val="24"/>
          <w:highlight w:val="yellow"/>
          <w:lang w:val="en-US"/>
        </w:rPr>
        <w:t>)</w:t>
      </w:r>
      <w:r w:rsidRPr="004420DA">
        <w:rPr>
          <w:rFonts w:ascii="Times New Roman" w:hAnsi="Times New Roman" w:cs="Times New Roman"/>
          <w:sz w:val="24"/>
          <w:szCs w:val="24"/>
          <w:highlight w:val="yellow"/>
          <w:lang w:val="en-US"/>
        </w:rPr>
        <w:t>.</w:t>
      </w:r>
    </w:p>
    <w:p w14:paraId="48328160" w14:textId="428DA15D" w:rsidR="005B3AA2" w:rsidRPr="00BF0360" w:rsidRDefault="00521A31" w:rsidP="00773CE9">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Table 3</w:t>
      </w:r>
      <w:r w:rsidR="00BA4627">
        <w:rPr>
          <w:rFonts w:ascii="Times New Roman" w:hAnsi="Times New Roman" w:cs="Times New Roman"/>
          <w:b/>
          <w:sz w:val="24"/>
          <w:szCs w:val="24"/>
          <w:lang w:val="en-US"/>
        </w:rPr>
        <w:t>.</w:t>
      </w:r>
      <w:r w:rsidR="005B3AA2" w:rsidRPr="00BF0360">
        <w:rPr>
          <w:rFonts w:ascii="Times New Roman" w:hAnsi="Times New Roman" w:cs="Times New Roman"/>
          <w:b/>
          <w:sz w:val="24"/>
          <w:szCs w:val="24"/>
          <w:lang w:val="en-US"/>
        </w:rPr>
        <w:t xml:space="preserve"> </w:t>
      </w:r>
      <w:r w:rsidR="005B3AA2" w:rsidRPr="00BF0360">
        <w:rPr>
          <w:rFonts w:ascii="Times New Roman" w:hAnsi="Times New Roman" w:cs="Times New Roman"/>
          <w:sz w:val="24"/>
          <w:szCs w:val="24"/>
          <w:lang w:val="en-US"/>
        </w:rPr>
        <w:t>Phosphorus and sulphur uptake and B content in post-harvest soil as affected by different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29" w:type="dxa"/>
          <w:bottom w:w="115" w:type="dxa"/>
          <w:right w:w="29" w:type="dxa"/>
        </w:tblCellMar>
        <w:tblLook w:val="01E0" w:firstRow="1" w:lastRow="1" w:firstColumn="1" w:lastColumn="1" w:noHBand="0" w:noVBand="0"/>
      </w:tblPr>
      <w:tblGrid>
        <w:gridCol w:w="1876"/>
        <w:gridCol w:w="2458"/>
        <w:gridCol w:w="2458"/>
        <w:gridCol w:w="2056"/>
      </w:tblGrid>
      <w:tr w:rsidR="00BF0360" w:rsidRPr="00BF0360" w14:paraId="5B7A3762" w14:textId="77777777" w:rsidTr="00773CE9">
        <w:trPr>
          <w:trHeight w:val="478"/>
        </w:trPr>
        <w:tc>
          <w:tcPr>
            <w:tcW w:w="1060" w:type="pct"/>
            <w:tcBorders>
              <w:left w:val="nil"/>
              <w:bottom w:val="single" w:sz="4" w:space="0" w:color="auto"/>
            </w:tcBorders>
            <w:shd w:val="clear" w:color="auto" w:fill="F2F2F2" w:themeFill="background1" w:themeFillShade="F2"/>
          </w:tcPr>
          <w:p w14:paraId="549A1C69" w14:textId="77777777" w:rsidR="005B3AA2" w:rsidRPr="00BF0360" w:rsidRDefault="005B3AA2" w:rsidP="00773CE9">
            <w:pPr>
              <w:spacing w:after="0" w:line="240" w:lineRule="auto"/>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Treatment</w:t>
            </w:r>
          </w:p>
        </w:tc>
        <w:tc>
          <w:tcPr>
            <w:tcW w:w="1389" w:type="pct"/>
            <w:tcBorders>
              <w:bottom w:val="single" w:sz="4" w:space="0" w:color="auto"/>
            </w:tcBorders>
            <w:shd w:val="clear" w:color="auto" w:fill="F2F2F2" w:themeFill="background1" w:themeFillShade="F2"/>
          </w:tcPr>
          <w:p w14:paraId="3740CE7F"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Phosphorus uptake by crop (kg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1389" w:type="pct"/>
            <w:tcBorders>
              <w:bottom w:val="single" w:sz="4" w:space="0" w:color="auto"/>
            </w:tcBorders>
            <w:shd w:val="clear" w:color="auto" w:fill="F2F2F2" w:themeFill="background1" w:themeFillShade="F2"/>
          </w:tcPr>
          <w:p w14:paraId="4C3EBC9F"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Sulphur uptake by crop (kg ha</w:t>
            </w:r>
            <w:r w:rsidRPr="00BF0360">
              <w:rPr>
                <w:rFonts w:ascii="Times New Roman" w:hAnsi="Times New Roman" w:cs="Times New Roman"/>
                <w:b/>
                <w:bCs/>
                <w:sz w:val="24"/>
                <w:szCs w:val="24"/>
                <w:vertAlign w:val="superscript"/>
                <w:lang w:val="en-US"/>
              </w:rPr>
              <w:t xml:space="preserve">-1 </w:t>
            </w:r>
            <w:r w:rsidRPr="00BF0360">
              <w:rPr>
                <w:rFonts w:ascii="Times New Roman" w:hAnsi="Times New Roman" w:cs="Times New Roman"/>
                <w:b/>
                <w:bCs/>
                <w:sz w:val="24"/>
                <w:szCs w:val="24"/>
                <w:lang w:val="en-US"/>
              </w:rPr>
              <w:t>)</w:t>
            </w:r>
          </w:p>
        </w:tc>
        <w:tc>
          <w:tcPr>
            <w:tcW w:w="1162" w:type="pct"/>
            <w:tcBorders>
              <w:bottom w:val="single" w:sz="4" w:space="0" w:color="auto"/>
              <w:right w:val="nil"/>
            </w:tcBorders>
            <w:shd w:val="clear" w:color="auto" w:fill="F2F2F2" w:themeFill="background1" w:themeFillShade="F2"/>
          </w:tcPr>
          <w:p w14:paraId="1DD6FB7A"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Content in soil (mg kg</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r>
      <w:tr w:rsidR="00BF0360" w:rsidRPr="00BF0360" w14:paraId="18EDB60A" w14:textId="77777777" w:rsidTr="005B3AA2">
        <w:trPr>
          <w:trHeight w:val="17"/>
        </w:trPr>
        <w:tc>
          <w:tcPr>
            <w:tcW w:w="1060" w:type="pct"/>
            <w:tcBorders>
              <w:left w:val="nil"/>
              <w:bottom w:val="nil"/>
              <w:right w:val="nil"/>
            </w:tcBorders>
            <w:vAlign w:val="center"/>
          </w:tcPr>
          <w:p w14:paraId="7AAB900D"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0</w:t>
            </w:r>
          </w:p>
        </w:tc>
        <w:tc>
          <w:tcPr>
            <w:tcW w:w="1389" w:type="pct"/>
            <w:tcBorders>
              <w:left w:val="nil"/>
              <w:bottom w:val="nil"/>
              <w:right w:val="nil"/>
            </w:tcBorders>
            <w:vAlign w:val="center"/>
          </w:tcPr>
          <w:p w14:paraId="22C240AE"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3.84</w:t>
            </w:r>
          </w:p>
        </w:tc>
        <w:tc>
          <w:tcPr>
            <w:tcW w:w="1389" w:type="pct"/>
            <w:tcBorders>
              <w:left w:val="nil"/>
              <w:bottom w:val="nil"/>
              <w:right w:val="nil"/>
            </w:tcBorders>
            <w:vAlign w:val="center"/>
          </w:tcPr>
          <w:p w14:paraId="113813BA"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6.16</w:t>
            </w:r>
          </w:p>
        </w:tc>
        <w:tc>
          <w:tcPr>
            <w:tcW w:w="1162" w:type="pct"/>
            <w:tcBorders>
              <w:left w:val="nil"/>
              <w:bottom w:val="nil"/>
              <w:right w:val="nil"/>
            </w:tcBorders>
            <w:vAlign w:val="center"/>
          </w:tcPr>
          <w:p w14:paraId="2F59891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0.39</w:t>
            </w:r>
          </w:p>
        </w:tc>
      </w:tr>
      <w:tr w:rsidR="00BF0360" w:rsidRPr="00BF0360" w14:paraId="0886FC5C" w14:textId="77777777" w:rsidTr="005B3AA2">
        <w:tc>
          <w:tcPr>
            <w:tcW w:w="1060" w:type="pct"/>
            <w:tcBorders>
              <w:top w:val="nil"/>
              <w:left w:val="nil"/>
              <w:bottom w:val="nil"/>
              <w:right w:val="nil"/>
            </w:tcBorders>
            <w:vAlign w:val="center"/>
          </w:tcPr>
          <w:p w14:paraId="726D6051"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1</w:t>
            </w:r>
          </w:p>
        </w:tc>
        <w:tc>
          <w:tcPr>
            <w:tcW w:w="1389" w:type="pct"/>
            <w:tcBorders>
              <w:top w:val="nil"/>
              <w:left w:val="nil"/>
              <w:bottom w:val="nil"/>
              <w:right w:val="nil"/>
            </w:tcBorders>
            <w:vAlign w:val="center"/>
          </w:tcPr>
          <w:p w14:paraId="6914F69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10.15</w:t>
            </w:r>
          </w:p>
        </w:tc>
        <w:tc>
          <w:tcPr>
            <w:tcW w:w="1389" w:type="pct"/>
            <w:tcBorders>
              <w:top w:val="nil"/>
              <w:left w:val="nil"/>
              <w:bottom w:val="nil"/>
              <w:right w:val="nil"/>
            </w:tcBorders>
            <w:vAlign w:val="center"/>
          </w:tcPr>
          <w:p w14:paraId="6444DFB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11.03</w:t>
            </w:r>
          </w:p>
        </w:tc>
        <w:tc>
          <w:tcPr>
            <w:tcW w:w="1162" w:type="pct"/>
            <w:tcBorders>
              <w:top w:val="nil"/>
              <w:left w:val="nil"/>
              <w:bottom w:val="nil"/>
              <w:right w:val="nil"/>
            </w:tcBorders>
            <w:vAlign w:val="center"/>
          </w:tcPr>
          <w:p w14:paraId="41482A2E"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0.66</w:t>
            </w:r>
          </w:p>
        </w:tc>
      </w:tr>
      <w:tr w:rsidR="00BF0360" w:rsidRPr="00BF0360" w14:paraId="3D3660C8" w14:textId="77777777" w:rsidTr="005B3AA2">
        <w:tc>
          <w:tcPr>
            <w:tcW w:w="1060" w:type="pct"/>
            <w:tcBorders>
              <w:top w:val="nil"/>
              <w:left w:val="nil"/>
              <w:bottom w:val="nil"/>
              <w:right w:val="nil"/>
            </w:tcBorders>
            <w:vAlign w:val="center"/>
          </w:tcPr>
          <w:p w14:paraId="3D8BFA23"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2</w:t>
            </w:r>
          </w:p>
        </w:tc>
        <w:tc>
          <w:tcPr>
            <w:tcW w:w="1389" w:type="pct"/>
            <w:tcBorders>
              <w:top w:val="nil"/>
              <w:left w:val="nil"/>
              <w:bottom w:val="nil"/>
              <w:right w:val="nil"/>
            </w:tcBorders>
            <w:vAlign w:val="center"/>
          </w:tcPr>
          <w:p w14:paraId="3E07EAB4"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11.12</w:t>
            </w:r>
          </w:p>
        </w:tc>
        <w:tc>
          <w:tcPr>
            <w:tcW w:w="1389" w:type="pct"/>
            <w:tcBorders>
              <w:top w:val="nil"/>
              <w:left w:val="nil"/>
              <w:bottom w:val="nil"/>
              <w:right w:val="nil"/>
            </w:tcBorders>
            <w:vAlign w:val="center"/>
          </w:tcPr>
          <w:p w14:paraId="50C3DB00"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10.87</w:t>
            </w:r>
          </w:p>
        </w:tc>
        <w:tc>
          <w:tcPr>
            <w:tcW w:w="1162" w:type="pct"/>
            <w:tcBorders>
              <w:top w:val="nil"/>
              <w:left w:val="nil"/>
              <w:bottom w:val="nil"/>
              <w:right w:val="nil"/>
            </w:tcBorders>
            <w:vAlign w:val="center"/>
          </w:tcPr>
          <w:p w14:paraId="04B5602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0.70</w:t>
            </w:r>
          </w:p>
        </w:tc>
      </w:tr>
      <w:tr w:rsidR="00BF0360" w:rsidRPr="00BF0360" w14:paraId="0D04E354" w14:textId="77777777" w:rsidTr="005B3AA2">
        <w:tc>
          <w:tcPr>
            <w:tcW w:w="1060" w:type="pct"/>
            <w:tcBorders>
              <w:top w:val="nil"/>
              <w:left w:val="nil"/>
              <w:bottom w:val="nil"/>
              <w:right w:val="nil"/>
            </w:tcBorders>
            <w:vAlign w:val="center"/>
          </w:tcPr>
          <w:p w14:paraId="6A2B9D5D"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3</w:t>
            </w:r>
          </w:p>
        </w:tc>
        <w:tc>
          <w:tcPr>
            <w:tcW w:w="1389" w:type="pct"/>
            <w:tcBorders>
              <w:top w:val="nil"/>
              <w:left w:val="nil"/>
              <w:bottom w:val="nil"/>
              <w:right w:val="nil"/>
            </w:tcBorders>
            <w:vAlign w:val="center"/>
          </w:tcPr>
          <w:p w14:paraId="2640E848"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11.97</w:t>
            </w:r>
          </w:p>
        </w:tc>
        <w:tc>
          <w:tcPr>
            <w:tcW w:w="1389" w:type="pct"/>
            <w:tcBorders>
              <w:top w:val="nil"/>
              <w:left w:val="nil"/>
              <w:bottom w:val="nil"/>
              <w:right w:val="nil"/>
            </w:tcBorders>
            <w:vAlign w:val="center"/>
          </w:tcPr>
          <w:p w14:paraId="231BD06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10.68</w:t>
            </w:r>
          </w:p>
        </w:tc>
        <w:tc>
          <w:tcPr>
            <w:tcW w:w="1162" w:type="pct"/>
            <w:tcBorders>
              <w:top w:val="nil"/>
              <w:left w:val="nil"/>
              <w:bottom w:val="nil"/>
              <w:right w:val="nil"/>
            </w:tcBorders>
            <w:vAlign w:val="center"/>
          </w:tcPr>
          <w:p w14:paraId="7D1796E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0.78</w:t>
            </w:r>
          </w:p>
        </w:tc>
      </w:tr>
      <w:tr w:rsidR="00BF0360" w:rsidRPr="00BF0360" w14:paraId="4FA67DFD" w14:textId="77777777" w:rsidTr="005B3AA2">
        <w:tc>
          <w:tcPr>
            <w:tcW w:w="1060" w:type="pct"/>
            <w:tcBorders>
              <w:top w:val="nil"/>
              <w:left w:val="nil"/>
              <w:bottom w:val="nil"/>
              <w:right w:val="nil"/>
            </w:tcBorders>
            <w:vAlign w:val="center"/>
          </w:tcPr>
          <w:p w14:paraId="0F91C50A"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4</w:t>
            </w:r>
          </w:p>
        </w:tc>
        <w:tc>
          <w:tcPr>
            <w:tcW w:w="1389" w:type="pct"/>
            <w:tcBorders>
              <w:top w:val="nil"/>
              <w:left w:val="nil"/>
              <w:bottom w:val="nil"/>
              <w:right w:val="nil"/>
            </w:tcBorders>
            <w:vAlign w:val="center"/>
          </w:tcPr>
          <w:p w14:paraId="6640DAF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14.18</w:t>
            </w:r>
          </w:p>
        </w:tc>
        <w:tc>
          <w:tcPr>
            <w:tcW w:w="1389" w:type="pct"/>
            <w:tcBorders>
              <w:top w:val="nil"/>
              <w:left w:val="nil"/>
              <w:bottom w:val="nil"/>
              <w:right w:val="nil"/>
            </w:tcBorders>
            <w:vAlign w:val="center"/>
          </w:tcPr>
          <w:p w14:paraId="611CF06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10.48</w:t>
            </w:r>
          </w:p>
        </w:tc>
        <w:tc>
          <w:tcPr>
            <w:tcW w:w="1162" w:type="pct"/>
            <w:tcBorders>
              <w:top w:val="nil"/>
              <w:left w:val="nil"/>
              <w:bottom w:val="nil"/>
              <w:right w:val="nil"/>
            </w:tcBorders>
            <w:vAlign w:val="center"/>
          </w:tcPr>
          <w:p w14:paraId="2E3F5B83"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0.83</w:t>
            </w:r>
          </w:p>
        </w:tc>
      </w:tr>
      <w:tr w:rsidR="00BF0360" w:rsidRPr="00BF0360" w14:paraId="7AA7825E" w14:textId="77777777" w:rsidTr="005B3AA2">
        <w:tc>
          <w:tcPr>
            <w:tcW w:w="1060" w:type="pct"/>
            <w:tcBorders>
              <w:top w:val="nil"/>
              <w:left w:val="nil"/>
              <w:bottom w:val="nil"/>
              <w:right w:val="nil"/>
            </w:tcBorders>
            <w:vAlign w:val="center"/>
          </w:tcPr>
          <w:p w14:paraId="413C451A"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lastRenderedPageBreak/>
              <w:t>T</w:t>
            </w:r>
            <w:r w:rsidRPr="00BF0360">
              <w:rPr>
                <w:rFonts w:ascii="Times New Roman" w:hAnsi="Times New Roman" w:cs="Times New Roman"/>
                <w:b/>
                <w:sz w:val="24"/>
                <w:szCs w:val="24"/>
                <w:vertAlign w:val="subscript"/>
                <w:lang w:val="en-US"/>
              </w:rPr>
              <w:t>5</w:t>
            </w:r>
          </w:p>
        </w:tc>
        <w:tc>
          <w:tcPr>
            <w:tcW w:w="1389" w:type="pct"/>
            <w:tcBorders>
              <w:top w:val="nil"/>
              <w:left w:val="nil"/>
              <w:bottom w:val="nil"/>
              <w:right w:val="nil"/>
            </w:tcBorders>
            <w:vAlign w:val="center"/>
          </w:tcPr>
          <w:p w14:paraId="4033C964"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14.33</w:t>
            </w:r>
          </w:p>
        </w:tc>
        <w:tc>
          <w:tcPr>
            <w:tcW w:w="1389" w:type="pct"/>
            <w:tcBorders>
              <w:top w:val="nil"/>
              <w:left w:val="nil"/>
              <w:bottom w:val="nil"/>
              <w:right w:val="nil"/>
            </w:tcBorders>
            <w:vAlign w:val="center"/>
          </w:tcPr>
          <w:p w14:paraId="1DC1DE1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9.71</w:t>
            </w:r>
          </w:p>
        </w:tc>
        <w:tc>
          <w:tcPr>
            <w:tcW w:w="1162" w:type="pct"/>
            <w:tcBorders>
              <w:top w:val="nil"/>
              <w:left w:val="nil"/>
              <w:bottom w:val="nil"/>
              <w:right w:val="nil"/>
            </w:tcBorders>
            <w:vAlign w:val="center"/>
          </w:tcPr>
          <w:p w14:paraId="3171ED40"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0.84</w:t>
            </w:r>
          </w:p>
        </w:tc>
      </w:tr>
      <w:tr w:rsidR="00BF0360" w:rsidRPr="00BF0360" w14:paraId="08AED4E2" w14:textId="77777777" w:rsidTr="005B3AA2">
        <w:tc>
          <w:tcPr>
            <w:tcW w:w="1060" w:type="pct"/>
            <w:tcBorders>
              <w:top w:val="nil"/>
              <w:left w:val="nil"/>
              <w:bottom w:val="nil"/>
              <w:right w:val="nil"/>
            </w:tcBorders>
            <w:vAlign w:val="center"/>
          </w:tcPr>
          <w:p w14:paraId="0741535A" w14:textId="77777777" w:rsidR="00521A31" w:rsidRPr="00BF0360" w:rsidRDefault="00521A31"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S.Em</w:t>
            </w:r>
            <w:r w:rsidRPr="00BF0360">
              <w:rPr>
                <w:rFonts w:ascii="Times New Roman" w:hAnsi="Times New Roman" w:cs="Times New Roman"/>
                <w:b/>
                <w:sz w:val="24"/>
                <w:szCs w:val="24"/>
                <w:lang w:val="en-US"/>
              </w:rPr>
              <w:object w:dxaOrig="220" w:dyaOrig="240" w14:anchorId="5D185C3C">
                <v:shape id="_x0000_i1026" type="#_x0000_t75" style="width:11.2pt;height:12.15pt" o:ole="">
                  <v:imagedata r:id="rId7" o:title=""/>
                </v:shape>
                <o:OLEObject Type="Embed" ProgID="Equation.3" ShapeID="_x0000_i1026" DrawAspect="Content" ObjectID="_1800691271" r:id="rId10"/>
              </w:object>
            </w:r>
          </w:p>
        </w:tc>
        <w:tc>
          <w:tcPr>
            <w:tcW w:w="1389" w:type="pct"/>
            <w:tcBorders>
              <w:top w:val="nil"/>
              <w:left w:val="nil"/>
              <w:bottom w:val="nil"/>
              <w:right w:val="nil"/>
            </w:tcBorders>
            <w:vAlign w:val="center"/>
          </w:tcPr>
          <w:p w14:paraId="70275944"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0.25</w:t>
            </w:r>
          </w:p>
        </w:tc>
        <w:tc>
          <w:tcPr>
            <w:tcW w:w="1389" w:type="pct"/>
            <w:tcBorders>
              <w:top w:val="nil"/>
              <w:left w:val="nil"/>
              <w:bottom w:val="nil"/>
              <w:right w:val="nil"/>
            </w:tcBorders>
            <w:vAlign w:val="center"/>
          </w:tcPr>
          <w:p w14:paraId="30988109"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0.18</w:t>
            </w:r>
          </w:p>
        </w:tc>
        <w:tc>
          <w:tcPr>
            <w:tcW w:w="1162" w:type="pct"/>
            <w:tcBorders>
              <w:top w:val="nil"/>
              <w:left w:val="nil"/>
              <w:bottom w:val="nil"/>
              <w:right w:val="nil"/>
            </w:tcBorders>
            <w:vAlign w:val="center"/>
          </w:tcPr>
          <w:p w14:paraId="659B0F82"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0.01</w:t>
            </w:r>
          </w:p>
        </w:tc>
      </w:tr>
      <w:tr w:rsidR="00BF0360" w:rsidRPr="00BF0360" w14:paraId="6AF739B0" w14:textId="77777777" w:rsidTr="005B3AA2">
        <w:tc>
          <w:tcPr>
            <w:tcW w:w="1060" w:type="pct"/>
            <w:tcBorders>
              <w:top w:val="nil"/>
              <w:left w:val="nil"/>
              <w:right w:val="nil"/>
            </w:tcBorders>
            <w:vAlign w:val="center"/>
          </w:tcPr>
          <w:p w14:paraId="36298FBC" w14:textId="77777777" w:rsidR="00521A31" w:rsidRPr="00BF0360" w:rsidRDefault="00521A31"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C.D.</w:t>
            </w:r>
          </w:p>
        </w:tc>
        <w:tc>
          <w:tcPr>
            <w:tcW w:w="1389" w:type="pct"/>
            <w:tcBorders>
              <w:top w:val="nil"/>
              <w:left w:val="nil"/>
              <w:right w:val="nil"/>
            </w:tcBorders>
            <w:vAlign w:val="center"/>
          </w:tcPr>
          <w:p w14:paraId="737BEA86"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0.80</w:t>
            </w:r>
          </w:p>
        </w:tc>
        <w:tc>
          <w:tcPr>
            <w:tcW w:w="1389" w:type="pct"/>
            <w:tcBorders>
              <w:top w:val="nil"/>
              <w:left w:val="nil"/>
              <w:right w:val="nil"/>
            </w:tcBorders>
            <w:vAlign w:val="center"/>
          </w:tcPr>
          <w:p w14:paraId="73E0FE9A"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0.57</w:t>
            </w:r>
          </w:p>
        </w:tc>
        <w:tc>
          <w:tcPr>
            <w:tcW w:w="1162" w:type="pct"/>
            <w:tcBorders>
              <w:top w:val="nil"/>
              <w:left w:val="nil"/>
              <w:right w:val="nil"/>
            </w:tcBorders>
            <w:vAlign w:val="center"/>
          </w:tcPr>
          <w:p w14:paraId="199457C1"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0.02</w:t>
            </w:r>
          </w:p>
        </w:tc>
      </w:tr>
    </w:tbl>
    <w:p w14:paraId="296D0615" w14:textId="77777777" w:rsidR="004E00C1" w:rsidRPr="001C099A" w:rsidRDefault="005B3AA2" w:rsidP="00FB2C30">
      <w:pPr>
        <w:jc w:val="both"/>
        <w:rPr>
          <w:rFonts w:ascii="Times New Roman" w:hAnsi="Times New Roman" w:cs="Times New Roman"/>
          <w:sz w:val="24"/>
          <w:szCs w:val="24"/>
          <w:lang w:val="it-IT"/>
        </w:rPr>
      </w:pPr>
      <w:r w:rsidRPr="001C099A">
        <w:rPr>
          <w:rFonts w:ascii="Times New Roman" w:hAnsi="Times New Roman" w:cs="Times New Roman"/>
          <w:b/>
          <w:sz w:val="24"/>
          <w:szCs w:val="24"/>
          <w:lang w:val="it-IT"/>
        </w:rPr>
        <w:t xml:space="preserve">Note: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0</w:t>
      </w:r>
      <w:r w:rsidRPr="001C099A">
        <w:rPr>
          <w:rFonts w:ascii="Times New Roman" w:hAnsi="Times New Roman" w:cs="Times New Roman"/>
          <w:sz w:val="24"/>
          <w:szCs w:val="24"/>
          <w:lang w:val="it-IT"/>
        </w:rPr>
        <w:t>= Control (no input), T</w:t>
      </w:r>
      <w:r w:rsidRPr="001C099A">
        <w:rPr>
          <w:rFonts w:ascii="Times New Roman" w:hAnsi="Times New Roman" w:cs="Times New Roman"/>
          <w:sz w:val="24"/>
          <w:szCs w:val="24"/>
          <w:vertAlign w:val="subscript"/>
          <w:lang w:val="it-IT"/>
        </w:rPr>
        <w:t>1</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0.5 kg"/>
        </w:smartTagPr>
        <w:r w:rsidRPr="001C099A">
          <w:rPr>
            <w:rFonts w:ascii="Times New Roman" w:hAnsi="Times New Roman" w:cs="Times New Roman"/>
            <w:sz w:val="24"/>
            <w:szCs w:val="24"/>
            <w:lang w:val="it-IT"/>
          </w:rPr>
          <w:t>0.5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2</w:t>
      </w:r>
      <w:r w:rsidRPr="001C099A">
        <w:rPr>
          <w:rFonts w:ascii="Times New Roman" w:hAnsi="Times New Roman" w:cs="Times New Roman"/>
          <w:sz w:val="24"/>
          <w:szCs w:val="24"/>
          <w:lang w:val="it-IT"/>
        </w:rPr>
        <w:t xml:space="preserve">= B@ </w:t>
      </w:r>
      <w:smartTag w:uri="urn:schemas-microsoft-com:office:smarttags" w:element="metricconverter">
        <w:smartTagPr>
          <w:attr w:name="ProductID" w:val="1.0 kg"/>
        </w:smartTagPr>
        <w:r w:rsidRPr="001C099A">
          <w:rPr>
            <w:rFonts w:ascii="Times New Roman" w:hAnsi="Times New Roman" w:cs="Times New Roman"/>
            <w:sz w:val="24"/>
            <w:szCs w:val="24"/>
            <w:lang w:val="it-IT"/>
          </w:rPr>
          <w:t>1.0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3</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1.5 kg"/>
        </w:smartTagPr>
        <w:r w:rsidRPr="001C099A">
          <w:rPr>
            <w:rFonts w:ascii="Times New Roman" w:hAnsi="Times New Roman" w:cs="Times New Roman"/>
            <w:sz w:val="24"/>
            <w:szCs w:val="24"/>
            <w:lang w:val="it-IT"/>
          </w:rPr>
          <w:t>1.5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T</w:t>
      </w:r>
      <w:r w:rsidRPr="001C099A">
        <w:rPr>
          <w:rFonts w:ascii="Times New Roman" w:hAnsi="Times New Roman" w:cs="Times New Roman"/>
          <w:sz w:val="24"/>
          <w:szCs w:val="24"/>
          <w:vertAlign w:val="subscript"/>
          <w:lang w:val="it-IT"/>
        </w:rPr>
        <w:t>4</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2.0 kg"/>
        </w:smartTagPr>
        <w:r w:rsidRPr="001C099A">
          <w:rPr>
            <w:rFonts w:ascii="Times New Roman" w:hAnsi="Times New Roman" w:cs="Times New Roman"/>
            <w:sz w:val="24"/>
            <w:szCs w:val="24"/>
            <w:lang w:val="it-IT"/>
          </w:rPr>
          <w:t>2.0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xml:space="preserve">, </w:t>
      </w:r>
      <w:r w:rsidRPr="00BF0360">
        <w:rPr>
          <w:rFonts w:ascii="Times New Roman" w:hAnsi="Times New Roman" w:cs="Times New Roman"/>
          <w:sz w:val="24"/>
          <w:szCs w:val="24"/>
          <w:lang w:val="de-DE"/>
        </w:rPr>
        <w:t>T</w:t>
      </w:r>
      <w:r w:rsidRPr="00BF0360">
        <w:rPr>
          <w:rFonts w:ascii="Times New Roman" w:hAnsi="Times New Roman" w:cs="Times New Roman"/>
          <w:sz w:val="24"/>
          <w:szCs w:val="24"/>
          <w:vertAlign w:val="subscript"/>
          <w:lang w:val="de-DE"/>
        </w:rPr>
        <w:t>5</w:t>
      </w:r>
      <w:r w:rsidRPr="00BF0360">
        <w:rPr>
          <w:rFonts w:ascii="Times New Roman" w:hAnsi="Times New Roman" w:cs="Times New Roman"/>
          <w:sz w:val="24"/>
          <w:szCs w:val="24"/>
          <w:lang w:val="de-DE"/>
        </w:rPr>
        <w:t xml:space="preserve">= B @ </w:t>
      </w:r>
      <w:smartTag w:uri="urn:schemas-microsoft-com:office:smarttags" w:element="metricconverter">
        <w:smartTagPr>
          <w:attr w:name="ProductID" w:val="2.5 kg"/>
        </w:smartTagPr>
        <w:r w:rsidRPr="00BF0360">
          <w:rPr>
            <w:rFonts w:ascii="Times New Roman" w:hAnsi="Times New Roman" w:cs="Times New Roman"/>
            <w:sz w:val="24"/>
            <w:szCs w:val="24"/>
            <w:lang w:val="de-DE"/>
          </w:rPr>
          <w:t>2.5 kg</w:t>
        </w:r>
      </w:smartTag>
      <w:r w:rsidRPr="00BF0360">
        <w:rPr>
          <w:rFonts w:ascii="Times New Roman" w:hAnsi="Times New Roman" w:cs="Times New Roman"/>
          <w:sz w:val="24"/>
          <w:szCs w:val="24"/>
          <w:lang w:val="de-DE"/>
        </w:rPr>
        <w:t xml:space="preserve"> ha</w:t>
      </w:r>
      <w:r w:rsidRPr="00BF0360">
        <w:rPr>
          <w:rFonts w:ascii="Times New Roman" w:hAnsi="Times New Roman" w:cs="Times New Roman"/>
          <w:sz w:val="24"/>
          <w:szCs w:val="24"/>
          <w:lang w:val="de-DE"/>
        </w:rPr>
        <w:softHyphen/>
      </w:r>
      <w:r w:rsidRPr="00BF0360">
        <w:rPr>
          <w:rFonts w:ascii="Times New Roman" w:hAnsi="Times New Roman" w:cs="Times New Roman"/>
          <w:sz w:val="24"/>
          <w:szCs w:val="24"/>
          <w:vertAlign w:val="superscript"/>
          <w:lang w:val="de-DE"/>
        </w:rPr>
        <w:t>-1</w:t>
      </w:r>
    </w:p>
    <w:p w14:paraId="568F11E5" w14:textId="77777777" w:rsidR="007A4876" w:rsidRPr="00BF0360" w:rsidRDefault="007A4876">
      <w:pPr>
        <w:rPr>
          <w:rFonts w:ascii="Times New Roman" w:hAnsi="Times New Roman" w:cs="Times New Roman"/>
          <w:b/>
          <w:sz w:val="24"/>
          <w:szCs w:val="24"/>
          <w:lang w:val="en-US"/>
        </w:rPr>
      </w:pPr>
      <w:r w:rsidRPr="00BF0360">
        <w:rPr>
          <w:rFonts w:ascii="Times New Roman" w:hAnsi="Times New Roman" w:cs="Times New Roman"/>
          <w:noProof/>
          <w:lang w:eastAsia="en-IN"/>
        </w:rPr>
        <w:drawing>
          <wp:inline distT="0" distB="0" distL="0" distR="0" wp14:anchorId="0A9763C9" wp14:editId="6CDBBE67">
            <wp:extent cx="5296395" cy="2915393"/>
            <wp:effectExtent l="0" t="0" r="1905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AE55DB" w14:textId="77777777" w:rsidR="00982865" w:rsidRPr="00BF0360" w:rsidRDefault="00982865">
      <w:pPr>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Figure 2: </w:t>
      </w:r>
      <w:r w:rsidRPr="00BF0360">
        <w:rPr>
          <w:rFonts w:ascii="Times New Roman" w:hAnsi="Times New Roman" w:cs="Times New Roman"/>
          <w:sz w:val="24"/>
          <w:szCs w:val="24"/>
          <w:lang w:val="en-US"/>
        </w:rPr>
        <w:t>Phosphorus and sulphur uptake as affected by different treatments</w:t>
      </w:r>
    </w:p>
    <w:p w14:paraId="4020A054" w14:textId="77777777" w:rsidR="00F55FF2" w:rsidRPr="00BF0360" w:rsidRDefault="00F55FF2" w:rsidP="00C86578">
      <w:pPr>
        <w:spacing w:after="0"/>
        <w:rPr>
          <w:rFonts w:ascii="Times New Roman" w:hAnsi="Times New Roman" w:cs="Times New Roman"/>
          <w:b/>
          <w:sz w:val="24"/>
          <w:szCs w:val="24"/>
          <w:lang w:val="en-US"/>
        </w:rPr>
      </w:pPr>
      <w:r w:rsidRPr="00BF0360">
        <w:rPr>
          <w:rFonts w:ascii="Times New Roman" w:hAnsi="Times New Roman" w:cs="Times New Roman"/>
          <w:b/>
          <w:sz w:val="24"/>
          <w:szCs w:val="24"/>
          <w:lang w:val="en-US"/>
        </w:rPr>
        <w:t>Conclusion:</w:t>
      </w:r>
    </w:p>
    <w:p w14:paraId="3EB39454" w14:textId="43DFE862" w:rsidR="00A0096B" w:rsidRDefault="00151633" w:rsidP="00A0096B">
      <w:pPr>
        <w:jc w:val="both"/>
        <w:rPr>
          <w:rFonts w:ascii="Times New Roman" w:hAnsi="Times New Roman" w:cs="Times New Roman"/>
          <w:sz w:val="24"/>
          <w:szCs w:val="24"/>
        </w:rPr>
      </w:pPr>
      <w:r>
        <w:rPr>
          <w:rFonts w:ascii="Times New Roman" w:hAnsi="Times New Roman" w:cs="Times New Roman"/>
          <w:sz w:val="24"/>
          <w:szCs w:val="24"/>
          <w:highlight w:val="yellow"/>
        </w:rPr>
        <w:t>O</w:t>
      </w:r>
      <w:r w:rsidRPr="006B39C7">
        <w:rPr>
          <w:rFonts w:ascii="Times New Roman" w:hAnsi="Times New Roman" w:cs="Times New Roman"/>
          <w:sz w:val="24"/>
          <w:szCs w:val="24"/>
          <w:highlight w:val="yellow"/>
        </w:rPr>
        <w:t>n</w:t>
      </w:r>
      <w:r w:rsidR="00A0096B" w:rsidRPr="006B39C7">
        <w:rPr>
          <w:rFonts w:ascii="Times New Roman" w:hAnsi="Times New Roman" w:cs="Times New Roman"/>
          <w:sz w:val="24"/>
          <w:szCs w:val="24"/>
          <w:highlight w:val="yellow"/>
        </w:rPr>
        <w:t xml:space="preserve"> the basis of above findings it can be concluded that, application of </w:t>
      </w:r>
      <w:r w:rsidR="001A7D1D">
        <w:rPr>
          <w:rFonts w:ascii="Times New Roman" w:hAnsi="Times New Roman" w:cs="Times New Roman"/>
          <w:sz w:val="24"/>
          <w:szCs w:val="24"/>
          <w:highlight w:val="yellow"/>
        </w:rPr>
        <w:t xml:space="preserve">optimum dose of </w:t>
      </w:r>
      <w:r w:rsidR="00AF2866" w:rsidRPr="006B39C7">
        <w:rPr>
          <w:rFonts w:ascii="Times New Roman" w:hAnsi="Times New Roman" w:cs="Times New Roman"/>
          <w:sz w:val="24"/>
          <w:szCs w:val="24"/>
          <w:highlight w:val="yellow"/>
        </w:rPr>
        <w:t>boron</w:t>
      </w:r>
      <w:r w:rsidR="00AF2866">
        <w:rPr>
          <w:rFonts w:ascii="Times New Roman" w:hAnsi="Times New Roman" w:cs="Times New Roman"/>
          <w:sz w:val="24"/>
          <w:szCs w:val="24"/>
          <w:highlight w:val="yellow"/>
        </w:rPr>
        <w:t xml:space="preserve"> </w:t>
      </w:r>
      <w:r w:rsidR="00AF2866" w:rsidRPr="006B39C7">
        <w:rPr>
          <w:rFonts w:ascii="Times New Roman" w:hAnsi="Times New Roman" w:cs="Times New Roman"/>
          <w:sz w:val="24"/>
          <w:szCs w:val="24"/>
          <w:highlight w:val="yellow"/>
        </w:rPr>
        <w:t>significantly</w:t>
      </w:r>
      <w:r w:rsidR="00A0096B" w:rsidRPr="006B39C7">
        <w:rPr>
          <w:rFonts w:ascii="Times New Roman" w:hAnsi="Times New Roman" w:cs="Times New Roman"/>
          <w:sz w:val="24"/>
          <w:szCs w:val="24"/>
          <w:highlight w:val="yellow"/>
        </w:rPr>
        <w:t xml:space="preserve"> and positively affected uptake of boron</w:t>
      </w:r>
      <w:r>
        <w:rPr>
          <w:rFonts w:ascii="Times New Roman" w:hAnsi="Times New Roman" w:cs="Times New Roman"/>
          <w:sz w:val="24"/>
          <w:szCs w:val="24"/>
          <w:highlight w:val="yellow"/>
        </w:rPr>
        <w:t xml:space="preserve"> </w:t>
      </w:r>
      <w:r w:rsidR="00A0096B" w:rsidRPr="006B39C7">
        <w:rPr>
          <w:rFonts w:ascii="Times New Roman" w:hAnsi="Times New Roman" w:cs="Times New Roman"/>
          <w:sz w:val="24"/>
          <w:szCs w:val="24"/>
          <w:highlight w:val="yellow"/>
        </w:rPr>
        <w:t>in wheat crop and B status o</w:t>
      </w:r>
      <w:r w:rsidR="001A7D1D">
        <w:rPr>
          <w:rFonts w:ascii="Times New Roman" w:hAnsi="Times New Roman" w:cs="Times New Roman"/>
          <w:sz w:val="24"/>
          <w:szCs w:val="24"/>
          <w:highlight w:val="yellow"/>
        </w:rPr>
        <w:t>f soil. Boron application @ 2.0</w:t>
      </w:r>
      <w:r w:rsidR="00D46471">
        <w:rPr>
          <w:rFonts w:ascii="Times New Roman" w:hAnsi="Times New Roman" w:cs="Times New Roman"/>
          <w:sz w:val="24"/>
          <w:szCs w:val="24"/>
          <w:highlight w:val="yellow"/>
        </w:rPr>
        <w:t xml:space="preserve"> </w:t>
      </w:r>
      <w:r w:rsidR="00A0096B" w:rsidRPr="006B39C7">
        <w:rPr>
          <w:rFonts w:ascii="Times New Roman" w:hAnsi="Times New Roman" w:cs="Times New Roman"/>
          <w:sz w:val="24"/>
          <w:szCs w:val="24"/>
          <w:highlight w:val="yellow"/>
        </w:rPr>
        <w:t>kg ha</w:t>
      </w:r>
      <w:r w:rsidR="00A0096B" w:rsidRPr="006B39C7">
        <w:rPr>
          <w:rFonts w:ascii="Times New Roman" w:hAnsi="Times New Roman" w:cs="Times New Roman"/>
          <w:sz w:val="24"/>
          <w:szCs w:val="24"/>
          <w:highlight w:val="yellow"/>
          <w:vertAlign w:val="superscript"/>
        </w:rPr>
        <w:t>-1</w:t>
      </w:r>
      <w:r w:rsidR="00A0096B" w:rsidRPr="006B39C7">
        <w:rPr>
          <w:rFonts w:ascii="Times New Roman" w:hAnsi="Times New Roman" w:cs="Times New Roman"/>
          <w:sz w:val="24"/>
          <w:szCs w:val="24"/>
          <w:highlight w:val="yellow"/>
        </w:rPr>
        <w:t xml:space="preserve"> was found to be the optimum dose for wheat crop. Its application beyond 2.0 kg ha</w:t>
      </w:r>
      <w:r w:rsidR="00A0096B" w:rsidRPr="006B39C7">
        <w:rPr>
          <w:rFonts w:ascii="Times New Roman" w:hAnsi="Times New Roman" w:cs="Times New Roman"/>
          <w:sz w:val="24"/>
          <w:szCs w:val="24"/>
          <w:highlight w:val="yellow"/>
          <w:vertAlign w:val="superscript"/>
        </w:rPr>
        <w:t xml:space="preserve">-1 </w:t>
      </w:r>
      <w:r w:rsidR="00A0096B" w:rsidRPr="006B39C7">
        <w:rPr>
          <w:rFonts w:ascii="Times New Roman" w:hAnsi="Times New Roman" w:cs="Times New Roman"/>
          <w:sz w:val="24"/>
          <w:szCs w:val="24"/>
          <w:highlight w:val="yellow"/>
        </w:rPr>
        <w:t>may adversely affect the yield of wheat.</w:t>
      </w:r>
      <w:r>
        <w:rPr>
          <w:rFonts w:ascii="Times New Roman" w:hAnsi="Times New Roman" w:cs="Times New Roman"/>
          <w:sz w:val="24"/>
          <w:szCs w:val="24"/>
        </w:rPr>
        <w:t xml:space="preserve"> Highest phosphorus uptake</w:t>
      </w:r>
      <w:r w:rsidR="00E14D13">
        <w:rPr>
          <w:rFonts w:ascii="Times New Roman" w:hAnsi="Times New Roman" w:cs="Times New Roman"/>
          <w:sz w:val="24"/>
          <w:szCs w:val="24"/>
        </w:rPr>
        <w:t xml:space="preserve"> (14.33 kg ha</w:t>
      </w:r>
      <w:r w:rsidR="00E14D13" w:rsidRPr="00E14D13">
        <w:rPr>
          <w:rFonts w:ascii="Times New Roman" w:hAnsi="Times New Roman" w:cs="Times New Roman"/>
          <w:sz w:val="24"/>
          <w:szCs w:val="24"/>
          <w:vertAlign w:val="superscript"/>
        </w:rPr>
        <w:t>-1</w:t>
      </w:r>
      <w:r w:rsidR="00E14D13">
        <w:rPr>
          <w:rFonts w:ascii="Times New Roman" w:hAnsi="Times New Roman" w:cs="Times New Roman"/>
          <w:sz w:val="24"/>
          <w:szCs w:val="24"/>
        </w:rPr>
        <w:t>)</w:t>
      </w:r>
      <w:r>
        <w:rPr>
          <w:rFonts w:ascii="Times New Roman" w:hAnsi="Times New Roman" w:cs="Times New Roman"/>
          <w:sz w:val="24"/>
          <w:szCs w:val="24"/>
        </w:rPr>
        <w:t xml:space="preserve"> was found to be recorded with </w:t>
      </w:r>
      <w:r w:rsidR="00E14D13">
        <w:rPr>
          <w:rFonts w:ascii="Times New Roman" w:hAnsi="Times New Roman" w:cs="Times New Roman"/>
          <w:sz w:val="24"/>
          <w:szCs w:val="24"/>
        </w:rPr>
        <w:t xml:space="preserve">application of </w:t>
      </w:r>
      <w:r>
        <w:rPr>
          <w:rFonts w:ascii="Times New Roman" w:hAnsi="Times New Roman" w:cs="Times New Roman"/>
          <w:sz w:val="24"/>
          <w:szCs w:val="24"/>
        </w:rPr>
        <w:t>higher dose of boron (2.5 kg ha</w:t>
      </w:r>
      <w:r w:rsidRPr="00151633">
        <w:rPr>
          <w:rFonts w:ascii="Times New Roman" w:hAnsi="Times New Roman" w:cs="Times New Roman"/>
          <w:sz w:val="24"/>
          <w:szCs w:val="24"/>
          <w:vertAlign w:val="superscript"/>
        </w:rPr>
        <w:t>-1</w:t>
      </w:r>
      <w:r>
        <w:rPr>
          <w:rFonts w:ascii="Times New Roman" w:hAnsi="Times New Roman" w:cs="Times New Roman"/>
          <w:sz w:val="24"/>
          <w:szCs w:val="24"/>
        </w:rPr>
        <w:t>)</w:t>
      </w:r>
      <w:r w:rsidR="00E14D13">
        <w:rPr>
          <w:rFonts w:ascii="Times New Roman" w:hAnsi="Times New Roman" w:cs="Times New Roman"/>
          <w:sz w:val="24"/>
          <w:szCs w:val="24"/>
        </w:rPr>
        <w:t>.</w:t>
      </w:r>
    </w:p>
    <w:p w14:paraId="7FE2D3FC" w14:textId="3BEB6953" w:rsidR="00124D52" w:rsidRDefault="00124D52" w:rsidP="00A0096B">
      <w:pPr>
        <w:jc w:val="both"/>
        <w:rPr>
          <w:rFonts w:ascii="Times New Roman" w:hAnsi="Times New Roman" w:cs="Times New Roman"/>
          <w:sz w:val="24"/>
          <w:szCs w:val="24"/>
          <w:lang w:val="en-US"/>
        </w:rPr>
      </w:pPr>
    </w:p>
    <w:p w14:paraId="658141B3" w14:textId="77777777" w:rsidR="00124D52" w:rsidRPr="007A4135" w:rsidRDefault="00124D52" w:rsidP="00124D52">
      <w:pPr>
        <w:rPr>
          <w:highlight w:val="yellow"/>
        </w:rPr>
      </w:pPr>
      <w:r w:rsidRPr="007A4135">
        <w:rPr>
          <w:highlight w:val="yellow"/>
        </w:rPr>
        <w:t>Disclaimer (Artificial intelligence)</w:t>
      </w:r>
    </w:p>
    <w:p w14:paraId="2AC25D80" w14:textId="77777777" w:rsidR="00124D52" w:rsidRPr="007A4135" w:rsidRDefault="00124D52" w:rsidP="00124D52">
      <w:pPr>
        <w:rPr>
          <w:highlight w:val="yellow"/>
        </w:rPr>
      </w:pPr>
      <w:r w:rsidRPr="007A4135">
        <w:rPr>
          <w:highlight w:val="yellow"/>
        </w:rPr>
        <w:t xml:space="preserve">Option 1: </w:t>
      </w:r>
    </w:p>
    <w:p w14:paraId="7D89B96F" w14:textId="77777777" w:rsidR="00124D52" w:rsidRPr="007A4135" w:rsidRDefault="00124D52" w:rsidP="00124D52">
      <w:pPr>
        <w:rPr>
          <w:highlight w:val="yellow"/>
        </w:rPr>
      </w:pPr>
      <w:r w:rsidRPr="007A4135">
        <w:rPr>
          <w:highlight w:val="yellow"/>
        </w:rPr>
        <w:t xml:space="preserve">Author(s) hereby declare that NO generative AI technologies such as Large Language Models (ChatGPT, COPILOT, etc.) and text-to-image generators have been used during the writing or editing of this manuscript. </w:t>
      </w:r>
    </w:p>
    <w:p w14:paraId="279BD189" w14:textId="77777777" w:rsidR="00124D52" w:rsidRPr="007A4135" w:rsidRDefault="00124D52" w:rsidP="00124D52">
      <w:pPr>
        <w:rPr>
          <w:highlight w:val="yellow"/>
        </w:rPr>
      </w:pPr>
      <w:r w:rsidRPr="007A4135">
        <w:rPr>
          <w:highlight w:val="yellow"/>
        </w:rPr>
        <w:t xml:space="preserve">Option 2: </w:t>
      </w:r>
    </w:p>
    <w:p w14:paraId="1FC23223" w14:textId="77777777" w:rsidR="00124D52" w:rsidRPr="007A4135" w:rsidRDefault="00124D52" w:rsidP="00124D52">
      <w:pPr>
        <w:rPr>
          <w:highlight w:val="yellow"/>
        </w:rPr>
      </w:pPr>
      <w:r w:rsidRPr="007A4135">
        <w:rPr>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0A397C" w14:textId="77777777" w:rsidR="00124D52" w:rsidRPr="007A4135" w:rsidRDefault="00124D52" w:rsidP="00124D52">
      <w:pPr>
        <w:rPr>
          <w:highlight w:val="yellow"/>
        </w:rPr>
      </w:pPr>
      <w:r w:rsidRPr="007A4135">
        <w:rPr>
          <w:highlight w:val="yellow"/>
        </w:rPr>
        <w:t>Details of the AI usage are given below:</w:t>
      </w:r>
    </w:p>
    <w:p w14:paraId="3B4C42E8" w14:textId="77777777" w:rsidR="00124D52" w:rsidRPr="007A4135" w:rsidRDefault="00124D52" w:rsidP="00124D52">
      <w:pPr>
        <w:rPr>
          <w:highlight w:val="yellow"/>
        </w:rPr>
      </w:pPr>
      <w:r w:rsidRPr="007A4135">
        <w:rPr>
          <w:highlight w:val="yellow"/>
        </w:rPr>
        <w:t>1.</w:t>
      </w:r>
    </w:p>
    <w:p w14:paraId="77AF97AB" w14:textId="77777777" w:rsidR="00124D52" w:rsidRPr="007A4135" w:rsidRDefault="00124D52" w:rsidP="00124D52">
      <w:pPr>
        <w:rPr>
          <w:highlight w:val="yellow"/>
        </w:rPr>
      </w:pPr>
      <w:r w:rsidRPr="007A4135">
        <w:rPr>
          <w:highlight w:val="yellow"/>
        </w:rPr>
        <w:t>2.</w:t>
      </w:r>
    </w:p>
    <w:p w14:paraId="265A6FB6" w14:textId="77777777" w:rsidR="00124D52" w:rsidRPr="00D047BB" w:rsidRDefault="00124D52" w:rsidP="00124D52">
      <w:r w:rsidRPr="007A4135">
        <w:rPr>
          <w:highlight w:val="yellow"/>
        </w:rPr>
        <w:t>3.</w:t>
      </w:r>
    </w:p>
    <w:p w14:paraId="51347BE1" w14:textId="77777777" w:rsidR="00124D52" w:rsidRPr="00BF0360" w:rsidRDefault="00124D52" w:rsidP="00A0096B">
      <w:pPr>
        <w:jc w:val="both"/>
        <w:rPr>
          <w:rFonts w:ascii="Times New Roman" w:hAnsi="Times New Roman" w:cs="Times New Roman"/>
          <w:sz w:val="24"/>
          <w:szCs w:val="24"/>
          <w:lang w:val="en-US"/>
        </w:rPr>
      </w:pPr>
    </w:p>
    <w:p w14:paraId="0A4E1DE1"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References:</w:t>
      </w:r>
    </w:p>
    <w:p w14:paraId="71DCFF87" w14:textId="1D0606E9"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Dash, A.</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K., Singh, H.</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K.</w:t>
      </w:r>
      <w:r w:rsidR="00776E52">
        <w:rPr>
          <w:rFonts w:ascii="Times New Roman" w:hAnsi="Times New Roman" w:cs="Times New Roman"/>
          <w:sz w:val="24"/>
          <w:szCs w:val="24"/>
        </w:rPr>
        <w:t>, Mahakud, T., Pradhan, K. C., &amp;</w:t>
      </w:r>
      <w:r w:rsidRPr="00BF0360">
        <w:rPr>
          <w:rFonts w:ascii="Times New Roman" w:hAnsi="Times New Roman" w:cs="Times New Roman"/>
          <w:sz w:val="24"/>
          <w:szCs w:val="24"/>
        </w:rPr>
        <w:t xml:space="preserve"> Jena, D. (2015).Interaction effect of nitrogen, phosphorus, potassium with sulphur, boron and zinc on yield and nutrient uptake by rice under rice– rice cropping system in inceptisol of coastal Odisha.</w:t>
      </w:r>
      <w:r w:rsidR="00776E52">
        <w:rPr>
          <w:rFonts w:ascii="Times New Roman" w:hAnsi="Times New Roman" w:cs="Times New Roman"/>
          <w:sz w:val="24"/>
          <w:szCs w:val="24"/>
        </w:rPr>
        <w:t xml:space="preserve"> </w:t>
      </w:r>
      <w:r w:rsidRPr="00BF0360">
        <w:rPr>
          <w:rFonts w:ascii="Times New Roman" w:hAnsi="Times New Roman" w:cs="Times New Roman"/>
          <w:i/>
          <w:sz w:val="24"/>
          <w:szCs w:val="24"/>
        </w:rPr>
        <w:t>Int. Res. J. Agric. Sci. Soil Sci</w:t>
      </w:r>
      <w:r w:rsidRPr="00BF0360">
        <w:rPr>
          <w:rFonts w:ascii="Times New Roman" w:hAnsi="Times New Roman" w:cs="Times New Roman"/>
          <w:sz w:val="24"/>
          <w:szCs w:val="24"/>
        </w:rPr>
        <w:t>. 5 (1), 14–21.</w:t>
      </w:r>
    </w:p>
    <w:p w14:paraId="4643C020" w14:textId="0B43EAC5"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FAOSTAT (Food and Agricultural Organization of the United Nations Statistics), 2015.</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Food Balance Sheets. FAOSTAT, Rome.</w:t>
      </w:r>
    </w:p>
    <w:p w14:paraId="302E5CA0" w14:textId="5C799670"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Iqtidar, H., Khan, M.</w:t>
      </w:r>
      <w:r w:rsidR="00776E52">
        <w:rPr>
          <w:rFonts w:ascii="Times New Roman" w:hAnsi="Times New Roman" w:cs="Times New Roman"/>
          <w:sz w:val="24"/>
          <w:szCs w:val="24"/>
        </w:rPr>
        <w:t>, &amp;</w:t>
      </w:r>
      <w:r w:rsidRPr="00BF0360">
        <w:rPr>
          <w:rFonts w:ascii="Times New Roman" w:hAnsi="Times New Roman" w:cs="Times New Roman"/>
          <w:sz w:val="24"/>
          <w:szCs w:val="24"/>
        </w:rPr>
        <w:t xml:space="preserve"> Khan, E. (2006).Bread wheat varieties as influenced by different nitrogen levels</w:t>
      </w:r>
      <w:r w:rsidRPr="00BF0360">
        <w:rPr>
          <w:rFonts w:ascii="Times New Roman" w:hAnsi="Times New Roman" w:cs="Times New Roman"/>
          <w:i/>
          <w:sz w:val="24"/>
          <w:szCs w:val="24"/>
        </w:rPr>
        <w:t>. J. Zhejiang Univ. Sci. B</w:t>
      </w:r>
      <w:r w:rsidRPr="00BF0360">
        <w:rPr>
          <w:rFonts w:ascii="Times New Roman" w:hAnsi="Times New Roman" w:cs="Times New Roman"/>
          <w:sz w:val="24"/>
          <w:szCs w:val="24"/>
        </w:rPr>
        <w:t>., 7 (1), 70–78.</w:t>
      </w:r>
    </w:p>
    <w:p w14:paraId="7DA42729" w14:textId="009331A3" w:rsidR="00C86578" w:rsidRPr="00BF0360" w:rsidRDefault="00C86578" w:rsidP="00C44899">
      <w:pPr>
        <w:ind w:left="720" w:hanging="720"/>
        <w:jc w:val="both"/>
        <w:rPr>
          <w:rFonts w:ascii="Times New Roman" w:hAnsi="Times New Roman" w:cs="Times New Roman"/>
          <w:sz w:val="24"/>
          <w:szCs w:val="24"/>
          <w:lang w:val="en-US"/>
        </w:rPr>
      </w:pPr>
      <w:r w:rsidRPr="00BF0360">
        <w:rPr>
          <w:rFonts w:ascii="Times New Roman" w:hAnsi="Times New Roman" w:cs="Times New Roman"/>
          <w:sz w:val="24"/>
          <w:szCs w:val="24"/>
        </w:rPr>
        <w:t>Irfan, M., Abbas, M., Shah, J.</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A., Depar, N.</w:t>
      </w:r>
      <w:r w:rsidR="00776E52">
        <w:rPr>
          <w:rFonts w:ascii="Times New Roman" w:hAnsi="Times New Roman" w:cs="Times New Roman"/>
          <w:sz w:val="24"/>
          <w:szCs w:val="24"/>
        </w:rPr>
        <w:t>, &amp;</w:t>
      </w:r>
      <w:r w:rsidRPr="00BF0360">
        <w:rPr>
          <w:rFonts w:ascii="Times New Roman" w:hAnsi="Times New Roman" w:cs="Times New Roman"/>
          <w:sz w:val="24"/>
          <w:szCs w:val="24"/>
        </w:rPr>
        <w:t xml:space="preserve"> Sial, N.</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A. (2019). Interactive effect of phosphorus and boron on plant growth, nutrient accumulation and grain yield of wheat grown on calcareous soil. </w:t>
      </w:r>
      <w:r w:rsidRPr="00BF0360">
        <w:rPr>
          <w:rFonts w:ascii="Times New Roman" w:hAnsi="Times New Roman" w:cs="Times New Roman"/>
          <w:i/>
          <w:iCs/>
          <w:sz w:val="24"/>
          <w:szCs w:val="24"/>
        </w:rPr>
        <w:t>Eurasian Journal of Soil Science</w:t>
      </w:r>
      <w:r w:rsidRPr="00BF0360">
        <w:rPr>
          <w:rFonts w:ascii="Times New Roman" w:hAnsi="Times New Roman" w:cs="Times New Roman"/>
          <w:sz w:val="24"/>
          <w:szCs w:val="24"/>
        </w:rPr>
        <w:t>, </w:t>
      </w:r>
      <w:r w:rsidRPr="00776E52">
        <w:rPr>
          <w:rFonts w:ascii="Times New Roman" w:hAnsi="Times New Roman" w:cs="Times New Roman"/>
          <w:iCs/>
          <w:sz w:val="24"/>
          <w:szCs w:val="24"/>
        </w:rPr>
        <w:t>8</w:t>
      </w:r>
      <w:r w:rsidRPr="00BF0360">
        <w:rPr>
          <w:rFonts w:ascii="Times New Roman" w:hAnsi="Times New Roman" w:cs="Times New Roman"/>
          <w:sz w:val="24"/>
          <w:szCs w:val="24"/>
        </w:rPr>
        <w:t>(1), 17-26.</w:t>
      </w:r>
    </w:p>
    <w:p w14:paraId="1D7F4336" w14:textId="10013404"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Jan, S., Nasrullah, R., Khan, M.</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I.</w:t>
      </w:r>
      <w:r w:rsidR="00776E52">
        <w:rPr>
          <w:rFonts w:ascii="Times New Roman" w:hAnsi="Times New Roman" w:cs="Times New Roman"/>
          <w:sz w:val="24"/>
          <w:szCs w:val="24"/>
        </w:rPr>
        <w:t>, &amp;</w:t>
      </w:r>
      <w:r w:rsidRPr="00BF0360">
        <w:rPr>
          <w:rFonts w:ascii="Times New Roman" w:hAnsi="Times New Roman" w:cs="Times New Roman"/>
          <w:sz w:val="24"/>
          <w:szCs w:val="24"/>
        </w:rPr>
        <w:t xml:space="preserve"> Ullah, I. (2018).Effects of zinc, boron and sulphur on the yield and nutrients uptake of wheat crop. </w:t>
      </w:r>
      <w:r w:rsidRPr="00BF0360">
        <w:rPr>
          <w:rFonts w:ascii="Times New Roman" w:hAnsi="Times New Roman" w:cs="Times New Roman"/>
          <w:i/>
          <w:iCs/>
          <w:sz w:val="24"/>
          <w:szCs w:val="24"/>
        </w:rPr>
        <w:t>International Journal of Agricultural and Environmental Research</w:t>
      </w:r>
      <w:r w:rsidRPr="00BF0360">
        <w:rPr>
          <w:rFonts w:ascii="Times New Roman" w:hAnsi="Times New Roman" w:cs="Times New Roman"/>
          <w:sz w:val="24"/>
          <w:szCs w:val="24"/>
        </w:rPr>
        <w:t>, </w:t>
      </w:r>
      <w:r w:rsidRPr="00BF0360">
        <w:rPr>
          <w:rFonts w:ascii="Times New Roman" w:hAnsi="Times New Roman" w:cs="Times New Roman"/>
          <w:i/>
          <w:iCs/>
          <w:sz w:val="24"/>
          <w:szCs w:val="24"/>
        </w:rPr>
        <w:t>4</w:t>
      </w:r>
      <w:r w:rsidRPr="00BF0360">
        <w:rPr>
          <w:rFonts w:ascii="Times New Roman" w:hAnsi="Times New Roman" w:cs="Times New Roman"/>
          <w:sz w:val="24"/>
          <w:szCs w:val="24"/>
        </w:rPr>
        <w:t>(2), 211-215.</w:t>
      </w:r>
    </w:p>
    <w:p w14:paraId="36423713" w14:textId="298A65A6"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Panse, V.</w:t>
      </w:r>
      <w:r w:rsidR="00776E52">
        <w:rPr>
          <w:rFonts w:ascii="Times New Roman" w:hAnsi="Times New Roman" w:cs="Times New Roman"/>
          <w:sz w:val="24"/>
          <w:szCs w:val="24"/>
        </w:rPr>
        <w:t xml:space="preserve"> G., &amp;</w:t>
      </w:r>
      <w:r w:rsidRPr="00BF0360">
        <w:rPr>
          <w:rFonts w:ascii="Times New Roman" w:hAnsi="Times New Roman" w:cs="Times New Roman"/>
          <w:sz w:val="24"/>
          <w:szCs w:val="24"/>
        </w:rPr>
        <w:t xml:space="preserve"> Sukhatme, P.</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V. (1985). Statistical Methods for Agricultural Workers.</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Indian Council of Agricultural Research, New Delhi, India.</w:t>
      </w:r>
    </w:p>
    <w:p w14:paraId="47D8DB1A" w14:textId="317AC4A3"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Sharma, N., Singh, R.</w:t>
      </w:r>
      <w:r w:rsidR="00776E52">
        <w:rPr>
          <w:rFonts w:ascii="Times New Roman" w:hAnsi="Times New Roman" w:cs="Times New Roman"/>
          <w:sz w:val="24"/>
          <w:szCs w:val="24"/>
        </w:rPr>
        <w:t>,</w:t>
      </w:r>
      <w:r w:rsidRPr="00BF0360">
        <w:rPr>
          <w:rFonts w:ascii="Times New Roman" w:hAnsi="Times New Roman" w:cs="Times New Roman"/>
          <w:sz w:val="24"/>
          <w:szCs w:val="24"/>
        </w:rPr>
        <w:t xml:space="preserve"> </w:t>
      </w:r>
      <w:r w:rsidR="00776E52">
        <w:rPr>
          <w:rFonts w:ascii="Times New Roman" w:hAnsi="Times New Roman" w:cs="Times New Roman"/>
          <w:sz w:val="24"/>
          <w:szCs w:val="24"/>
        </w:rPr>
        <w:t>&amp;</w:t>
      </w:r>
      <w:r w:rsidRPr="00BF0360">
        <w:rPr>
          <w:rFonts w:ascii="Times New Roman" w:hAnsi="Times New Roman" w:cs="Times New Roman"/>
          <w:sz w:val="24"/>
          <w:szCs w:val="24"/>
        </w:rPr>
        <w:t xml:space="preserve"> Kumar, K. (2012). Dry matter accumulation and nutrient uptake by Wheat (</w:t>
      </w:r>
      <w:r w:rsidRPr="00BF0360">
        <w:rPr>
          <w:rFonts w:ascii="Times New Roman" w:hAnsi="Times New Roman" w:cs="Times New Roman"/>
          <w:i/>
          <w:sz w:val="24"/>
          <w:szCs w:val="24"/>
        </w:rPr>
        <w:t>Triticum</w:t>
      </w:r>
      <w:r w:rsidR="00776E52">
        <w:rPr>
          <w:rFonts w:ascii="Times New Roman" w:hAnsi="Times New Roman" w:cs="Times New Roman"/>
          <w:i/>
          <w:sz w:val="24"/>
          <w:szCs w:val="24"/>
        </w:rPr>
        <w:t xml:space="preserve"> </w:t>
      </w:r>
      <w:r w:rsidRPr="00BF0360">
        <w:rPr>
          <w:rFonts w:ascii="Times New Roman" w:hAnsi="Times New Roman" w:cs="Times New Roman"/>
          <w:i/>
          <w:sz w:val="24"/>
          <w:szCs w:val="24"/>
        </w:rPr>
        <w:t>aestivum</w:t>
      </w:r>
      <w:r w:rsidRPr="00BF0360">
        <w:rPr>
          <w:rFonts w:ascii="Times New Roman" w:hAnsi="Times New Roman" w:cs="Times New Roman"/>
          <w:sz w:val="24"/>
          <w:szCs w:val="24"/>
        </w:rPr>
        <w:t xml:space="preserve"> L.) under Poplar (</w:t>
      </w:r>
      <w:r w:rsidRPr="00BF0360">
        <w:rPr>
          <w:rFonts w:ascii="Times New Roman" w:hAnsi="Times New Roman" w:cs="Times New Roman"/>
          <w:i/>
          <w:sz w:val="24"/>
          <w:szCs w:val="24"/>
        </w:rPr>
        <w:t>Populus</w:t>
      </w:r>
      <w:r w:rsidR="00776E52">
        <w:rPr>
          <w:rFonts w:ascii="Times New Roman" w:hAnsi="Times New Roman" w:cs="Times New Roman"/>
          <w:i/>
          <w:sz w:val="24"/>
          <w:szCs w:val="24"/>
        </w:rPr>
        <w:t xml:space="preserve"> </w:t>
      </w:r>
      <w:r w:rsidRPr="00BF0360">
        <w:rPr>
          <w:rFonts w:ascii="Times New Roman" w:hAnsi="Times New Roman" w:cs="Times New Roman"/>
          <w:i/>
          <w:sz w:val="24"/>
          <w:szCs w:val="24"/>
        </w:rPr>
        <w:t>deltoides</w:t>
      </w:r>
      <w:r w:rsidRPr="00BF0360">
        <w:rPr>
          <w:rFonts w:ascii="Times New Roman" w:hAnsi="Times New Roman" w:cs="Times New Roman"/>
          <w:sz w:val="24"/>
          <w:szCs w:val="24"/>
        </w:rPr>
        <w:t xml:space="preserve">) based agroforestry system. </w:t>
      </w:r>
      <w:r w:rsidRPr="00BF0360">
        <w:rPr>
          <w:rFonts w:ascii="Times New Roman" w:hAnsi="Times New Roman" w:cs="Times New Roman"/>
          <w:i/>
          <w:sz w:val="24"/>
          <w:szCs w:val="24"/>
        </w:rPr>
        <w:t>Agronomy</w:t>
      </w:r>
      <w:r w:rsidRPr="00BF0360">
        <w:rPr>
          <w:rFonts w:ascii="Times New Roman" w:hAnsi="Times New Roman" w:cs="Times New Roman"/>
          <w:sz w:val="24"/>
          <w:szCs w:val="24"/>
        </w:rPr>
        <w:t>, 359673.</w:t>
      </w:r>
    </w:p>
    <w:p w14:paraId="655A5ED7" w14:textId="3669EEB6" w:rsidR="001F6F23" w:rsidRPr="00BF0360" w:rsidRDefault="00C86578" w:rsidP="00093765">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USDA.</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 xml:space="preserve">National Agricultural Statistics Service. (2024). 2022 census of agriculture, </w:t>
      </w:r>
      <w:r w:rsidR="001F6F23" w:rsidRPr="00BF0360">
        <w:rPr>
          <w:rFonts w:ascii="Times New Roman" w:hAnsi="Times New Roman" w:cs="Times New Roman"/>
          <w:sz w:val="24"/>
          <w:szCs w:val="24"/>
        </w:rPr>
        <w:t>United States 836 summary and state data</w:t>
      </w:r>
      <w:r w:rsidR="00776E52">
        <w:rPr>
          <w:rFonts w:ascii="Times New Roman" w:hAnsi="Times New Roman" w:cs="Times New Roman"/>
          <w:sz w:val="24"/>
          <w:szCs w:val="24"/>
        </w:rPr>
        <w:t>.</w:t>
      </w:r>
    </w:p>
    <w:p w14:paraId="56F55B9C" w14:textId="1C040624" w:rsidR="00093765" w:rsidRPr="00776E52" w:rsidRDefault="00093765" w:rsidP="00093765">
      <w:pPr>
        <w:ind w:left="720" w:hanging="720"/>
        <w:jc w:val="both"/>
        <w:rPr>
          <w:rFonts w:ascii="Times New Roman" w:hAnsi="Times New Roman" w:cs="Times New Roman"/>
          <w:bCs/>
          <w:i/>
          <w:sz w:val="24"/>
          <w:szCs w:val="24"/>
          <w:lang w:val="en-US"/>
        </w:rPr>
      </w:pPr>
      <w:r w:rsidRPr="00BF0360">
        <w:rPr>
          <w:rFonts w:ascii="Times New Roman" w:hAnsi="Times New Roman" w:cs="Times New Roman"/>
          <w:sz w:val="24"/>
          <w:szCs w:val="24"/>
          <w:lang w:val="en-US"/>
        </w:rPr>
        <w:t>Manikant, P. (2002). Differential reaction of some wheat genotype to boron stress in calcareous soils.</w:t>
      </w:r>
      <w:r w:rsidR="00776E52">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 xml:space="preserve">(M.Sc Thesis). Department of Soil Science </w:t>
      </w:r>
      <w:r w:rsidRPr="00776E52">
        <w:rPr>
          <w:rFonts w:ascii="Times New Roman" w:hAnsi="Times New Roman" w:cs="Times New Roman"/>
          <w:bCs/>
          <w:i/>
          <w:sz w:val="24"/>
          <w:szCs w:val="24"/>
          <w:lang w:val="en-US"/>
        </w:rPr>
        <w:t>RAU, Pusa, Bihar</w:t>
      </w:r>
    </w:p>
    <w:p w14:paraId="1DC85307" w14:textId="7EE91D59" w:rsidR="00093765" w:rsidRPr="00BF0360" w:rsidRDefault="0041405F" w:rsidP="00093765">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lastRenderedPageBreak/>
        <w:t>Warington, K. (1923). The effect of boric acid and borax on the broad bean and certain other plants.</w:t>
      </w:r>
      <w:r w:rsidR="00776E52">
        <w:rPr>
          <w:rFonts w:ascii="Times New Roman" w:hAnsi="Times New Roman" w:cs="Times New Roman"/>
          <w:sz w:val="24"/>
          <w:szCs w:val="24"/>
        </w:rPr>
        <w:t xml:space="preserve"> </w:t>
      </w:r>
      <w:r w:rsidRPr="00BF0360">
        <w:rPr>
          <w:rFonts w:ascii="Times New Roman" w:hAnsi="Times New Roman" w:cs="Times New Roman"/>
          <w:i/>
          <w:sz w:val="24"/>
          <w:szCs w:val="24"/>
        </w:rPr>
        <w:t>Annals of Botany</w:t>
      </w:r>
      <w:r w:rsidRPr="00BF0360">
        <w:rPr>
          <w:rFonts w:ascii="Times New Roman" w:hAnsi="Times New Roman" w:cs="Times New Roman"/>
          <w:sz w:val="24"/>
          <w:szCs w:val="24"/>
        </w:rPr>
        <w:t>, 37(148), 629-672.</w:t>
      </w:r>
    </w:p>
    <w:p w14:paraId="292607D7" w14:textId="77777777" w:rsidR="00C44899" w:rsidRPr="00BF0360" w:rsidRDefault="0041405F"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 xml:space="preserve">Wimmer, M.A., Abreu, I., Bell, R.W., Bienert, M.D., Brown, P.H., Dell, B., and Bienert, G.P. (2019). Boron: an essential element for vascular plants. </w:t>
      </w:r>
      <w:r w:rsidRPr="00BF0360">
        <w:rPr>
          <w:rFonts w:ascii="Times New Roman" w:hAnsi="Times New Roman" w:cs="Times New Roman"/>
          <w:i/>
          <w:sz w:val="24"/>
          <w:szCs w:val="24"/>
        </w:rPr>
        <w:t>New Phytol</w:t>
      </w:r>
      <w:r w:rsidRPr="00BF0360">
        <w:rPr>
          <w:rFonts w:ascii="Times New Roman" w:hAnsi="Times New Roman" w:cs="Times New Roman"/>
          <w:sz w:val="24"/>
          <w:szCs w:val="24"/>
        </w:rPr>
        <w:t>, 226(5), 1232-1237.</w:t>
      </w:r>
    </w:p>
    <w:p w14:paraId="330783D8" w14:textId="69BFD206" w:rsidR="0041405F" w:rsidRDefault="002E21DF"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Shorrocks, V.</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M. (1997). The occurrence and correction of boron deficiency.</w:t>
      </w:r>
      <w:r w:rsidR="00776E52">
        <w:rPr>
          <w:rFonts w:ascii="Times New Roman" w:hAnsi="Times New Roman" w:cs="Times New Roman"/>
          <w:sz w:val="24"/>
          <w:szCs w:val="24"/>
        </w:rPr>
        <w:t xml:space="preserve"> </w:t>
      </w:r>
      <w:r w:rsidRPr="00BF0360">
        <w:rPr>
          <w:rFonts w:ascii="Times New Roman" w:hAnsi="Times New Roman" w:cs="Times New Roman"/>
          <w:i/>
          <w:sz w:val="24"/>
          <w:szCs w:val="24"/>
        </w:rPr>
        <w:t>Plant and soil</w:t>
      </w:r>
      <w:r w:rsidRPr="00BF0360">
        <w:rPr>
          <w:rFonts w:ascii="Times New Roman" w:hAnsi="Times New Roman" w:cs="Times New Roman"/>
          <w:sz w:val="24"/>
          <w:szCs w:val="24"/>
        </w:rPr>
        <w:t>, 193(1), 121-148.</w:t>
      </w:r>
    </w:p>
    <w:p w14:paraId="2A896867" w14:textId="2271D0FB" w:rsidR="009460AA" w:rsidRDefault="004B3A05" w:rsidP="00B834AA">
      <w:pPr>
        <w:ind w:left="720" w:hanging="720"/>
        <w:jc w:val="both"/>
        <w:rPr>
          <w:rFonts w:ascii="Times New Roman" w:hAnsi="Times New Roman" w:cs="Times New Roman"/>
          <w:sz w:val="24"/>
          <w:szCs w:val="24"/>
        </w:rPr>
      </w:pPr>
      <w:r w:rsidRPr="004B3A05">
        <w:rPr>
          <w:rFonts w:ascii="Times New Roman" w:hAnsi="Times New Roman" w:cs="Times New Roman"/>
          <w:sz w:val="24"/>
          <w:szCs w:val="24"/>
        </w:rPr>
        <w:t>Mehboob, N., Hussain, M., Minhas, W.</w:t>
      </w:r>
      <w:r w:rsidR="00776E52">
        <w:rPr>
          <w:rFonts w:ascii="Times New Roman" w:hAnsi="Times New Roman" w:cs="Times New Roman"/>
          <w:sz w:val="24"/>
          <w:szCs w:val="24"/>
        </w:rPr>
        <w:t xml:space="preserve"> </w:t>
      </w:r>
      <w:r w:rsidRPr="004B3A05">
        <w:rPr>
          <w:rFonts w:ascii="Times New Roman" w:hAnsi="Times New Roman" w:cs="Times New Roman"/>
          <w:sz w:val="24"/>
          <w:szCs w:val="24"/>
        </w:rPr>
        <w:t>A., Yasir, T.</w:t>
      </w:r>
      <w:r w:rsidR="00776E52">
        <w:rPr>
          <w:rFonts w:ascii="Times New Roman" w:hAnsi="Times New Roman" w:cs="Times New Roman"/>
          <w:sz w:val="24"/>
          <w:szCs w:val="24"/>
        </w:rPr>
        <w:t xml:space="preserve"> </w:t>
      </w:r>
      <w:r w:rsidRPr="004B3A05">
        <w:rPr>
          <w:rFonts w:ascii="Times New Roman" w:hAnsi="Times New Roman" w:cs="Times New Roman"/>
          <w:sz w:val="24"/>
          <w:szCs w:val="24"/>
        </w:rPr>
        <w:t>A., Naveed,</w:t>
      </w:r>
      <w:r w:rsidR="00B834AA">
        <w:rPr>
          <w:rFonts w:ascii="Times New Roman" w:hAnsi="Times New Roman" w:cs="Times New Roman"/>
          <w:sz w:val="24"/>
          <w:szCs w:val="24"/>
        </w:rPr>
        <w:t xml:space="preserve"> M., Farooq, S., Alfarraj, S.</w:t>
      </w:r>
      <w:r w:rsidR="00776E52">
        <w:rPr>
          <w:rFonts w:ascii="Times New Roman" w:hAnsi="Times New Roman" w:cs="Times New Roman"/>
          <w:sz w:val="24"/>
          <w:szCs w:val="24"/>
        </w:rPr>
        <w:t>,</w:t>
      </w:r>
      <w:r w:rsidR="00B834AA">
        <w:rPr>
          <w:rFonts w:ascii="Times New Roman" w:hAnsi="Times New Roman" w:cs="Times New Roman"/>
          <w:sz w:val="24"/>
          <w:szCs w:val="24"/>
        </w:rPr>
        <w:t xml:space="preserve"> </w:t>
      </w:r>
      <w:r w:rsidR="00776E52">
        <w:rPr>
          <w:rFonts w:ascii="Times New Roman" w:hAnsi="Times New Roman" w:cs="Times New Roman"/>
          <w:sz w:val="24"/>
          <w:szCs w:val="24"/>
        </w:rPr>
        <w:t>&amp;</w:t>
      </w:r>
      <w:r w:rsidR="00B834AA">
        <w:rPr>
          <w:rFonts w:ascii="Times New Roman" w:hAnsi="Times New Roman" w:cs="Times New Roman"/>
          <w:sz w:val="24"/>
          <w:szCs w:val="24"/>
        </w:rPr>
        <w:t xml:space="preserve"> Zuan, A.</w:t>
      </w:r>
      <w:r w:rsidR="00776E52">
        <w:rPr>
          <w:rFonts w:ascii="Times New Roman" w:hAnsi="Times New Roman" w:cs="Times New Roman"/>
          <w:sz w:val="24"/>
          <w:szCs w:val="24"/>
        </w:rPr>
        <w:t xml:space="preserve"> </w:t>
      </w:r>
      <w:r w:rsidRPr="004B3A05">
        <w:rPr>
          <w:rFonts w:ascii="Times New Roman" w:hAnsi="Times New Roman" w:cs="Times New Roman"/>
          <w:sz w:val="24"/>
          <w:szCs w:val="24"/>
        </w:rPr>
        <w:t>T.</w:t>
      </w:r>
      <w:r w:rsidR="00776E52">
        <w:rPr>
          <w:rFonts w:ascii="Times New Roman" w:hAnsi="Times New Roman" w:cs="Times New Roman"/>
          <w:sz w:val="24"/>
          <w:szCs w:val="24"/>
        </w:rPr>
        <w:t xml:space="preserve"> </w:t>
      </w:r>
      <w:r w:rsidRPr="004B3A05">
        <w:rPr>
          <w:rFonts w:ascii="Times New Roman" w:hAnsi="Times New Roman" w:cs="Times New Roman"/>
          <w:sz w:val="24"/>
          <w:szCs w:val="24"/>
        </w:rPr>
        <w:t>K. (2021). Soil-Applied Boron Combined with Boron-Tolerant Bacteria (</w:t>
      </w:r>
      <w:r w:rsidRPr="004B3A05">
        <w:rPr>
          <w:rFonts w:ascii="Times New Roman" w:hAnsi="Times New Roman" w:cs="Times New Roman"/>
          <w:i/>
          <w:iCs/>
          <w:sz w:val="24"/>
          <w:szCs w:val="24"/>
        </w:rPr>
        <w:t>Bacillus</w:t>
      </w:r>
      <w:r w:rsidRPr="004B3A05">
        <w:rPr>
          <w:rFonts w:ascii="Times New Roman" w:hAnsi="Times New Roman" w:cs="Times New Roman"/>
          <w:sz w:val="24"/>
          <w:szCs w:val="24"/>
        </w:rPr>
        <w:t> sp. MN54) Improve Root Proliferation and Nodulation, Yield and Agronomic Grain Biofortification of Chickpea (</w:t>
      </w:r>
      <w:r w:rsidRPr="004B3A05">
        <w:rPr>
          <w:rFonts w:ascii="Times New Roman" w:hAnsi="Times New Roman" w:cs="Times New Roman"/>
          <w:i/>
          <w:iCs/>
          <w:sz w:val="24"/>
          <w:szCs w:val="24"/>
        </w:rPr>
        <w:t>Cicer arietinum</w:t>
      </w:r>
      <w:r w:rsidRPr="004B3A05">
        <w:rPr>
          <w:rFonts w:ascii="Times New Roman" w:hAnsi="Times New Roman" w:cs="Times New Roman"/>
          <w:sz w:val="24"/>
          <w:szCs w:val="24"/>
        </w:rPr>
        <w:t> L.). </w:t>
      </w:r>
      <w:r w:rsidRPr="004B3A05">
        <w:rPr>
          <w:rFonts w:ascii="Times New Roman" w:hAnsi="Times New Roman" w:cs="Times New Roman"/>
          <w:i/>
          <w:iCs/>
          <w:sz w:val="24"/>
          <w:szCs w:val="24"/>
        </w:rPr>
        <w:t>Sustainability</w:t>
      </w:r>
      <w:r w:rsidRPr="004B3A05">
        <w:rPr>
          <w:rFonts w:ascii="Times New Roman" w:hAnsi="Times New Roman" w:cs="Times New Roman"/>
          <w:sz w:val="24"/>
          <w:szCs w:val="24"/>
        </w:rPr>
        <w:t>, </w:t>
      </w:r>
      <w:r w:rsidRPr="00B834AA">
        <w:rPr>
          <w:rFonts w:ascii="Times New Roman" w:hAnsi="Times New Roman" w:cs="Times New Roman"/>
          <w:iCs/>
          <w:sz w:val="24"/>
          <w:szCs w:val="24"/>
        </w:rPr>
        <w:t>13</w:t>
      </w:r>
      <w:r w:rsidRPr="00B834AA">
        <w:rPr>
          <w:rFonts w:ascii="Times New Roman" w:hAnsi="Times New Roman" w:cs="Times New Roman"/>
          <w:sz w:val="24"/>
          <w:szCs w:val="24"/>
        </w:rPr>
        <w:t>(</w:t>
      </w:r>
      <w:r w:rsidRPr="004B3A05">
        <w:rPr>
          <w:rFonts w:ascii="Times New Roman" w:hAnsi="Times New Roman" w:cs="Times New Roman"/>
          <w:sz w:val="24"/>
          <w:szCs w:val="24"/>
        </w:rPr>
        <w:t>17), 9811. https://doi.org/10.3390/su13179811</w:t>
      </w:r>
    </w:p>
    <w:p w14:paraId="76D69727" w14:textId="13FB7A66" w:rsidR="00B834AA" w:rsidRDefault="003038B4" w:rsidP="00B834AA">
      <w:pPr>
        <w:ind w:left="720" w:hanging="720"/>
        <w:jc w:val="both"/>
        <w:rPr>
          <w:rFonts w:ascii="Times New Roman" w:hAnsi="Times New Roman" w:cs="Times New Roman"/>
          <w:sz w:val="24"/>
          <w:szCs w:val="24"/>
        </w:rPr>
      </w:pPr>
      <w:r w:rsidRPr="003038B4">
        <w:rPr>
          <w:rFonts w:ascii="Times New Roman" w:hAnsi="Times New Roman" w:cs="Times New Roman"/>
          <w:sz w:val="24"/>
          <w:szCs w:val="24"/>
        </w:rPr>
        <w:t>Zhao, Z., Wang, Y., Shi, J., Wa</w:t>
      </w:r>
      <w:r>
        <w:rPr>
          <w:rFonts w:ascii="Times New Roman" w:hAnsi="Times New Roman" w:cs="Times New Roman"/>
          <w:sz w:val="24"/>
          <w:szCs w:val="24"/>
        </w:rPr>
        <w:t>ng, S., White, P.</w:t>
      </w:r>
      <w:r w:rsidR="00E2351D">
        <w:rPr>
          <w:rFonts w:ascii="Times New Roman" w:hAnsi="Times New Roman" w:cs="Times New Roman"/>
          <w:sz w:val="24"/>
          <w:szCs w:val="24"/>
        </w:rPr>
        <w:t xml:space="preserve"> </w:t>
      </w:r>
      <w:r>
        <w:rPr>
          <w:rFonts w:ascii="Times New Roman" w:hAnsi="Times New Roman" w:cs="Times New Roman"/>
          <w:sz w:val="24"/>
          <w:szCs w:val="24"/>
        </w:rPr>
        <w:t>J., Shi, L.</w:t>
      </w:r>
      <w:r w:rsidR="00E2351D">
        <w:rPr>
          <w:rFonts w:ascii="Times New Roman" w:hAnsi="Times New Roman" w:cs="Times New Roman"/>
          <w:sz w:val="24"/>
          <w:szCs w:val="24"/>
        </w:rPr>
        <w:t>,</w:t>
      </w:r>
      <w:r>
        <w:rPr>
          <w:rFonts w:ascii="Times New Roman" w:hAnsi="Times New Roman" w:cs="Times New Roman"/>
          <w:sz w:val="24"/>
          <w:szCs w:val="24"/>
        </w:rPr>
        <w:t xml:space="preserve"> </w:t>
      </w:r>
      <w:r w:rsidR="00E2351D">
        <w:rPr>
          <w:rFonts w:ascii="Times New Roman" w:hAnsi="Times New Roman" w:cs="Times New Roman"/>
          <w:sz w:val="24"/>
          <w:szCs w:val="24"/>
        </w:rPr>
        <w:t>&amp;</w:t>
      </w:r>
      <w:r w:rsidRPr="003038B4">
        <w:rPr>
          <w:rFonts w:ascii="Times New Roman" w:hAnsi="Times New Roman" w:cs="Times New Roman"/>
          <w:sz w:val="24"/>
          <w:szCs w:val="24"/>
        </w:rPr>
        <w:t xml:space="preserve"> Xu, F. (2021). Effect of balanced application of boron and phosphorus fertilizers on soil bacterial community, seed yield and phosphorus use efficiency of Brassica napus. </w:t>
      </w:r>
      <w:r w:rsidRPr="003038B4">
        <w:rPr>
          <w:rFonts w:ascii="Times New Roman" w:hAnsi="Times New Roman" w:cs="Times New Roman"/>
          <w:i/>
          <w:iCs/>
          <w:sz w:val="24"/>
          <w:szCs w:val="24"/>
        </w:rPr>
        <w:t>Science of the total environment</w:t>
      </w:r>
      <w:r w:rsidRPr="003038B4">
        <w:rPr>
          <w:rFonts w:ascii="Times New Roman" w:hAnsi="Times New Roman" w:cs="Times New Roman"/>
          <w:sz w:val="24"/>
          <w:szCs w:val="24"/>
        </w:rPr>
        <w:t>, </w:t>
      </w:r>
      <w:r w:rsidRPr="003038B4">
        <w:rPr>
          <w:rFonts w:ascii="Times New Roman" w:hAnsi="Times New Roman" w:cs="Times New Roman"/>
          <w:i/>
          <w:iCs/>
          <w:sz w:val="24"/>
          <w:szCs w:val="24"/>
        </w:rPr>
        <w:t>751</w:t>
      </w:r>
      <w:r w:rsidRPr="003038B4">
        <w:rPr>
          <w:rFonts w:ascii="Times New Roman" w:hAnsi="Times New Roman" w:cs="Times New Roman"/>
          <w:sz w:val="24"/>
          <w:szCs w:val="24"/>
        </w:rPr>
        <w:t>, 141644.</w:t>
      </w:r>
    </w:p>
    <w:p w14:paraId="3BB7B8A2" w14:textId="325E0F26" w:rsidR="0025362A" w:rsidRDefault="0025362A" w:rsidP="00B834AA">
      <w:pPr>
        <w:ind w:left="720" w:hanging="720"/>
        <w:jc w:val="both"/>
        <w:rPr>
          <w:rFonts w:ascii="Times New Roman" w:hAnsi="Times New Roman" w:cs="Times New Roman"/>
          <w:sz w:val="24"/>
          <w:szCs w:val="24"/>
        </w:rPr>
      </w:pPr>
      <w:r w:rsidRPr="0025362A">
        <w:rPr>
          <w:rFonts w:ascii="Times New Roman" w:hAnsi="Times New Roman" w:cs="Times New Roman"/>
          <w:sz w:val="24"/>
          <w:szCs w:val="24"/>
        </w:rPr>
        <w:t>Vera-Maldonado, P., Aquea, F., Reyes-Díaz, M., Cárcamo-Fincheira, P., Soto-Cerda, B., Nunes-Nesi, A., &amp; Inostroza-Blancheteau, C. (2024). Role of boron and its interaction with other elements in plants. </w:t>
      </w:r>
      <w:r w:rsidRPr="0025362A">
        <w:rPr>
          <w:rFonts w:ascii="Times New Roman" w:hAnsi="Times New Roman" w:cs="Times New Roman"/>
          <w:i/>
          <w:iCs/>
          <w:sz w:val="24"/>
          <w:szCs w:val="24"/>
        </w:rPr>
        <w:t>Frontiers in Plant Science</w:t>
      </w:r>
      <w:r w:rsidRPr="0025362A">
        <w:rPr>
          <w:rFonts w:ascii="Times New Roman" w:hAnsi="Times New Roman" w:cs="Times New Roman"/>
          <w:sz w:val="24"/>
          <w:szCs w:val="24"/>
        </w:rPr>
        <w:t>, </w:t>
      </w:r>
      <w:r w:rsidRPr="0025362A">
        <w:rPr>
          <w:rFonts w:ascii="Times New Roman" w:hAnsi="Times New Roman" w:cs="Times New Roman"/>
          <w:i/>
          <w:iCs/>
          <w:sz w:val="24"/>
          <w:szCs w:val="24"/>
        </w:rPr>
        <w:t>15</w:t>
      </w:r>
      <w:r w:rsidRPr="0025362A">
        <w:rPr>
          <w:rFonts w:ascii="Times New Roman" w:hAnsi="Times New Roman" w:cs="Times New Roman"/>
          <w:sz w:val="24"/>
          <w:szCs w:val="24"/>
        </w:rPr>
        <w:t>, 1332459.</w:t>
      </w:r>
    </w:p>
    <w:p w14:paraId="4ADA790F" w14:textId="2B724138" w:rsidR="00610A06" w:rsidRDefault="00610A06" w:rsidP="00B834AA">
      <w:pPr>
        <w:ind w:left="720" w:hanging="720"/>
        <w:jc w:val="both"/>
        <w:rPr>
          <w:rFonts w:ascii="Times New Roman" w:hAnsi="Times New Roman" w:cs="Times New Roman"/>
          <w:sz w:val="24"/>
          <w:szCs w:val="24"/>
        </w:rPr>
      </w:pPr>
      <w:r>
        <w:rPr>
          <w:rFonts w:ascii="Times New Roman" w:hAnsi="Times New Roman" w:cs="Times New Roman"/>
          <w:sz w:val="24"/>
          <w:szCs w:val="24"/>
        </w:rPr>
        <w:t>Laik, R.,</w:t>
      </w:r>
      <w:r w:rsidRPr="00610A06">
        <w:rPr>
          <w:rFonts w:ascii="Times New Roman" w:hAnsi="Times New Roman" w:cs="Times New Roman"/>
          <w:sz w:val="24"/>
          <w:szCs w:val="24"/>
        </w:rPr>
        <w:t xml:space="preserve"> Singh, S.</w:t>
      </w:r>
      <w:r>
        <w:rPr>
          <w:rFonts w:ascii="Times New Roman" w:hAnsi="Times New Roman" w:cs="Times New Roman"/>
          <w:sz w:val="24"/>
          <w:szCs w:val="24"/>
        </w:rPr>
        <w:t xml:space="preserve"> </w:t>
      </w:r>
      <w:r w:rsidRPr="00610A06">
        <w:rPr>
          <w:rFonts w:ascii="Times New Roman" w:hAnsi="Times New Roman" w:cs="Times New Roman"/>
          <w:sz w:val="24"/>
          <w:szCs w:val="24"/>
        </w:rPr>
        <w:t>K.</w:t>
      </w:r>
      <w:r>
        <w:rPr>
          <w:rFonts w:ascii="Times New Roman" w:hAnsi="Times New Roman" w:cs="Times New Roman"/>
          <w:sz w:val="24"/>
          <w:szCs w:val="24"/>
        </w:rPr>
        <w:t>, Pramanick, B.,</w:t>
      </w:r>
      <w:r w:rsidRPr="00610A06">
        <w:rPr>
          <w:rFonts w:ascii="Times New Roman" w:hAnsi="Times New Roman" w:cs="Times New Roman"/>
          <w:sz w:val="24"/>
          <w:szCs w:val="24"/>
        </w:rPr>
        <w:t xml:space="preserve"> Kumari, V.</w:t>
      </w:r>
      <w:r>
        <w:rPr>
          <w:rFonts w:ascii="Times New Roman" w:hAnsi="Times New Roman" w:cs="Times New Roman"/>
          <w:sz w:val="24"/>
          <w:szCs w:val="24"/>
        </w:rPr>
        <w:t>, Nath, D.,</w:t>
      </w:r>
      <w:r w:rsidRPr="00610A06">
        <w:rPr>
          <w:rFonts w:ascii="Times New Roman" w:hAnsi="Times New Roman" w:cs="Times New Roman"/>
          <w:sz w:val="24"/>
          <w:szCs w:val="24"/>
        </w:rPr>
        <w:t xml:space="preserve"> Dessoky, E.</w:t>
      </w:r>
      <w:r>
        <w:rPr>
          <w:rFonts w:ascii="Times New Roman" w:hAnsi="Times New Roman" w:cs="Times New Roman"/>
          <w:sz w:val="24"/>
          <w:szCs w:val="24"/>
        </w:rPr>
        <w:t xml:space="preserve"> S., </w:t>
      </w:r>
      <w:r w:rsidRPr="00610A06">
        <w:rPr>
          <w:rFonts w:ascii="Times New Roman" w:hAnsi="Times New Roman" w:cs="Times New Roman"/>
          <w:sz w:val="24"/>
          <w:szCs w:val="24"/>
        </w:rPr>
        <w:t>Attia, A.</w:t>
      </w:r>
      <w:r>
        <w:rPr>
          <w:rFonts w:ascii="Times New Roman" w:hAnsi="Times New Roman" w:cs="Times New Roman"/>
          <w:sz w:val="24"/>
          <w:szCs w:val="24"/>
        </w:rPr>
        <w:t xml:space="preserve"> </w:t>
      </w:r>
      <w:r w:rsidRPr="00610A06">
        <w:rPr>
          <w:rFonts w:ascii="Times New Roman" w:hAnsi="Times New Roman" w:cs="Times New Roman"/>
          <w:sz w:val="24"/>
          <w:szCs w:val="24"/>
        </w:rPr>
        <w:t>O.</w:t>
      </w:r>
      <w:r>
        <w:rPr>
          <w:rFonts w:ascii="Times New Roman" w:hAnsi="Times New Roman" w:cs="Times New Roman"/>
          <w:sz w:val="24"/>
          <w:szCs w:val="24"/>
        </w:rPr>
        <w:t>,</w:t>
      </w:r>
      <w:r w:rsidRPr="00610A06">
        <w:rPr>
          <w:rFonts w:ascii="Times New Roman" w:hAnsi="Times New Roman" w:cs="Times New Roman"/>
          <w:sz w:val="24"/>
          <w:szCs w:val="24"/>
        </w:rPr>
        <w:t xml:space="preserve"> Hassan, M.</w:t>
      </w:r>
      <w:r>
        <w:rPr>
          <w:rFonts w:ascii="Times New Roman" w:hAnsi="Times New Roman" w:cs="Times New Roman"/>
          <w:sz w:val="24"/>
          <w:szCs w:val="24"/>
        </w:rPr>
        <w:t xml:space="preserve"> M., &amp;</w:t>
      </w:r>
      <w:r w:rsidRPr="00610A06">
        <w:rPr>
          <w:rFonts w:ascii="Times New Roman" w:hAnsi="Times New Roman" w:cs="Times New Roman"/>
          <w:sz w:val="24"/>
          <w:szCs w:val="24"/>
        </w:rPr>
        <w:t xml:space="preserve"> Hossain, A.</w:t>
      </w:r>
      <w:r>
        <w:rPr>
          <w:rFonts w:ascii="Times New Roman" w:hAnsi="Times New Roman" w:cs="Times New Roman"/>
          <w:sz w:val="24"/>
          <w:szCs w:val="24"/>
        </w:rPr>
        <w:t xml:space="preserve"> (2021).</w:t>
      </w:r>
      <w:r w:rsidRPr="00610A06">
        <w:rPr>
          <w:rFonts w:ascii="Times New Roman" w:hAnsi="Times New Roman" w:cs="Times New Roman"/>
          <w:sz w:val="24"/>
          <w:szCs w:val="24"/>
        </w:rPr>
        <w:t xml:space="preserve"> Improved Method of Boron Fertilization in Rice (</w:t>
      </w:r>
      <w:r w:rsidRPr="00610A06">
        <w:rPr>
          <w:rFonts w:ascii="Times New Roman" w:hAnsi="Times New Roman" w:cs="Times New Roman"/>
          <w:i/>
          <w:sz w:val="24"/>
          <w:szCs w:val="24"/>
        </w:rPr>
        <w:t>Oryza sativa</w:t>
      </w:r>
      <w:r>
        <w:rPr>
          <w:rFonts w:ascii="Times New Roman" w:hAnsi="Times New Roman" w:cs="Times New Roman"/>
          <w:sz w:val="24"/>
          <w:szCs w:val="24"/>
        </w:rPr>
        <w:t xml:space="preserve"> L.) </w:t>
      </w:r>
      <w:r w:rsidRPr="00610A06">
        <w:rPr>
          <w:rFonts w:ascii="Times New Roman" w:hAnsi="Times New Roman" w:cs="Times New Roman"/>
          <w:sz w:val="24"/>
          <w:szCs w:val="24"/>
        </w:rPr>
        <w:t>Mustard (</w:t>
      </w:r>
      <w:r w:rsidRPr="00610A06">
        <w:rPr>
          <w:rFonts w:ascii="Times New Roman" w:hAnsi="Times New Roman" w:cs="Times New Roman"/>
          <w:i/>
          <w:sz w:val="24"/>
          <w:szCs w:val="24"/>
        </w:rPr>
        <w:t>Brassica juncea</w:t>
      </w:r>
      <w:r w:rsidRPr="00610A06">
        <w:rPr>
          <w:rFonts w:ascii="Times New Roman" w:hAnsi="Times New Roman" w:cs="Times New Roman"/>
          <w:sz w:val="24"/>
          <w:szCs w:val="24"/>
        </w:rPr>
        <w:t xml:space="preserve"> L.) Cropping System in Upland Calcareous Soils. </w:t>
      </w:r>
      <w:r w:rsidRPr="00610A06">
        <w:rPr>
          <w:rFonts w:ascii="Times New Roman" w:hAnsi="Times New Roman" w:cs="Times New Roman"/>
          <w:i/>
          <w:sz w:val="24"/>
          <w:szCs w:val="24"/>
        </w:rPr>
        <w:t>Sustainability</w:t>
      </w:r>
      <w:r>
        <w:rPr>
          <w:rFonts w:ascii="Times New Roman" w:hAnsi="Times New Roman" w:cs="Times New Roman"/>
          <w:sz w:val="24"/>
          <w:szCs w:val="24"/>
        </w:rPr>
        <w:t>,</w:t>
      </w:r>
      <w:r w:rsidRPr="00610A06">
        <w:rPr>
          <w:rFonts w:ascii="Times New Roman" w:hAnsi="Times New Roman" w:cs="Times New Roman"/>
          <w:sz w:val="24"/>
          <w:szCs w:val="24"/>
        </w:rPr>
        <w:t xml:space="preserve"> 13, 5037. https://doi.org/10.3390/ su13095037</w:t>
      </w:r>
    </w:p>
    <w:p w14:paraId="67B0A8BE" w14:textId="4F391847" w:rsidR="004420DA" w:rsidRPr="00BF0360" w:rsidRDefault="004420DA" w:rsidP="00B834AA">
      <w:pPr>
        <w:ind w:left="720" w:hanging="720"/>
        <w:jc w:val="both"/>
        <w:rPr>
          <w:rFonts w:ascii="Times New Roman" w:hAnsi="Times New Roman" w:cs="Times New Roman"/>
          <w:sz w:val="24"/>
          <w:szCs w:val="24"/>
        </w:rPr>
      </w:pPr>
      <w:r w:rsidRPr="004420DA">
        <w:rPr>
          <w:rFonts w:ascii="Times New Roman" w:hAnsi="Times New Roman" w:cs="Times New Roman"/>
          <w:sz w:val="24"/>
          <w:szCs w:val="24"/>
        </w:rPr>
        <w:t>Huu, T. N., Giau, T. T. N., Ngan, P. N., Van, T. T. B., &amp; Khuong, N. Q. (2022). Potential of phosphorus solubilizing purple nonsulfur bacteria isolated from acid sulfate soil in improving soil property, nutrient uptake, and yield of pineapple (</w:t>
      </w:r>
      <w:r w:rsidRPr="004420DA">
        <w:rPr>
          <w:rFonts w:ascii="Times New Roman" w:hAnsi="Times New Roman" w:cs="Times New Roman"/>
          <w:i/>
          <w:sz w:val="24"/>
          <w:szCs w:val="24"/>
        </w:rPr>
        <w:t>Ananas comosus</w:t>
      </w:r>
      <w:r w:rsidRPr="004420DA">
        <w:rPr>
          <w:rFonts w:ascii="Times New Roman" w:hAnsi="Times New Roman" w:cs="Times New Roman"/>
          <w:sz w:val="24"/>
          <w:szCs w:val="24"/>
        </w:rPr>
        <w:t xml:space="preserve"> L. Merrill) under acidic stress. </w:t>
      </w:r>
      <w:r w:rsidRPr="004420DA">
        <w:rPr>
          <w:rFonts w:ascii="Times New Roman" w:hAnsi="Times New Roman" w:cs="Times New Roman"/>
          <w:i/>
          <w:iCs/>
          <w:sz w:val="24"/>
          <w:szCs w:val="24"/>
        </w:rPr>
        <w:t>Applied and Environmental Soil Science</w:t>
      </w:r>
      <w:r w:rsidRPr="004420DA">
        <w:rPr>
          <w:rFonts w:ascii="Times New Roman" w:hAnsi="Times New Roman" w:cs="Times New Roman"/>
          <w:sz w:val="24"/>
          <w:szCs w:val="24"/>
        </w:rPr>
        <w:t>, </w:t>
      </w:r>
      <w:r w:rsidRPr="004420DA">
        <w:rPr>
          <w:rFonts w:ascii="Times New Roman" w:hAnsi="Times New Roman" w:cs="Times New Roman"/>
          <w:i/>
          <w:iCs/>
          <w:sz w:val="24"/>
          <w:szCs w:val="24"/>
        </w:rPr>
        <w:t>2022</w:t>
      </w:r>
      <w:r w:rsidRPr="004420DA">
        <w:rPr>
          <w:rFonts w:ascii="Times New Roman" w:hAnsi="Times New Roman" w:cs="Times New Roman"/>
          <w:sz w:val="24"/>
          <w:szCs w:val="24"/>
        </w:rPr>
        <w:t>(1), 8693479.</w:t>
      </w:r>
    </w:p>
    <w:p w14:paraId="7476F9A7" w14:textId="77777777" w:rsidR="00487B76" w:rsidRPr="00BF0360" w:rsidRDefault="00487B76" w:rsidP="003038B4">
      <w:pPr>
        <w:rPr>
          <w:rFonts w:ascii="Times New Roman" w:hAnsi="Times New Roman" w:cs="Times New Roman"/>
          <w:sz w:val="24"/>
          <w:szCs w:val="24"/>
          <w:lang w:val="en-US"/>
        </w:rPr>
      </w:pPr>
    </w:p>
    <w:sectPr w:rsidR="00487B76" w:rsidRPr="00BF0360" w:rsidSect="00EF6570">
      <w:headerReference w:type="even" r:id="rId12"/>
      <w:headerReference w:type="default" r:id="rId13"/>
      <w:footerReference w:type="even" r:id="rId14"/>
      <w:footerReference w:type="default" r:id="rId15"/>
      <w:headerReference w:type="first" r:id="rId16"/>
      <w:footerReference w:type="first" r:id="rId17"/>
      <w:pgSz w:w="11909" w:h="16834" w:code="9"/>
      <w:pgMar w:top="1701" w:right="1134" w:bottom="1418" w:left="1985" w:header="720" w:footer="720"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925F7" w14:textId="77777777" w:rsidR="00DF09BB" w:rsidRDefault="00DF09BB" w:rsidP="00643314">
      <w:pPr>
        <w:spacing w:after="0" w:line="240" w:lineRule="auto"/>
      </w:pPr>
      <w:r>
        <w:separator/>
      </w:r>
    </w:p>
  </w:endnote>
  <w:endnote w:type="continuationSeparator" w:id="0">
    <w:p w14:paraId="7A9199C7" w14:textId="77777777" w:rsidR="00DF09BB" w:rsidRDefault="00DF09BB" w:rsidP="0064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E9EB6" w14:textId="77777777" w:rsidR="00AC738F" w:rsidRDefault="00AC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87832" w14:textId="77777777" w:rsidR="00AC738F" w:rsidRDefault="00AC7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736E7" w14:textId="77777777" w:rsidR="00AC738F" w:rsidRDefault="00AC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20E34" w14:textId="77777777" w:rsidR="00DF09BB" w:rsidRDefault="00DF09BB" w:rsidP="00643314">
      <w:pPr>
        <w:spacing w:after="0" w:line="240" w:lineRule="auto"/>
      </w:pPr>
      <w:r>
        <w:separator/>
      </w:r>
    </w:p>
  </w:footnote>
  <w:footnote w:type="continuationSeparator" w:id="0">
    <w:p w14:paraId="4BFE2A92" w14:textId="77777777" w:rsidR="00DF09BB" w:rsidRDefault="00DF09BB" w:rsidP="00643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96EFC" w14:textId="510ED3B2" w:rsidR="00AC738F" w:rsidRDefault="00000000">
    <w:pPr>
      <w:pStyle w:val="Header"/>
    </w:pPr>
    <w:r>
      <w:rPr>
        <w:noProof/>
      </w:rPr>
      <w:pict w14:anchorId="6DFAF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2" o:spid="_x0000_s1026"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F3BC" w14:textId="6AF8F09C" w:rsidR="00AC738F" w:rsidRDefault="00000000">
    <w:pPr>
      <w:pStyle w:val="Header"/>
    </w:pPr>
    <w:r>
      <w:rPr>
        <w:noProof/>
      </w:rPr>
      <w:pict w14:anchorId="7EBE7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3" o:spid="_x0000_s1027"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5188" w14:textId="18AB4BB4" w:rsidR="00AC738F" w:rsidRDefault="00000000">
    <w:pPr>
      <w:pStyle w:val="Header"/>
    </w:pPr>
    <w:r>
      <w:rPr>
        <w:noProof/>
      </w:rPr>
      <w:pict w14:anchorId="3CE42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1" o:spid="_x0000_s1025"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FF2"/>
    <w:rsid w:val="00013C2B"/>
    <w:rsid w:val="000858B6"/>
    <w:rsid w:val="00093765"/>
    <w:rsid w:val="000C5A7E"/>
    <w:rsid w:val="000D7332"/>
    <w:rsid w:val="00124D52"/>
    <w:rsid w:val="00151633"/>
    <w:rsid w:val="001A7D1D"/>
    <w:rsid w:val="001B5F7A"/>
    <w:rsid w:val="001C099A"/>
    <w:rsid w:val="001F6F23"/>
    <w:rsid w:val="002448CC"/>
    <w:rsid w:val="0025362A"/>
    <w:rsid w:val="00274C16"/>
    <w:rsid w:val="002B198F"/>
    <w:rsid w:val="002C3EDC"/>
    <w:rsid w:val="002E21DF"/>
    <w:rsid w:val="002F1658"/>
    <w:rsid w:val="003038B4"/>
    <w:rsid w:val="003205C7"/>
    <w:rsid w:val="00336CC1"/>
    <w:rsid w:val="00360C34"/>
    <w:rsid w:val="00387FF0"/>
    <w:rsid w:val="0041405F"/>
    <w:rsid w:val="00417A9A"/>
    <w:rsid w:val="004420DA"/>
    <w:rsid w:val="00487B76"/>
    <w:rsid w:val="004B3A05"/>
    <w:rsid w:val="004E00C1"/>
    <w:rsid w:val="004E01E1"/>
    <w:rsid w:val="004E1B02"/>
    <w:rsid w:val="00515137"/>
    <w:rsid w:val="00521A31"/>
    <w:rsid w:val="00551F25"/>
    <w:rsid w:val="00552C19"/>
    <w:rsid w:val="00567F62"/>
    <w:rsid w:val="005B3AA2"/>
    <w:rsid w:val="005E45F8"/>
    <w:rsid w:val="00610A06"/>
    <w:rsid w:val="00613ECA"/>
    <w:rsid w:val="0061676F"/>
    <w:rsid w:val="00633801"/>
    <w:rsid w:val="00643314"/>
    <w:rsid w:val="00655160"/>
    <w:rsid w:val="006B39C7"/>
    <w:rsid w:val="006D4BE4"/>
    <w:rsid w:val="00714E18"/>
    <w:rsid w:val="007474C5"/>
    <w:rsid w:val="00773CE9"/>
    <w:rsid w:val="00776E52"/>
    <w:rsid w:val="007A4876"/>
    <w:rsid w:val="008A15A4"/>
    <w:rsid w:val="008F01E9"/>
    <w:rsid w:val="009460AA"/>
    <w:rsid w:val="00982865"/>
    <w:rsid w:val="009A5B9A"/>
    <w:rsid w:val="009E4166"/>
    <w:rsid w:val="00A0096B"/>
    <w:rsid w:val="00A17DCA"/>
    <w:rsid w:val="00A276C7"/>
    <w:rsid w:val="00AC738F"/>
    <w:rsid w:val="00AD6076"/>
    <w:rsid w:val="00AE12ED"/>
    <w:rsid w:val="00AE7F2C"/>
    <w:rsid w:val="00AF2866"/>
    <w:rsid w:val="00B06B76"/>
    <w:rsid w:val="00B3756D"/>
    <w:rsid w:val="00B56301"/>
    <w:rsid w:val="00B75DA4"/>
    <w:rsid w:val="00B834AA"/>
    <w:rsid w:val="00BA4627"/>
    <w:rsid w:val="00BB0CC1"/>
    <w:rsid w:val="00BB5AC4"/>
    <w:rsid w:val="00BC1EEC"/>
    <w:rsid w:val="00BC2603"/>
    <w:rsid w:val="00BF0360"/>
    <w:rsid w:val="00C44899"/>
    <w:rsid w:val="00C51614"/>
    <w:rsid w:val="00C6367B"/>
    <w:rsid w:val="00C751C2"/>
    <w:rsid w:val="00C80F54"/>
    <w:rsid w:val="00C86578"/>
    <w:rsid w:val="00C86D94"/>
    <w:rsid w:val="00D46471"/>
    <w:rsid w:val="00D67CD0"/>
    <w:rsid w:val="00DC17C8"/>
    <w:rsid w:val="00DD76B2"/>
    <w:rsid w:val="00DE0928"/>
    <w:rsid w:val="00DF09BB"/>
    <w:rsid w:val="00E14D13"/>
    <w:rsid w:val="00E2351D"/>
    <w:rsid w:val="00E95243"/>
    <w:rsid w:val="00E9736A"/>
    <w:rsid w:val="00EC65D9"/>
    <w:rsid w:val="00ED5D20"/>
    <w:rsid w:val="00EE6BE1"/>
    <w:rsid w:val="00EF6570"/>
    <w:rsid w:val="00F026F4"/>
    <w:rsid w:val="00F55FF2"/>
    <w:rsid w:val="00F70B86"/>
    <w:rsid w:val="00FA3ED4"/>
    <w:rsid w:val="00FB2C30"/>
    <w:rsid w:val="00FD5B43"/>
    <w:rsid w:val="00FD7BC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129DD13"/>
  <w15:docId w15:val="{00413FAC-93C4-410D-AA6F-3DBE8770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16"/>
    <w:rPr>
      <w:rFonts w:ascii="Tahoma" w:hAnsi="Tahoma" w:cs="Tahoma"/>
      <w:sz w:val="16"/>
      <w:szCs w:val="16"/>
    </w:rPr>
  </w:style>
  <w:style w:type="table" w:styleId="TableGrid">
    <w:name w:val="Table Grid"/>
    <w:basedOn w:val="TableNormal"/>
    <w:uiPriority w:val="59"/>
    <w:rsid w:val="00FD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01E1"/>
    <w:rPr>
      <w:color w:val="808080"/>
    </w:rPr>
  </w:style>
  <w:style w:type="paragraph" w:styleId="NormalWeb">
    <w:name w:val="Normal (Web)"/>
    <w:basedOn w:val="Normal"/>
    <w:uiPriority w:val="99"/>
    <w:semiHidden/>
    <w:unhideWhenUsed/>
    <w:rsid w:val="00AD6076"/>
    <w:rPr>
      <w:rFonts w:ascii="Times New Roman" w:hAnsi="Times New Roman" w:cs="Times New Roman"/>
      <w:sz w:val="24"/>
      <w:szCs w:val="24"/>
    </w:rPr>
  </w:style>
  <w:style w:type="character" w:styleId="Hyperlink">
    <w:name w:val="Hyperlink"/>
    <w:basedOn w:val="DefaultParagraphFont"/>
    <w:uiPriority w:val="99"/>
    <w:unhideWhenUsed/>
    <w:rsid w:val="00387FF0"/>
    <w:rPr>
      <w:color w:val="0000FF" w:themeColor="hyperlink"/>
      <w:u w:val="single"/>
    </w:rPr>
  </w:style>
  <w:style w:type="character" w:customStyle="1" w:styleId="UnresolvedMention1">
    <w:name w:val="Unresolved Mention1"/>
    <w:basedOn w:val="DefaultParagraphFont"/>
    <w:uiPriority w:val="99"/>
    <w:semiHidden/>
    <w:unhideWhenUsed/>
    <w:rsid w:val="00515137"/>
    <w:rPr>
      <w:color w:val="605E5C"/>
      <w:shd w:val="clear" w:color="auto" w:fill="E1DFDD"/>
    </w:rPr>
  </w:style>
  <w:style w:type="paragraph" w:styleId="Header">
    <w:name w:val="header"/>
    <w:basedOn w:val="Normal"/>
    <w:link w:val="HeaderChar"/>
    <w:uiPriority w:val="99"/>
    <w:unhideWhenUsed/>
    <w:rsid w:val="00643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314"/>
  </w:style>
  <w:style w:type="paragraph" w:styleId="Footer">
    <w:name w:val="footer"/>
    <w:basedOn w:val="Normal"/>
    <w:link w:val="FooterChar"/>
    <w:uiPriority w:val="99"/>
    <w:unhideWhenUsed/>
    <w:rsid w:val="00643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314"/>
  </w:style>
  <w:style w:type="character" w:styleId="CommentReference">
    <w:name w:val="annotation reference"/>
    <w:basedOn w:val="DefaultParagraphFont"/>
    <w:uiPriority w:val="99"/>
    <w:semiHidden/>
    <w:unhideWhenUsed/>
    <w:rsid w:val="006B39C7"/>
    <w:rPr>
      <w:sz w:val="16"/>
      <w:szCs w:val="16"/>
    </w:rPr>
  </w:style>
  <w:style w:type="paragraph" w:styleId="CommentText">
    <w:name w:val="annotation text"/>
    <w:basedOn w:val="Normal"/>
    <w:link w:val="CommentTextChar"/>
    <w:uiPriority w:val="99"/>
    <w:semiHidden/>
    <w:unhideWhenUsed/>
    <w:rsid w:val="006B39C7"/>
    <w:pPr>
      <w:spacing w:line="240" w:lineRule="auto"/>
    </w:pPr>
    <w:rPr>
      <w:sz w:val="20"/>
      <w:szCs w:val="20"/>
    </w:rPr>
  </w:style>
  <w:style w:type="character" w:customStyle="1" w:styleId="CommentTextChar">
    <w:name w:val="Comment Text Char"/>
    <w:basedOn w:val="DefaultParagraphFont"/>
    <w:link w:val="CommentText"/>
    <w:uiPriority w:val="99"/>
    <w:semiHidden/>
    <w:rsid w:val="006B39C7"/>
    <w:rPr>
      <w:sz w:val="20"/>
      <w:szCs w:val="20"/>
    </w:rPr>
  </w:style>
  <w:style w:type="paragraph" w:styleId="CommentSubject">
    <w:name w:val="annotation subject"/>
    <w:basedOn w:val="CommentText"/>
    <w:next w:val="CommentText"/>
    <w:link w:val="CommentSubjectChar"/>
    <w:uiPriority w:val="99"/>
    <w:semiHidden/>
    <w:unhideWhenUsed/>
    <w:rsid w:val="006B39C7"/>
    <w:rPr>
      <w:b/>
      <w:bCs/>
    </w:rPr>
  </w:style>
  <w:style w:type="character" w:customStyle="1" w:styleId="CommentSubjectChar">
    <w:name w:val="Comment Subject Char"/>
    <w:basedOn w:val="CommentTextChar"/>
    <w:link w:val="CommentSubject"/>
    <w:uiPriority w:val="99"/>
    <w:semiHidden/>
    <w:rsid w:val="006B3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37870">
      <w:bodyDiv w:val="1"/>
      <w:marLeft w:val="0"/>
      <w:marRight w:val="0"/>
      <w:marTop w:val="0"/>
      <w:marBottom w:val="0"/>
      <w:divBdr>
        <w:top w:val="none" w:sz="0" w:space="0" w:color="auto"/>
        <w:left w:val="none" w:sz="0" w:space="0" w:color="auto"/>
        <w:bottom w:val="none" w:sz="0" w:space="0" w:color="auto"/>
        <w:right w:val="none" w:sz="0" w:space="0" w:color="auto"/>
      </w:divBdr>
    </w:div>
    <w:div w:id="271205797">
      <w:bodyDiv w:val="1"/>
      <w:marLeft w:val="0"/>
      <w:marRight w:val="0"/>
      <w:marTop w:val="0"/>
      <w:marBottom w:val="0"/>
      <w:divBdr>
        <w:top w:val="none" w:sz="0" w:space="0" w:color="auto"/>
        <w:left w:val="none" w:sz="0" w:space="0" w:color="auto"/>
        <w:bottom w:val="none" w:sz="0" w:space="0" w:color="auto"/>
        <w:right w:val="none" w:sz="0" w:space="0" w:color="auto"/>
      </w:divBdr>
    </w:div>
    <w:div w:id="282275540">
      <w:bodyDiv w:val="1"/>
      <w:marLeft w:val="0"/>
      <w:marRight w:val="0"/>
      <w:marTop w:val="0"/>
      <w:marBottom w:val="0"/>
      <w:divBdr>
        <w:top w:val="none" w:sz="0" w:space="0" w:color="auto"/>
        <w:left w:val="none" w:sz="0" w:space="0" w:color="auto"/>
        <w:bottom w:val="none" w:sz="0" w:space="0" w:color="auto"/>
        <w:right w:val="none" w:sz="0" w:space="0" w:color="auto"/>
      </w:divBdr>
    </w:div>
    <w:div w:id="295450698">
      <w:bodyDiv w:val="1"/>
      <w:marLeft w:val="0"/>
      <w:marRight w:val="0"/>
      <w:marTop w:val="0"/>
      <w:marBottom w:val="0"/>
      <w:divBdr>
        <w:top w:val="none" w:sz="0" w:space="0" w:color="auto"/>
        <w:left w:val="none" w:sz="0" w:space="0" w:color="auto"/>
        <w:bottom w:val="none" w:sz="0" w:space="0" w:color="auto"/>
        <w:right w:val="none" w:sz="0" w:space="0" w:color="auto"/>
      </w:divBdr>
    </w:div>
    <w:div w:id="530917839">
      <w:bodyDiv w:val="1"/>
      <w:marLeft w:val="0"/>
      <w:marRight w:val="0"/>
      <w:marTop w:val="0"/>
      <w:marBottom w:val="0"/>
      <w:divBdr>
        <w:top w:val="none" w:sz="0" w:space="0" w:color="auto"/>
        <w:left w:val="none" w:sz="0" w:space="0" w:color="auto"/>
        <w:bottom w:val="none" w:sz="0" w:space="0" w:color="auto"/>
        <w:right w:val="none" w:sz="0" w:space="0" w:color="auto"/>
      </w:divBdr>
    </w:div>
    <w:div w:id="702363154">
      <w:bodyDiv w:val="1"/>
      <w:marLeft w:val="0"/>
      <w:marRight w:val="0"/>
      <w:marTop w:val="0"/>
      <w:marBottom w:val="0"/>
      <w:divBdr>
        <w:top w:val="none" w:sz="0" w:space="0" w:color="auto"/>
        <w:left w:val="none" w:sz="0" w:space="0" w:color="auto"/>
        <w:bottom w:val="none" w:sz="0" w:space="0" w:color="auto"/>
        <w:right w:val="none" w:sz="0" w:space="0" w:color="auto"/>
      </w:divBdr>
    </w:div>
    <w:div w:id="807363485">
      <w:bodyDiv w:val="1"/>
      <w:marLeft w:val="0"/>
      <w:marRight w:val="0"/>
      <w:marTop w:val="0"/>
      <w:marBottom w:val="0"/>
      <w:divBdr>
        <w:top w:val="none" w:sz="0" w:space="0" w:color="auto"/>
        <w:left w:val="none" w:sz="0" w:space="0" w:color="auto"/>
        <w:bottom w:val="none" w:sz="0" w:space="0" w:color="auto"/>
        <w:right w:val="none" w:sz="0" w:space="0" w:color="auto"/>
      </w:divBdr>
    </w:div>
    <w:div w:id="850800384">
      <w:bodyDiv w:val="1"/>
      <w:marLeft w:val="0"/>
      <w:marRight w:val="0"/>
      <w:marTop w:val="0"/>
      <w:marBottom w:val="0"/>
      <w:divBdr>
        <w:top w:val="none" w:sz="0" w:space="0" w:color="auto"/>
        <w:left w:val="none" w:sz="0" w:space="0" w:color="auto"/>
        <w:bottom w:val="none" w:sz="0" w:space="0" w:color="auto"/>
        <w:right w:val="none" w:sz="0" w:space="0" w:color="auto"/>
      </w:divBdr>
    </w:div>
    <w:div w:id="874927277">
      <w:bodyDiv w:val="1"/>
      <w:marLeft w:val="0"/>
      <w:marRight w:val="0"/>
      <w:marTop w:val="0"/>
      <w:marBottom w:val="0"/>
      <w:divBdr>
        <w:top w:val="none" w:sz="0" w:space="0" w:color="auto"/>
        <w:left w:val="none" w:sz="0" w:space="0" w:color="auto"/>
        <w:bottom w:val="none" w:sz="0" w:space="0" w:color="auto"/>
        <w:right w:val="none" w:sz="0" w:space="0" w:color="auto"/>
      </w:divBdr>
    </w:div>
    <w:div w:id="888881539">
      <w:bodyDiv w:val="1"/>
      <w:marLeft w:val="0"/>
      <w:marRight w:val="0"/>
      <w:marTop w:val="0"/>
      <w:marBottom w:val="0"/>
      <w:divBdr>
        <w:top w:val="none" w:sz="0" w:space="0" w:color="auto"/>
        <w:left w:val="none" w:sz="0" w:space="0" w:color="auto"/>
        <w:bottom w:val="none" w:sz="0" w:space="0" w:color="auto"/>
        <w:right w:val="none" w:sz="0" w:space="0" w:color="auto"/>
      </w:divBdr>
    </w:div>
    <w:div w:id="906572201">
      <w:bodyDiv w:val="1"/>
      <w:marLeft w:val="0"/>
      <w:marRight w:val="0"/>
      <w:marTop w:val="0"/>
      <w:marBottom w:val="0"/>
      <w:divBdr>
        <w:top w:val="none" w:sz="0" w:space="0" w:color="auto"/>
        <w:left w:val="none" w:sz="0" w:space="0" w:color="auto"/>
        <w:bottom w:val="none" w:sz="0" w:space="0" w:color="auto"/>
        <w:right w:val="none" w:sz="0" w:space="0" w:color="auto"/>
      </w:divBdr>
    </w:div>
    <w:div w:id="973294252">
      <w:bodyDiv w:val="1"/>
      <w:marLeft w:val="0"/>
      <w:marRight w:val="0"/>
      <w:marTop w:val="0"/>
      <w:marBottom w:val="0"/>
      <w:divBdr>
        <w:top w:val="none" w:sz="0" w:space="0" w:color="auto"/>
        <w:left w:val="none" w:sz="0" w:space="0" w:color="auto"/>
        <w:bottom w:val="none" w:sz="0" w:space="0" w:color="auto"/>
        <w:right w:val="none" w:sz="0" w:space="0" w:color="auto"/>
      </w:divBdr>
    </w:div>
    <w:div w:id="1085882560">
      <w:bodyDiv w:val="1"/>
      <w:marLeft w:val="0"/>
      <w:marRight w:val="0"/>
      <w:marTop w:val="0"/>
      <w:marBottom w:val="0"/>
      <w:divBdr>
        <w:top w:val="none" w:sz="0" w:space="0" w:color="auto"/>
        <w:left w:val="none" w:sz="0" w:space="0" w:color="auto"/>
        <w:bottom w:val="none" w:sz="0" w:space="0" w:color="auto"/>
        <w:right w:val="none" w:sz="0" w:space="0" w:color="auto"/>
      </w:divBdr>
    </w:div>
    <w:div w:id="1087575373">
      <w:bodyDiv w:val="1"/>
      <w:marLeft w:val="0"/>
      <w:marRight w:val="0"/>
      <w:marTop w:val="0"/>
      <w:marBottom w:val="0"/>
      <w:divBdr>
        <w:top w:val="none" w:sz="0" w:space="0" w:color="auto"/>
        <w:left w:val="none" w:sz="0" w:space="0" w:color="auto"/>
        <w:bottom w:val="none" w:sz="0" w:space="0" w:color="auto"/>
        <w:right w:val="none" w:sz="0" w:space="0" w:color="auto"/>
      </w:divBdr>
    </w:div>
    <w:div w:id="1178622701">
      <w:bodyDiv w:val="1"/>
      <w:marLeft w:val="0"/>
      <w:marRight w:val="0"/>
      <w:marTop w:val="0"/>
      <w:marBottom w:val="0"/>
      <w:divBdr>
        <w:top w:val="none" w:sz="0" w:space="0" w:color="auto"/>
        <w:left w:val="none" w:sz="0" w:space="0" w:color="auto"/>
        <w:bottom w:val="none" w:sz="0" w:space="0" w:color="auto"/>
        <w:right w:val="none" w:sz="0" w:space="0" w:color="auto"/>
      </w:divBdr>
    </w:div>
    <w:div w:id="1194996684">
      <w:bodyDiv w:val="1"/>
      <w:marLeft w:val="0"/>
      <w:marRight w:val="0"/>
      <w:marTop w:val="0"/>
      <w:marBottom w:val="0"/>
      <w:divBdr>
        <w:top w:val="none" w:sz="0" w:space="0" w:color="auto"/>
        <w:left w:val="none" w:sz="0" w:space="0" w:color="auto"/>
        <w:bottom w:val="none" w:sz="0" w:space="0" w:color="auto"/>
        <w:right w:val="none" w:sz="0" w:space="0" w:color="auto"/>
      </w:divBdr>
    </w:div>
    <w:div w:id="1325400204">
      <w:bodyDiv w:val="1"/>
      <w:marLeft w:val="0"/>
      <w:marRight w:val="0"/>
      <w:marTop w:val="0"/>
      <w:marBottom w:val="0"/>
      <w:divBdr>
        <w:top w:val="none" w:sz="0" w:space="0" w:color="auto"/>
        <w:left w:val="none" w:sz="0" w:space="0" w:color="auto"/>
        <w:bottom w:val="none" w:sz="0" w:space="0" w:color="auto"/>
        <w:right w:val="none" w:sz="0" w:space="0" w:color="auto"/>
      </w:divBdr>
    </w:div>
    <w:div w:id="1402943977">
      <w:bodyDiv w:val="1"/>
      <w:marLeft w:val="0"/>
      <w:marRight w:val="0"/>
      <w:marTop w:val="0"/>
      <w:marBottom w:val="0"/>
      <w:divBdr>
        <w:top w:val="none" w:sz="0" w:space="0" w:color="auto"/>
        <w:left w:val="none" w:sz="0" w:space="0" w:color="auto"/>
        <w:bottom w:val="none" w:sz="0" w:space="0" w:color="auto"/>
        <w:right w:val="none" w:sz="0" w:space="0" w:color="auto"/>
      </w:divBdr>
    </w:div>
    <w:div w:id="1432047059">
      <w:bodyDiv w:val="1"/>
      <w:marLeft w:val="0"/>
      <w:marRight w:val="0"/>
      <w:marTop w:val="0"/>
      <w:marBottom w:val="0"/>
      <w:divBdr>
        <w:top w:val="none" w:sz="0" w:space="0" w:color="auto"/>
        <w:left w:val="none" w:sz="0" w:space="0" w:color="auto"/>
        <w:bottom w:val="none" w:sz="0" w:space="0" w:color="auto"/>
        <w:right w:val="none" w:sz="0" w:space="0" w:color="auto"/>
      </w:divBdr>
    </w:div>
    <w:div w:id="1438021607">
      <w:bodyDiv w:val="1"/>
      <w:marLeft w:val="0"/>
      <w:marRight w:val="0"/>
      <w:marTop w:val="0"/>
      <w:marBottom w:val="0"/>
      <w:divBdr>
        <w:top w:val="none" w:sz="0" w:space="0" w:color="auto"/>
        <w:left w:val="none" w:sz="0" w:space="0" w:color="auto"/>
        <w:bottom w:val="none" w:sz="0" w:space="0" w:color="auto"/>
        <w:right w:val="none" w:sz="0" w:space="0" w:color="auto"/>
      </w:divBdr>
    </w:div>
    <w:div w:id="1455447691">
      <w:bodyDiv w:val="1"/>
      <w:marLeft w:val="0"/>
      <w:marRight w:val="0"/>
      <w:marTop w:val="0"/>
      <w:marBottom w:val="0"/>
      <w:divBdr>
        <w:top w:val="none" w:sz="0" w:space="0" w:color="auto"/>
        <w:left w:val="none" w:sz="0" w:space="0" w:color="auto"/>
        <w:bottom w:val="none" w:sz="0" w:space="0" w:color="auto"/>
        <w:right w:val="none" w:sz="0" w:space="0" w:color="auto"/>
      </w:divBdr>
    </w:div>
    <w:div w:id="1480422946">
      <w:bodyDiv w:val="1"/>
      <w:marLeft w:val="0"/>
      <w:marRight w:val="0"/>
      <w:marTop w:val="0"/>
      <w:marBottom w:val="0"/>
      <w:divBdr>
        <w:top w:val="none" w:sz="0" w:space="0" w:color="auto"/>
        <w:left w:val="none" w:sz="0" w:space="0" w:color="auto"/>
        <w:bottom w:val="none" w:sz="0" w:space="0" w:color="auto"/>
        <w:right w:val="none" w:sz="0" w:space="0" w:color="auto"/>
      </w:divBdr>
    </w:div>
    <w:div w:id="1563977649">
      <w:bodyDiv w:val="1"/>
      <w:marLeft w:val="0"/>
      <w:marRight w:val="0"/>
      <w:marTop w:val="0"/>
      <w:marBottom w:val="0"/>
      <w:divBdr>
        <w:top w:val="none" w:sz="0" w:space="0" w:color="auto"/>
        <w:left w:val="none" w:sz="0" w:space="0" w:color="auto"/>
        <w:bottom w:val="none" w:sz="0" w:space="0" w:color="auto"/>
        <w:right w:val="none" w:sz="0" w:space="0" w:color="auto"/>
      </w:divBdr>
    </w:div>
    <w:div w:id="1647004319">
      <w:bodyDiv w:val="1"/>
      <w:marLeft w:val="0"/>
      <w:marRight w:val="0"/>
      <w:marTop w:val="0"/>
      <w:marBottom w:val="0"/>
      <w:divBdr>
        <w:top w:val="none" w:sz="0" w:space="0" w:color="auto"/>
        <w:left w:val="none" w:sz="0" w:space="0" w:color="auto"/>
        <w:bottom w:val="none" w:sz="0" w:space="0" w:color="auto"/>
        <w:right w:val="none" w:sz="0" w:space="0" w:color="auto"/>
      </w:divBdr>
    </w:div>
    <w:div w:id="1779334200">
      <w:bodyDiv w:val="1"/>
      <w:marLeft w:val="0"/>
      <w:marRight w:val="0"/>
      <w:marTop w:val="0"/>
      <w:marBottom w:val="0"/>
      <w:divBdr>
        <w:top w:val="none" w:sz="0" w:space="0" w:color="auto"/>
        <w:left w:val="none" w:sz="0" w:space="0" w:color="auto"/>
        <w:bottom w:val="none" w:sz="0" w:space="0" w:color="auto"/>
        <w:right w:val="none" w:sz="0" w:space="0" w:color="auto"/>
      </w:divBdr>
    </w:div>
    <w:div w:id="1976325911">
      <w:bodyDiv w:val="1"/>
      <w:marLeft w:val="0"/>
      <w:marRight w:val="0"/>
      <w:marTop w:val="0"/>
      <w:marBottom w:val="0"/>
      <w:divBdr>
        <w:top w:val="none" w:sz="0" w:space="0" w:color="auto"/>
        <w:left w:val="none" w:sz="0" w:space="0" w:color="auto"/>
        <w:bottom w:val="none" w:sz="0" w:space="0" w:color="auto"/>
        <w:right w:val="none" w:sz="0" w:space="0" w:color="auto"/>
      </w:divBdr>
    </w:div>
    <w:div w:id="2050757784">
      <w:bodyDiv w:val="1"/>
      <w:marLeft w:val="0"/>
      <w:marRight w:val="0"/>
      <w:marTop w:val="0"/>
      <w:marBottom w:val="0"/>
      <w:divBdr>
        <w:top w:val="none" w:sz="0" w:space="0" w:color="auto"/>
        <w:left w:val="none" w:sz="0" w:space="0" w:color="auto"/>
        <w:bottom w:val="none" w:sz="0" w:space="0" w:color="auto"/>
        <w:right w:val="none" w:sz="0" w:space="0" w:color="auto"/>
      </w:divBdr>
    </w:div>
    <w:div w:id="2099592674">
      <w:bodyDiv w:val="1"/>
      <w:marLeft w:val="0"/>
      <w:marRight w:val="0"/>
      <w:marTop w:val="0"/>
      <w:marBottom w:val="0"/>
      <w:divBdr>
        <w:top w:val="none" w:sz="0" w:space="0" w:color="auto"/>
        <w:left w:val="none" w:sz="0" w:space="0" w:color="auto"/>
        <w:bottom w:val="none" w:sz="0" w:space="0" w:color="auto"/>
        <w:right w:val="none" w:sz="0" w:space="0" w:color="auto"/>
      </w:divBdr>
    </w:div>
    <w:div w:id="21125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600">
                <a:latin typeface="Times New Roman" pitchFamily="18" charset="0"/>
                <a:cs typeface="Times New Roman" pitchFamily="18" charset="0"/>
              </a:defRPr>
            </a:pPr>
            <a:r>
              <a:rPr lang="en-IN" sz="1600">
                <a:latin typeface="Times New Roman" pitchFamily="18" charset="0"/>
                <a:cs typeface="Times New Roman" pitchFamily="18" charset="0"/>
              </a:rPr>
              <a:t>Uptake of Nutrients</a:t>
            </a:r>
          </a:p>
        </c:rich>
      </c:tx>
      <c:overlay val="0"/>
    </c:title>
    <c:autoTitleDeleted val="0"/>
    <c:plotArea>
      <c:layout/>
      <c:barChart>
        <c:barDir val="col"/>
        <c:grouping val="clustered"/>
        <c:varyColors val="0"/>
        <c:ser>
          <c:idx val="0"/>
          <c:order val="0"/>
          <c:tx>
            <c:strRef>
              <c:f>Sheet1!$G$7</c:f>
              <c:strCache>
                <c:ptCount val="1"/>
                <c:pt idx="0">
                  <c:v>B uptake by grain  (g/ ha)</c:v>
                </c:pt>
              </c:strCache>
            </c:strRef>
          </c:tx>
          <c:invertIfNegative val="0"/>
          <c:cat>
            <c:strRef>
              <c:f>Sheet1!$F$8:$F$14</c:f>
              <c:strCache>
                <c:ptCount val="7"/>
                <c:pt idx="1">
                  <c:v>T0</c:v>
                </c:pt>
                <c:pt idx="2">
                  <c:v>T1</c:v>
                </c:pt>
                <c:pt idx="3">
                  <c:v>T2</c:v>
                </c:pt>
                <c:pt idx="4">
                  <c:v>T3</c:v>
                </c:pt>
                <c:pt idx="5">
                  <c:v>T4</c:v>
                </c:pt>
                <c:pt idx="6">
                  <c:v>T5</c:v>
                </c:pt>
              </c:strCache>
            </c:strRef>
          </c:cat>
          <c:val>
            <c:numRef>
              <c:f>Sheet1!$G$8:$G$14</c:f>
              <c:numCache>
                <c:formatCode>General</c:formatCode>
                <c:ptCount val="7"/>
                <c:pt idx="1">
                  <c:v>19.3</c:v>
                </c:pt>
                <c:pt idx="2">
                  <c:v>70.169999999999987</c:v>
                </c:pt>
                <c:pt idx="3">
                  <c:v>77.3</c:v>
                </c:pt>
                <c:pt idx="4">
                  <c:v>83.27</c:v>
                </c:pt>
                <c:pt idx="5">
                  <c:v>95.5</c:v>
                </c:pt>
                <c:pt idx="6">
                  <c:v>94.1</c:v>
                </c:pt>
              </c:numCache>
            </c:numRef>
          </c:val>
          <c:extLst>
            <c:ext xmlns:c16="http://schemas.microsoft.com/office/drawing/2014/chart" uri="{C3380CC4-5D6E-409C-BE32-E72D297353CC}">
              <c16:uniqueId val="{00000000-E9D3-4B30-AF59-F98890DC1006}"/>
            </c:ext>
          </c:extLst>
        </c:ser>
        <c:ser>
          <c:idx val="1"/>
          <c:order val="1"/>
          <c:tx>
            <c:strRef>
              <c:f>Sheet1!$H$7</c:f>
              <c:strCache>
                <c:ptCount val="1"/>
                <c:pt idx="0">
                  <c:v>B uptake by straw</c:v>
                </c:pt>
              </c:strCache>
            </c:strRef>
          </c:tx>
          <c:invertIfNegative val="0"/>
          <c:cat>
            <c:strRef>
              <c:f>Sheet1!$F$8:$F$14</c:f>
              <c:strCache>
                <c:ptCount val="7"/>
                <c:pt idx="1">
                  <c:v>T0</c:v>
                </c:pt>
                <c:pt idx="2">
                  <c:v>T1</c:v>
                </c:pt>
                <c:pt idx="3">
                  <c:v>T2</c:v>
                </c:pt>
                <c:pt idx="4">
                  <c:v>T3</c:v>
                </c:pt>
                <c:pt idx="5">
                  <c:v>T4</c:v>
                </c:pt>
                <c:pt idx="6">
                  <c:v>T5</c:v>
                </c:pt>
              </c:strCache>
            </c:strRef>
          </c:cat>
          <c:val>
            <c:numRef>
              <c:f>Sheet1!$H$8:$H$14</c:f>
              <c:numCache>
                <c:formatCode>General</c:formatCode>
                <c:ptCount val="7"/>
                <c:pt idx="0">
                  <c:v>0</c:v>
                </c:pt>
                <c:pt idx="1">
                  <c:v>34.83</c:v>
                </c:pt>
                <c:pt idx="2">
                  <c:v>108.36999999999999</c:v>
                </c:pt>
                <c:pt idx="3">
                  <c:v>118.03</c:v>
                </c:pt>
                <c:pt idx="4">
                  <c:v>127.53</c:v>
                </c:pt>
                <c:pt idx="5">
                  <c:v>145.26999999999998</c:v>
                </c:pt>
                <c:pt idx="6">
                  <c:v>104.66999999999999</c:v>
                </c:pt>
              </c:numCache>
            </c:numRef>
          </c:val>
          <c:extLst>
            <c:ext xmlns:c16="http://schemas.microsoft.com/office/drawing/2014/chart" uri="{C3380CC4-5D6E-409C-BE32-E72D297353CC}">
              <c16:uniqueId val="{00000001-E9D3-4B30-AF59-F98890DC1006}"/>
            </c:ext>
          </c:extLst>
        </c:ser>
        <c:ser>
          <c:idx val="2"/>
          <c:order val="2"/>
          <c:tx>
            <c:strRef>
              <c:f>Sheet1!$I$7</c:f>
              <c:strCache>
                <c:ptCount val="1"/>
                <c:pt idx="0">
                  <c:v>Total B uptake   (g/ ha)</c:v>
                </c:pt>
              </c:strCache>
            </c:strRef>
          </c:tx>
          <c:invertIfNegative val="0"/>
          <c:cat>
            <c:strRef>
              <c:f>Sheet1!$F$8:$F$14</c:f>
              <c:strCache>
                <c:ptCount val="7"/>
                <c:pt idx="1">
                  <c:v>T0</c:v>
                </c:pt>
                <c:pt idx="2">
                  <c:v>T1</c:v>
                </c:pt>
                <c:pt idx="3">
                  <c:v>T2</c:v>
                </c:pt>
                <c:pt idx="4">
                  <c:v>T3</c:v>
                </c:pt>
                <c:pt idx="5">
                  <c:v>T4</c:v>
                </c:pt>
                <c:pt idx="6">
                  <c:v>T5</c:v>
                </c:pt>
              </c:strCache>
            </c:strRef>
          </c:cat>
          <c:val>
            <c:numRef>
              <c:f>Sheet1!$I$8:$I$14</c:f>
              <c:numCache>
                <c:formatCode>General</c:formatCode>
                <c:ptCount val="7"/>
                <c:pt idx="1">
                  <c:v>54.13</c:v>
                </c:pt>
                <c:pt idx="2">
                  <c:v>178.53</c:v>
                </c:pt>
                <c:pt idx="3">
                  <c:v>195.33</c:v>
                </c:pt>
                <c:pt idx="4">
                  <c:v>210.8</c:v>
                </c:pt>
                <c:pt idx="5">
                  <c:v>240.76999999999998</c:v>
                </c:pt>
                <c:pt idx="6">
                  <c:v>234.76999999999998</c:v>
                </c:pt>
              </c:numCache>
            </c:numRef>
          </c:val>
          <c:extLst>
            <c:ext xmlns:c16="http://schemas.microsoft.com/office/drawing/2014/chart" uri="{C3380CC4-5D6E-409C-BE32-E72D297353CC}">
              <c16:uniqueId val="{00000002-E9D3-4B30-AF59-F98890DC1006}"/>
            </c:ext>
          </c:extLst>
        </c:ser>
        <c:dLbls>
          <c:showLegendKey val="0"/>
          <c:showVal val="0"/>
          <c:showCatName val="0"/>
          <c:showSerName val="0"/>
          <c:showPercent val="0"/>
          <c:showBubbleSize val="0"/>
        </c:dLbls>
        <c:gapWidth val="75"/>
        <c:overlap val="-25"/>
        <c:axId val="139242880"/>
        <c:axId val="139248768"/>
      </c:barChart>
      <c:catAx>
        <c:axId val="139242880"/>
        <c:scaling>
          <c:orientation val="minMax"/>
        </c:scaling>
        <c:delete val="0"/>
        <c:axPos val="b"/>
        <c:numFmt formatCode="General" sourceLinked="0"/>
        <c:majorTickMark val="none"/>
        <c:minorTickMark val="none"/>
        <c:tickLblPos val="nextTo"/>
        <c:txPr>
          <a:bodyPr/>
          <a:lstStyle/>
          <a:p>
            <a:pPr>
              <a:defRPr lang="en-IN">
                <a:latin typeface="Times New Roman" pitchFamily="18" charset="0"/>
                <a:cs typeface="Times New Roman" pitchFamily="18" charset="0"/>
              </a:defRPr>
            </a:pPr>
            <a:endParaRPr lang="en-US"/>
          </a:p>
        </c:txPr>
        <c:crossAx val="139248768"/>
        <c:crosses val="autoZero"/>
        <c:auto val="1"/>
        <c:lblAlgn val="ctr"/>
        <c:lblOffset val="100"/>
        <c:noMultiLvlLbl val="0"/>
      </c:catAx>
      <c:valAx>
        <c:axId val="139248768"/>
        <c:scaling>
          <c:orientation val="minMax"/>
        </c:scaling>
        <c:delete val="0"/>
        <c:axPos val="l"/>
        <c:majorGridlines/>
        <c:title>
          <c:tx>
            <c:rich>
              <a:bodyPr rot="-5400000" vert="horz"/>
              <a:lstStyle/>
              <a:p>
                <a:pPr>
                  <a:defRPr lang="en-IN">
                    <a:latin typeface="Times New Roman" pitchFamily="18" charset="0"/>
                    <a:cs typeface="Times New Roman" pitchFamily="18" charset="0"/>
                  </a:defRPr>
                </a:pPr>
                <a:r>
                  <a:rPr lang="en-IN">
                    <a:latin typeface="Times New Roman" pitchFamily="18" charset="0"/>
                    <a:cs typeface="Times New Roman" pitchFamily="18" charset="0"/>
                  </a:rPr>
                  <a:t>Uptake (g ha</a:t>
                </a:r>
                <a:r>
                  <a:rPr lang="en-IN" baseline="30000">
                    <a:latin typeface="Times New Roman" pitchFamily="18" charset="0"/>
                    <a:cs typeface="Times New Roman" pitchFamily="18" charset="0"/>
                  </a:rPr>
                  <a:t>-1</a:t>
                </a:r>
                <a:r>
                  <a:rPr lang="en-IN">
                    <a:latin typeface="Times New Roman" pitchFamily="18" charset="0"/>
                    <a:cs typeface="Times New Roman" pitchFamily="18" charset="0"/>
                  </a:rPr>
                  <a:t>)</a:t>
                </a:r>
              </a:p>
            </c:rich>
          </c:tx>
          <c:overlay val="0"/>
        </c:title>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139242880"/>
        <c:crosses val="autoZero"/>
        <c:crossBetween val="between"/>
      </c:valAx>
    </c:plotArea>
    <c:legend>
      <c:legendPos val="b"/>
      <c:overlay val="0"/>
      <c:txPr>
        <a:bodyPr/>
        <a:lstStyle/>
        <a:p>
          <a:pPr>
            <a:defRPr lang="en-IN">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400"/>
            </a:pPr>
            <a:r>
              <a:rPr lang="en-IN" sz="1400">
                <a:latin typeface="Times New Roman" pitchFamily="18" charset="0"/>
                <a:cs typeface="Times New Roman" pitchFamily="18" charset="0"/>
              </a:rPr>
              <a:t>Uptake of phophrus and Sulphur</a:t>
            </a:r>
          </a:p>
        </c:rich>
      </c:tx>
      <c:overlay val="0"/>
    </c:title>
    <c:autoTitleDeleted val="0"/>
    <c:plotArea>
      <c:layout/>
      <c:barChart>
        <c:barDir val="col"/>
        <c:grouping val="clustered"/>
        <c:varyColors val="0"/>
        <c:ser>
          <c:idx val="0"/>
          <c:order val="0"/>
          <c:tx>
            <c:strRef>
              <c:f>Sheet1!$H$38</c:f>
              <c:strCache>
                <c:ptCount val="1"/>
                <c:pt idx="0">
                  <c:v>Phosphorus uptake</c:v>
                </c:pt>
              </c:strCache>
            </c:strRef>
          </c:tx>
          <c:invertIfNegative val="0"/>
          <c:cat>
            <c:strRef>
              <c:f>Sheet1!$G$39:$G$44</c:f>
              <c:strCache>
                <c:ptCount val="6"/>
                <c:pt idx="0">
                  <c:v>T0</c:v>
                </c:pt>
                <c:pt idx="1">
                  <c:v>T1</c:v>
                </c:pt>
                <c:pt idx="2">
                  <c:v>T2</c:v>
                </c:pt>
                <c:pt idx="3">
                  <c:v>T3</c:v>
                </c:pt>
                <c:pt idx="4">
                  <c:v>T4</c:v>
                </c:pt>
                <c:pt idx="5">
                  <c:v>T5</c:v>
                </c:pt>
              </c:strCache>
            </c:strRef>
          </c:cat>
          <c:val>
            <c:numRef>
              <c:f>Sheet1!$H$39:$H$44</c:f>
              <c:numCache>
                <c:formatCode>General</c:formatCode>
                <c:ptCount val="6"/>
                <c:pt idx="0">
                  <c:v>3.84</c:v>
                </c:pt>
                <c:pt idx="1">
                  <c:v>10.15</c:v>
                </c:pt>
                <c:pt idx="2">
                  <c:v>11.12</c:v>
                </c:pt>
                <c:pt idx="3">
                  <c:v>11.97</c:v>
                </c:pt>
                <c:pt idx="4">
                  <c:v>14.18</c:v>
                </c:pt>
                <c:pt idx="5">
                  <c:v>14.33</c:v>
                </c:pt>
              </c:numCache>
            </c:numRef>
          </c:val>
          <c:extLst>
            <c:ext xmlns:c16="http://schemas.microsoft.com/office/drawing/2014/chart" uri="{C3380CC4-5D6E-409C-BE32-E72D297353CC}">
              <c16:uniqueId val="{00000000-7C63-4B0C-9945-63ADB8998508}"/>
            </c:ext>
          </c:extLst>
        </c:ser>
        <c:ser>
          <c:idx val="1"/>
          <c:order val="1"/>
          <c:tx>
            <c:strRef>
              <c:f>Sheet1!$I$38</c:f>
              <c:strCache>
                <c:ptCount val="1"/>
                <c:pt idx="0">
                  <c:v>Sulphur uptake</c:v>
                </c:pt>
              </c:strCache>
            </c:strRef>
          </c:tx>
          <c:invertIfNegative val="0"/>
          <c:cat>
            <c:strRef>
              <c:f>Sheet1!$G$39:$G$44</c:f>
              <c:strCache>
                <c:ptCount val="6"/>
                <c:pt idx="0">
                  <c:v>T0</c:v>
                </c:pt>
                <c:pt idx="1">
                  <c:v>T1</c:v>
                </c:pt>
                <c:pt idx="2">
                  <c:v>T2</c:v>
                </c:pt>
                <c:pt idx="3">
                  <c:v>T3</c:v>
                </c:pt>
                <c:pt idx="4">
                  <c:v>T4</c:v>
                </c:pt>
                <c:pt idx="5">
                  <c:v>T5</c:v>
                </c:pt>
              </c:strCache>
            </c:strRef>
          </c:cat>
          <c:val>
            <c:numRef>
              <c:f>Sheet1!$I$39:$I$44</c:f>
              <c:numCache>
                <c:formatCode>General</c:formatCode>
                <c:ptCount val="6"/>
                <c:pt idx="0">
                  <c:v>6.1599999999999984</c:v>
                </c:pt>
                <c:pt idx="1">
                  <c:v>11.03</c:v>
                </c:pt>
                <c:pt idx="2">
                  <c:v>10.870000000000003</c:v>
                </c:pt>
                <c:pt idx="3">
                  <c:v>10.68</c:v>
                </c:pt>
                <c:pt idx="4">
                  <c:v>10.48</c:v>
                </c:pt>
                <c:pt idx="5">
                  <c:v>9.7100000000000009</c:v>
                </c:pt>
              </c:numCache>
            </c:numRef>
          </c:val>
          <c:extLst>
            <c:ext xmlns:c16="http://schemas.microsoft.com/office/drawing/2014/chart" uri="{C3380CC4-5D6E-409C-BE32-E72D297353CC}">
              <c16:uniqueId val="{00000001-7C63-4B0C-9945-63ADB8998508}"/>
            </c:ext>
          </c:extLst>
        </c:ser>
        <c:dLbls>
          <c:showLegendKey val="0"/>
          <c:showVal val="0"/>
          <c:showCatName val="0"/>
          <c:showSerName val="0"/>
          <c:showPercent val="0"/>
          <c:showBubbleSize val="0"/>
        </c:dLbls>
        <c:gapWidth val="75"/>
        <c:overlap val="-25"/>
        <c:axId val="139484544"/>
        <c:axId val="139490432"/>
      </c:barChart>
      <c:catAx>
        <c:axId val="139484544"/>
        <c:scaling>
          <c:orientation val="minMax"/>
        </c:scaling>
        <c:delete val="0"/>
        <c:axPos val="b"/>
        <c:numFmt formatCode="General" sourceLinked="0"/>
        <c:majorTickMark val="none"/>
        <c:minorTickMark val="none"/>
        <c:tickLblPos val="nextTo"/>
        <c:txPr>
          <a:bodyPr/>
          <a:lstStyle/>
          <a:p>
            <a:pPr>
              <a:defRPr lang="en-IN">
                <a:latin typeface="Times New Roman" pitchFamily="18" charset="0"/>
                <a:cs typeface="Times New Roman" pitchFamily="18" charset="0"/>
              </a:defRPr>
            </a:pPr>
            <a:endParaRPr lang="en-US"/>
          </a:p>
        </c:txPr>
        <c:crossAx val="139490432"/>
        <c:crosses val="autoZero"/>
        <c:auto val="1"/>
        <c:lblAlgn val="ctr"/>
        <c:lblOffset val="100"/>
        <c:noMultiLvlLbl val="0"/>
      </c:catAx>
      <c:valAx>
        <c:axId val="139490432"/>
        <c:scaling>
          <c:orientation val="minMax"/>
        </c:scaling>
        <c:delete val="0"/>
        <c:axPos val="l"/>
        <c:majorGridlines/>
        <c:title>
          <c:tx>
            <c:rich>
              <a:bodyPr rot="-5400000" vert="horz"/>
              <a:lstStyle/>
              <a:p>
                <a:pPr>
                  <a:defRPr lang="en-IN"/>
                </a:pPr>
                <a:r>
                  <a:rPr lang="en-IN">
                    <a:latin typeface="Times New Roman" pitchFamily="18" charset="0"/>
                    <a:cs typeface="Times New Roman" pitchFamily="18" charset="0"/>
                  </a:rPr>
                  <a:t>Uptake</a:t>
                </a:r>
                <a:r>
                  <a:rPr lang="en-IN" baseline="0">
                    <a:latin typeface="Times New Roman" pitchFamily="18" charset="0"/>
                    <a:cs typeface="Times New Roman" pitchFamily="18" charset="0"/>
                  </a:rPr>
                  <a:t> of P and S (kg ha</a:t>
                </a:r>
                <a:r>
                  <a:rPr lang="en-IN" baseline="30000">
                    <a:latin typeface="Times New Roman" pitchFamily="18" charset="0"/>
                    <a:cs typeface="Times New Roman" pitchFamily="18" charset="0"/>
                  </a:rPr>
                  <a:t>-1</a:t>
                </a:r>
                <a:r>
                  <a:rPr lang="en-IN" baseline="0">
                    <a:latin typeface="Times New Roman" pitchFamily="18" charset="0"/>
                    <a:cs typeface="Times New Roman" pitchFamily="18" charset="0"/>
                  </a:rPr>
                  <a:t>)</a:t>
                </a:r>
                <a:endParaRPr lang="en-IN">
                  <a:latin typeface="Times New Roman" pitchFamily="18" charset="0"/>
                  <a:cs typeface="Times New Roman" pitchFamily="18" charset="0"/>
                </a:endParaRPr>
              </a:p>
            </c:rich>
          </c:tx>
          <c:layout>
            <c:manualLayout>
              <c:xMode val="edge"/>
              <c:yMode val="edge"/>
              <c:x val="2.3978574105594463E-2"/>
              <c:y val="0.21697741387205721"/>
            </c:manualLayout>
          </c:layout>
          <c:overlay val="0"/>
        </c:title>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139484544"/>
        <c:crosses val="autoZero"/>
        <c:crossBetween val="between"/>
      </c:valAx>
    </c:plotArea>
    <c:legend>
      <c:legendPos val="b"/>
      <c:overlay val="0"/>
      <c:txPr>
        <a:bodyPr/>
        <a:lstStyle/>
        <a:p>
          <a:pPr>
            <a:defRPr lang="en-IN">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934B3-7972-4FE4-AEE6-92B9DC3B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7</Pages>
  <Words>2181</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Dwivedi CAU</dc:creator>
  <cp:keywords/>
  <dc:description/>
  <cp:lastModifiedBy>Editor GP 005</cp:lastModifiedBy>
  <cp:revision>14</cp:revision>
  <dcterms:created xsi:type="dcterms:W3CDTF">2025-01-16T13:42:00Z</dcterms:created>
  <dcterms:modified xsi:type="dcterms:W3CDTF">2025-02-10T05:44:00Z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05bc226e3eb45a9ba78720da522f46509026342ed559c6eef187045187f7fde9</vt:lpwstr>
  </property>
</Properties>
</file>