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204" w:after="1"/>
        <w:rPr>
          <w:rFonts w:ascii="Times New Roman"/>
        </w:rPr>
      </w:pPr>
    </w:p>
    <w:p>
      <w:pPr>
        <w:pStyle w:val="BodyText"/>
        <w:ind w:left="2475"/>
        <w:rPr>
          <w:rFonts w:ascii="Times New Roman"/>
        </w:rPr>
      </w:pPr>
      <w:r>
        <w:rPr>
          <w:rFonts w:ascii="Times New Roman"/>
        </w:rPr>
        <w:drawing>
          <wp:inline distT="0" distB="0" distL="0" distR="0">
            <wp:extent cx="1403357" cy="210026"/>
            <wp:effectExtent l="0" t="0" r="0" b="0"/>
            <wp:docPr id="2" name="Image 2" descr="#AnnotID = 40"/>
            <wp:cNvGraphicFramePr>
              <a:graphicFrameLocks/>
            </wp:cNvGraphicFramePr>
            <a:graphic>
              <a:graphicData uri="http://schemas.openxmlformats.org/drawingml/2006/picture">
                <pic:pic>
                  <pic:nvPicPr>
                    <pic:cNvPr id="2" name="Image 2" descr="#AnnotID = 40"/>
                    <pic:cNvPicPr/>
                  </pic:nvPicPr>
                  <pic:blipFill>
                    <a:blip r:embed="rId6" cstate="print"/>
                    <a:stretch>
                      <a:fillRect/>
                    </a:stretch>
                  </pic:blipFill>
                  <pic:spPr>
                    <a:xfrm>
                      <a:off x="0" y="0"/>
                      <a:ext cx="1403357" cy="210026"/>
                    </a:xfrm>
                    <a:prstGeom prst="rect">
                      <a:avLst/>
                    </a:prstGeom>
                  </pic:spPr>
                </pic:pic>
              </a:graphicData>
            </a:graphic>
          </wp:inline>
        </w:drawing>
      </w:r>
      <w:r>
        <w:rPr>
          <w:rFonts w:ascii="Times New Roman"/>
        </w:rPr>
      </w:r>
    </w:p>
    <w:p>
      <w:pPr>
        <w:pStyle w:val="Title"/>
        <w:spacing w:line="242" w:lineRule="auto" w:before="164"/>
        <w:ind w:right="1889" w:firstLine="3780"/>
      </w:pPr>
      <w:bookmarkStart w:name="A Scoping Review of Temporomandibular Jo" w:id="1"/>
      <w:bookmarkEnd w:id="1"/>
      <w:r>
        <w:rPr>
          <w:b w:val="0"/>
        </w:rPr>
      </w:r>
      <w:r>
        <w:rPr>
          <w:color w:val="000000"/>
          <w:highlight w:val="yellow"/>
        </w:rPr>
        <w:t>A</w:t>
      </w:r>
      <w:r>
        <w:rPr>
          <w:color w:val="000000"/>
          <w:spacing w:val="-13"/>
          <w:highlight w:val="yellow"/>
        </w:rPr>
        <w:t> </w:t>
      </w:r>
      <w:r>
        <w:rPr>
          <w:color w:val="000000"/>
          <w:highlight w:val="yellow"/>
        </w:rPr>
        <w:t>Scoping</w:t>
      </w:r>
      <w:r>
        <w:rPr>
          <w:color w:val="000000"/>
          <w:spacing w:val="-13"/>
          <w:highlight w:val="yellow"/>
        </w:rPr>
        <w:t> </w:t>
      </w:r>
      <w:r>
        <w:rPr>
          <w:color w:val="000000"/>
          <w:highlight w:val="yellow"/>
        </w:rPr>
        <w:t>Review</w:t>
      </w:r>
      <w:r>
        <w:rPr>
          <w:color w:val="000000"/>
          <w:spacing w:val="-13"/>
          <w:highlight w:val="yellow"/>
        </w:rPr>
        <w:t> </w:t>
      </w:r>
      <w:r>
        <w:rPr>
          <w:color w:val="000000"/>
          <w:highlight w:val="yellow"/>
        </w:rPr>
        <w:t>of</w:t>
      </w:r>
      <w:r>
        <w:rPr>
          <w:color w:val="000000"/>
        </w:rPr>
        <w:t> </w:t>
      </w:r>
      <w:r>
        <w:rPr>
          <w:color w:val="000000"/>
          <w:highlight w:val="yellow"/>
        </w:rPr>
        <w:t>Temporomandibular</w:t>
      </w:r>
      <w:r>
        <w:rPr>
          <w:color w:val="000000"/>
          <w:spacing w:val="-20"/>
          <w:highlight w:val="yellow"/>
        </w:rPr>
        <w:t> </w:t>
      </w:r>
      <w:r>
        <w:rPr>
          <w:color w:val="000000"/>
          <w:highlight w:val="yellow"/>
        </w:rPr>
        <w:t>Joint</w:t>
      </w:r>
      <w:r>
        <w:rPr>
          <w:color w:val="000000"/>
          <w:spacing w:val="-20"/>
          <w:highlight w:val="yellow"/>
        </w:rPr>
        <w:t> </w:t>
      </w:r>
      <w:r>
        <w:rPr>
          <w:color w:val="000000"/>
          <w:highlight w:val="yellow"/>
        </w:rPr>
        <w:t>Dysfunction</w:t>
      </w:r>
      <w:r>
        <w:rPr>
          <w:color w:val="000000"/>
          <w:spacing w:val="-20"/>
          <w:highlight w:val="yellow"/>
        </w:rPr>
        <w:t> </w:t>
      </w:r>
      <w:r>
        <w:rPr>
          <w:color w:val="000000"/>
          <w:highlight w:val="yellow"/>
        </w:rPr>
        <w:t>and</w:t>
      </w:r>
      <w:r>
        <w:rPr>
          <w:color w:val="000000"/>
        </w:rPr>
        <w:t> </w:t>
      </w:r>
      <w:r>
        <w:rPr>
          <w:color w:val="000000"/>
          <w:highlight w:val="yellow"/>
        </w:rPr>
        <w:t>Orofacial</w:t>
      </w:r>
      <w:r>
        <w:rPr>
          <w:color w:val="000000"/>
          <w:spacing w:val="-2"/>
          <w:highlight w:val="yellow"/>
        </w:rPr>
        <w:t> </w:t>
      </w:r>
      <w:r>
        <w:rPr>
          <w:color w:val="000000"/>
          <w:highlight w:val="yellow"/>
        </w:rPr>
        <w:t>Pain Education in </w:t>
      </w:r>
      <w:r>
        <w:rPr>
          <w:color w:val="000000"/>
          <w:spacing w:val="-2"/>
          <w:highlight w:val="yellow"/>
        </w:rPr>
        <w:t>Undergraduate</w:t>
      </w:r>
    </w:p>
    <w:p>
      <w:pPr>
        <w:pStyle w:val="Title"/>
        <w:spacing w:line="412" w:lineRule="exact"/>
        <w:ind w:left="5208"/>
      </w:pPr>
      <w:r>
        <w:rPr>
          <w:color w:val="000000"/>
          <w:highlight w:val="yellow"/>
        </w:rPr>
        <w:t>Dentistry </w:t>
      </w:r>
      <w:r>
        <w:rPr>
          <w:color w:val="000000"/>
          <w:spacing w:val="-2"/>
          <w:highlight w:val="yellow"/>
        </w:rPr>
        <w:t>Programs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9"/>
        <w:rPr>
          <w:rFonts w:ascii="Arial"/>
          <w:b/>
        </w:rPr>
      </w:pPr>
      <w:r>
        <w:rPr>
          <w:rFonts w:ascii="Arial"/>
          <w:b/>
        </w:rPr>
        <mc:AlternateContent>
          <mc:Choice Requires="wps">
            <w:drawing>
              <wp:anchor distT="0" distB="0" distL="0" distR="0" allowOverlap="1" layoutInCell="1" locked="0" behindDoc="1" simplePos="0" relativeHeight="487587840">
                <wp:simplePos x="0" y="0"/>
                <wp:positionH relativeFrom="page">
                  <wp:posOffset>1285875</wp:posOffset>
                </wp:positionH>
                <wp:positionV relativeFrom="paragraph">
                  <wp:posOffset>211741</wp:posOffset>
                </wp:positionV>
                <wp:extent cx="521017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210175" cy="1270"/>
                        </a:xfrm>
                        <a:custGeom>
                          <a:avLst/>
                          <a:gdLst/>
                          <a:ahLst/>
                          <a:cxnLst/>
                          <a:rect l="l" t="t" r="r" b="b"/>
                          <a:pathLst>
                            <a:path w="5210175" h="0">
                              <a:moveTo>
                                <a:pt x="0" y="0"/>
                              </a:moveTo>
                              <a:lnTo>
                                <a:pt x="521017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1.25pt;margin-top:16.672573pt;width:410.25pt;height:.1pt;mso-position-horizontal-relative:page;mso-position-vertical-relative:paragraph;z-index:-15728640;mso-wrap-distance-left:0;mso-wrap-distance-right:0" id="docshape1" coordorigin="2025,333" coordsize="8205,0" path="m2025,333l10230,333e" filled="false" stroked="true" strokeweight="1.5pt" strokecolor="#000000">
                <v:path arrowok="t"/>
                <v:stroke dashstyle="solid"/>
                <w10:wrap type="topAndBottom"/>
              </v:shape>
            </w:pict>
          </mc:Fallback>
        </mc:AlternateContent>
      </w:r>
    </w:p>
    <w:p>
      <w:pPr>
        <w:spacing w:before="275"/>
        <w:ind w:left="570" w:right="0" w:firstLine="0"/>
        <w:jc w:val="left"/>
        <w:rPr>
          <w:sz w:val="16"/>
        </w:rPr>
      </w:pPr>
      <w:r>
        <w:rPr>
          <w:spacing w:val="-10"/>
          <w:sz w:val="16"/>
        </w:rPr>
        <w:t>.</w:t>
      </w:r>
    </w:p>
    <w:p>
      <w:pPr>
        <w:pStyle w:val="Heading1"/>
        <w:spacing w:before="5"/>
        <w:ind w:left="570" w:firstLine="0"/>
      </w:pPr>
      <w:r>
        <w:rPr>
          <w:color w:val="000000"/>
          <w:spacing w:val="-2"/>
          <w:highlight w:val="yellow"/>
        </w:rPr>
        <w:t>ABSTRACT</w:t>
      </w:r>
    </w:p>
    <w:p>
      <w:pPr>
        <w:pStyle w:val="BodyText"/>
        <w:spacing w:before="3"/>
        <w:rPr>
          <w:rFonts w:ascii="Arial"/>
          <w:b/>
        </w:rPr>
      </w:pPr>
      <w:r>
        <w:rPr>
          <w:rFonts w:ascii="Arial"/>
          <w:b/>
        </w:rPr>
        <w:drawing>
          <wp:anchor distT="0" distB="0" distL="0" distR="0" allowOverlap="1" layoutInCell="1" locked="0" behindDoc="1" simplePos="0" relativeHeight="487588352">
            <wp:simplePos x="0" y="0"/>
            <wp:positionH relativeFrom="page">
              <wp:posOffset>1343025</wp:posOffset>
            </wp:positionH>
            <wp:positionV relativeFrom="paragraph">
              <wp:posOffset>163804</wp:posOffset>
            </wp:positionV>
            <wp:extent cx="5362574" cy="3952875"/>
            <wp:effectExtent l="0" t="0" r="0" b="0"/>
            <wp:wrapTopAndBottom/>
            <wp:docPr id="4" name="Image 4" descr="Textbox 4"/>
            <wp:cNvGraphicFramePr>
              <a:graphicFrameLocks/>
            </wp:cNvGraphicFramePr>
            <a:graphic>
              <a:graphicData uri="http://schemas.openxmlformats.org/drawingml/2006/picture">
                <pic:pic>
                  <pic:nvPicPr>
                    <pic:cNvPr id="4" name="Image 4" descr="Textbox 4"/>
                    <pic:cNvPicPr/>
                  </pic:nvPicPr>
                  <pic:blipFill>
                    <a:blip r:embed="rId7" cstate="print"/>
                    <a:stretch>
                      <a:fillRect/>
                    </a:stretch>
                  </pic:blipFill>
                  <pic:spPr>
                    <a:xfrm>
                      <a:off x="0" y="0"/>
                      <a:ext cx="5362574" cy="3952875"/>
                    </a:xfrm>
                    <a:prstGeom prst="rect">
                      <a:avLst/>
                    </a:prstGeom>
                  </pic:spPr>
                </pic:pic>
              </a:graphicData>
            </a:graphic>
          </wp:anchor>
        </w:drawing>
      </w:r>
    </w:p>
    <w:p>
      <w:pPr>
        <w:pStyle w:val="BodyText"/>
        <w:spacing w:before="14"/>
        <w:rPr>
          <w:rFonts w:ascii="Arial"/>
          <w:b/>
          <w:sz w:val="22"/>
        </w:rPr>
      </w:pPr>
    </w:p>
    <w:p>
      <w:pPr>
        <w:spacing w:line="230" w:lineRule="auto" w:before="0"/>
        <w:ind w:left="570" w:right="1675" w:firstLine="0"/>
        <w:jc w:val="left"/>
        <w:rPr>
          <w:rFonts w:ascii="Arial"/>
          <w:i/>
          <w:sz w:val="20"/>
        </w:rPr>
      </w:pPr>
      <w:r>
        <w:rPr>
          <w:rFonts w:ascii="Arial"/>
          <w:i/>
          <w:sz w:val="20"/>
        </w:rPr>
        <w:t>Keywords:</w:t>
      </w:r>
      <w:r>
        <w:rPr>
          <w:rFonts w:ascii="Arial"/>
          <w:i/>
          <w:spacing w:val="-8"/>
          <w:sz w:val="20"/>
        </w:rPr>
        <w:t> </w:t>
      </w:r>
      <w:r>
        <w:rPr>
          <w:rFonts w:ascii="Arial"/>
          <w:i/>
          <w:sz w:val="20"/>
        </w:rPr>
        <w:t>Orofacial</w:t>
      </w:r>
      <w:r>
        <w:rPr>
          <w:rFonts w:ascii="Arial"/>
          <w:i/>
          <w:spacing w:val="-8"/>
          <w:sz w:val="20"/>
        </w:rPr>
        <w:t> </w:t>
      </w:r>
      <w:r>
        <w:rPr>
          <w:rFonts w:ascii="Arial"/>
          <w:i/>
          <w:sz w:val="20"/>
        </w:rPr>
        <w:t>Pain;</w:t>
      </w:r>
      <w:r>
        <w:rPr>
          <w:rFonts w:ascii="Arial"/>
          <w:i/>
          <w:spacing w:val="-8"/>
          <w:sz w:val="20"/>
        </w:rPr>
        <w:t> </w:t>
      </w:r>
      <w:r>
        <w:rPr>
          <w:rFonts w:ascii="Arial"/>
          <w:i/>
          <w:sz w:val="20"/>
        </w:rPr>
        <w:t>Temporomandibular</w:t>
      </w:r>
      <w:r>
        <w:rPr>
          <w:rFonts w:ascii="Arial"/>
          <w:i/>
          <w:spacing w:val="-8"/>
          <w:sz w:val="20"/>
        </w:rPr>
        <w:t> </w:t>
      </w:r>
      <w:r>
        <w:rPr>
          <w:rFonts w:ascii="Arial"/>
          <w:i/>
          <w:sz w:val="20"/>
        </w:rPr>
        <w:t>Joint</w:t>
      </w:r>
      <w:r>
        <w:rPr>
          <w:rFonts w:ascii="Arial"/>
          <w:i/>
          <w:spacing w:val="-8"/>
          <w:sz w:val="20"/>
        </w:rPr>
        <w:t> </w:t>
      </w:r>
      <w:r>
        <w:rPr>
          <w:rFonts w:ascii="Arial"/>
          <w:i/>
          <w:sz w:val="20"/>
        </w:rPr>
        <w:t>Dysfunction</w:t>
      </w:r>
      <w:r>
        <w:rPr>
          <w:rFonts w:ascii="Arial"/>
          <w:i/>
          <w:spacing w:val="-8"/>
          <w:sz w:val="20"/>
        </w:rPr>
        <w:t> </w:t>
      </w:r>
      <w:r>
        <w:rPr>
          <w:rFonts w:ascii="Arial"/>
          <w:i/>
          <w:sz w:val="20"/>
        </w:rPr>
        <w:t>Syndrome;</w:t>
      </w:r>
      <w:r>
        <w:rPr>
          <w:rFonts w:ascii="Arial"/>
          <w:i/>
          <w:spacing w:val="-8"/>
          <w:sz w:val="20"/>
        </w:rPr>
        <w:t> </w:t>
      </w:r>
      <w:r>
        <w:rPr>
          <w:rFonts w:ascii="Arial"/>
          <w:i/>
          <w:sz w:val="20"/>
        </w:rPr>
        <w:t>Dental</w:t>
      </w:r>
      <w:r>
        <w:rPr>
          <w:rFonts w:ascii="Arial"/>
          <w:i/>
          <w:spacing w:val="-8"/>
          <w:sz w:val="20"/>
        </w:rPr>
        <w:t> </w:t>
      </w:r>
      <w:r>
        <w:rPr>
          <w:rFonts w:ascii="Arial"/>
          <w:i/>
          <w:sz w:val="20"/>
        </w:rPr>
        <w:t>Schools; Curriculum; Teaching.</w:t>
      </w:r>
    </w:p>
    <w:p>
      <w:pPr>
        <w:spacing w:after="0" w:line="230" w:lineRule="auto"/>
        <w:jc w:val="left"/>
        <w:rPr>
          <w:rFonts w:ascii="Arial"/>
          <w:i/>
          <w:sz w:val="20"/>
        </w:rPr>
        <w:sectPr>
          <w:headerReference w:type="default" r:id="rId5"/>
          <w:type w:val="continuous"/>
          <w:pgSz w:w="12240" w:h="15840"/>
          <w:pgMar w:header="16" w:footer="0" w:top="340" w:bottom="280" w:left="1440" w:right="360"/>
          <w:pgNumType w:start="1"/>
        </w:sectPr>
      </w:pPr>
    </w:p>
    <w:p>
      <w:pPr>
        <w:pStyle w:val="BodyText"/>
        <w:spacing w:before="131"/>
        <w:rPr>
          <w:rFonts w:ascii="Arial"/>
          <w:i/>
          <w:sz w:val="22"/>
        </w:rPr>
      </w:pPr>
    </w:p>
    <w:p>
      <w:pPr>
        <w:pStyle w:val="Heading1"/>
        <w:numPr>
          <w:ilvl w:val="0"/>
          <w:numId w:val="1"/>
        </w:numPr>
        <w:tabs>
          <w:tab w:pos="823" w:val="left" w:leader="none"/>
        </w:tabs>
        <w:spacing w:line="240" w:lineRule="auto" w:before="0" w:after="0"/>
        <w:ind w:left="823" w:right="0" w:hanging="253"/>
        <w:jc w:val="left"/>
      </w:pPr>
      <w:r>
        <w:rPr>
          <w:spacing w:val="-2"/>
        </w:rPr>
        <w:t>INTRODUCTION</w:t>
      </w:r>
    </w:p>
    <w:p>
      <w:pPr>
        <w:pStyle w:val="BodyText"/>
        <w:ind w:left="360" w:right="1078" w:firstLine="720"/>
        <w:jc w:val="both"/>
      </w:pPr>
      <w:r>
        <w:rPr/>
        <w:t>Temporomandibular Disorders (TMD) and Orofacial Pain (OFP) have long been recognized as complex musculoskeletal and neuromuscular conditions that significantly impact oral health and general well-being. The temporomandibular joint (TMJ) plays a critical role in oral function, and its dysfunction can lead to debilitating pain, limited mandibular movement, and other associated symptoms (McNeill, 1997; Barros et al., 2009; Conti et al., 2012; Choi</w:t>
      </w:r>
      <w:r>
        <w:rPr>
          <w:spacing w:val="-3"/>
        </w:rPr>
        <w:t> </w:t>
      </w:r>
      <w:r>
        <w:rPr/>
        <w:t>et</w:t>
      </w:r>
      <w:r>
        <w:rPr>
          <w:spacing w:val="-3"/>
        </w:rPr>
        <w:t> </w:t>
      </w:r>
      <w:r>
        <w:rPr/>
        <w:t>al.,</w:t>
      </w:r>
      <w:r>
        <w:rPr>
          <w:spacing w:val="-3"/>
        </w:rPr>
        <w:t> </w:t>
      </w:r>
      <w:r>
        <w:rPr/>
        <w:t>2013;</w:t>
      </w:r>
      <w:r>
        <w:rPr>
          <w:spacing w:val="-3"/>
        </w:rPr>
        <w:t> </w:t>
      </w:r>
      <w:r>
        <w:rPr/>
        <w:t>Leeuw</w:t>
      </w:r>
      <w:r>
        <w:rPr>
          <w:spacing w:val="-3"/>
        </w:rPr>
        <w:t> </w:t>
      </w:r>
      <w:r>
        <w:rPr/>
        <w:t>&amp;</w:t>
      </w:r>
      <w:r>
        <w:rPr>
          <w:spacing w:val="-3"/>
        </w:rPr>
        <w:t> </w:t>
      </w:r>
      <w:r>
        <w:rPr/>
        <w:t>Klasser, 2018; AAOP, 2023).</w:t>
      </w:r>
    </w:p>
    <w:p>
      <w:pPr>
        <w:pStyle w:val="BodyText"/>
      </w:pPr>
    </w:p>
    <w:p>
      <w:pPr>
        <w:pStyle w:val="BodyText"/>
        <w:ind w:left="360" w:right="1078" w:firstLine="720"/>
        <w:jc w:val="both"/>
      </w:pPr>
      <w:r>
        <w:rPr/>
        <w:t>Historically, TMD and OFP were often misunderstood, with early literature attributing their causes primarily to occlusal discrepancies and dental malocclusions. However, advances in pain science and dentistry have shifted the paradigm toward a multifactorial understanding, incorporating biomechanical, psychological, and</w:t>
      </w:r>
      <w:r>
        <w:rPr>
          <w:spacing w:val="-5"/>
        </w:rPr>
        <w:t> </w:t>
      </w:r>
      <w:r>
        <w:rPr/>
        <w:t>social</w:t>
      </w:r>
      <w:r>
        <w:rPr>
          <w:spacing w:val="-5"/>
        </w:rPr>
        <w:t> </w:t>
      </w:r>
      <w:r>
        <w:rPr/>
        <w:t>determinants.</w:t>
      </w:r>
      <w:r>
        <w:rPr>
          <w:spacing w:val="-5"/>
        </w:rPr>
        <w:t> </w:t>
      </w:r>
      <w:r>
        <w:rPr/>
        <w:t>Despite</w:t>
      </w:r>
      <w:r>
        <w:rPr>
          <w:spacing w:val="-5"/>
        </w:rPr>
        <w:t> </w:t>
      </w:r>
      <w:r>
        <w:rPr/>
        <w:t>these</w:t>
      </w:r>
      <w:r>
        <w:rPr>
          <w:spacing w:val="-5"/>
        </w:rPr>
        <w:t> </w:t>
      </w:r>
      <w:r>
        <w:rPr/>
        <w:t>advancements,</w:t>
      </w:r>
      <w:r>
        <w:rPr>
          <w:spacing w:val="-5"/>
        </w:rPr>
        <w:t> </w:t>
      </w:r>
      <w:r>
        <w:rPr/>
        <w:t>TMD</w:t>
      </w:r>
      <w:r>
        <w:rPr>
          <w:spacing w:val="-5"/>
        </w:rPr>
        <w:t> </w:t>
      </w:r>
      <w:r>
        <w:rPr/>
        <w:t>education in undergraduate dentistry programs remains inconsistent across different institutions and countries (Ommerborn et al., 2009; Aggarwal et al., 2011; Simm &amp; Guimarães, 2013; Alonso et al., 2014; Machado, Lima, Conti, 2014; Al- Khotani et al., 2015; Magri et al., 2018; Araújo et al., 2019; Heir, 2019; Rahmeier et al., 2021). </w:t>
      </w:r>
      <w:r>
        <w:rPr>
          <w:color w:val="000000"/>
          <w:highlight w:val="yellow"/>
        </w:rPr>
        <w:t>One example of</w:t>
      </w:r>
      <w:r>
        <w:rPr>
          <w:color w:val="000000"/>
          <w:spacing w:val="-3"/>
          <w:highlight w:val="yellow"/>
        </w:rPr>
        <w:t> </w:t>
      </w:r>
      <w:r>
        <w:rPr>
          <w:color w:val="000000"/>
          <w:highlight w:val="yellow"/>
        </w:rPr>
        <w:t>the</w:t>
      </w:r>
      <w:r>
        <w:rPr>
          <w:color w:val="000000"/>
          <w:spacing w:val="-3"/>
          <w:highlight w:val="yellow"/>
        </w:rPr>
        <w:t> </w:t>
      </w:r>
      <w:r>
        <w:rPr>
          <w:color w:val="000000"/>
          <w:highlight w:val="yellow"/>
        </w:rPr>
        <w:t>variability</w:t>
      </w:r>
      <w:r>
        <w:rPr>
          <w:color w:val="000000"/>
          <w:spacing w:val="-3"/>
          <w:highlight w:val="yellow"/>
        </w:rPr>
        <w:t> </w:t>
      </w:r>
      <w:r>
        <w:rPr>
          <w:color w:val="000000"/>
          <w:highlight w:val="yellow"/>
        </w:rPr>
        <w:t>in</w:t>
      </w:r>
      <w:r>
        <w:rPr>
          <w:color w:val="000000"/>
          <w:spacing w:val="-3"/>
          <w:highlight w:val="yellow"/>
        </w:rPr>
        <w:t> </w:t>
      </w:r>
      <w:r>
        <w:rPr>
          <w:color w:val="000000"/>
          <w:highlight w:val="yellow"/>
        </w:rPr>
        <w:t>TMD-related</w:t>
      </w:r>
      <w:r>
        <w:rPr>
          <w:color w:val="000000"/>
          <w:spacing w:val="-3"/>
          <w:highlight w:val="yellow"/>
        </w:rPr>
        <w:t> </w:t>
      </w:r>
      <w:r>
        <w:rPr>
          <w:color w:val="000000"/>
          <w:highlight w:val="yellow"/>
        </w:rPr>
        <w:t>education</w:t>
      </w:r>
      <w:r>
        <w:rPr>
          <w:color w:val="000000"/>
          <w:spacing w:val="-3"/>
          <w:highlight w:val="yellow"/>
        </w:rPr>
        <w:t> </w:t>
      </w:r>
      <w:r>
        <w:rPr>
          <w:color w:val="000000"/>
          <w:highlight w:val="yellow"/>
        </w:rPr>
        <w:t>is</w:t>
      </w:r>
      <w:r>
        <w:rPr>
          <w:color w:val="000000"/>
          <w:spacing w:val="-3"/>
          <w:highlight w:val="yellow"/>
        </w:rPr>
        <w:t> </w:t>
      </w:r>
      <w:r>
        <w:rPr>
          <w:color w:val="000000"/>
          <w:highlight w:val="yellow"/>
        </w:rPr>
        <w:t>using</w:t>
      </w:r>
      <w:r>
        <w:rPr>
          <w:color w:val="000000"/>
          <w:spacing w:val="-3"/>
          <w:highlight w:val="yellow"/>
        </w:rPr>
        <w:t> </w:t>
      </w:r>
      <w:r>
        <w:rPr>
          <w:color w:val="000000"/>
          <w:highlight w:val="yellow"/>
        </w:rPr>
        <w:t>digital</w:t>
      </w:r>
      <w:r>
        <w:rPr>
          <w:color w:val="000000"/>
        </w:rPr>
        <w:t> </w:t>
      </w:r>
      <w:r>
        <w:rPr>
          <w:color w:val="000000"/>
          <w:highlight w:val="yellow"/>
        </w:rPr>
        <w:t>learning methods to teach temporomandibular joint (TMJ) interpretation. When conventional and</w:t>
      </w:r>
      <w:r>
        <w:rPr>
          <w:color w:val="000000"/>
        </w:rPr>
        <w:t> </w:t>
      </w:r>
      <w:r>
        <w:rPr>
          <w:color w:val="000000"/>
          <w:highlight w:val="yellow"/>
        </w:rPr>
        <w:t>digital interactive learning methods for TMJ magnetic resonance imaging (MRI) interpretation were</w:t>
      </w:r>
      <w:r>
        <w:rPr>
          <w:color w:val="000000"/>
        </w:rPr>
        <w:t> </w:t>
      </w:r>
      <w:r>
        <w:rPr>
          <w:color w:val="000000"/>
          <w:highlight w:val="yellow"/>
        </w:rPr>
        <w:t>compared, it was found that while both methods improved students' performance, traditional</w:t>
      </w:r>
      <w:r>
        <w:rPr>
          <w:color w:val="000000"/>
        </w:rPr>
        <w:t> </w:t>
      </w:r>
      <w:r>
        <w:rPr>
          <w:color w:val="000000"/>
          <w:highlight w:val="yellow"/>
        </w:rPr>
        <w:t>approaches still yielded better results. This underscores the need for</w:t>
      </w:r>
      <w:r>
        <w:rPr>
          <w:color w:val="000000"/>
          <w:spacing w:val="-3"/>
          <w:highlight w:val="yellow"/>
        </w:rPr>
        <w:t> </w:t>
      </w:r>
      <w:r>
        <w:rPr>
          <w:color w:val="000000"/>
          <w:highlight w:val="yellow"/>
        </w:rPr>
        <w:t>structured</w:t>
      </w:r>
      <w:r>
        <w:rPr>
          <w:color w:val="000000"/>
          <w:spacing w:val="-3"/>
          <w:highlight w:val="yellow"/>
        </w:rPr>
        <w:t> </w:t>
      </w:r>
      <w:r>
        <w:rPr>
          <w:color w:val="000000"/>
          <w:highlight w:val="yellow"/>
        </w:rPr>
        <w:t>and</w:t>
      </w:r>
      <w:r>
        <w:rPr>
          <w:color w:val="000000"/>
          <w:spacing w:val="-3"/>
          <w:highlight w:val="yellow"/>
        </w:rPr>
        <w:t> </w:t>
      </w:r>
      <w:r>
        <w:rPr>
          <w:color w:val="000000"/>
          <w:highlight w:val="yellow"/>
        </w:rPr>
        <w:t>evidence-based</w:t>
      </w:r>
      <w:r>
        <w:rPr>
          <w:color w:val="000000"/>
        </w:rPr>
        <w:t> </w:t>
      </w:r>
      <w:r>
        <w:rPr>
          <w:color w:val="000000"/>
          <w:highlight w:val="yellow"/>
        </w:rPr>
        <w:t>approaches in TMD education, ensuring that students develop essential diagnostic competencies</w:t>
      </w:r>
      <w:r>
        <w:rPr>
          <w:color w:val="000000"/>
        </w:rPr>
        <w:t> </w:t>
      </w:r>
      <w:r>
        <w:rPr>
          <w:color w:val="000000"/>
          <w:highlight w:val="yellow"/>
        </w:rPr>
        <w:t>(Arús et al., 2017).</w:t>
      </w:r>
    </w:p>
    <w:p>
      <w:pPr>
        <w:pStyle w:val="BodyText"/>
      </w:pPr>
    </w:p>
    <w:p>
      <w:pPr>
        <w:pStyle w:val="BodyText"/>
        <w:ind w:left="360" w:right="1078" w:firstLine="720"/>
        <w:jc w:val="both"/>
      </w:pPr>
      <w:r>
        <w:rPr/>
        <w:t>The prevalence of TMD-related symptoms is strikingly high, affecting up to 70% of the population, with 5–12% requiring treatment due to persistent or disabling conditions (Sharma et al., 2011; NIH, 2014; Lomas et al., 2018; Conti, 2021). Given this widespread occurrence, there is an urgent need to ensure that dental professionals receive comprehensive training in the assessment, diagnosis, and management of TMD and OFP.</w:t>
      </w:r>
    </w:p>
    <w:p>
      <w:pPr>
        <w:pStyle w:val="BodyText"/>
      </w:pPr>
    </w:p>
    <w:p>
      <w:pPr>
        <w:pStyle w:val="BodyText"/>
        <w:ind w:left="360" w:right="1080" w:firstLine="720"/>
        <w:jc w:val="both"/>
      </w:pPr>
      <w:r>
        <w:rPr/>
        <w:t>Despite this necessity, studies</w:t>
      </w:r>
      <w:r>
        <w:rPr>
          <w:spacing w:val="-5"/>
        </w:rPr>
        <w:t> </w:t>
      </w:r>
      <w:r>
        <w:rPr/>
        <w:t>indicate</w:t>
      </w:r>
      <w:r>
        <w:rPr>
          <w:spacing w:val="-5"/>
        </w:rPr>
        <w:t> </w:t>
      </w:r>
      <w:r>
        <w:rPr/>
        <w:t>that</w:t>
      </w:r>
      <w:r>
        <w:rPr>
          <w:spacing w:val="-5"/>
        </w:rPr>
        <w:t> </w:t>
      </w:r>
      <w:r>
        <w:rPr/>
        <w:t>educational</w:t>
      </w:r>
      <w:r>
        <w:rPr>
          <w:spacing w:val="-5"/>
        </w:rPr>
        <w:t> </w:t>
      </w:r>
      <w:r>
        <w:rPr/>
        <w:t>approaches</w:t>
      </w:r>
      <w:r>
        <w:rPr>
          <w:spacing w:val="-5"/>
        </w:rPr>
        <w:t> </w:t>
      </w:r>
      <w:r>
        <w:rPr/>
        <w:t>remain</w:t>
      </w:r>
      <w:r>
        <w:rPr>
          <w:spacing w:val="-5"/>
        </w:rPr>
        <w:t> </w:t>
      </w:r>
      <w:r>
        <w:rPr/>
        <w:t>outdated</w:t>
      </w:r>
      <w:r>
        <w:rPr>
          <w:spacing w:val="-5"/>
        </w:rPr>
        <w:t> </w:t>
      </w:r>
      <w:r>
        <w:rPr/>
        <w:t>in</w:t>
      </w:r>
      <w:r>
        <w:rPr>
          <w:spacing w:val="-5"/>
        </w:rPr>
        <w:t> </w:t>
      </w:r>
      <w:r>
        <w:rPr/>
        <w:t>many dental schools. Curricula often emphasize traditional mechanistic</w:t>
      </w:r>
      <w:r>
        <w:rPr>
          <w:spacing w:val="-4"/>
        </w:rPr>
        <w:t> </w:t>
      </w:r>
      <w:r>
        <w:rPr/>
        <w:t>models,</w:t>
      </w:r>
      <w:r>
        <w:rPr>
          <w:spacing w:val="-4"/>
        </w:rPr>
        <w:t> </w:t>
      </w:r>
      <w:r>
        <w:rPr/>
        <w:t>neglecting</w:t>
      </w:r>
      <w:r>
        <w:rPr>
          <w:spacing w:val="-4"/>
        </w:rPr>
        <w:t> </w:t>
      </w:r>
      <w:r>
        <w:rPr/>
        <w:t>interdisciplinary pain management strategies and psychosocial aspects of pain perception. As a result, many graduating dental students feel inadequately prepared to manage TMD patients in clinical practice (Ommerborn et al., 2009; Aggarwal et al., 2011; Simm &amp; Guimarães, 2013; Alonso et al., 2014; Machado,</w:t>
      </w:r>
      <w:r>
        <w:rPr>
          <w:spacing w:val="40"/>
        </w:rPr>
        <w:t> </w:t>
      </w:r>
      <w:r>
        <w:rPr/>
        <w:t>Lima, Conti, 2014; Al-Khotani et al., 2015; Magri et al., 2018; Araújo et al., 2019; Heir, 2019; Rahmeier et al., 2021).</w:t>
      </w:r>
    </w:p>
    <w:p>
      <w:pPr>
        <w:pStyle w:val="BodyText"/>
      </w:pPr>
    </w:p>
    <w:p>
      <w:pPr>
        <w:pStyle w:val="BodyText"/>
        <w:ind w:left="360" w:right="1084" w:firstLine="720"/>
        <w:jc w:val="both"/>
      </w:pPr>
      <w:r>
        <w:rPr/>
        <w:t>Management of TMD primarily involves symptom control, with conservative approaches yielding favorable outcomes during the early intervention window. However, patients with chronic orofacial pain, particularly those with comorbid conditions, present a greater challenge to healthcare professionals (Heir, 2019).</w:t>
      </w:r>
    </w:p>
    <w:p>
      <w:pPr>
        <w:pStyle w:val="BodyText"/>
      </w:pPr>
    </w:p>
    <w:p>
      <w:pPr>
        <w:pStyle w:val="BodyText"/>
        <w:ind w:left="360" w:right="1080" w:firstLine="720"/>
        <w:jc w:val="both"/>
      </w:pPr>
      <w:r>
        <w:rPr/>
        <w:t>Pain is an unpleasant sensory and</w:t>
      </w:r>
      <w:r>
        <w:rPr>
          <w:spacing w:val="-4"/>
        </w:rPr>
        <w:t> </w:t>
      </w:r>
      <w:r>
        <w:rPr/>
        <w:t>emotional</w:t>
      </w:r>
      <w:r>
        <w:rPr>
          <w:spacing w:val="-4"/>
        </w:rPr>
        <w:t> </w:t>
      </w:r>
      <w:r>
        <w:rPr/>
        <w:t>experience</w:t>
      </w:r>
      <w:r>
        <w:rPr>
          <w:spacing w:val="-4"/>
        </w:rPr>
        <w:t> </w:t>
      </w:r>
      <w:r>
        <w:rPr/>
        <w:t>associated</w:t>
      </w:r>
      <w:r>
        <w:rPr>
          <w:spacing w:val="-4"/>
        </w:rPr>
        <w:t> </w:t>
      </w:r>
      <w:r>
        <w:rPr/>
        <w:t>with,</w:t>
      </w:r>
      <w:r>
        <w:rPr>
          <w:spacing w:val="-4"/>
        </w:rPr>
        <w:t> </w:t>
      </w:r>
      <w:r>
        <w:rPr/>
        <w:t>or</w:t>
      </w:r>
      <w:r>
        <w:rPr>
          <w:spacing w:val="-4"/>
        </w:rPr>
        <w:t> </w:t>
      </w:r>
      <w:r>
        <w:rPr/>
        <w:t>resembling,</w:t>
      </w:r>
      <w:r>
        <w:rPr>
          <w:spacing w:val="-4"/>
        </w:rPr>
        <w:t> </w:t>
      </w:r>
      <w:r>
        <w:rPr/>
        <w:t>that is linked to actual or potential tissue damage (Dworkin &amp; LeResche, 1992). However, pain is inherently subjective. The experience of pain is influenced not only by</w:t>
      </w:r>
      <w:r>
        <w:rPr>
          <w:spacing w:val="-3"/>
        </w:rPr>
        <w:t> </w:t>
      </w:r>
      <w:r>
        <w:rPr/>
        <w:t>the</w:t>
      </w:r>
      <w:r>
        <w:rPr>
          <w:spacing w:val="-3"/>
        </w:rPr>
        <w:t> </w:t>
      </w:r>
      <w:r>
        <w:rPr/>
        <w:t>magnitude</w:t>
      </w:r>
      <w:r>
        <w:rPr>
          <w:spacing w:val="-3"/>
        </w:rPr>
        <w:t> </w:t>
      </w:r>
      <w:r>
        <w:rPr/>
        <w:t>of</w:t>
      </w:r>
      <w:r>
        <w:rPr>
          <w:spacing w:val="-3"/>
        </w:rPr>
        <w:t> </w:t>
      </w:r>
      <w:r>
        <w:rPr/>
        <w:t>the</w:t>
      </w:r>
      <w:r>
        <w:rPr>
          <w:spacing w:val="-3"/>
        </w:rPr>
        <w:t> </w:t>
      </w:r>
      <w:r>
        <w:rPr/>
        <w:t>actual</w:t>
      </w:r>
      <w:r>
        <w:rPr>
          <w:spacing w:val="-3"/>
        </w:rPr>
        <w:t> </w:t>
      </w:r>
      <w:r>
        <w:rPr/>
        <w:t>or potential injury but also by the individual's emotional state and the context in which the noxious stimulus is received (McCulloch Gallagher &amp; Sandbrink, 2019; Karos et al., 2020; Greene &amp; Manfredini, 2021; Fredricson et al., 2023).</w:t>
      </w:r>
    </w:p>
    <w:p>
      <w:pPr>
        <w:pStyle w:val="BodyText"/>
      </w:pPr>
    </w:p>
    <w:p>
      <w:pPr>
        <w:pStyle w:val="BodyText"/>
        <w:ind w:left="360" w:right="1080" w:firstLine="720"/>
        <w:jc w:val="both"/>
      </w:pPr>
      <w:r>
        <w:rPr/>
        <w:t>The lack of uniformity in TMD education results in OFP, prevalent</w:t>
      </w:r>
      <w:r>
        <w:rPr>
          <w:spacing w:val="-4"/>
        </w:rPr>
        <w:t> </w:t>
      </w:r>
      <w:r>
        <w:rPr/>
        <w:t>in</w:t>
      </w:r>
      <w:r>
        <w:rPr>
          <w:spacing w:val="-4"/>
        </w:rPr>
        <w:t> </w:t>
      </w:r>
      <w:r>
        <w:rPr/>
        <w:t>both</w:t>
      </w:r>
      <w:r>
        <w:rPr>
          <w:spacing w:val="-4"/>
        </w:rPr>
        <w:t> </w:t>
      </w:r>
      <w:r>
        <w:rPr/>
        <w:t>primary</w:t>
      </w:r>
      <w:r>
        <w:rPr>
          <w:spacing w:val="-4"/>
        </w:rPr>
        <w:t> </w:t>
      </w:r>
      <w:r>
        <w:rPr/>
        <w:t>healthcare and other levels of care, becoming not only a clinical challenge for general dentists but also an economic burden for the country and a psychological obstacle for patients (Wolf et</w:t>
      </w:r>
      <w:r>
        <w:rPr>
          <w:spacing w:val="-3"/>
        </w:rPr>
        <w:t> </w:t>
      </w:r>
      <w:r>
        <w:rPr/>
        <w:t>al.,</w:t>
      </w:r>
      <w:r>
        <w:rPr>
          <w:spacing w:val="-3"/>
        </w:rPr>
        <w:t> </w:t>
      </w:r>
      <w:r>
        <w:rPr/>
        <w:t>2006;</w:t>
      </w:r>
      <w:r>
        <w:rPr>
          <w:spacing w:val="-3"/>
        </w:rPr>
        <w:t> </w:t>
      </w:r>
      <w:r>
        <w:rPr/>
        <w:t>Wolf</w:t>
      </w:r>
      <w:r>
        <w:rPr>
          <w:spacing w:val="-3"/>
        </w:rPr>
        <w:t> </w:t>
      </w:r>
      <w:r>
        <w:rPr/>
        <w:t>et al., 2008; Aggarwal et al., 2011). For instance, in Brazil, TMD and OFP were recognized as</w:t>
      </w:r>
      <w:r>
        <w:rPr>
          <w:spacing w:val="40"/>
        </w:rPr>
        <w:t> </w:t>
      </w:r>
      <w:r>
        <w:rPr/>
        <w:t>specialties by the</w:t>
      </w:r>
      <w:r>
        <w:rPr>
          <w:spacing w:val="-3"/>
        </w:rPr>
        <w:t> </w:t>
      </w:r>
      <w:r>
        <w:rPr/>
        <w:t>Federal</w:t>
      </w:r>
      <w:r>
        <w:rPr>
          <w:spacing w:val="-3"/>
        </w:rPr>
        <w:t> </w:t>
      </w:r>
      <w:r>
        <w:rPr/>
        <w:t>Council</w:t>
      </w:r>
      <w:r>
        <w:rPr>
          <w:spacing w:val="-3"/>
        </w:rPr>
        <w:t> </w:t>
      </w:r>
      <w:r>
        <w:rPr/>
        <w:t>of</w:t>
      </w:r>
      <w:r>
        <w:rPr>
          <w:spacing w:val="-3"/>
        </w:rPr>
        <w:t> </w:t>
      </w:r>
      <w:r>
        <w:rPr/>
        <w:t>Dentistry</w:t>
      </w:r>
      <w:r>
        <w:rPr>
          <w:spacing w:val="-3"/>
        </w:rPr>
        <w:t> </w:t>
      </w:r>
      <w:r>
        <w:rPr/>
        <w:t>(CFO)</w:t>
      </w:r>
      <w:r>
        <w:rPr>
          <w:spacing w:val="-3"/>
        </w:rPr>
        <w:t> </w:t>
      </w:r>
      <w:r>
        <w:rPr/>
        <w:t>in</w:t>
      </w:r>
      <w:r>
        <w:rPr>
          <w:spacing w:val="-3"/>
        </w:rPr>
        <w:t> </w:t>
      </w:r>
      <w:r>
        <w:rPr/>
        <w:t>2002</w:t>
      </w:r>
      <w:r>
        <w:rPr>
          <w:spacing w:val="-3"/>
        </w:rPr>
        <w:t> </w:t>
      </w:r>
      <w:r>
        <w:rPr/>
        <w:t>and</w:t>
      </w:r>
      <w:r>
        <w:rPr>
          <w:spacing w:val="-3"/>
        </w:rPr>
        <w:t> </w:t>
      </w:r>
      <w:r>
        <w:rPr/>
        <w:t>currently</w:t>
      </w:r>
      <w:r>
        <w:rPr>
          <w:spacing w:val="-3"/>
        </w:rPr>
        <w:t> </w:t>
      </w:r>
      <w:r>
        <w:rPr/>
        <w:t>account</w:t>
      </w:r>
      <w:r>
        <w:rPr>
          <w:spacing w:val="-3"/>
        </w:rPr>
        <w:t> </w:t>
      </w:r>
      <w:r>
        <w:rPr/>
        <w:t>for</w:t>
      </w:r>
      <w:r>
        <w:rPr>
          <w:spacing w:val="-3"/>
        </w:rPr>
        <w:t> </w:t>
      </w:r>
      <w:r>
        <w:rPr/>
        <w:t>1.1%</w:t>
      </w:r>
      <w:r>
        <w:rPr>
          <w:spacing w:val="-3"/>
        </w:rPr>
        <w:t> </w:t>
      </w:r>
      <w:r>
        <w:rPr/>
        <w:t>of</w:t>
      </w:r>
      <w:r>
        <w:rPr>
          <w:spacing w:val="-3"/>
        </w:rPr>
        <w:t> </w:t>
      </w:r>
      <w:r>
        <w:rPr/>
        <w:t>dental specialists, including 820 women and 737 men (CFO, 2024). Additionally, the new National Curriculum Guidelines (DCNs) for Dentistry recommend that starting in </w:t>
      </w:r>
      <w:r>
        <w:rPr>
          <w:color w:val="000000"/>
          <w:highlight w:val="yellow"/>
        </w:rPr>
        <w:t>2023</w:t>
      </w:r>
      <w:r>
        <w:rPr>
          <w:color w:val="000000"/>
        </w:rPr>
        <w:t>, programs should structure their curricula based on health conditions or life cycles</w:t>
      </w:r>
      <w:r>
        <w:rPr>
          <w:rFonts w:ascii="Times New Roman"/>
          <w:color w:val="000000"/>
          <w:highlight w:val="yellow"/>
        </w:rPr>
        <w:t> </w:t>
      </w:r>
      <w:r>
        <w:rPr>
          <w:color w:val="000000"/>
          <w:highlight w:val="yellow"/>
        </w:rPr>
        <w:t>(Brazil, 2021).</w:t>
      </w:r>
      <w:r>
        <w:rPr>
          <w:color w:val="000000"/>
        </w:rPr>
        <w:t> This approach considers outcomes, unresolved challenges, emerging demands</w:t>
      </w:r>
      <w:r>
        <w:rPr>
          <w:color w:val="000000"/>
          <w:spacing w:val="-5"/>
        </w:rPr>
        <w:t> </w:t>
      </w:r>
      <w:r>
        <w:rPr>
          <w:color w:val="000000"/>
        </w:rPr>
        <w:t>from</w:t>
      </w:r>
      <w:r>
        <w:rPr>
          <w:color w:val="000000"/>
          <w:spacing w:val="-5"/>
        </w:rPr>
        <w:t> </w:t>
      </w:r>
      <w:r>
        <w:rPr>
          <w:color w:val="000000"/>
        </w:rPr>
        <w:t>the</w:t>
      </w:r>
      <w:r>
        <w:rPr>
          <w:color w:val="000000"/>
          <w:spacing w:val="-5"/>
        </w:rPr>
        <w:t> </w:t>
      </w:r>
      <w:r>
        <w:rPr>
          <w:color w:val="000000"/>
        </w:rPr>
        <w:t>health</w:t>
      </w:r>
      <w:r>
        <w:rPr>
          <w:color w:val="000000"/>
          <w:spacing w:val="-5"/>
        </w:rPr>
        <w:t> </w:t>
      </w:r>
      <w:r>
        <w:rPr>
          <w:color w:val="000000"/>
        </w:rPr>
        <w:t>reality,</w:t>
      </w:r>
      <w:r>
        <w:rPr>
          <w:color w:val="000000"/>
          <w:spacing w:val="-5"/>
        </w:rPr>
        <w:t> </w:t>
      </w:r>
      <w:r>
        <w:rPr>
          <w:color w:val="000000"/>
        </w:rPr>
        <w:t>and</w:t>
      </w:r>
      <w:r>
        <w:rPr>
          <w:color w:val="000000"/>
          <w:spacing w:val="-5"/>
        </w:rPr>
        <w:t> </w:t>
      </w:r>
      <w:r>
        <w:rPr>
          <w:color w:val="000000"/>
        </w:rPr>
        <w:t>changes stemming from scientific advancements and professional practice. Previously focused on uniprofessional treatment, the emphasis now shifts toward quality of life, comprehensive interprofessional care, and timely intervention.</w:t>
      </w:r>
    </w:p>
    <w:p>
      <w:pPr>
        <w:pStyle w:val="BodyText"/>
      </w:pPr>
    </w:p>
    <w:p>
      <w:pPr>
        <w:pStyle w:val="BodyText"/>
        <w:ind w:left="360" w:right="1084" w:firstLine="720"/>
        <w:jc w:val="both"/>
      </w:pPr>
      <w:r>
        <w:rPr/>
        <w:t>In light of this, this review aims to analyze scientific articles addressing TMD and OFP education</w:t>
      </w:r>
      <w:r>
        <w:rPr>
          <w:spacing w:val="26"/>
        </w:rPr>
        <w:t> </w:t>
      </w:r>
      <w:r>
        <w:rPr/>
        <w:t>and</w:t>
      </w:r>
      <w:r>
        <w:rPr>
          <w:spacing w:val="26"/>
        </w:rPr>
        <w:t> </w:t>
      </w:r>
      <w:r>
        <w:rPr/>
        <w:t>its</w:t>
      </w:r>
      <w:r>
        <w:rPr>
          <w:spacing w:val="26"/>
        </w:rPr>
        <w:t> </w:t>
      </w:r>
      <w:r>
        <w:rPr/>
        <w:t>integration</w:t>
      </w:r>
      <w:r>
        <w:rPr>
          <w:spacing w:val="26"/>
        </w:rPr>
        <w:t> </w:t>
      </w:r>
      <w:r>
        <w:rPr/>
        <w:t>into</w:t>
      </w:r>
      <w:r>
        <w:rPr>
          <w:spacing w:val="26"/>
        </w:rPr>
        <w:t> </w:t>
      </w:r>
      <w:r>
        <w:rPr/>
        <w:t>practice and curricula across all levels of undergraduate Dentistry</w:t>
      </w:r>
    </w:p>
    <w:p>
      <w:pPr>
        <w:pStyle w:val="BodyText"/>
        <w:spacing w:after="0"/>
        <w:jc w:val="both"/>
        <w:sectPr>
          <w:pgSz w:w="12240" w:h="15840"/>
          <w:pgMar w:header="16" w:footer="0" w:top="340" w:bottom="0" w:left="1440" w:right="360"/>
        </w:sectPr>
      </w:pPr>
    </w:p>
    <w:p>
      <w:pPr>
        <w:pStyle w:val="BodyText"/>
        <w:ind w:left="360"/>
      </w:pPr>
      <w:r>
        <w:rPr/>
        <w:t>programs</w:t>
      </w:r>
      <w:r>
        <w:rPr>
          <w:spacing w:val="-5"/>
        </w:rPr>
        <w:t> </w:t>
      </w:r>
      <w:r>
        <w:rPr/>
        <w:t>(Miguel</w:t>
      </w:r>
      <w:r>
        <w:rPr>
          <w:spacing w:val="-5"/>
        </w:rPr>
        <w:t> </w:t>
      </w:r>
      <w:r>
        <w:rPr/>
        <w:t>et</w:t>
      </w:r>
      <w:r>
        <w:rPr>
          <w:spacing w:val="-5"/>
        </w:rPr>
        <w:t> </w:t>
      </w:r>
      <w:r>
        <w:rPr/>
        <w:t>al,</w:t>
      </w:r>
      <w:r>
        <w:rPr>
          <w:spacing w:val="-5"/>
        </w:rPr>
        <w:t> </w:t>
      </w:r>
      <w:r>
        <w:rPr>
          <w:spacing w:val="-2"/>
        </w:rPr>
        <w:t>2024).</w:t>
      </w:r>
    </w:p>
    <w:p>
      <w:pPr>
        <w:pStyle w:val="BodyText"/>
        <w:spacing w:after="0"/>
        <w:sectPr>
          <w:pgSz w:w="12240" w:h="15840"/>
          <w:pgMar w:header="16" w:footer="0" w:top="340" w:bottom="280" w:left="1440" w:right="360"/>
        </w:sectPr>
      </w:pPr>
    </w:p>
    <w:p>
      <w:pPr>
        <w:pStyle w:val="BodyText"/>
        <w:rPr>
          <w:sz w:val="22"/>
        </w:rPr>
      </w:pPr>
    </w:p>
    <w:p>
      <w:pPr>
        <w:pStyle w:val="BodyText"/>
        <w:rPr>
          <w:sz w:val="22"/>
        </w:rPr>
      </w:pPr>
    </w:p>
    <w:p>
      <w:pPr>
        <w:pStyle w:val="BodyText"/>
        <w:spacing w:before="65"/>
        <w:rPr>
          <w:sz w:val="22"/>
        </w:rPr>
      </w:pPr>
    </w:p>
    <w:p>
      <w:pPr>
        <w:pStyle w:val="Heading1"/>
        <w:numPr>
          <w:ilvl w:val="0"/>
          <w:numId w:val="1"/>
        </w:numPr>
        <w:tabs>
          <w:tab w:pos="823" w:val="left" w:leader="none"/>
        </w:tabs>
        <w:spacing w:line="240" w:lineRule="auto" w:before="0" w:after="0"/>
        <w:ind w:left="823" w:right="0" w:hanging="253"/>
        <w:jc w:val="left"/>
      </w:pPr>
      <w:r>
        <w:rPr>
          <w:spacing w:val="-2"/>
        </w:rPr>
        <w:t>METHODOLOGY</w:t>
      </w:r>
    </w:p>
    <w:p>
      <w:pPr>
        <w:pStyle w:val="BodyText"/>
        <w:spacing w:line="230" w:lineRule="auto" w:before="238"/>
        <w:ind w:left="570" w:right="1651" w:firstLine="720"/>
        <w:jc w:val="both"/>
      </w:pPr>
      <w:r>
        <w:rPr/>
        <w:t>This study employed a scoping review methodology following the guidelines of the Joanna Briggs Institute (JBI) (Aromataris et al., 2024). Scoping reviews are particularly</w:t>
      </w:r>
      <w:r>
        <w:rPr>
          <w:spacing w:val="40"/>
        </w:rPr>
        <w:t> </w:t>
      </w:r>
      <w:r>
        <w:rPr/>
        <w:t>useful</w:t>
      </w:r>
      <w:r>
        <w:rPr>
          <w:spacing w:val="-4"/>
        </w:rPr>
        <w:t> </w:t>
      </w:r>
      <w:r>
        <w:rPr/>
        <w:t>for</w:t>
      </w:r>
      <w:r>
        <w:rPr>
          <w:spacing w:val="-4"/>
        </w:rPr>
        <w:t> </w:t>
      </w:r>
      <w:r>
        <w:rPr/>
        <w:t>synthesizing</w:t>
      </w:r>
      <w:r>
        <w:rPr>
          <w:spacing w:val="-4"/>
        </w:rPr>
        <w:t> </w:t>
      </w:r>
      <w:r>
        <w:rPr/>
        <w:t>evidence</w:t>
      </w:r>
      <w:r>
        <w:rPr>
          <w:spacing w:val="-4"/>
        </w:rPr>
        <w:t> </w:t>
      </w:r>
      <w:r>
        <w:rPr/>
        <w:t>in</w:t>
      </w:r>
      <w:r>
        <w:rPr>
          <w:spacing w:val="-4"/>
        </w:rPr>
        <w:t> </w:t>
      </w:r>
      <w:r>
        <w:rPr/>
        <w:t>emerging</w:t>
      </w:r>
      <w:r>
        <w:rPr>
          <w:spacing w:val="-4"/>
        </w:rPr>
        <w:t> </w:t>
      </w:r>
      <w:r>
        <w:rPr/>
        <w:t>areas</w:t>
      </w:r>
      <w:r>
        <w:rPr>
          <w:spacing w:val="-4"/>
        </w:rPr>
        <w:t> </w:t>
      </w:r>
      <w:r>
        <w:rPr/>
        <w:t>where</w:t>
      </w:r>
      <w:r>
        <w:rPr>
          <w:spacing w:val="-4"/>
        </w:rPr>
        <w:t> </w:t>
      </w:r>
      <w:r>
        <w:rPr/>
        <w:t>definitions</w:t>
      </w:r>
      <w:r>
        <w:rPr>
          <w:spacing w:val="-4"/>
        </w:rPr>
        <w:t> </w:t>
      </w:r>
      <w:r>
        <w:rPr/>
        <w:t>and</w:t>
      </w:r>
      <w:r>
        <w:rPr>
          <w:spacing w:val="-4"/>
        </w:rPr>
        <w:t> </w:t>
      </w:r>
      <w:r>
        <w:rPr/>
        <w:t>frameworks</w:t>
      </w:r>
      <w:r>
        <w:rPr>
          <w:spacing w:val="-4"/>
        </w:rPr>
        <w:t> </w:t>
      </w:r>
      <w:r>
        <w:rPr/>
        <w:t>are</w:t>
      </w:r>
      <w:r>
        <w:rPr>
          <w:spacing w:val="-4"/>
        </w:rPr>
        <w:t> </w:t>
      </w:r>
      <w:r>
        <w:rPr/>
        <w:t>still evolving. This type of review emphasizes</w:t>
      </w:r>
      <w:r>
        <w:rPr>
          <w:spacing w:val="-3"/>
        </w:rPr>
        <w:t> </w:t>
      </w:r>
      <w:r>
        <w:rPr/>
        <w:t>the</w:t>
      </w:r>
      <w:r>
        <w:rPr>
          <w:spacing w:val="-3"/>
        </w:rPr>
        <w:t> </w:t>
      </w:r>
      <w:r>
        <w:rPr/>
        <w:t>range</w:t>
      </w:r>
      <w:r>
        <w:rPr>
          <w:spacing w:val="-3"/>
        </w:rPr>
        <w:t> </w:t>
      </w:r>
      <w:r>
        <w:rPr/>
        <w:t>and</w:t>
      </w:r>
      <w:r>
        <w:rPr>
          <w:spacing w:val="-3"/>
        </w:rPr>
        <w:t> </w:t>
      </w:r>
      <w:r>
        <w:rPr/>
        <w:t>scope</w:t>
      </w:r>
      <w:r>
        <w:rPr>
          <w:spacing w:val="-3"/>
        </w:rPr>
        <w:t> </w:t>
      </w:r>
      <w:r>
        <w:rPr/>
        <w:t>of</w:t>
      </w:r>
      <w:r>
        <w:rPr>
          <w:spacing w:val="-3"/>
        </w:rPr>
        <w:t> </w:t>
      </w:r>
      <w:r>
        <w:rPr/>
        <w:t>existing</w:t>
      </w:r>
      <w:r>
        <w:rPr>
          <w:spacing w:val="-3"/>
        </w:rPr>
        <w:t> </w:t>
      </w:r>
      <w:r>
        <w:rPr/>
        <w:t>studies</w:t>
      </w:r>
      <w:r>
        <w:rPr>
          <w:spacing w:val="-3"/>
        </w:rPr>
        <w:t> </w:t>
      </w:r>
      <w:r>
        <w:rPr/>
        <w:t>(Coelho</w:t>
      </w:r>
      <w:r>
        <w:rPr>
          <w:spacing w:val="-3"/>
        </w:rPr>
        <w:t> </w:t>
      </w:r>
      <w:r>
        <w:rPr/>
        <w:t>et al., 2021; Guedes &amp; Valente, 2023).</w:t>
      </w:r>
    </w:p>
    <w:p>
      <w:pPr>
        <w:pStyle w:val="BodyText"/>
        <w:spacing w:before="193"/>
      </w:pPr>
    </w:p>
    <w:p>
      <w:pPr>
        <w:pStyle w:val="Heading1"/>
        <w:numPr>
          <w:ilvl w:val="0"/>
          <w:numId w:val="2"/>
        </w:numPr>
        <w:tabs>
          <w:tab w:pos="823" w:val="left" w:leader="none"/>
        </w:tabs>
        <w:spacing w:line="240" w:lineRule="auto" w:before="0" w:after="0"/>
        <w:ind w:left="823" w:right="0" w:hanging="253"/>
        <w:jc w:val="left"/>
      </w:pPr>
      <w:r>
        <w:rPr/>
        <w:t>RESEARCH</w:t>
      </w:r>
      <w:r>
        <w:rPr>
          <w:spacing w:val="-8"/>
        </w:rPr>
        <w:t> </w:t>
      </w:r>
      <w:r>
        <w:rPr/>
        <w:t>QUESTION</w:t>
      </w:r>
      <w:r>
        <w:rPr>
          <w:spacing w:val="-8"/>
        </w:rPr>
        <w:t> </w:t>
      </w:r>
      <w:r>
        <w:rPr>
          <w:spacing w:val="-2"/>
        </w:rPr>
        <w:t>IDENTIFICATION</w:t>
      </w:r>
    </w:p>
    <w:p>
      <w:pPr>
        <w:pStyle w:val="BodyText"/>
        <w:spacing w:line="230" w:lineRule="auto" w:before="238"/>
        <w:ind w:left="570" w:right="1653" w:firstLine="360"/>
        <w:jc w:val="both"/>
      </w:pPr>
      <w:r>
        <w:rPr/>
        <w:t>This review aimed to map the literature on the teaching of Temporomandibular Joint Disorders (TMD) and Orofacial Pain (OFP) in undergraduate Dentistry programs within higher education institutions. From this perspective, the study contributes to understanding the evolution of education in Dentistry and the dynamics of studies within the health education field concerning TMD and OFP.</w:t>
      </w:r>
      <w:r>
        <w:rPr>
          <w:spacing w:val="-5"/>
        </w:rPr>
        <w:t> </w:t>
      </w:r>
      <w:r>
        <w:rPr/>
        <w:t>The</w:t>
      </w:r>
      <w:r>
        <w:rPr>
          <w:spacing w:val="-5"/>
        </w:rPr>
        <w:t> </w:t>
      </w:r>
      <w:r>
        <w:rPr/>
        <w:t>analysis</w:t>
      </w:r>
      <w:r>
        <w:rPr>
          <w:spacing w:val="-5"/>
        </w:rPr>
        <w:t> </w:t>
      </w:r>
      <w:r>
        <w:rPr/>
        <w:t>was</w:t>
      </w:r>
      <w:r>
        <w:rPr>
          <w:spacing w:val="-5"/>
        </w:rPr>
        <w:t> </w:t>
      </w:r>
      <w:r>
        <w:rPr/>
        <w:t>guided</w:t>
      </w:r>
      <w:r>
        <w:rPr>
          <w:spacing w:val="-5"/>
        </w:rPr>
        <w:t> </w:t>
      </w:r>
      <w:r>
        <w:rPr/>
        <w:t>by</w:t>
      </w:r>
      <w:r>
        <w:rPr>
          <w:spacing w:val="-5"/>
        </w:rPr>
        <w:t> </w:t>
      </w:r>
      <w:r>
        <w:rPr/>
        <w:t>two</w:t>
      </w:r>
      <w:r>
        <w:rPr>
          <w:spacing w:val="-5"/>
        </w:rPr>
        <w:t> </w:t>
      </w:r>
      <w:r>
        <w:rPr/>
        <w:t>primary</w:t>
      </w:r>
      <w:r>
        <w:rPr>
          <w:spacing w:val="-5"/>
        </w:rPr>
        <w:t> </w:t>
      </w:r>
      <w:r>
        <w:rPr/>
        <w:t>research </w:t>
      </w:r>
      <w:r>
        <w:rPr>
          <w:spacing w:val="-2"/>
        </w:rPr>
        <w:t>questions:</w:t>
      </w:r>
    </w:p>
    <w:p>
      <w:pPr>
        <w:pStyle w:val="BodyText"/>
      </w:pPr>
    </w:p>
    <w:p>
      <w:pPr>
        <w:pStyle w:val="BodyText"/>
      </w:pPr>
    </w:p>
    <w:p>
      <w:pPr>
        <w:pStyle w:val="BodyText"/>
        <w:spacing w:before="3"/>
      </w:pPr>
    </w:p>
    <w:p>
      <w:pPr>
        <w:pStyle w:val="ListParagraph"/>
        <w:numPr>
          <w:ilvl w:val="1"/>
          <w:numId w:val="2"/>
        </w:numPr>
        <w:tabs>
          <w:tab w:pos="1288" w:val="left" w:leader="none"/>
          <w:tab w:pos="1290" w:val="left" w:leader="none"/>
        </w:tabs>
        <w:spacing w:line="230" w:lineRule="auto" w:before="1" w:after="0"/>
        <w:ind w:left="1290" w:right="1702" w:hanging="360"/>
        <w:jc w:val="left"/>
        <w:rPr>
          <w:sz w:val="20"/>
        </w:rPr>
      </w:pPr>
      <w:r>
        <w:rPr>
          <w:sz w:val="20"/>
        </w:rPr>
        <w:t>What</w:t>
      </w:r>
      <w:r>
        <w:rPr>
          <w:spacing w:val="-3"/>
          <w:sz w:val="20"/>
        </w:rPr>
        <w:t> </w:t>
      </w:r>
      <w:r>
        <w:rPr>
          <w:sz w:val="20"/>
        </w:rPr>
        <w:t>is</w:t>
      </w:r>
      <w:r>
        <w:rPr>
          <w:spacing w:val="-3"/>
          <w:sz w:val="20"/>
        </w:rPr>
        <w:t> </w:t>
      </w:r>
      <w:r>
        <w:rPr>
          <w:sz w:val="20"/>
        </w:rPr>
        <w:t>the</w:t>
      </w:r>
      <w:r>
        <w:rPr>
          <w:spacing w:val="-3"/>
          <w:sz w:val="20"/>
        </w:rPr>
        <w:t> </w:t>
      </w:r>
      <w:r>
        <w:rPr>
          <w:sz w:val="20"/>
        </w:rPr>
        <w:t>scope</w:t>
      </w:r>
      <w:r>
        <w:rPr>
          <w:spacing w:val="-3"/>
          <w:sz w:val="20"/>
        </w:rPr>
        <w:t> </w:t>
      </w:r>
      <w:r>
        <w:rPr>
          <w:sz w:val="20"/>
        </w:rPr>
        <w:t>of</w:t>
      </w:r>
      <w:r>
        <w:rPr>
          <w:spacing w:val="-3"/>
          <w:sz w:val="20"/>
        </w:rPr>
        <w:t> </w:t>
      </w:r>
      <w:r>
        <w:rPr>
          <w:sz w:val="20"/>
        </w:rPr>
        <w:t>the</w:t>
      </w:r>
      <w:r>
        <w:rPr>
          <w:spacing w:val="-3"/>
          <w:sz w:val="20"/>
        </w:rPr>
        <w:t> </w:t>
      </w:r>
      <w:r>
        <w:rPr>
          <w:sz w:val="20"/>
        </w:rPr>
        <w:t>published</w:t>
      </w:r>
      <w:r>
        <w:rPr>
          <w:spacing w:val="-3"/>
          <w:sz w:val="20"/>
        </w:rPr>
        <w:t> </w:t>
      </w:r>
      <w:r>
        <w:rPr>
          <w:sz w:val="20"/>
        </w:rPr>
        <w:t>literature</w:t>
      </w:r>
      <w:r>
        <w:rPr>
          <w:spacing w:val="-3"/>
          <w:sz w:val="20"/>
        </w:rPr>
        <w:t> </w:t>
      </w:r>
      <w:r>
        <w:rPr>
          <w:sz w:val="20"/>
        </w:rPr>
        <w:t>focusing</w:t>
      </w:r>
      <w:r>
        <w:rPr>
          <w:spacing w:val="-3"/>
          <w:sz w:val="20"/>
        </w:rPr>
        <w:t> </w:t>
      </w:r>
      <w:r>
        <w:rPr>
          <w:sz w:val="20"/>
        </w:rPr>
        <w:t>on</w:t>
      </w:r>
      <w:r>
        <w:rPr>
          <w:spacing w:val="-3"/>
          <w:sz w:val="20"/>
        </w:rPr>
        <w:t> </w:t>
      </w:r>
      <w:r>
        <w:rPr>
          <w:sz w:val="20"/>
        </w:rPr>
        <w:t>TMD</w:t>
      </w:r>
      <w:r>
        <w:rPr>
          <w:spacing w:val="-3"/>
          <w:sz w:val="20"/>
        </w:rPr>
        <w:t> </w:t>
      </w:r>
      <w:r>
        <w:rPr>
          <w:sz w:val="20"/>
        </w:rPr>
        <w:t>and</w:t>
      </w:r>
      <w:r>
        <w:rPr>
          <w:spacing w:val="-3"/>
          <w:sz w:val="20"/>
        </w:rPr>
        <w:t> </w:t>
      </w:r>
      <w:r>
        <w:rPr>
          <w:sz w:val="20"/>
        </w:rPr>
        <w:t>OFP</w:t>
      </w:r>
      <w:r>
        <w:rPr>
          <w:spacing w:val="-3"/>
          <w:sz w:val="20"/>
        </w:rPr>
        <w:t> </w:t>
      </w:r>
      <w:r>
        <w:rPr>
          <w:sz w:val="20"/>
        </w:rPr>
        <w:t>education</w:t>
      </w:r>
      <w:r>
        <w:rPr>
          <w:spacing w:val="-3"/>
          <w:sz w:val="20"/>
        </w:rPr>
        <w:t> </w:t>
      </w:r>
      <w:r>
        <w:rPr>
          <w:sz w:val="20"/>
        </w:rPr>
        <w:t>in undergraduate Dentistry programs?</w:t>
      </w:r>
    </w:p>
    <w:p>
      <w:pPr>
        <w:pStyle w:val="BodyText"/>
      </w:pPr>
    </w:p>
    <w:p>
      <w:pPr>
        <w:pStyle w:val="ListParagraph"/>
        <w:numPr>
          <w:ilvl w:val="0"/>
          <w:numId w:val="3"/>
        </w:numPr>
        <w:tabs>
          <w:tab w:pos="1288" w:val="left" w:leader="none"/>
        </w:tabs>
        <w:spacing w:line="240" w:lineRule="auto" w:before="0" w:after="0"/>
        <w:ind w:left="1288" w:right="0" w:hanging="358"/>
        <w:jc w:val="left"/>
        <w:rPr>
          <w:sz w:val="20"/>
        </w:rPr>
      </w:pPr>
      <w:r>
        <w:rPr>
          <w:sz w:val="20"/>
        </w:rPr>
        <w:t>How</w:t>
      </w:r>
      <w:r>
        <w:rPr>
          <w:spacing w:val="-6"/>
          <w:sz w:val="20"/>
        </w:rPr>
        <w:t> </w:t>
      </w:r>
      <w:r>
        <w:rPr>
          <w:sz w:val="20"/>
        </w:rPr>
        <w:t>is</w:t>
      </w:r>
      <w:r>
        <w:rPr>
          <w:spacing w:val="-6"/>
          <w:sz w:val="20"/>
        </w:rPr>
        <w:t> </w:t>
      </w:r>
      <w:r>
        <w:rPr>
          <w:sz w:val="20"/>
        </w:rPr>
        <w:t>TMD</w:t>
      </w:r>
      <w:r>
        <w:rPr>
          <w:spacing w:val="-6"/>
          <w:sz w:val="20"/>
        </w:rPr>
        <w:t> </w:t>
      </w:r>
      <w:r>
        <w:rPr>
          <w:sz w:val="20"/>
        </w:rPr>
        <w:t>and</w:t>
      </w:r>
      <w:r>
        <w:rPr>
          <w:spacing w:val="-6"/>
          <w:sz w:val="20"/>
        </w:rPr>
        <w:t> </w:t>
      </w:r>
      <w:r>
        <w:rPr>
          <w:sz w:val="20"/>
        </w:rPr>
        <w:t>OFP</w:t>
      </w:r>
      <w:r>
        <w:rPr>
          <w:spacing w:val="-6"/>
          <w:sz w:val="20"/>
        </w:rPr>
        <w:t> </w:t>
      </w:r>
      <w:r>
        <w:rPr>
          <w:sz w:val="20"/>
        </w:rPr>
        <w:t>education</w:t>
      </w:r>
      <w:r>
        <w:rPr>
          <w:spacing w:val="-6"/>
          <w:sz w:val="20"/>
        </w:rPr>
        <w:t> </w:t>
      </w:r>
      <w:r>
        <w:rPr>
          <w:sz w:val="20"/>
        </w:rPr>
        <w:t>integrated</w:t>
      </w:r>
      <w:r>
        <w:rPr>
          <w:spacing w:val="-6"/>
          <w:sz w:val="20"/>
        </w:rPr>
        <w:t> </w:t>
      </w:r>
      <w:r>
        <w:rPr>
          <w:sz w:val="20"/>
        </w:rPr>
        <w:t>into</w:t>
      </w:r>
      <w:r>
        <w:rPr>
          <w:spacing w:val="-6"/>
          <w:sz w:val="20"/>
        </w:rPr>
        <w:t> </w:t>
      </w:r>
      <w:r>
        <w:rPr>
          <w:sz w:val="20"/>
        </w:rPr>
        <w:t>undergraduate</w:t>
      </w:r>
      <w:r>
        <w:rPr>
          <w:spacing w:val="-6"/>
          <w:sz w:val="20"/>
        </w:rPr>
        <w:t> </w:t>
      </w:r>
      <w:r>
        <w:rPr>
          <w:sz w:val="20"/>
        </w:rPr>
        <w:t>Dentistry</w:t>
      </w:r>
      <w:r>
        <w:rPr>
          <w:spacing w:val="-5"/>
          <w:sz w:val="20"/>
        </w:rPr>
        <w:t> </w:t>
      </w:r>
      <w:r>
        <w:rPr>
          <w:spacing w:val="-2"/>
          <w:sz w:val="20"/>
        </w:rPr>
        <w:t>curricula?</w:t>
      </w:r>
    </w:p>
    <w:p>
      <w:pPr>
        <w:pStyle w:val="BodyText"/>
      </w:pPr>
    </w:p>
    <w:p>
      <w:pPr>
        <w:pStyle w:val="BodyText"/>
      </w:pPr>
    </w:p>
    <w:p>
      <w:pPr>
        <w:pStyle w:val="BodyText"/>
        <w:spacing w:before="7"/>
      </w:pPr>
    </w:p>
    <w:p>
      <w:pPr>
        <w:pStyle w:val="BodyText"/>
        <w:spacing w:line="230" w:lineRule="auto"/>
        <w:ind w:left="570" w:right="1649" w:firstLine="720"/>
        <w:jc w:val="both"/>
      </w:pPr>
      <w:r>
        <w:rPr/>
        <w:t>The study design was structured using the mnemonic strategy PCC (Population, Concept, and Context) to guide data collection and assist in identifying key topics. This approach, as outlined in the methodology proposed by Aromataris (2024), directed</w:t>
      </w:r>
      <w:r>
        <w:rPr>
          <w:spacing w:val="-3"/>
        </w:rPr>
        <w:t> </w:t>
      </w:r>
      <w:r>
        <w:rPr/>
        <w:t>both</w:t>
      </w:r>
      <w:r>
        <w:rPr>
          <w:spacing w:val="-3"/>
        </w:rPr>
        <w:t> </w:t>
      </w:r>
      <w:r>
        <w:rPr/>
        <w:t>the search process and the refinement of inclusion and exclusion criteria employed in this</w:t>
      </w:r>
      <w:r>
        <w:rPr>
          <w:spacing w:val="40"/>
        </w:rPr>
        <w:t> </w:t>
      </w:r>
      <w:r>
        <w:rPr/>
        <w:t>review. In the context of dental</w:t>
      </w:r>
      <w:r>
        <w:rPr>
          <w:spacing w:val="-3"/>
        </w:rPr>
        <w:t> </w:t>
      </w:r>
      <w:r>
        <w:rPr/>
        <w:t>education,</w:t>
      </w:r>
      <w:r>
        <w:rPr>
          <w:spacing w:val="-3"/>
        </w:rPr>
        <w:t> </w:t>
      </w:r>
      <w:r>
        <w:rPr/>
        <w:t>the</w:t>
      </w:r>
      <w:r>
        <w:rPr>
          <w:spacing w:val="-3"/>
        </w:rPr>
        <w:t> </w:t>
      </w:r>
      <w:r>
        <w:rPr/>
        <w:t>study</w:t>
      </w:r>
      <w:r>
        <w:rPr>
          <w:spacing w:val="-3"/>
        </w:rPr>
        <w:t> </w:t>
      </w:r>
      <w:r>
        <w:rPr/>
        <w:t>examines</w:t>
      </w:r>
      <w:r>
        <w:rPr>
          <w:spacing w:val="-3"/>
        </w:rPr>
        <w:t> </w:t>
      </w:r>
      <w:r>
        <w:rPr/>
        <w:t>three</w:t>
      </w:r>
      <w:r>
        <w:rPr>
          <w:spacing w:val="-3"/>
        </w:rPr>
        <w:t> </w:t>
      </w:r>
      <w:r>
        <w:rPr/>
        <w:t>critical</w:t>
      </w:r>
      <w:r>
        <w:rPr>
          <w:spacing w:val="-3"/>
        </w:rPr>
        <w:t> </w:t>
      </w:r>
      <w:r>
        <w:rPr/>
        <w:t>factors</w:t>
      </w:r>
      <w:r>
        <w:rPr>
          <w:spacing w:val="-3"/>
        </w:rPr>
        <w:t> </w:t>
      </w:r>
      <w:r>
        <w:rPr/>
        <w:t>related</w:t>
      </w:r>
      <w:r>
        <w:rPr>
          <w:spacing w:val="-3"/>
        </w:rPr>
        <w:t> </w:t>
      </w:r>
      <w:r>
        <w:rPr/>
        <w:t>to the teaching of Temporomandibular Disorders (TMD). The Population (P) consists of professionals, educators, and students in the field of Dentistry, who are directly involved in the dissemination and acquisition of knowledge on TMD. The Concept (C) pertains to the structure and approach of TMD within dental curricula,</w:t>
      </w:r>
      <w:r>
        <w:rPr>
          <w:spacing w:val="-3"/>
        </w:rPr>
        <w:t> </w:t>
      </w:r>
      <w:r>
        <w:rPr/>
        <w:t>including</w:t>
      </w:r>
      <w:r>
        <w:rPr>
          <w:spacing w:val="-3"/>
        </w:rPr>
        <w:t> </w:t>
      </w:r>
      <w:r>
        <w:rPr/>
        <w:t>the</w:t>
      </w:r>
      <w:r>
        <w:rPr>
          <w:spacing w:val="-3"/>
        </w:rPr>
        <w:t> </w:t>
      </w:r>
      <w:r>
        <w:rPr/>
        <w:t>organization</w:t>
      </w:r>
      <w:r>
        <w:rPr>
          <w:spacing w:val="-3"/>
        </w:rPr>
        <w:t> </w:t>
      </w:r>
      <w:r>
        <w:rPr/>
        <w:t>of</w:t>
      </w:r>
      <w:r>
        <w:rPr>
          <w:spacing w:val="-3"/>
        </w:rPr>
        <w:t> </w:t>
      </w:r>
      <w:r>
        <w:rPr/>
        <w:t>content, depth of coverage, and pedagogical strategies adopted to facilitate learning. Finally, the Context (C) encompasses the teaching methodologies and the level of integration of TMD within higher education institutions, analyzing how the subject</w:t>
      </w:r>
      <w:r>
        <w:rPr>
          <w:spacing w:val="-3"/>
        </w:rPr>
        <w:t> </w:t>
      </w:r>
      <w:r>
        <w:rPr/>
        <w:t>is</w:t>
      </w:r>
      <w:r>
        <w:rPr>
          <w:spacing w:val="-3"/>
        </w:rPr>
        <w:t> </w:t>
      </w:r>
      <w:r>
        <w:rPr/>
        <w:t>incorporated</w:t>
      </w:r>
      <w:r>
        <w:rPr>
          <w:spacing w:val="-3"/>
        </w:rPr>
        <w:t> </w:t>
      </w:r>
      <w:r>
        <w:rPr/>
        <w:t>into</w:t>
      </w:r>
      <w:r>
        <w:rPr>
          <w:spacing w:val="-3"/>
        </w:rPr>
        <w:t> </w:t>
      </w:r>
      <w:r>
        <w:rPr/>
        <w:t>academic programs and the instructional techniques</w:t>
      </w:r>
      <w:r>
        <w:rPr>
          <w:spacing w:val="-3"/>
        </w:rPr>
        <w:t> </w:t>
      </w:r>
      <w:r>
        <w:rPr/>
        <w:t>employed</w:t>
      </w:r>
      <w:r>
        <w:rPr>
          <w:spacing w:val="-3"/>
        </w:rPr>
        <w:t> </w:t>
      </w:r>
      <w:r>
        <w:rPr/>
        <w:t>to</w:t>
      </w:r>
      <w:r>
        <w:rPr>
          <w:spacing w:val="-3"/>
        </w:rPr>
        <w:t> </w:t>
      </w:r>
      <w:r>
        <w:rPr/>
        <w:t>enhance</w:t>
      </w:r>
      <w:r>
        <w:rPr>
          <w:spacing w:val="-3"/>
        </w:rPr>
        <w:t> </w:t>
      </w:r>
      <w:r>
        <w:rPr/>
        <w:t>comprehension</w:t>
      </w:r>
      <w:r>
        <w:rPr>
          <w:spacing w:val="-3"/>
        </w:rPr>
        <w:t> </w:t>
      </w:r>
      <w:r>
        <w:rPr/>
        <w:t>and</w:t>
      </w:r>
      <w:r>
        <w:rPr>
          <w:spacing w:val="-3"/>
        </w:rPr>
        <w:t> </w:t>
      </w:r>
      <w:r>
        <w:rPr/>
        <w:t>clinical application. Understanding these factors is essential for evaluating the effectiveness of current educational approaches and identifying areas for improvement in TMD instruction within dental training.</w:t>
      </w:r>
    </w:p>
    <w:p>
      <w:pPr>
        <w:pStyle w:val="BodyText"/>
        <w:spacing w:before="181"/>
      </w:pPr>
    </w:p>
    <w:p>
      <w:pPr>
        <w:pStyle w:val="Heading1"/>
        <w:numPr>
          <w:ilvl w:val="0"/>
          <w:numId w:val="2"/>
        </w:numPr>
        <w:tabs>
          <w:tab w:pos="823" w:val="left" w:leader="none"/>
        </w:tabs>
        <w:spacing w:line="240" w:lineRule="auto" w:before="0" w:after="0"/>
        <w:ind w:left="823" w:right="0" w:hanging="253"/>
        <w:jc w:val="left"/>
      </w:pPr>
      <w:r>
        <w:rPr/>
        <w:t>SEARCH</w:t>
      </w:r>
      <w:r>
        <w:rPr>
          <w:spacing w:val="-6"/>
        </w:rPr>
        <w:t> </w:t>
      </w:r>
      <w:r>
        <w:rPr>
          <w:spacing w:val="-2"/>
        </w:rPr>
        <w:t>STRATEGY</w:t>
      </w:r>
    </w:p>
    <w:p>
      <w:pPr>
        <w:pStyle w:val="BodyText"/>
        <w:spacing w:line="230" w:lineRule="auto" w:before="238"/>
        <w:ind w:left="570" w:right="1650" w:firstLine="720"/>
        <w:jc w:val="both"/>
      </w:pPr>
      <w:r>
        <w:rPr/>
        <w:t>The search was conducted across the following databases: ScienceDirect, Virtual Health Library (BVS), PubMed, Latin American and Caribbean Health Sciences Literature (LILACS), Cochrane Library, and Scientific Electronic Library Online (SciELO).</w:t>
      </w:r>
    </w:p>
    <w:p>
      <w:pPr>
        <w:pStyle w:val="BodyText"/>
        <w:spacing w:before="6"/>
      </w:pPr>
    </w:p>
    <w:p>
      <w:pPr>
        <w:pStyle w:val="BodyText"/>
        <w:spacing w:line="230" w:lineRule="auto" w:before="1"/>
        <w:ind w:left="570" w:right="1650" w:firstLine="720"/>
        <w:jc w:val="both"/>
      </w:pPr>
      <w:r>
        <w:rPr/>
        <w:t>The search terms used,</w:t>
      </w:r>
      <w:r>
        <w:rPr>
          <w:spacing w:val="-3"/>
        </w:rPr>
        <w:t> </w:t>
      </w:r>
      <w:r>
        <w:rPr/>
        <w:t>based</w:t>
      </w:r>
      <w:r>
        <w:rPr>
          <w:spacing w:val="-3"/>
        </w:rPr>
        <w:t> </w:t>
      </w:r>
      <w:r>
        <w:rPr/>
        <w:t>on</w:t>
      </w:r>
      <w:r>
        <w:rPr>
          <w:spacing w:val="-3"/>
        </w:rPr>
        <w:t> </w:t>
      </w:r>
      <w:r>
        <w:rPr/>
        <w:t>the</w:t>
      </w:r>
      <w:r>
        <w:rPr>
          <w:spacing w:val="-3"/>
        </w:rPr>
        <w:t> </w:t>
      </w:r>
      <w:r>
        <w:rPr/>
        <w:t>Medical</w:t>
      </w:r>
      <w:r>
        <w:rPr>
          <w:spacing w:val="-3"/>
        </w:rPr>
        <w:t> </w:t>
      </w:r>
      <w:r>
        <w:rPr/>
        <w:t>Subject</w:t>
      </w:r>
      <w:r>
        <w:rPr>
          <w:spacing w:val="-3"/>
        </w:rPr>
        <w:t> </w:t>
      </w:r>
      <w:r>
        <w:rPr/>
        <w:t>Headings</w:t>
      </w:r>
      <w:r>
        <w:rPr>
          <w:spacing w:val="-3"/>
        </w:rPr>
        <w:t> </w:t>
      </w:r>
      <w:r>
        <w:rPr/>
        <w:t>(MeSH)</w:t>
      </w:r>
      <w:r>
        <w:rPr>
          <w:spacing w:val="-3"/>
        </w:rPr>
        <w:t> </w:t>
      </w:r>
      <w:r>
        <w:rPr/>
        <w:t>and</w:t>
      </w:r>
      <w:r>
        <w:rPr>
          <w:spacing w:val="-3"/>
        </w:rPr>
        <w:t> </w:t>
      </w:r>
      <w:r>
        <w:rPr/>
        <w:t>Health Sciences Descriptors (DeCS) platforms, were: "dentistry AND education AND temporomandibular joint dysfunction syndrome" combined using Boolean operators. Inclusion criteria were studies focusing on TMD and OFP education in undergraduate dentistry programs, published in English, Portuguese, or Spanish.</w:t>
      </w:r>
    </w:p>
    <w:p>
      <w:pPr>
        <w:pStyle w:val="BodyText"/>
        <w:spacing w:before="3"/>
      </w:pPr>
    </w:p>
    <w:p>
      <w:pPr>
        <w:pStyle w:val="BodyText"/>
        <w:spacing w:line="230" w:lineRule="auto" w:before="1"/>
        <w:ind w:left="570" w:right="1661" w:firstLine="720"/>
        <w:jc w:val="both"/>
      </w:pPr>
      <w:r>
        <w:rPr/>
        <w:t>The search was carried out in July 2024, incorporating gray literature and articles published in Portuguese, English, and Spanish, aiming for maximum comprehensiveness.</w:t>
      </w:r>
    </w:p>
    <w:p>
      <w:pPr>
        <w:pStyle w:val="BodyText"/>
        <w:spacing w:after="0" w:line="230" w:lineRule="auto"/>
        <w:jc w:val="both"/>
        <w:sectPr>
          <w:pgSz w:w="12240" w:h="15840"/>
          <w:pgMar w:header="16" w:footer="0" w:top="340" w:bottom="280" w:left="1440" w:right="360"/>
        </w:sectPr>
      </w:pPr>
    </w:p>
    <w:p>
      <w:pPr>
        <w:pStyle w:val="BodyText"/>
      </w:pPr>
      <w:r>
        <w:rPr/>
        <mc:AlternateContent>
          <mc:Choice Requires="wps">
            <w:drawing>
              <wp:anchor distT="0" distB="0" distL="0" distR="0" allowOverlap="1" layoutInCell="1" locked="0" behindDoc="0" simplePos="0" relativeHeight="15730688">
                <wp:simplePos x="0" y="0"/>
                <wp:positionH relativeFrom="page">
                  <wp:posOffset>1301378</wp:posOffset>
                </wp:positionH>
                <wp:positionV relativeFrom="page">
                  <wp:posOffset>684392</wp:posOffset>
                </wp:positionV>
                <wp:extent cx="285750" cy="16478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85750" cy="1647825"/>
                          <a:chExt cx="285750" cy="1647825"/>
                        </a:xfrm>
                      </wpg:grpSpPr>
                      <pic:pic>
                        <pic:nvPicPr>
                          <pic:cNvPr id="6" name="Image 6" descr="Group 5"/>
                          <pic:cNvPicPr/>
                        </pic:nvPicPr>
                        <pic:blipFill>
                          <a:blip r:embed="rId8" cstate="print"/>
                          <a:stretch>
                            <a:fillRect/>
                          </a:stretch>
                        </pic:blipFill>
                        <pic:spPr>
                          <a:xfrm>
                            <a:off x="0" y="0"/>
                            <a:ext cx="285750" cy="1647825"/>
                          </a:xfrm>
                          <a:prstGeom prst="rect">
                            <a:avLst/>
                          </a:prstGeom>
                        </pic:spPr>
                      </pic:pic>
                      <pic:pic>
                        <pic:nvPicPr>
                          <pic:cNvPr id="7" name="Image 7" descr="Textbox 12"/>
                          <pic:cNvPicPr/>
                        </pic:nvPicPr>
                        <pic:blipFill>
                          <a:blip r:embed="rId9" cstate="print"/>
                          <a:stretch>
                            <a:fillRect/>
                          </a:stretch>
                        </pic:blipFill>
                        <pic:spPr>
                          <a:xfrm>
                            <a:off x="38624" y="403758"/>
                            <a:ext cx="209550" cy="895350"/>
                          </a:xfrm>
                          <a:prstGeom prst="rect">
                            <a:avLst/>
                          </a:prstGeom>
                        </pic:spPr>
                      </pic:pic>
                    </wpg:wgp>
                  </a:graphicData>
                </a:graphic>
              </wp:anchor>
            </w:drawing>
          </mc:Choice>
          <mc:Fallback>
            <w:pict>
              <v:group style="position:absolute;margin-left:102.470787pt;margin-top:53.88916pt;width:22.5pt;height:129.75pt;mso-position-horizontal-relative:page;mso-position-vertical-relative:page;z-index:15730688" id="docshapegroup2" coordorigin="2049,1078" coordsize="450,2595">
                <v:shape style="position:absolute;left:2049;top:1077;width:450;height:2595" type="#_x0000_t75" id="docshape3" alt="Group 5" stroked="false">
                  <v:imagedata r:id="rId8" o:title=""/>
                </v:shape>
                <v:shape style="position:absolute;left:2110;top:1713;width:330;height:1410" type="#_x0000_t75" id="docshape4" alt="Textbox 12" stroked="false">
                  <v:imagedata r:id="rId9" o:title=""/>
                </v:shape>
                <w10:wrap type="none"/>
              </v:group>
            </w:pict>
          </mc:Fallback>
        </mc:AlternateContent>
      </w:r>
      <w:r>
        <w:rPr/>
        <w:drawing>
          <wp:anchor distT="0" distB="0" distL="0" distR="0" allowOverlap="1" layoutInCell="1" locked="0" behindDoc="0" simplePos="0" relativeHeight="15731200">
            <wp:simplePos x="0" y="0"/>
            <wp:positionH relativeFrom="page">
              <wp:posOffset>1301378</wp:posOffset>
            </wp:positionH>
            <wp:positionV relativeFrom="page">
              <wp:posOffset>2603171</wp:posOffset>
            </wp:positionV>
            <wp:extent cx="285599" cy="349567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85599" cy="3495675"/>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1"/>
      </w:pPr>
    </w:p>
    <w:p>
      <w:pPr>
        <w:pStyle w:val="BodyText"/>
        <w:spacing w:line="230" w:lineRule="auto"/>
        <w:ind w:left="570" w:right="1648" w:firstLine="720"/>
        <w:jc w:val="both"/>
      </w:pPr>
      <w:r>
        <w:rPr/>
        <mc:AlternateContent>
          <mc:Choice Requires="wps">
            <w:drawing>
              <wp:anchor distT="0" distB="0" distL="0" distR="0" allowOverlap="1" layoutInCell="1" locked="0" behindDoc="0" simplePos="0" relativeHeight="15729664">
                <wp:simplePos x="0" y="0"/>
                <wp:positionH relativeFrom="page">
                  <wp:posOffset>2200275</wp:posOffset>
                </wp:positionH>
                <wp:positionV relativeFrom="paragraph">
                  <wp:posOffset>-7315220</wp:posOffset>
                </wp:positionV>
                <wp:extent cx="4581525" cy="66484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4581525" cy="6648450"/>
                          <a:chExt cx="4581525" cy="6648450"/>
                        </a:xfrm>
                      </wpg:grpSpPr>
                      <pic:pic>
                        <pic:nvPicPr>
                          <pic:cNvPr id="10" name="Image 10" descr="Group 19"/>
                          <pic:cNvPicPr/>
                        </pic:nvPicPr>
                        <pic:blipFill>
                          <a:blip r:embed="rId11" cstate="print"/>
                          <a:stretch>
                            <a:fillRect/>
                          </a:stretch>
                        </pic:blipFill>
                        <pic:spPr>
                          <a:xfrm>
                            <a:off x="0" y="0"/>
                            <a:ext cx="4581525" cy="6648449"/>
                          </a:xfrm>
                          <a:prstGeom prst="rect">
                            <a:avLst/>
                          </a:prstGeom>
                        </pic:spPr>
                      </pic:pic>
                      <pic:pic>
                        <pic:nvPicPr>
                          <pic:cNvPr id="11" name="Image 11" descr="Textbox 14"/>
                          <pic:cNvPicPr/>
                        </pic:nvPicPr>
                        <pic:blipFill>
                          <a:blip r:embed="rId12" cstate="print"/>
                          <a:stretch>
                            <a:fillRect/>
                          </a:stretch>
                        </pic:blipFill>
                        <pic:spPr>
                          <a:xfrm>
                            <a:off x="2333625" y="1735568"/>
                            <a:ext cx="1857375" cy="504824"/>
                          </a:xfrm>
                          <a:prstGeom prst="rect">
                            <a:avLst/>
                          </a:prstGeom>
                        </pic:spPr>
                      </pic:pic>
                      <pic:pic>
                        <pic:nvPicPr>
                          <pic:cNvPr id="12" name="Image 12" descr="Textbox 15"/>
                          <pic:cNvPicPr/>
                        </pic:nvPicPr>
                        <pic:blipFill>
                          <a:blip r:embed="rId13" cstate="print"/>
                          <a:stretch>
                            <a:fillRect/>
                          </a:stretch>
                        </pic:blipFill>
                        <pic:spPr>
                          <a:xfrm>
                            <a:off x="2266950" y="4054698"/>
                            <a:ext cx="1838325" cy="504824"/>
                          </a:xfrm>
                          <a:prstGeom prst="rect">
                            <a:avLst/>
                          </a:prstGeom>
                        </pic:spPr>
                      </pic:pic>
                    </wpg:wgp>
                  </a:graphicData>
                </a:graphic>
              </wp:anchor>
            </w:drawing>
          </mc:Choice>
          <mc:Fallback>
            <w:pict>
              <v:group style="position:absolute;margin-left:173.25pt;margin-top:-576.001648pt;width:360.75pt;height:523.5pt;mso-position-horizontal-relative:page;mso-position-vertical-relative:paragraph;z-index:15729664" id="docshapegroup5" coordorigin="3465,-11520" coordsize="7215,10470">
                <v:shape style="position:absolute;left:3465;top:-11521;width:7215;height:10470" type="#_x0000_t75" id="docshape6" alt="Group 19" stroked="false">
                  <v:imagedata r:id="rId11" o:title=""/>
                </v:shape>
                <v:shape style="position:absolute;left:7140;top:-8787;width:2925;height:795" type="#_x0000_t75" id="docshape7" alt="Textbox 14" stroked="false">
                  <v:imagedata r:id="rId12" o:title=""/>
                </v:shape>
                <v:shape style="position:absolute;left:7035;top:-5135;width:2895;height:795" type="#_x0000_t75" id="docshape8" alt="Textbox 15" stroked="false">
                  <v:imagedata r:id="rId13" o:title=""/>
                </v:shape>
                <w10:wrap type="none"/>
              </v:group>
            </w:pict>
          </mc:Fallback>
        </mc:AlternateContent>
      </w:r>
      <w:r>
        <w:rPr/>
        <w:drawing>
          <wp:anchor distT="0" distB="0" distL="0" distR="0" allowOverlap="1" layoutInCell="1" locked="0" behindDoc="0" simplePos="0" relativeHeight="15730176">
            <wp:simplePos x="0" y="0"/>
            <wp:positionH relativeFrom="page">
              <wp:posOffset>1304925</wp:posOffset>
            </wp:positionH>
            <wp:positionV relativeFrom="paragraph">
              <wp:posOffset>-1495446</wp:posOffset>
            </wp:positionV>
            <wp:extent cx="285750" cy="12573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285750" cy="1257300"/>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2119312</wp:posOffset>
            </wp:positionH>
            <wp:positionV relativeFrom="paragraph">
              <wp:posOffset>-370547</wp:posOffset>
            </wp:positionV>
            <wp:extent cx="5278816" cy="294322"/>
            <wp:effectExtent l="0" t="0" r="0" b="0"/>
            <wp:wrapNone/>
            <wp:docPr id="14" name="Image 14" descr="#AnnotID = 1247166899"/>
            <wp:cNvGraphicFramePr>
              <a:graphicFrameLocks/>
            </wp:cNvGraphicFramePr>
            <a:graphic>
              <a:graphicData uri="http://schemas.openxmlformats.org/drawingml/2006/picture">
                <pic:pic>
                  <pic:nvPicPr>
                    <pic:cNvPr id="14" name="Image 14" descr="#AnnotID = 1247166899"/>
                    <pic:cNvPicPr/>
                  </pic:nvPicPr>
                  <pic:blipFill>
                    <a:blip r:embed="rId15" cstate="print"/>
                    <a:stretch>
                      <a:fillRect/>
                    </a:stretch>
                  </pic:blipFill>
                  <pic:spPr>
                    <a:xfrm>
                      <a:off x="0" y="0"/>
                      <a:ext cx="5278816" cy="294322"/>
                    </a:xfrm>
                    <a:prstGeom prst="rect">
                      <a:avLst/>
                    </a:prstGeom>
                  </pic:spPr>
                </pic:pic>
              </a:graphicData>
            </a:graphic>
          </wp:anchor>
        </w:drawing>
      </w:r>
      <w:r>
        <w:rPr/>
        <w:t>A total of 87 studies were identified across the databases,</w:t>
      </w:r>
      <w:r>
        <w:rPr>
          <w:spacing w:val="-3"/>
        </w:rPr>
        <w:t> </w:t>
      </w:r>
      <w:r>
        <w:rPr/>
        <w:t>distributed</w:t>
      </w:r>
      <w:r>
        <w:rPr>
          <w:spacing w:val="-3"/>
        </w:rPr>
        <w:t> </w:t>
      </w:r>
      <w:r>
        <w:rPr/>
        <w:t>as</w:t>
      </w:r>
      <w:r>
        <w:rPr>
          <w:spacing w:val="-3"/>
        </w:rPr>
        <w:t> </w:t>
      </w:r>
      <w:r>
        <w:rPr/>
        <w:t>follows:</w:t>
      </w:r>
      <w:r>
        <w:rPr>
          <w:spacing w:val="-3"/>
        </w:rPr>
        <w:t> </w:t>
      </w:r>
      <w:r>
        <w:rPr/>
        <w:t>25 from ScienceDirect, 24 from BVS, 23 from PubMed, 6 from LILACS, 3 from Cochrane Library, 2 from SciELO, and 4 from other sources. From these, 9 met the final inclusion criteria after removing duplicates and irrelevant articles. Data were analyzed qualitatively to map common themes and educational trends.</w:t>
      </w:r>
    </w:p>
    <w:p>
      <w:pPr>
        <w:pStyle w:val="BodyText"/>
        <w:spacing w:after="0" w:line="230" w:lineRule="auto"/>
        <w:jc w:val="both"/>
        <w:sectPr>
          <w:pgSz w:w="12240" w:h="15840"/>
          <w:pgMar w:header="16" w:footer="0" w:top="340" w:bottom="280" w:left="1440" w:right="360"/>
        </w:sectPr>
      </w:pPr>
    </w:p>
    <w:p>
      <w:pPr>
        <w:pStyle w:val="BodyText"/>
        <w:spacing w:before="131"/>
        <w:rPr>
          <w:sz w:val="22"/>
        </w:rPr>
      </w:pPr>
    </w:p>
    <w:p>
      <w:pPr>
        <w:pStyle w:val="Heading1"/>
        <w:ind w:left="570" w:firstLine="0"/>
      </w:pPr>
      <w:r>
        <w:rPr/>
        <w:t>5.</w:t>
      </w:r>
      <w:r>
        <w:rPr>
          <w:spacing w:val="3"/>
        </w:rPr>
        <w:t> </w:t>
      </w:r>
      <w:r>
        <w:rPr/>
        <w:t>SELECTION</w:t>
      </w:r>
      <w:r>
        <w:rPr>
          <w:spacing w:val="-4"/>
        </w:rPr>
        <w:t> </w:t>
      </w:r>
      <w:r>
        <w:rPr/>
        <w:t>OF</w:t>
      </w:r>
      <w:r>
        <w:rPr>
          <w:spacing w:val="-5"/>
        </w:rPr>
        <w:t> </w:t>
      </w:r>
      <w:r>
        <w:rPr/>
        <w:t>ARTICLES</w:t>
      </w:r>
      <w:r>
        <w:rPr>
          <w:spacing w:val="-5"/>
        </w:rPr>
        <w:t> </w:t>
      </w:r>
      <w:r>
        <w:rPr/>
        <w:t>AND</w:t>
      </w:r>
      <w:r>
        <w:rPr>
          <w:spacing w:val="-4"/>
        </w:rPr>
        <w:t> </w:t>
      </w:r>
      <w:r>
        <w:rPr>
          <w:spacing w:val="-2"/>
        </w:rPr>
        <w:t>THESES</w:t>
      </w:r>
    </w:p>
    <w:p>
      <w:pPr>
        <w:pStyle w:val="BodyText"/>
        <w:spacing w:before="185"/>
        <w:rPr>
          <w:rFonts w:ascii="Arial"/>
          <w:b/>
          <w:sz w:val="22"/>
        </w:rPr>
      </w:pPr>
    </w:p>
    <w:p>
      <w:pPr>
        <w:pStyle w:val="BodyText"/>
        <w:spacing w:line="230" w:lineRule="auto"/>
        <w:ind w:left="570" w:right="1675" w:firstLine="720"/>
      </w:pPr>
      <w:r>
        <w:rPr/>
        <w:t>The</w:t>
      </w:r>
      <w:r>
        <w:rPr>
          <w:spacing w:val="-4"/>
        </w:rPr>
        <w:t> </w:t>
      </w:r>
      <w:r>
        <w:rPr/>
        <w:t>selection</w:t>
      </w:r>
      <w:r>
        <w:rPr>
          <w:spacing w:val="-4"/>
        </w:rPr>
        <w:t> </w:t>
      </w:r>
      <w:r>
        <w:rPr/>
        <w:t>of</w:t>
      </w:r>
      <w:r>
        <w:rPr>
          <w:spacing w:val="-4"/>
        </w:rPr>
        <w:t> </w:t>
      </w:r>
      <w:r>
        <w:rPr/>
        <w:t>articles</w:t>
      </w:r>
      <w:r>
        <w:rPr>
          <w:spacing w:val="-4"/>
        </w:rPr>
        <w:t> </w:t>
      </w:r>
      <w:r>
        <w:rPr/>
        <w:t>and</w:t>
      </w:r>
      <w:r>
        <w:rPr>
          <w:spacing w:val="-4"/>
        </w:rPr>
        <w:t> </w:t>
      </w:r>
      <w:r>
        <w:rPr/>
        <w:t>theses</w:t>
      </w:r>
      <w:r>
        <w:rPr>
          <w:spacing w:val="-4"/>
        </w:rPr>
        <w:t> </w:t>
      </w:r>
      <w:r>
        <w:rPr/>
        <w:t>was</w:t>
      </w:r>
      <w:r>
        <w:rPr>
          <w:spacing w:val="-4"/>
        </w:rPr>
        <w:t> </w:t>
      </w:r>
      <w:r>
        <w:rPr/>
        <w:t>guided</w:t>
      </w:r>
      <w:r>
        <w:rPr>
          <w:spacing w:val="-4"/>
        </w:rPr>
        <w:t> </w:t>
      </w:r>
      <w:r>
        <w:rPr/>
        <w:t>by</w:t>
      </w:r>
      <w:r>
        <w:rPr>
          <w:spacing w:val="-4"/>
        </w:rPr>
        <w:t> </w:t>
      </w:r>
      <w:r>
        <w:rPr/>
        <w:t>inclusion</w:t>
      </w:r>
      <w:r>
        <w:rPr>
          <w:spacing w:val="-4"/>
        </w:rPr>
        <w:t> </w:t>
      </w:r>
      <w:r>
        <w:rPr/>
        <w:t>and</w:t>
      </w:r>
      <w:r>
        <w:rPr>
          <w:spacing w:val="-4"/>
        </w:rPr>
        <w:t> </w:t>
      </w:r>
      <w:r>
        <w:rPr/>
        <w:t>exclusion</w:t>
      </w:r>
      <w:r>
        <w:rPr>
          <w:spacing w:val="-4"/>
        </w:rPr>
        <w:t> </w:t>
      </w:r>
      <w:r>
        <w:rPr/>
        <w:t>criteria designed</w:t>
      </w:r>
      <w:r>
        <w:rPr>
          <w:spacing w:val="-7"/>
        </w:rPr>
        <w:t> </w:t>
      </w:r>
      <w:r>
        <w:rPr/>
        <w:t>to</w:t>
      </w:r>
      <w:r>
        <w:rPr>
          <w:spacing w:val="-6"/>
        </w:rPr>
        <w:t> </w:t>
      </w:r>
      <w:r>
        <w:rPr/>
        <w:t>focus</w:t>
      </w:r>
      <w:r>
        <w:rPr>
          <w:spacing w:val="-6"/>
        </w:rPr>
        <w:t> </w:t>
      </w:r>
      <w:r>
        <w:rPr/>
        <w:t>the</w:t>
      </w:r>
      <w:r>
        <w:rPr>
          <w:spacing w:val="-6"/>
        </w:rPr>
        <w:t> </w:t>
      </w:r>
      <w:r>
        <w:rPr/>
        <w:t>discussion</w:t>
      </w:r>
      <w:r>
        <w:rPr>
          <w:spacing w:val="-6"/>
        </w:rPr>
        <w:t> </w:t>
      </w:r>
      <w:r>
        <w:rPr/>
        <w:t>on</w:t>
      </w:r>
      <w:r>
        <w:rPr>
          <w:spacing w:val="-7"/>
        </w:rPr>
        <w:t> </w:t>
      </w:r>
      <w:r>
        <w:rPr/>
        <w:t>the</w:t>
      </w:r>
      <w:r>
        <w:rPr>
          <w:spacing w:val="-6"/>
        </w:rPr>
        <w:t> </w:t>
      </w:r>
      <w:r>
        <w:rPr/>
        <w:t>topic.</w:t>
      </w:r>
      <w:r>
        <w:rPr>
          <w:spacing w:val="-6"/>
        </w:rPr>
        <w:t> </w:t>
      </w:r>
      <w:r>
        <w:rPr/>
        <w:t>These</w:t>
      </w:r>
      <w:r>
        <w:rPr>
          <w:spacing w:val="-6"/>
        </w:rPr>
        <w:t> </w:t>
      </w:r>
      <w:r>
        <w:rPr/>
        <w:t>criteria</w:t>
      </w:r>
      <w:r>
        <w:rPr>
          <w:spacing w:val="-6"/>
        </w:rPr>
        <w:t> </w:t>
      </w:r>
      <w:r>
        <w:rPr/>
        <w:t>are</w:t>
      </w:r>
      <w:r>
        <w:rPr>
          <w:spacing w:val="-7"/>
        </w:rPr>
        <w:t> </w:t>
      </w:r>
      <w:r>
        <w:rPr/>
        <w:t>outlined</w:t>
      </w:r>
      <w:r>
        <w:rPr>
          <w:spacing w:val="-6"/>
        </w:rPr>
        <w:t> </w:t>
      </w:r>
      <w:r>
        <w:rPr/>
        <w:t>in</w:t>
      </w:r>
      <w:r>
        <w:rPr>
          <w:spacing w:val="-6"/>
        </w:rPr>
        <w:t> </w:t>
      </w:r>
      <w:r>
        <w:rPr/>
        <w:t>Table</w:t>
      </w:r>
      <w:r>
        <w:rPr>
          <w:spacing w:val="-6"/>
        </w:rPr>
        <w:t> </w:t>
      </w:r>
      <w:r>
        <w:rPr/>
        <w:t>1</w:t>
      </w:r>
      <w:r>
        <w:rPr>
          <w:spacing w:val="-6"/>
        </w:rPr>
        <w:t> </w:t>
      </w:r>
      <w:r>
        <w:rPr>
          <w:spacing w:val="-2"/>
        </w:rPr>
        <w:t>below:</w:t>
      </w:r>
    </w:p>
    <w:p>
      <w:pPr>
        <w:pStyle w:val="BodyText"/>
        <w:spacing w:before="220"/>
      </w:pPr>
    </w:p>
    <w:p>
      <w:pPr>
        <w:pStyle w:val="Heading2"/>
        <w:tabs>
          <w:tab w:pos="1649" w:val="left" w:leader="none"/>
        </w:tabs>
      </w:pPr>
      <w:bookmarkStart w:name="Table 1.​Inclusion and Exclusion Criteri" w:id="2"/>
      <w:bookmarkEnd w:id="2"/>
      <w:r>
        <w:rPr>
          <w:b w:val="0"/>
        </w:rPr>
      </w:r>
      <w:r>
        <w:rPr>
          <w:spacing w:val="-2"/>
        </w:rPr>
        <w:t>Table</w:t>
      </w:r>
      <w:r>
        <w:rPr>
          <w:spacing w:val="-9"/>
        </w:rPr>
        <w:t> </w:t>
      </w:r>
      <w:r>
        <w:rPr>
          <w:spacing w:val="-5"/>
        </w:rPr>
        <w:t>1.</w:t>
      </w:r>
      <w:r>
        <w:rPr/>
        <w:tab/>
        <w:t>Inclusion</w:t>
      </w:r>
      <w:r>
        <w:rPr>
          <w:spacing w:val="-8"/>
        </w:rPr>
        <w:t> </w:t>
      </w:r>
      <w:r>
        <w:rPr/>
        <w:t>and</w:t>
      </w:r>
      <w:r>
        <w:rPr>
          <w:spacing w:val="-6"/>
        </w:rPr>
        <w:t> </w:t>
      </w:r>
      <w:r>
        <w:rPr/>
        <w:t>Exclusion</w:t>
      </w:r>
      <w:r>
        <w:rPr>
          <w:spacing w:val="-6"/>
        </w:rPr>
        <w:t> </w:t>
      </w:r>
      <w:r>
        <w:rPr/>
        <w:t>Criteria</w:t>
      </w:r>
      <w:r>
        <w:rPr>
          <w:spacing w:val="-6"/>
        </w:rPr>
        <w:t> </w:t>
      </w:r>
      <w:r>
        <w:rPr/>
        <w:t>for</w:t>
      </w:r>
      <w:r>
        <w:rPr>
          <w:spacing w:val="-6"/>
        </w:rPr>
        <w:t> </w:t>
      </w:r>
      <w:r>
        <w:rPr/>
        <w:t>the</w:t>
      </w:r>
      <w:r>
        <w:rPr>
          <w:spacing w:val="-5"/>
        </w:rPr>
        <w:t> </w:t>
      </w:r>
      <w:r>
        <w:rPr>
          <w:spacing w:val="-2"/>
        </w:rPr>
        <w:t>Review</w:t>
      </w:r>
    </w:p>
    <w:p>
      <w:pPr>
        <w:pStyle w:val="BodyText"/>
        <w:spacing w:before="181"/>
        <w:rPr>
          <w:rFonts w:ascii="Arial"/>
          <w:b/>
        </w:rPr>
      </w:pPr>
      <w:r>
        <w:rPr>
          <w:rFonts w:ascii="Arial"/>
          <w:b/>
        </w:rPr>
        <w:drawing>
          <wp:anchor distT="0" distB="0" distL="0" distR="0" allowOverlap="1" layoutInCell="1" locked="0" behindDoc="1" simplePos="0" relativeHeight="487591424">
            <wp:simplePos x="0" y="0"/>
            <wp:positionH relativeFrom="page">
              <wp:posOffset>1285875</wp:posOffset>
            </wp:positionH>
            <wp:positionV relativeFrom="paragraph">
              <wp:posOffset>276631</wp:posOffset>
            </wp:positionV>
            <wp:extent cx="5229225" cy="9525"/>
            <wp:effectExtent l="0" t="0" r="0" b="0"/>
            <wp:wrapTopAndBottom/>
            <wp:docPr id="15" name="Image 15" descr="Graphic 44"/>
            <wp:cNvGraphicFramePr>
              <a:graphicFrameLocks/>
            </wp:cNvGraphicFramePr>
            <a:graphic>
              <a:graphicData uri="http://schemas.openxmlformats.org/drawingml/2006/picture">
                <pic:pic>
                  <pic:nvPicPr>
                    <pic:cNvPr id="15" name="Image 15" descr="Graphic 44"/>
                    <pic:cNvPicPr/>
                  </pic:nvPicPr>
                  <pic:blipFill>
                    <a:blip r:embed="rId16" cstate="print"/>
                    <a:stretch>
                      <a:fillRect/>
                    </a:stretch>
                  </pic:blipFill>
                  <pic:spPr>
                    <a:xfrm>
                      <a:off x="0" y="0"/>
                      <a:ext cx="5229225" cy="9525"/>
                    </a:xfrm>
                    <a:prstGeom prst="rect">
                      <a:avLst/>
                    </a:prstGeom>
                  </pic:spPr>
                </pic:pic>
              </a:graphicData>
            </a:graphic>
          </wp:anchor>
        </w:drawing>
      </w:r>
    </w:p>
    <w:p>
      <w:pPr>
        <w:pStyle w:val="BodyText"/>
        <w:spacing w:before="78"/>
        <w:rPr>
          <w:rFonts w:ascii="Arial"/>
          <w:b/>
        </w:rPr>
      </w:pPr>
    </w:p>
    <w:p>
      <w:pPr>
        <w:tabs>
          <w:tab w:pos="4799" w:val="left" w:leader="none"/>
        </w:tabs>
        <w:spacing w:before="0"/>
        <w:ind w:left="675" w:right="0" w:firstLine="0"/>
        <w:jc w:val="left"/>
        <w:rPr>
          <w:rFonts w:ascii="Arial"/>
          <w:b/>
          <w:sz w:val="20"/>
        </w:rPr>
      </w:pPr>
      <w:r>
        <w:rPr>
          <w:rFonts w:ascii="Arial"/>
          <w:b/>
          <w:spacing w:val="-2"/>
          <w:sz w:val="20"/>
        </w:rPr>
        <w:t>Criteria</w:t>
      </w:r>
      <w:r>
        <w:rPr>
          <w:rFonts w:ascii="Arial"/>
          <w:b/>
          <w:sz w:val="20"/>
        </w:rPr>
        <w:tab/>
      </w:r>
      <w:r>
        <w:rPr>
          <w:rFonts w:ascii="Arial"/>
          <w:b/>
          <w:spacing w:val="-2"/>
          <w:sz w:val="20"/>
        </w:rPr>
        <w:t>Description</w:t>
      </w:r>
    </w:p>
    <w:p>
      <w:pPr>
        <w:pStyle w:val="BodyText"/>
        <w:spacing w:before="5"/>
        <w:rPr>
          <w:rFonts w:ascii="Arial"/>
          <w:b/>
          <w:sz w:val="4"/>
        </w:rPr>
      </w:pPr>
      <w:r>
        <w:rPr>
          <w:rFonts w:ascii="Arial"/>
          <w:b/>
          <w:sz w:val="4"/>
        </w:rPr>
        <w:drawing>
          <wp:anchor distT="0" distB="0" distL="0" distR="0" allowOverlap="1" layoutInCell="1" locked="0" behindDoc="1" simplePos="0" relativeHeight="487591936">
            <wp:simplePos x="0" y="0"/>
            <wp:positionH relativeFrom="page">
              <wp:posOffset>1285875</wp:posOffset>
            </wp:positionH>
            <wp:positionV relativeFrom="paragraph">
              <wp:posOffset>47623</wp:posOffset>
            </wp:positionV>
            <wp:extent cx="5229225" cy="9525"/>
            <wp:effectExtent l="0" t="0" r="0" b="0"/>
            <wp:wrapTopAndBottom/>
            <wp:docPr id="16" name="Image 16" descr="Graphic 45"/>
            <wp:cNvGraphicFramePr>
              <a:graphicFrameLocks/>
            </wp:cNvGraphicFramePr>
            <a:graphic>
              <a:graphicData uri="http://schemas.openxmlformats.org/drawingml/2006/picture">
                <pic:pic>
                  <pic:nvPicPr>
                    <pic:cNvPr id="16" name="Image 16" descr="Graphic 45"/>
                    <pic:cNvPicPr/>
                  </pic:nvPicPr>
                  <pic:blipFill>
                    <a:blip r:embed="rId16" cstate="print"/>
                    <a:stretch>
                      <a:fillRect/>
                    </a:stretch>
                  </pic:blipFill>
                  <pic:spPr>
                    <a:xfrm>
                      <a:off x="0" y="0"/>
                      <a:ext cx="5229225" cy="9525"/>
                    </a:xfrm>
                    <a:prstGeom prst="rect">
                      <a:avLst/>
                    </a:prstGeom>
                  </pic:spPr>
                </pic:pic>
              </a:graphicData>
            </a:graphic>
          </wp:anchor>
        </w:drawing>
      </w:r>
    </w:p>
    <w:p>
      <w:pPr>
        <w:pStyle w:val="BodyText"/>
        <w:tabs>
          <w:tab w:pos="4799" w:val="left" w:leader="none"/>
        </w:tabs>
        <w:spacing w:line="230" w:lineRule="auto" w:before="51"/>
        <w:ind w:left="4800" w:right="1904" w:hanging="4125"/>
      </w:pPr>
      <w:r>
        <w:rPr>
          <w:spacing w:val="-2"/>
        </w:rPr>
        <w:t>Inclusion</w:t>
      </w:r>
      <w:r>
        <w:rPr/>
        <w:tab/>
        <w:t>Articles</w:t>
      </w:r>
      <w:r>
        <w:rPr>
          <w:spacing w:val="-7"/>
        </w:rPr>
        <w:t> </w:t>
      </w:r>
      <w:r>
        <w:rPr/>
        <w:t>and</w:t>
      </w:r>
      <w:r>
        <w:rPr>
          <w:spacing w:val="-7"/>
        </w:rPr>
        <w:t> </w:t>
      </w:r>
      <w:r>
        <w:rPr/>
        <w:t>gray</w:t>
      </w:r>
      <w:r>
        <w:rPr>
          <w:spacing w:val="-7"/>
        </w:rPr>
        <w:t> </w:t>
      </w:r>
      <w:r>
        <w:rPr/>
        <w:t>literature</w:t>
      </w:r>
      <w:r>
        <w:rPr>
          <w:spacing w:val="-7"/>
        </w:rPr>
        <w:t> </w:t>
      </w:r>
      <w:r>
        <w:rPr/>
        <w:t>focusing</w:t>
      </w:r>
      <w:r>
        <w:rPr>
          <w:spacing w:val="-7"/>
        </w:rPr>
        <w:t> </w:t>
      </w:r>
      <w:r>
        <w:rPr/>
        <w:t>on</w:t>
      </w:r>
      <w:r>
        <w:rPr>
          <w:spacing w:val="-7"/>
        </w:rPr>
        <w:t> </w:t>
      </w:r>
      <w:r>
        <w:rPr/>
        <w:t>the teaching</w:t>
      </w:r>
      <w:r>
        <w:rPr>
          <w:spacing w:val="-14"/>
        </w:rPr>
        <w:t> </w:t>
      </w:r>
      <w:r>
        <w:rPr/>
        <w:t>of</w:t>
      </w:r>
      <w:r>
        <w:rPr>
          <w:spacing w:val="-14"/>
        </w:rPr>
        <w:t> </w:t>
      </w:r>
      <w:r>
        <w:rPr/>
        <w:t>Temporomandibular</w:t>
      </w:r>
      <w:r>
        <w:rPr>
          <w:spacing w:val="-13"/>
        </w:rPr>
        <w:t> </w:t>
      </w:r>
      <w:r>
        <w:rPr/>
        <w:t>Disorders (TMD) and Orofacial Pain (OFP) in undergraduate Dentistry programs;</w:t>
      </w:r>
    </w:p>
    <w:p>
      <w:pPr>
        <w:pStyle w:val="BodyText"/>
        <w:spacing w:line="230" w:lineRule="auto" w:before="216"/>
        <w:ind w:left="4800" w:right="1675"/>
      </w:pPr>
      <w:r>
        <w:rPr/>
        <w:drawing>
          <wp:anchor distT="0" distB="0" distL="0" distR="0" allowOverlap="1" layoutInCell="1" locked="0" behindDoc="1" simplePos="0" relativeHeight="487592448">
            <wp:simplePos x="0" y="0"/>
            <wp:positionH relativeFrom="page">
              <wp:posOffset>1285875</wp:posOffset>
            </wp:positionH>
            <wp:positionV relativeFrom="paragraph">
              <wp:posOffset>455454</wp:posOffset>
            </wp:positionV>
            <wp:extent cx="5229225" cy="9525"/>
            <wp:effectExtent l="0" t="0" r="0" b="0"/>
            <wp:wrapTopAndBottom/>
            <wp:docPr id="17" name="Image 17" descr="Graphic 46"/>
            <wp:cNvGraphicFramePr>
              <a:graphicFrameLocks/>
            </wp:cNvGraphicFramePr>
            <a:graphic>
              <a:graphicData uri="http://schemas.openxmlformats.org/drawingml/2006/picture">
                <pic:pic>
                  <pic:nvPicPr>
                    <pic:cNvPr id="17" name="Image 17" descr="Graphic 46"/>
                    <pic:cNvPicPr/>
                  </pic:nvPicPr>
                  <pic:blipFill>
                    <a:blip r:embed="rId16" cstate="print"/>
                    <a:stretch>
                      <a:fillRect/>
                    </a:stretch>
                  </pic:blipFill>
                  <pic:spPr>
                    <a:xfrm>
                      <a:off x="0" y="0"/>
                      <a:ext cx="5229225" cy="9525"/>
                    </a:xfrm>
                    <a:prstGeom prst="rect">
                      <a:avLst/>
                    </a:prstGeom>
                  </pic:spPr>
                </pic:pic>
              </a:graphicData>
            </a:graphic>
          </wp:anchor>
        </w:drawing>
      </w:r>
      <w:r>
        <w:rPr/>
        <w:t>Studies</w:t>
      </w:r>
      <w:r>
        <w:rPr>
          <w:spacing w:val="-10"/>
        </w:rPr>
        <w:t> </w:t>
      </w:r>
      <w:r>
        <w:rPr/>
        <w:t>published</w:t>
      </w:r>
      <w:r>
        <w:rPr>
          <w:spacing w:val="-10"/>
        </w:rPr>
        <w:t> </w:t>
      </w:r>
      <w:r>
        <w:rPr/>
        <w:t>in</w:t>
      </w:r>
      <w:r>
        <w:rPr>
          <w:spacing w:val="-10"/>
        </w:rPr>
        <w:t> </w:t>
      </w:r>
      <w:r>
        <w:rPr/>
        <w:t>English,</w:t>
      </w:r>
      <w:r>
        <w:rPr>
          <w:spacing w:val="-10"/>
        </w:rPr>
        <w:t> </w:t>
      </w:r>
      <w:r>
        <w:rPr/>
        <w:t>Portuguese, and Spanish.</w:t>
      </w:r>
    </w:p>
    <w:p>
      <w:pPr>
        <w:pStyle w:val="BodyText"/>
        <w:tabs>
          <w:tab w:pos="4799" w:val="left" w:leader="none"/>
        </w:tabs>
        <w:spacing w:line="230" w:lineRule="auto" w:before="143"/>
        <w:ind w:left="4800" w:right="2259" w:hanging="4125"/>
      </w:pPr>
      <w:r>
        <w:rPr>
          <w:spacing w:val="-2"/>
        </w:rPr>
        <w:t>Exclusion</w:t>
      </w:r>
      <w:r>
        <w:rPr/>
        <w:tab/>
        <w:t>Studies</w:t>
      </w:r>
      <w:r>
        <w:rPr>
          <w:spacing w:val="-8"/>
        </w:rPr>
        <w:t> </w:t>
      </w:r>
      <w:r>
        <w:rPr/>
        <w:t>where</w:t>
      </w:r>
      <w:r>
        <w:rPr>
          <w:spacing w:val="-8"/>
        </w:rPr>
        <w:t> </w:t>
      </w:r>
      <w:r>
        <w:rPr/>
        <w:t>data</w:t>
      </w:r>
      <w:r>
        <w:rPr>
          <w:spacing w:val="-8"/>
        </w:rPr>
        <w:t> </w:t>
      </w:r>
      <w:r>
        <w:rPr/>
        <w:t>extraction</w:t>
      </w:r>
      <w:r>
        <w:rPr>
          <w:spacing w:val="-8"/>
        </w:rPr>
        <w:t> </w:t>
      </w:r>
      <w:r>
        <w:rPr/>
        <w:t>was</w:t>
      </w:r>
      <w:r>
        <w:rPr>
          <w:spacing w:val="-8"/>
        </w:rPr>
        <w:t> </w:t>
      </w:r>
      <w:r>
        <w:rPr/>
        <w:t>not </w:t>
      </w:r>
      <w:r>
        <w:rPr>
          <w:spacing w:val="-2"/>
        </w:rPr>
        <w:t>possible.</w:t>
      </w:r>
    </w:p>
    <w:p>
      <w:pPr>
        <w:pStyle w:val="BodyText"/>
        <w:spacing w:before="4"/>
        <w:rPr>
          <w:sz w:val="4"/>
        </w:rPr>
      </w:pPr>
      <w:r>
        <w:rPr>
          <w:sz w:val="4"/>
        </w:rPr>
        <w:drawing>
          <wp:anchor distT="0" distB="0" distL="0" distR="0" allowOverlap="1" layoutInCell="1" locked="0" behindDoc="1" simplePos="0" relativeHeight="487592960">
            <wp:simplePos x="0" y="0"/>
            <wp:positionH relativeFrom="page">
              <wp:posOffset>1285875</wp:posOffset>
            </wp:positionH>
            <wp:positionV relativeFrom="paragraph">
              <wp:posOffset>47456</wp:posOffset>
            </wp:positionV>
            <wp:extent cx="5229225" cy="9525"/>
            <wp:effectExtent l="0" t="0" r="0" b="0"/>
            <wp:wrapTopAndBottom/>
            <wp:docPr id="18" name="Image 18" descr="Graphic 47"/>
            <wp:cNvGraphicFramePr>
              <a:graphicFrameLocks/>
            </wp:cNvGraphicFramePr>
            <a:graphic>
              <a:graphicData uri="http://schemas.openxmlformats.org/drawingml/2006/picture">
                <pic:pic>
                  <pic:nvPicPr>
                    <pic:cNvPr id="18" name="Image 18" descr="Graphic 47"/>
                    <pic:cNvPicPr/>
                  </pic:nvPicPr>
                  <pic:blipFill>
                    <a:blip r:embed="rId16" cstate="print"/>
                    <a:stretch>
                      <a:fillRect/>
                    </a:stretch>
                  </pic:blipFill>
                  <pic:spPr>
                    <a:xfrm>
                      <a:off x="0" y="0"/>
                      <a:ext cx="5229225" cy="9525"/>
                    </a:xfrm>
                    <a:prstGeom prst="rect">
                      <a:avLst/>
                    </a:prstGeom>
                  </pic:spPr>
                </pic:pic>
              </a:graphicData>
            </a:graphic>
          </wp:anchor>
        </w:drawing>
      </w:r>
    </w:p>
    <w:p>
      <w:pPr>
        <w:pStyle w:val="BodyText"/>
        <w:spacing w:before="81"/>
      </w:pPr>
    </w:p>
    <w:p>
      <w:pPr>
        <w:spacing w:before="0"/>
        <w:ind w:left="570" w:right="0" w:firstLine="0"/>
        <w:jc w:val="left"/>
        <w:rPr>
          <w:rFonts w:ascii="Arial"/>
          <w:i/>
          <w:sz w:val="18"/>
        </w:rPr>
      </w:pPr>
      <w:r>
        <w:rPr>
          <w:rFonts w:ascii="Arial"/>
          <w:i/>
          <w:sz w:val="18"/>
        </w:rPr>
        <w:t>Source: Rodacoski; Pires; Bellani, </w:t>
      </w:r>
      <w:r>
        <w:rPr>
          <w:rFonts w:ascii="Arial"/>
          <w:i/>
          <w:spacing w:val="-2"/>
          <w:sz w:val="18"/>
        </w:rPr>
        <w:t>2025.</w:t>
      </w:r>
    </w:p>
    <w:p>
      <w:pPr>
        <w:pStyle w:val="BodyText"/>
        <w:spacing w:before="9"/>
        <w:rPr>
          <w:rFonts w:ascii="Arial"/>
          <w:i/>
          <w:sz w:val="18"/>
        </w:rPr>
      </w:pPr>
    </w:p>
    <w:p>
      <w:pPr>
        <w:pStyle w:val="BodyText"/>
        <w:spacing w:line="230" w:lineRule="auto"/>
        <w:ind w:left="570" w:right="1648" w:firstLine="720"/>
        <w:jc w:val="both"/>
      </w:pPr>
      <w:r>
        <w:rPr/>
        <w:t>The search identified 87 studies, of which 20 duplicates were removed using the Rayyan platform (Qatar Computing Research</w:t>
      </w:r>
      <w:r>
        <w:rPr>
          <w:spacing w:val="-3"/>
        </w:rPr>
        <w:t> </w:t>
      </w:r>
      <w:r>
        <w:rPr/>
        <w:t>Institute).</w:t>
      </w:r>
      <w:r>
        <w:rPr>
          <w:spacing w:val="-3"/>
        </w:rPr>
        <w:t> </w:t>
      </w:r>
      <w:r>
        <w:rPr/>
        <w:t>Among</w:t>
      </w:r>
      <w:r>
        <w:rPr>
          <w:spacing w:val="-3"/>
        </w:rPr>
        <w:t> </w:t>
      </w:r>
      <w:r>
        <w:rPr/>
        <w:t>the</w:t>
      </w:r>
      <w:r>
        <w:rPr>
          <w:spacing w:val="-3"/>
        </w:rPr>
        <w:t> </w:t>
      </w:r>
      <w:r>
        <w:rPr/>
        <w:t>remaining</w:t>
      </w:r>
      <w:r>
        <w:rPr>
          <w:spacing w:val="-3"/>
        </w:rPr>
        <w:t> </w:t>
      </w:r>
      <w:r>
        <w:rPr/>
        <w:t>67</w:t>
      </w:r>
      <w:r>
        <w:rPr>
          <w:spacing w:val="-3"/>
        </w:rPr>
        <w:t> </w:t>
      </w:r>
      <w:r>
        <w:rPr/>
        <w:t>articles,</w:t>
      </w:r>
      <w:r>
        <w:rPr>
          <w:spacing w:val="-3"/>
        </w:rPr>
        <w:t> </w:t>
      </w:r>
      <w:r>
        <w:rPr/>
        <w:t>54 were excluded after title screening, and four more were excluded after abstract evaluation, leaving nine articles</w:t>
      </w:r>
      <w:r>
        <w:rPr>
          <w:spacing w:val="-3"/>
        </w:rPr>
        <w:t> </w:t>
      </w:r>
      <w:r>
        <w:rPr/>
        <w:t>for</w:t>
      </w:r>
      <w:r>
        <w:rPr>
          <w:spacing w:val="-3"/>
        </w:rPr>
        <w:t> </w:t>
      </w:r>
      <w:r>
        <w:rPr/>
        <w:t>further</w:t>
      </w:r>
      <w:r>
        <w:rPr>
          <w:spacing w:val="-3"/>
        </w:rPr>
        <w:t> </w:t>
      </w:r>
      <w:r>
        <w:rPr/>
        <w:t>review.</w:t>
      </w:r>
      <w:r>
        <w:rPr>
          <w:spacing w:val="-3"/>
        </w:rPr>
        <w:t> </w:t>
      </w:r>
      <w:r>
        <w:rPr/>
        <w:t>None</w:t>
      </w:r>
      <w:r>
        <w:rPr>
          <w:spacing w:val="-3"/>
        </w:rPr>
        <w:t> </w:t>
      </w:r>
      <w:r>
        <w:rPr/>
        <w:t>of</w:t>
      </w:r>
      <w:r>
        <w:rPr>
          <w:spacing w:val="-3"/>
        </w:rPr>
        <w:t> </w:t>
      </w:r>
      <w:r>
        <w:rPr/>
        <w:t>these</w:t>
      </w:r>
      <w:r>
        <w:rPr>
          <w:spacing w:val="-3"/>
        </w:rPr>
        <w:t> </w:t>
      </w:r>
      <w:r>
        <w:rPr/>
        <w:t>nine</w:t>
      </w:r>
      <w:r>
        <w:rPr>
          <w:spacing w:val="-3"/>
        </w:rPr>
        <w:t> </w:t>
      </w:r>
      <w:r>
        <w:rPr/>
        <w:t>articles</w:t>
      </w:r>
      <w:r>
        <w:rPr>
          <w:spacing w:val="-3"/>
        </w:rPr>
        <w:t> </w:t>
      </w:r>
      <w:r>
        <w:rPr/>
        <w:t>were</w:t>
      </w:r>
      <w:r>
        <w:rPr>
          <w:spacing w:val="-3"/>
        </w:rPr>
        <w:t> </w:t>
      </w:r>
      <w:r>
        <w:rPr/>
        <w:t>excluded</w:t>
      </w:r>
      <w:r>
        <w:rPr>
          <w:spacing w:val="-3"/>
        </w:rPr>
        <w:t> </w:t>
      </w:r>
      <w:r>
        <w:rPr/>
        <w:t>due</w:t>
      </w:r>
      <w:r>
        <w:rPr>
          <w:spacing w:val="-3"/>
        </w:rPr>
        <w:t> </w:t>
      </w:r>
      <w:r>
        <w:rPr/>
        <w:t>to</w:t>
      </w:r>
      <w:r>
        <w:rPr>
          <w:spacing w:val="-3"/>
        </w:rPr>
        <w:t> </w:t>
      </w:r>
      <w:r>
        <w:rPr/>
        <w:t>data extraction issues or lack of relevance to the research scope. Ultimately, five articles were included in the review, based on consensus among blind and independent reviewers.</w:t>
      </w:r>
    </w:p>
    <w:p>
      <w:pPr>
        <w:pStyle w:val="BodyText"/>
        <w:spacing w:before="3"/>
      </w:pPr>
    </w:p>
    <w:p>
      <w:pPr>
        <w:pStyle w:val="BodyText"/>
        <w:spacing w:line="230" w:lineRule="auto"/>
        <w:ind w:left="570" w:right="1652" w:firstLine="720"/>
        <w:jc w:val="both"/>
      </w:pPr>
      <w:r>
        <w:rPr/>
        <w:t>In September 2024, the study was registered and approved as an Open-Ended Registration on the Open Science Framework (OSF) platform, with the access code DOI: </w:t>
      </w:r>
      <w:r>
        <w:rPr>
          <w:spacing w:val="-2"/>
        </w:rPr>
        <w:t>10.17605/OSF.IO/5HM4U.</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6"/>
      </w:pPr>
    </w:p>
    <w:p>
      <w:pPr>
        <w:pStyle w:val="Heading1"/>
        <w:numPr>
          <w:ilvl w:val="0"/>
          <w:numId w:val="2"/>
        </w:numPr>
        <w:tabs>
          <w:tab w:pos="823" w:val="left" w:leader="none"/>
        </w:tabs>
        <w:spacing w:line="240" w:lineRule="auto" w:before="0" w:after="0"/>
        <w:ind w:left="823" w:right="0" w:hanging="253"/>
        <w:jc w:val="left"/>
      </w:pPr>
      <w:r>
        <w:rPr>
          <w:spacing w:val="-2"/>
        </w:rPr>
        <w:t>RESULTS</w:t>
      </w:r>
    </w:p>
    <w:p>
      <w:pPr>
        <w:pStyle w:val="BodyText"/>
        <w:spacing w:line="230" w:lineRule="auto" w:before="238"/>
        <w:ind w:left="570" w:right="1653" w:firstLine="720"/>
        <w:jc w:val="both"/>
      </w:pPr>
      <w:r>
        <w:rPr/>
        <w:t>The analysis</w:t>
      </w:r>
      <w:r>
        <w:rPr>
          <w:spacing w:val="-7"/>
        </w:rPr>
        <w:t> </w:t>
      </w:r>
      <w:r>
        <w:rPr/>
        <w:t>identified</w:t>
      </w:r>
      <w:r>
        <w:rPr>
          <w:spacing w:val="-7"/>
        </w:rPr>
        <w:t> </w:t>
      </w:r>
      <w:r>
        <w:rPr/>
        <w:t>key</w:t>
      </w:r>
      <w:r>
        <w:rPr>
          <w:spacing w:val="-7"/>
        </w:rPr>
        <w:t> </w:t>
      </w:r>
      <w:r>
        <w:rPr/>
        <w:t>aspects</w:t>
      </w:r>
      <w:r>
        <w:rPr>
          <w:spacing w:val="-7"/>
        </w:rPr>
        <w:t> </w:t>
      </w:r>
      <w:r>
        <w:rPr/>
        <w:t>of</w:t>
      </w:r>
      <w:r>
        <w:rPr>
          <w:spacing w:val="-7"/>
        </w:rPr>
        <w:t> </w:t>
      </w:r>
      <w:r>
        <w:rPr/>
        <w:t>teaching</w:t>
      </w:r>
      <w:r>
        <w:rPr>
          <w:spacing w:val="-7"/>
        </w:rPr>
        <w:t> </w:t>
      </w:r>
      <w:r>
        <w:rPr/>
        <w:t>Temporomandibular</w:t>
      </w:r>
      <w:r>
        <w:rPr>
          <w:spacing w:val="-7"/>
        </w:rPr>
        <w:t> </w:t>
      </w:r>
      <w:r>
        <w:rPr/>
        <w:t>Disorders</w:t>
      </w:r>
      <w:r>
        <w:rPr>
          <w:spacing w:val="-7"/>
        </w:rPr>
        <w:t> </w:t>
      </w:r>
      <w:r>
        <w:rPr/>
        <w:t>(TMD) and Orofacial Pain (OFP) in undergraduate Dentistry programs. The evidence revealed significant</w:t>
      </w:r>
      <w:r>
        <w:rPr>
          <w:spacing w:val="-4"/>
        </w:rPr>
        <w:t> </w:t>
      </w:r>
      <w:r>
        <w:rPr/>
        <w:t>gaps</w:t>
      </w:r>
      <w:r>
        <w:rPr>
          <w:spacing w:val="-4"/>
        </w:rPr>
        <w:t> </w:t>
      </w:r>
      <w:r>
        <w:rPr/>
        <w:t>in</w:t>
      </w:r>
      <w:r>
        <w:rPr>
          <w:spacing w:val="-4"/>
        </w:rPr>
        <w:t> </w:t>
      </w:r>
      <w:r>
        <w:rPr/>
        <w:t>academic</w:t>
      </w:r>
      <w:r>
        <w:rPr>
          <w:spacing w:val="-4"/>
        </w:rPr>
        <w:t> </w:t>
      </w:r>
      <w:r>
        <w:rPr/>
        <w:t>curricula</w:t>
      </w:r>
      <w:r>
        <w:rPr>
          <w:spacing w:val="-4"/>
        </w:rPr>
        <w:t> </w:t>
      </w:r>
      <w:r>
        <w:rPr/>
        <w:t>and</w:t>
      </w:r>
      <w:r>
        <w:rPr>
          <w:spacing w:val="-4"/>
        </w:rPr>
        <w:t> </w:t>
      </w:r>
      <w:r>
        <w:rPr/>
        <w:t>educational</w:t>
      </w:r>
      <w:r>
        <w:rPr>
          <w:spacing w:val="-4"/>
        </w:rPr>
        <w:t> </w:t>
      </w:r>
      <w:r>
        <w:rPr/>
        <w:t>practices</w:t>
      </w:r>
      <w:r>
        <w:rPr>
          <w:spacing w:val="-4"/>
        </w:rPr>
        <w:t> </w:t>
      </w:r>
      <w:r>
        <w:rPr/>
        <w:t>adopted</w:t>
      </w:r>
      <w:r>
        <w:rPr>
          <w:spacing w:val="-4"/>
        </w:rPr>
        <w:t> </w:t>
      </w:r>
      <w:r>
        <w:rPr/>
        <w:t>by</w:t>
      </w:r>
      <w:r>
        <w:rPr>
          <w:spacing w:val="-4"/>
        </w:rPr>
        <w:t> </w:t>
      </w:r>
      <w:r>
        <w:rPr/>
        <w:t>higher</w:t>
      </w:r>
      <w:r>
        <w:rPr>
          <w:spacing w:val="-4"/>
        </w:rPr>
        <w:t> </w:t>
      </w:r>
      <w:r>
        <w:rPr/>
        <w:t>education institutions. Out of the 87 initially identified articles, nine were selected for detailed analysis after duplicate removal and the application of inclusion</w:t>
      </w:r>
      <w:r>
        <w:rPr>
          <w:spacing w:val="-3"/>
        </w:rPr>
        <w:t> </w:t>
      </w:r>
      <w:r>
        <w:rPr/>
        <w:t>and</w:t>
      </w:r>
      <w:r>
        <w:rPr>
          <w:spacing w:val="-3"/>
        </w:rPr>
        <w:t> </w:t>
      </w:r>
      <w:r>
        <w:rPr/>
        <w:t>exclusion</w:t>
      </w:r>
      <w:r>
        <w:rPr>
          <w:spacing w:val="-3"/>
        </w:rPr>
        <w:t> </w:t>
      </w:r>
      <w:r>
        <w:rPr/>
        <w:t>criteria.</w:t>
      </w:r>
      <w:r>
        <w:rPr>
          <w:spacing w:val="-3"/>
        </w:rPr>
        <w:t> </w:t>
      </w:r>
      <w:r>
        <w:rPr/>
        <w:t>These</w:t>
      </w:r>
      <w:r>
        <w:rPr>
          <w:spacing w:val="-3"/>
        </w:rPr>
        <w:t> </w:t>
      </w:r>
      <w:r>
        <w:rPr/>
        <w:t>articles provided a comprehensive overview</w:t>
      </w:r>
      <w:r>
        <w:rPr>
          <w:spacing w:val="-4"/>
        </w:rPr>
        <w:t> </w:t>
      </w:r>
      <w:r>
        <w:rPr/>
        <w:t>of</w:t>
      </w:r>
      <w:r>
        <w:rPr>
          <w:spacing w:val="-4"/>
        </w:rPr>
        <w:t> </w:t>
      </w:r>
      <w:r>
        <w:rPr/>
        <w:t>the</w:t>
      </w:r>
      <w:r>
        <w:rPr>
          <w:spacing w:val="-4"/>
        </w:rPr>
        <w:t> </w:t>
      </w:r>
      <w:r>
        <w:rPr/>
        <w:t>current</w:t>
      </w:r>
      <w:r>
        <w:rPr>
          <w:spacing w:val="-4"/>
        </w:rPr>
        <w:t> </w:t>
      </w:r>
      <w:r>
        <w:rPr/>
        <w:t>educational</w:t>
      </w:r>
      <w:r>
        <w:rPr>
          <w:spacing w:val="-4"/>
        </w:rPr>
        <w:t> </w:t>
      </w:r>
      <w:r>
        <w:rPr/>
        <w:t>approaches</w:t>
      </w:r>
      <w:r>
        <w:rPr>
          <w:spacing w:val="-4"/>
        </w:rPr>
        <w:t> </w:t>
      </w:r>
      <w:r>
        <w:rPr/>
        <w:t>to</w:t>
      </w:r>
      <w:r>
        <w:rPr>
          <w:spacing w:val="-4"/>
        </w:rPr>
        <w:t> </w:t>
      </w:r>
      <w:r>
        <w:rPr/>
        <w:t>TMD</w:t>
      </w:r>
      <w:r>
        <w:rPr>
          <w:spacing w:val="-4"/>
        </w:rPr>
        <w:t> </w:t>
      </w:r>
      <w:r>
        <w:rPr/>
        <w:t>and</w:t>
      </w:r>
      <w:r>
        <w:rPr>
          <w:spacing w:val="-4"/>
        </w:rPr>
        <w:t> </w:t>
      </w:r>
      <w:r>
        <w:rPr/>
        <w:t>OFP in universities within a global context.</w:t>
      </w:r>
    </w:p>
    <w:p>
      <w:pPr>
        <w:pStyle w:val="BodyText"/>
        <w:spacing w:before="2"/>
      </w:pPr>
    </w:p>
    <w:p>
      <w:pPr>
        <w:pStyle w:val="BodyText"/>
        <w:spacing w:line="230" w:lineRule="auto"/>
        <w:ind w:left="570" w:right="1648" w:firstLine="720"/>
        <w:jc w:val="both"/>
      </w:pPr>
      <w:r>
        <w:rPr/>
        <w:t>The key findings indicate considerable variation in pedagogical practices among higher education institutions. A lack of uniformity in the teaching of Temporomandibular Disorders (TMD) was widely identified, with significant differences in the number of hours</w:t>
      </w:r>
    </w:p>
    <w:p>
      <w:pPr>
        <w:pStyle w:val="BodyText"/>
        <w:spacing w:after="0" w:line="230" w:lineRule="auto"/>
        <w:jc w:val="both"/>
        <w:sectPr>
          <w:pgSz w:w="12240" w:h="15840"/>
          <w:pgMar w:header="16" w:footer="0" w:top="340" w:bottom="280" w:left="1440" w:right="360"/>
        </w:sectPr>
      </w:pPr>
    </w:p>
    <w:p>
      <w:pPr>
        <w:pStyle w:val="BodyText"/>
        <w:spacing w:before="165"/>
      </w:pPr>
    </w:p>
    <w:p>
      <w:pPr>
        <w:pStyle w:val="BodyText"/>
        <w:spacing w:line="230" w:lineRule="auto"/>
        <w:ind w:left="570" w:right="1653"/>
        <w:jc w:val="both"/>
      </w:pPr>
      <w:r>
        <w:rPr/>
        <w:t>dedicated to the subject and the depth with which the content is addressed. While some universities provide more robust training, others include TMD and Orofacial Pain (OFP) education superficially, often integrating these topics into broader courses, such as Pathology and Preventive Dentistry.</w:t>
      </w:r>
    </w:p>
    <w:p>
      <w:pPr>
        <w:pStyle w:val="BodyText"/>
        <w:spacing w:before="5"/>
      </w:pPr>
    </w:p>
    <w:p>
      <w:pPr>
        <w:pStyle w:val="BodyText"/>
        <w:spacing w:line="230" w:lineRule="auto"/>
        <w:ind w:left="570" w:right="1656" w:firstLine="720"/>
        <w:jc w:val="both"/>
      </w:pPr>
      <w:r>
        <w:rPr/>
        <w:t>It was observed that Dentistry students demonstrate limited knowledge of</w:t>
      </w:r>
      <w:r>
        <w:rPr>
          <w:spacing w:val="-4"/>
        </w:rPr>
        <w:t> </w:t>
      </w:r>
      <w:r>
        <w:rPr/>
        <w:t>TMD</w:t>
      </w:r>
      <w:r>
        <w:rPr>
          <w:spacing w:val="-4"/>
        </w:rPr>
        <w:t> </w:t>
      </w:r>
      <w:r>
        <w:rPr/>
        <w:t>and bruxism, with an average accuracy of only 54% on questions related</w:t>
      </w:r>
      <w:r>
        <w:rPr>
          <w:spacing w:val="-3"/>
        </w:rPr>
        <w:t> </w:t>
      </w:r>
      <w:r>
        <w:rPr/>
        <w:t>to</w:t>
      </w:r>
      <w:r>
        <w:rPr>
          <w:spacing w:val="-3"/>
        </w:rPr>
        <w:t> </w:t>
      </w:r>
      <w:r>
        <w:rPr/>
        <w:t>the</w:t>
      </w:r>
      <w:r>
        <w:rPr>
          <w:spacing w:val="-3"/>
        </w:rPr>
        <w:t> </w:t>
      </w:r>
      <w:r>
        <w:rPr/>
        <w:t>topic</w:t>
      </w:r>
      <w:r>
        <w:rPr>
          <w:spacing w:val="-3"/>
        </w:rPr>
        <w:t> </w:t>
      </w:r>
      <w:r>
        <w:rPr/>
        <w:t>(Rahmeier et al., 2021).</w:t>
      </w:r>
      <w:r>
        <w:rPr>
          <w:spacing w:val="-3"/>
        </w:rPr>
        <w:t> </w:t>
      </w:r>
      <w:r>
        <w:rPr/>
        <w:t>This</w:t>
      </w:r>
      <w:r>
        <w:rPr>
          <w:spacing w:val="-3"/>
        </w:rPr>
        <w:t> </w:t>
      </w:r>
      <w:r>
        <w:rPr/>
        <w:t>finding</w:t>
      </w:r>
      <w:r>
        <w:rPr>
          <w:spacing w:val="-3"/>
        </w:rPr>
        <w:t> </w:t>
      </w:r>
      <w:r>
        <w:rPr/>
        <w:t>reflects</w:t>
      </w:r>
      <w:r>
        <w:rPr>
          <w:spacing w:val="-3"/>
        </w:rPr>
        <w:t> </w:t>
      </w:r>
      <w:r>
        <w:rPr/>
        <w:t>the</w:t>
      </w:r>
      <w:r>
        <w:rPr>
          <w:spacing w:val="-3"/>
        </w:rPr>
        <w:t> </w:t>
      </w:r>
      <w:r>
        <w:rPr/>
        <w:t>insufficiency</w:t>
      </w:r>
      <w:r>
        <w:rPr>
          <w:spacing w:val="-3"/>
        </w:rPr>
        <w:t> </w:t>
      </w:r>
      <w:r>
        <w:rPr/>
        <w:t>of</w:t>
      </w:r>
      <w:r>
        <w:rPr>
          <w:spacing w:val="-3"/>
        </w:rPr>
        <w:t> </w:t>
      </w:r>
      <w:r>
        <w:rPr/>
        <w:t>academic</w:t>
      </w:r>
      <w:r>
        <w:rPr>
          <w:spacing w:val="-3"/>
        </w:rPr>
        <w:t> </w:t>
      </w:r>
      <w:r>
        <w:rPr/>
        <w:t>training</w:t>
      </w:r>
      <w:r>
        <w:rPr>
          <w:spacing w:val="-3"/>
        </w:rPr>
        <w:t> </w:t>
      </w:r>
      <w:r>
        <w:rPr/>
        <w:t>and</w:t>
      </w:r>
      <w:r>
        <w:rPr>
          <w:spacing w:val="-3"/>
        </w:rPr>
        <w:t> </w:t>
      </w:r>
      <w:r>
        <w:rPr/>
        <w:t>suggests</w:t>
      </w:r>
      <w:r>
        <w:rPr>
          <w:spacing w:val="-3"/>
        </w:rPr>
        <w:t> </w:t>
      </w:r>
      <w:r>
        <w:rPr/>
        <w:t>that</w:t>
      </w:r>
      <w:r>
        <w:rPr>
          <w:spacing w:val="-3"/>
        </w:rPr>
        <w:t> </w:t>
      </w:r>
      <w:r>
        <w:rPr/>
        <w:t>the current content does not adequately prepare students to</w:t>
      </w:r>
      <w:r>
        <w:rPr>
          <w:spacing w:val="-3"/>
        </w:rPr>
        <w:t> </w:t>
      </w:r>
      <w:r>
        <w:rPr/>
        <w:t>address</w:t>
      </w:r>
      <w:r>
        <w:rPr>
          <w:spacing w:val="-3"/>
        </w:rPr>
        <w:t> </w:t>
      </w:r>
      <w:r>
        <w:rPr/>
        <w:t>these</w:t>
      </w:r>
      <w:r>
        <w:rPr>
          <w:spacing w:val="-3"/>
        </w:rPr>
        <w:t> </w:t>
      </w:r>
      <w:r>
        <w:rPr/>
        <w:t>conditions</w:t>
      </w:r>
      <w:r>
        <w:rPr>
          <w:spacing w:val="-3"/>
        </w:rPr>
        <w:t> </w:t>
      </w:r>
      <w:r>
        <w:rPr/>
        <w:t>in</w:t>
      </w:r>
      <w:r>
        <w:rPr>
          <w:spacing w:val="-3"/>
        </w:rPr>
        <w:t> </w:t>
      </w:r>
      <w:r>
        <w:rPr/>
        <w:t>clinical </w:t>
      </w:r>
      <w:r>
        <w:rPr>
          <w:spacing w:val="-2"/>
        </w:rPr>
        <w:t>practice.</w:t>
      </w:r>
    </w:p>
    <w:p>
      <w:pPr>
        <w:pStyle w:val="BodyText"/>
        <w:spacing w:before="4"/>
      </w:pPr>
    </w:p>
    <w:p>
      <w:pPr>
        <w:pStyle w:val="BodyText"/>
        <w:spacing w:line="230" w:lineRule="auto"/>
        <w:ind w:left="570" w:right="1650" w:firstLine="720"/>
        <w:jc w:val="both"/>
      </w:pPr>
      <w:r>
        <w:rPr/>
        <w:t>Another significant issue</w:t>
      </w:r>
      <w:r>
        <w:rPr>
          <w:spacing w:val="-3"/>
        </w:rPr>
        <w:t> </w:t>
      </w:r>
      <w:r>
        <w:rPr/>
        <w:t>identified</w:t>
      </w:r>
      <w:r>
        <w:rPr>
          <w:spacing w:val="-3"/>
        </w:rPr>
        <w:t> </w:t>
      </w:r>
      <w:r>
        <w:rPr/>
        <w:t>was</w:t>
      </w:r>
      <w:r>
        <w:rPr>
          <w:spacing w:val="-3"/>
        </w:rPr>
        <w:t> </w:t>
      </w:r>
      <w:r>
        <w:rPr/>
        <w:t>the</w:t>
      </w:r>
      <w:r>
        <w:rPr>
          <w:spacing w:val="-3"/>
        </w:rPr>
        <w:t> </w:t>
      </w:r>
      <w:r>
        <w:rPr/>
        <w:t>predominance</w:t>
      </w:r>
      <w:r>
        <w:rPr>
          <w:spacing w:val="-3"/>
        </w:rPr>
        <w:t> </w:t>
      </w:r>
      <w:r>
        <w:rPr/>
        <w:t>of</w:t>
      </w:r>
      <w:r>
        <w:rPr>
          <w:spacing w:val="-3"/>
        </w:rPr>
        <w:t> </w:t>
      </w:r>
      <w:r>
        <w:rPr/>
        <w:t>outdated</w:t>
      </w:r>
      <w:r>
        <w:rPr>
          <w:spacing w:val="-3"/>
        </w:rPr>
        <w:t> </w:t>
      </w:r>
      <w:r>
        <w:rPr/>
        <w:t>approaches</w:t>
      </w:r>
      <w:r>
        <w:rPr>
          <w:spacing w:val="-3"/>
        </w:rPr>
        <w:t> </w:t>
      </w:r>
      <w:r>
        <w:rPr/>
        <w:t>in curricula, with excessive emphasis on occlusal and</w:t>
      </w:r>
      <w:r>
        <w:rPr>
          <w:spacing w:val="-3"/>
        </w:rPr>
        <w:t> </w:t>
      </w:r>
      <w:r>
        <w:rPr/>
        <w:t>biological</w:t>
      </w:r>
      <w:r>
        <w:rPr>
          <w:spacing w:val="-3"/>
        </w:rPr>
        <w:t> </w:t>
      </w:r>
      <w:r>
        <w:rPr/>
        <w:t>factors,</w:t>
      </w:r>
      <w:r>
        <w:rPr>
          <w:spacing w:val="-3"/>
        </w:rPr>
        <w:t> </w:t>
      </w:r>
      <w:r>
        <w:rPr/>
        <w:t>rather</w:t>
      </w:r>
      <w:r>
        <w:rPr>
          <w:spacing w:val="-3"/>
        </w:rPr>
        <w:t> </w:t>
      </w:r>
      <w:r>
        <w:rPr/>
        <w:t>than</w:t>
      </w:r>
      <w:r>
        <w:rPr>
          <w:spacing w:val="-3"/>
        </w:rPr>
        <w:t> </w:t>
      </w:r>
      <w:r>
        <w:rPr/>
        <w:t>adopting</w:t>
      </w:r>
      <w:r>
        <w:rPr>
          <w:spacing w:val="-3"/>
        </w:rPr>
        <w:t> </w:t>
      </w:r>
      <w:r>
        <w:rPr/>
        <w:t>a more contemporary biopsychosocial perspective. These methodologies were found to be inadequate, perpetuating outdated concepts and failing to align with current guidelines for</w:t>
      </w:r>
      <w:r>
        <w:rPr>
          <w:spacing w:val="40"/>
        </w:rPr>
        <w:t> </w:t>
      </w:r>
      <w:r>
        <w:rPr/>
        <w:t>the management of OFP, which requires a more holistic understanding of the factors</w:t>
      </w:r>
      <w:r>
        <w:rPr>
          <w:spacing w:val="40"/>
        </w:rPr>
        <w:t> </w:t>
      </w:r>
      <w:r>
        <w:rPr/>
        <w:t>involved (Araújo et al., 2019).</w:t>
      </w:r>
    </w:p>
    <w:p>
      <w:pPr>
        <w:pStyle w:val="BodyText"/>
        <w:spacing w:before="4"/>
      </w:pPr>
    </w:p>
    <w:p>
      <w:pPr>
        <w:pStyle w:val="BodyText"/>
        <w:spacing w:line="230" w:lineRule="auto"/>
        <w:ind w:left="570" w:right="1648" w:firstLine="720"/>
        <w:jc w:val="both"/>
      </w:pPr>
      <w:r>
        <w:rPr/>
        <w:t>Furthermore, the absence of specialized faculty in TMD and OFP was identified as an obstacle to adequate education. The shortage of specialists in academic staff limits universities' ability to provide in-depth training in this area,</w:t>
      </w:r>
      <w:r>
        <w:rPr>
          <w:spacing w:val="-3"/>
        </w:rPr>
        <w:t> </w:t>
      </w:r>
      <w:r>
        <w:rPr/>
        <w:t>resulting</w:t>
      </w:r>
      <w:r>
        <w:rPr>
          <w:spacing w:val="-3"/>
        </w:rPr>
        <w:t> </w:t>
      </w:r>
      <w:r>
        <w:rPr/>
        <w:t>in</w:t>
      </w:r>
      <w:r>
        <w:rPr>
          <w:spacing w:val="-3"/>
        </w:rPr>
        <w:t> </w:t>
      </w:r>
      <w:r>
        <w:rPr/>
        <w:t>fragmented</w:t>
      </w:r>
      <w:r>
        <w:rPr>
          <w:spacing w:val="-3"/>
        </w:rPr>
        <w:t> </w:t>
      </w:r>
      <w:r>
        <w:rPr/>
        <w:t>and</w:t>
      </w:r>
      <w:r>
        <w:rPr>
          <w:spacing w:val="-3"/>
        </w:rPr>
        <w:t> </w:t>
      </w:r>
      <w:r>
        <w:rPr/>
        <w:t>often insufficient learning experiences.</w:t>
      </w:r>
    </w:p>
    <w:p>
      <w:pPr>
        <w:pStyle w:val="BodyText"/>
        <w:spacing w:before="5"/>
      </w:pPr>
    </w:p>
    <w:p>
      <w:pPr>
        <w:pStyle w:val="BodyText"/>
        <w:spacing w:line="230" w:lineRule="auto" w:before="1"/>
        <w:ind w:left="570" w:right="1649" w:firstLine="720"/>
        <w:jc w:val="both"/>
      </w:pPr>
      <w:r>
        <w:rPr/>
        <w:t>Thus, the findings of this review highlight the need for curricular reform that incorporates TMD and OFP education more comprehensively, following the latest scientific evidence and pedagogical guidelines that emphasize an interdisciplinary and</w:t>
      </w:r>
      <w:r>
        <w:rPr>
          <w:spacing w:val="40"/>
        </w:rPr>
        <w:t> </w:t>
      </w:r>
      <w:r>
        <w:rPr/>
        <w:t>biopsychosocial approach. The implementation of National Curriculum Guidelines (NCGs) that structure the inclusion of these topics is essential to prepare future dentists to address the clinical challenges posed by these complex conditions.</w:t>
      </w:r>
    </w:p>
    <w:p>
      <w:pPr>
        <w:pStyle w:val="BodyText"/>
      </w:pPr>
    </w:p>
    <w:p>
      <w:pPr>
        <w:pStyle w:val="BodyText"/>
      </w:pPr>
    </w:p>
    <w:p>
      <w:pPr>
        <w:pStyle w:val="BodyText"/>
      </w:pPr>
    </w:p>
    <w:p>
      <w:pPr>
        <w:pStyle w:val="BodyText"/>
        <w:spacing w:before="224"/>
      </w:pPr>
    </w:p>
    <w:p>
      <w:pPr>
        <w:pStyle w:val="Heading2"/>
        <w:spacing w:before="1"/>
        <w:jc w:val="both"/>
      </w:pPr>
      <w:bookmarkStart w:name="Table 2.   Descriptive Summary of the An" w:id="3"/>
      <w:bookmarkEnd w:id="3"/>
      <w:r>
        <w:rPr>
          <w:b w:val="0"/>
        </w:rPr>
      </w:r>
      <w:r>
        <w:rPr/>
        <w:t>Table</w:t>
      </w:r>
      <w:r>
        <w:rPr>
          <w:spacing w:val="-6"/>
        </w:rPr>
        <w:t> </w:t>
      </w:r>
      <w:r>
        <w:rPr/>
        <w:t>2.</w:t>
      </w:r>
      <w:r>
        <w:rPr>
          <w:spacing w:val="67"/>
          <w:w w:val="150"/>
        </w:rPr>
        <w:t> </w:t>
      </w:r>
      <w:r>
        <w:rPr/>
        <w:t>Descriptive</w:t>
      </w:r>
      <w:r>
        <w:rPr>
          <w:spacing w:val="-6"/>
        </w:rPr>
        <w:t> </w:t>
      </w:r>
      <w:r>
        <w:rPr/>
        <w:t>Summary</w:t>
      </w:r>
      <w:r>
        <w:rPr>
          <w:spacing w:val="-6"/>
        </w:rPr>
        <w:t> </w:t>
      </w:r>
      <w:r>
        <w:rPr/>
        <w:t>of</w:t>
      </w:r>
      <w:r>
        <w:rPr>
          <w:spacing w:val="-6"/>
        </w:rPr>
        <w:t> </w:t>
      </w:r>
      <w:r>
        <w:rPr/>
        <w:t>the</w:t>
      </w:r>
      <w:r>
        <w:rPr>
          <w:spacing w:val="-6"/>
        </w:rPr>
        <w:t> </w:t>
      </w:r>
      <w:r>
        <w:rPr/>
        <w:t>Analyzed</w:t>
      </w:r>
      <w:r>
        <w:rPr>
          <w:spacing w:val="-6"/>
        </w:rPr>
        <w:t> </w:t>
      </w:r>
      <w:r>
        <w:rPr>
          <w:spacing w:val="-2"/>
        </w:rPr>
        <w:t>Studies</w:t>
      </w:r>
    </w:p>
    <w:p>
      <w:pPr>
        <w:pStyle w:val="BodyText"/>
        <w:spacing w:before="135"/>
        <w:rPr>
          <w:rFonts w:ascii="Arial"/>
          <w:b/>
        </w:rPr>
      </w:pPr>
    </w:p>
    <w:tbl>
      <w:tblPr>
        <w:tblW w:w="0" w:type="auto"/>
        <w:jc w:val="left"/>
        <w:tblInd w:w="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210"/>
        <w:gridCol w:w="940"/>
        <w:gridCol w:w="1180"/>
        <w:gridCol w:w="1220"/>
        <w:gridCol w:w="1540"/>
        <w:gridCol w:w="3070"/>
      </w:tblGrid>
      <w:tr>
        <w:trPr>
          <w:trHeight w:val="819" w:hRule="atLeast"/>
        </w:trPr>
        <w:tc>
          <w:tcPr>
            <w:tcW w:w="1210" w:type="dxa"/>
            <w:tcBorders>
              <w:left w:val="nil"/>
              <w:bottom w:val="single" w:sz="8" w:space="0" w:color="000000"/>
              <w:right w:val="single" w:sz="8" w:space="0" w:color="000000"/>
            </w:tcBorders>
          </w:tcPr>
          <w:p>
            <w:pPr>
              <w:pStyle w:val="TableParagraph"/>
              <w:spacing w:before="10"/>
              <w:rPr>
                <w:rFonts w:ascii="Arial"/>
                <w:b/>
                <w:sz w:val="18"/>
              </w:rPr>
            </w:pPr>
          </w:p>
          <w:p>
            <w:pPr>
              <w:pStyle w:val="TableParagraph"/>
              <w:ind w:left="232" w:right="211" w:firstLine="30"/>
              <w:rPr>
                <w:rFonts w:ascii="Arial"/>
                <w:b/>
                <w:sz w:val="18"/>
              </w:rPr>
            </w:pPr>
            <w:r>
              <w:rPr>
                <w:rFonts w:ascii="Arial"/>
                <w:b/>
                <w:color w:val="202024"/>
                <w:spacing w:val="-2"/>
                <w:sz w:val="18"/>
              </w:rPr>
              <w:t>Authors </w:t>
            </w:r>
            <w:r>
              <w:rPr>
                <w:rFonts w:ascii="Arial"/>
                <w:b/>
                <w:color w:val="202024"/>
                <w:sz w:val="18"/>
              </w:rPr>
              <w:t>and </w:t>
            </w:r>
            <w:r>
              <w:rPr>
                <w:rFonts w:ascii="Arial"/>
                <w:b/>
                <w:color w:val="202024"/>
                <w:spacing w:val="-6"/>
                <w:sz w:val="18"/>
              </w:rPr>
              <w:t>Year</w:t>
            </w:r>
          </w:p>
        </w:tc>
        <w:tc>
          <w:tcPr>
            <w:tcW w:w="940" w:type="dxa"/>
            <w:tcBorders>
              <w:left w:val="single" w:sz="8" w:space="0" w:color="000000"/>
              <w:bottom w:val="single" w:sz="8" w:space="0" w:color="000000"/>
              <w:right w:val="single" w:sz="8" w:space="0" w:color="000000"/>
            </w:tcBorders>
          </w:tcPr>
          <w:p>
            <w:pPr>
              <w:pStyle w:val="TableParagraph"/>
              <w:spacing w:before="113"/>
              <w:rPr>
                <w:rFonts w:ascii="Arial"/>
                <w:b/>
                <w:sz w:val="18"/>
              </w:rPr>
            </w:pPr>
          </w:p>
          <w:p>
            <w:pPr>
              <w:pStyle w:val="TableParagraph"/>
              <w:ind w:left="107"/>
              <w:rPr>
                <w:rFonts w:ascii="Arial"/>
                <w:b/>
                <w:sz w:val="18"/>
              </w:rPr>
            </w:pPr>
            <w:r>
              <w:rPr>
                <w:rFonts w:ascii="Arial"/>
                <w:b/>
                <w:color w:val="202024"/>
                <w:spacing w:val="-2"/>
                <w:sz w:val="18"/>
              </w:rPr>
              <w:t>Country</w:t>
            </w:r>
          </w:p>
        </w:tc>
        <w:tc>
          <w:tcPr>
            <w:tcW w:w="1180" w:type="dxa"/>
            <w:tcBorders>
              <w:left w:val="single" w:sz="8" w:space="0" w:color="000000"/>
              <w:bottom w:val="single" w:sz="8" w:space="0" w:color="000000"/>
              <w:right w:val="single" w:sz="8" w:space="0" w:color="000000"/>
            </w:tcBorders>
          </w:tcPr>
          <w:p>
            <w:pPr>
              <w:pStyle w:val="TableParagraph"/>
              <w:spacing w:before="113"/>
              <w:rPr>
                <w:rFonts w:ascii="Arial"/>
                <w:b/>
                <w:sz w:val="18"/>
              </w:rPr>
            </w:pPr>
          </w:p>
          <w:p>
            <w:pPr>
              <w:pStyle w:val="TableParagraph"/>
              <w:ind w:left="142"/>
              <w:rPr>
                <w:rFonts w:ascii="Arial"/>
                <w:b/>
                <w:sz w:val="18"/>
              </w:rPr>
            </w:pPr>
            <w:r>
              <w:rPr>
                <w:rFonts w:ascii="Arial"/>
                <w:b/>
                <w:color w:val="202024"/>
                <w:spacing w:val="-2"/>
                <w:sz w:val="18"/>
              </w:rPr>
              <w:t>Institution</w:t>
            </w:r>
          </w:p>
        </w:tc>
        <w:tc>
          <w:tcPr>
            <w:tcW w:w="1220" w:type="dxa"/>
            <w:tcBorders>
              <w:left w:val="single" w:sz="8" w:space="0" w:color="000000"/>
              <w:bottom w:val="single" w:sz="8" w:space="0" w:color="000000"/>
              <w:right w:val="single" w:sz="8" w:space="0" w:color="000000"/>
            </w:tcBorders>
          </w:tcPr>
          <w:p>
            <w:pPr>
              <w:pStyle w:val="TableParagraph"/>
              <w:spacing w:before="10"/>
              <w:rPr>
                <w:rFonts w:ascii="Arial"/>
                <w:b/>
                <w:sz w:val="18"/>
              </w:rPr>
            </w:pPr>
          </w:p>
          <w:p>
            <w:pPr>
              <w:pStyle w:val="TableParagraph"/>
              <w:ind w:left="492" w:hanging="350"/>
              <w:rPr>
                <w:rFonts w:ascii="Arial"/>
                <w:b/>
                <w:sz w:val="18"/>
              </w:rPr>
            </w:pPr>
            <w:r>
              <w:rPr>
                <w:rFonts w:ascii="Arial"/>
                <w:b/>
                <w:color w:val="202024"/>
                <w:spacing w:val="-2"/>
                <w:sz w:val="18"/>
              </w:rPr>
              <w:t>Methodolo </w:t>
            </w:r>
            <w:r>
              <w:rPr>
                <w:rFonts w:ascii="Arial"/>
                <w:b/>
                <w:color w:val="202024"/>
                <w:spacing w:val="-6"/>
                <w:sz w:val="18"/>
              </w:rPr>
              <w:t>gy</w:t>
            </w:r>
          </w:p>
        </w:tc>
        <w:tc>
          <w:tcPr>
            <w:tcW w:w="1540" w:type="dxa"/>
            <w:tcBorders>
              <w:left w:val="single" w:sz="8" w:space="0" w:color="000000"/>
              <w:bottom w:val="single" w:sz="8" w:space="0" w:color="000000"/>
              <w:right w:val="single" w:sz="8" w:space="0" w:color="000000"/>
            </w:tcBorders>
          </w:tcPr>
          <w:p>
            <w:pPr>
              <w:pStyle w:val="TableParagraph"/>
              <w:spacing w:before="113"/>
              <w:rPr>
                <w:rFonts w:ascii="Arial"/>
                <w:b/>
                <w:sz w:val="18"/>
              </w:rPr>
            </w:pPr>
          </w:p>
          <w:p>
            <w:pPr>
              <w:pStyle w:val="TableParagraph"/>
              <w:ind w:left="242"/>
              <w:rPr>
                <w:rFonts w:ascii="Arial"/>
                <w:b/>
                <w:sz w:val="18"/>
              </w:rPr>
            </w:pPr>
            <w:r>
              <w:rPr>
                <w:rFonts w:ascii="Arial"/>
                <w:b/>
                <w:color w:val="202024"/>
                <w:spacing w:val="-2"/>
                <w:sz w:val="18"/>
              </w:rPr>
              <w:t>Participants</w:t>
            </w:r>
          </w:p>
        </w:tc>
        <w:tc>
          <w:tcPr>
            <w:tcW w:w="3070" w:type="dxa"/>
            <w:tcBorders>
              <w:left w:val="single" w:sz="8" w:space="0" w:color="000000"/>
              <w:bottom w:val="single" w:sz="8" w:space="0" w:color="000000"/>
              <w:right w:val="nil"/>
            </w:tcBorders>
          </w:tcPr>
          <w:p>
            <w:pPr>
              <w:pStyle w:val="TableParagraph"/>
              <w:spacing w:before="113"/>
              <w:rPr>
                <w:rFonts w:ascii="Arial"/>
                <w:b/>
                <w:sz w:val="18"/>
              </w:rPr>
            </w:pPr>
          </w:p>
          <w:p>
            <w:pPr>
              <w:pStyle w:val="TableParagraph"/>
              <w:ind w:right="19"/>
              <w:jc w:val="center"/>
              <w:rPr>
                <w:rFonts w:ascii="Arial"/>
                <w:b/>
                <w:sz w:val="18"/>
              </w:rPr>
            </w:pPr>
            <w:r>
              <w:rPr>
                <w:rFonts w:ascii="Arial"/>
                <w:b/>
                <w:color w:val="202024"/>
                <w:spacing w:val="-2"/>
                <w:sz w:val="18"/>
              </w:rPr>
              <w:t>Description</w:t>
            </w:r>
          </w:p>
        </w:tc>
      </w:tr>
      <w:tr>
        <w:trPr>
          <w:trHeight w:val="2080" w:hRule="atLeast"/>
        </w:trPr>
        <w:tc>
          <w:tcPr>
            <w:tcW w:w="1210" w:type="dxa"/>
            <w:tcBorders>
              <w:top w:val="single" w:sz="8" w:space="0" w:color="000000"/>
              <w:left w:val="nil"/>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
              <w:rPr>
                <w:rFonts w:ascii="Arial"/>
                <w:b/>
                <w:sz w:val="18"/>
              </w:rPr>
            </w:pPr>
          </w:p>
          <w:p>
            <w:pPr>
              <w:pStyle w:val="TableParagraph"/>
              <w:ind w:left="268" w:right="115" w:hanging="137"/>
              <w:rPr>
                <w:sz w:val="18"/>
              </w:rPr>
            </w:pPr>
            <w:r>
              <w:rPr>
                <w:color w:val="202024"/>
                <w:sz w:val="18"/>
              </w:rPr>
              <w:t>Aggarwal</w:t>
            </w:r>
            <w:r>
              <w:rPr>
                <w:color w:val="202024"/>
                <w:spacing w:val="-13"/>
                <w:sz w:val="18"/>
              </w:rPr>
              <w:t> </w:t>
            </w:r>
            <w:r>
              <w:rPr>
                <w:rFonts w:ascii="Arial"/>
                <w:i/>
                <w:color w:val="202024"/>
                <w:sz w:val="18"/>
              </w:rPr>
              <w:t>et al.</w:t>
            </w:r>
            <w:r>
              <w:rPr>
                <w:color w:val="202024"/>
                <w:sz w:val="18"/>
              </w:rPr>
              <w:t>, 2011</w:t>
            </w:r>
          </w:p>
        </w:tc>
        <w:tc>
          <w:tcPr>
            <w:tcW w:w="94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
              <w:rPr>
                <w:rFonts w:ascii="Arial"/>
                <w:b/>
                <w:sz w:val="18"/>
              </w:rPr>
            </w:pPr>
          </w:p>
          <w:p>
            <w:pPr>
              <w:pStyle w:val="TableParagraph"/>
              <w:ind w:left="97" w:right="106" w:firstLine="95"/>
              <w:rPr>
                <w:sz w:val="18"/>
              </w:rPr>
            </w:pPr>
            <w:r>
              <w:rPr>
                <w:color w:val="202024"/>
                <w:spacing w:val="-2"/>
                <w:sz w:val="18"/>
              </w:rPr>
              <w:t>United Kingdom</w:t>
            </w:r>
          </w:p>
        </w:tc>
        <w:tc>
          <w:tcPr>
            <w:tcW w:w="118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19"/>
              <w:rPr>
                <w:rFonts w:ascii="Arial"/>
                <w:b/>
                <w:sz w:val="18"/>
              </w:rPr>
            </w:pPr>
          </w:p>
          <w:p>
            <w:pPr>
              <w:pStyle w:val="TableParagraph"/>
              <w:ind w:left="107" w:right="110"/>
              <w:jc w:val="center"/>
              <w:rPr>
                <w:sz w:val="18"/>
              </w:rPr>
            </w:pPr>
            <w:r>
              <w:rPr>
                <w:color w:val="202024"/>
                <w:spacing w:val="-2"/>
                <w:sz w:val="18"/>
              </w:rPr>
              <w:t>University</w:t>
            </w:r>
            <w:r>
              <w:rPr>
                <w:color w:val="202024"/>
                <w:spacing w:val="40"/>
                <w:sz w:val="18"/>
              </w:rPr>
              <w:t> </w:t>
            </w:r>
            <w:r>
              <w:rPr>
                <w:color w:val="202024"/>
                <w:spacing w:val="-6"/>
                <w:sz w:val="18"/>
              </w:rPr>
              <w:t>of </w:t>
            </w:r>
            <w:r>
              <w:rPr>
                <w:color w:val="202024"/>
                <w:spacing w:val="-2"/>
                <w:sz w:val="18"/>
              </w:rPr>
              <w:t>Manchester</w:t>
            </w:r>
          </w:p>
        </w:tc>
        <w:tc>
          <w:tcPr>
            <w:tcW w:w="122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
              <w:rPr>
                <w:rFonts w:ascii="Arial"/>
                <w:b/>
                <w:sz w:val="18"/>
              </w:rPr>
            </w:pPr>
          </w:p>
          <w:p>
            <w:pPr>
              <w:pStyle w:val="TableParagraph"/>
              <w:ind w:left="382" w:hanging="266"/>
              <w:rPr>
                <w:sz w:val="18"/>
              </w:rPr>
            </w:pPr>
            <w:r>
              <w:rPr>
                <w:color w:val="202024"/>
                <w:spacing w:val="-2"/>
                <w:sz w:val="18"/>
              </w:rPr>
              <w:t>Quantitative study</w:t>
            </w:r>
          </w:p>
        </w:tc>
        <w:tc>
          <w:tcPr>
            <w:tcW w:w="154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19"/>
              <w:rPr>
                <w:rFonts w:ascii="Arial"/>
                <w:b/>
                <w:sz w:val="18"/>
              </w:rPr>
            </w:pPr>
          </w:p>
          <w:p>
            <w:pPr>
              <w:pStyle w:val="TableParagraph"/>
              <w:ind w:left="116" w:right="119"/>
              <w:jc w:val="center"/>
              <w:rPr>
                <w:sz w:val="18"/>
              </w:rPr>
            </w:pPr>
            <w:r>
              <w:rPr>
                <w:color w:val="202024"/>
                <w:sz w:val="18"/>
              </w:rPr>
              <w:t>General</w:t>
            </w:r>
            <w:r>
              <w:rPr>
                <w:color w:val="202024"/>
                <w:spacing w:val="-13"/>
                <w:sz w:val="18"/>
              </w:rPr>
              <w:t> </w:t>
            </w:r>
            <w:r>
              <w:rPr>
                <w:color w:val="202024"/>
                <w:sz w:val="18"/>
              </w:rPr>
              <w:t>and </w:t>
            </w:r>
            <w:r>
              <w:rPr>
                <w:color w:val="202024"/>
                <w:spacing w:val="-2"/>
                <w:sz w:val="18"/>
              </w:rPr>
              <w:t>specialist dentists</w:t>
            </w:r>
          </w:p>
        </w:tc>
        <w:tc>
          <w:tcPr>
            <w:tcW w:w="3070" w:type="dxa"/>
            <w:tcBorders>
              <w:top w:val="single" w:sz="8" w:space="0" w:color="000000"/>
              <w:left w:val="single" w:sz="8" w:space="0" w:color="000000"/>
              <w:bottom w:val="single" w:sz="8" w:space="0" w:color="000000"/>
              <w:right w:val="nil"/>
            </w:tcBorders>
          </w:tcPr>
          <w:p>
            <w:pPr>
              <w:pStyle w:val="TableParagraph"/>
              <w:spacing w:before="119"/>
              <w:ind w:left="144" w:right="162"/>
              <w:jc w:val="center"/>
              <w:rPr>
                <w:sz w:val="18"/>
              </w:rPr>
            </w:pPr>
            <w:r>
              <w:rPr>
                <w:color w:val="202024"/>
                <w:sz w:val="18"/>
              </w:rPr>
              <w:t>The study investigated knowledge about chronic OFP. Specialists outperformed general dentists in identifying</w:t>
            </w:r>
            <w:r>
              <w:rPr>
                <w:color w:val="202024"/>
                <w:spacing w:val="-15"/>
                <w:sz w:val="18"/>
              </w:rPr>
              <w:t> </w:t>
            </w:r>
            <w:r>
              <w:rPr>
                <w:color w:val="202024"/>
                <w:sz w:val="18"/>
              </w:rPr>
              <w:t>OFP-related</w:t>
            </w:r>
            <w:r>
              <w:rPr>
                <w:color w:val="202024"/>
                <w:spacing w:val="-12"/>
                <w:sz w:val="18"/>
              </w:rPr>
              <w:t> </w:t>
            </w:r>
            <w:r>
              <w:rPr>
                <w:color w:val="202024"/>
                <w:sz w:val="18"/>
              </w:rPr>
              <w:t>conditions. Significant gaps in understanding the prevalence and specific symptoms</w:t>
            </w:r>
            <w:r>
              <w:rPr>
                <w:color w:val="202024"/>
                <w:spacing w:val="-10"/>
                <w:sz w:val="18"/>
              </w:rPr>
              <w:t> </w:t>
            </w:r>
            <w:r>
              <w:rPr>
                <w:color w:val="202024"/>
                <w:sz w:val="18"/>
              </w:rPr>
              <w:t>highlighted</w:t>
            </w:r>
            <w:r>
              <w:rPr>
                <w:color w:val="202024"/>
                <w:spacing w:val="-10"/>
                <w:sz w:val="18"/>
              </w:rPr>
              <w:t> </w:t>
            </w:r>
            <w:r>
              <w:rPr>
                <w:color w:val="202024"/>
                <w:sz w:val="18"/>
              </w:rPr>
              <w:t>the</w:t>
            </w:r>
            <w:r>
              <w:rPr>
                <w:color w:val="202024"/>
                <w:spacing w:val="-10"/>
                <w:sz w:val="18"/>
              </w:rPr>
              <w:t> </w:t>
            </w:r>
            <w:r>
              <w:rPr>
                <w:color w:val="202024"/>
                <w:sz w:val="18"/>
              </w:rPr>
              <w:t>need</w:t>
            </w:r>
            <w:r>
              <w:rPr>
                <w:color w:val="202024"/>
                <w:spacing w:val="-10"/>
                <w:sz w:val="18"/>
              </w:rPr>
              <w:t> </w:t>
            </w:r>
            <w:r>
              <w:rPr>
                <w:color w:val="202024"/>
                <w:sz w:val="18"/>
              </w:rPr>
              <w:t>for greater curricular inclusion.</w:t>
            </w:r>
          </w:p>
        </w:tc>
      </w:tr>
      <w:tr>
        <w:trPr>
          <w:trHeight w:val="2759" w:hRule="atLeast"/>
        </w:trPr>
        <w:tc>
          <w:tcPr>
            <w:tcW w:w="1210" w:type="dxa"/>
            <w:tcBorders>
              <w:top w:val="single" w:sz="8" w:space="0" w:color="000000"/>
              <w:left w:val="nil"/>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ind w:left="192"/>
              <w:rPr>
                <w:sz w:val="18"/>
              </w:rPr>
            </w:pPr>
            <w:r>
              <w:rPr>
                <w:color w:val="202024"/>
                <w:sz w:val="18"/>
              </w:rPr>
              <w:t>Al-</w:t>
            </w:r>
            <w:r>
              <w:rPr>
                <w:color w:val="202024"/>
                <w:spacing w:val="-2"/>
                <w:sz w:val="18"/>
              </w:rPr>
              <w:t>Khotani</w:t>
            </w:r>
          </w:p>
          <w:p>
            <w:pPr>
              <w:pStyle w:val="TableParagraph"/>
              <w:ind w:left="162"/>
              <w:rPr>
                <w:sz w:val="18"/>
              </w:rPr>
            </w:pPr>
            <w:r>
              <w:rPr>
                <w:rFonts w:ascii="Arial"/>
                <w:i/>
                <w:color w:val="202024"/>
                <w:sz w:val="18"/>
              </w:rPr>
              <w:t>et al.</w:t>
            </w:r>
            <w:r>
              <w:rPr>
                <w:color w:val="202024"/>
                <w:sz w:val="18"/>
              </w:rPr>
              <w:t>, </w:t>
            </w:r>
            <w:r>
              <w:rPr>
                <w:color w:val="202024"/>
                <w:spacing w:val="-4"/>
                <w:sz w:val="18"/>
              </w:rPr>
              <w:t>2015</w:t>
            </w:r>
          </w:p>
        </w:tc>
        <w:tc>
          <w:tcPr>
            <w:tcW w:w="94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ind w:left="10" w:right="23"/>
              <w:jc w:val="center"/>
              <w:rPr>
                <w:sz w:val="18"/>
              </w:rPr>
            </w:pPr>
            <w:r>
              <w:rPr>
                <w:color w:val="202024"/>
                <w:spacing w:val="-2"/>
                <w:sz w:val="18"/>
              </w:rPr>
              <w:t>Sweden </w:t>
            </w:r>
            <w:r>
              <w:rPr>
                <w:color w:val="202024"/>
                <w:spacing w:val="-4"/>
                <w:sz w:val="18"/>
              </w:rPr>
              <w:t>and</w:t>
            </w:r>
          </w:p>
          <w:p>
            <w:pPr>
              <w:pStyle w:val="TableParagraph"/>
              <w:ind w:left="10" w:right="23"/>
              <w:jc w:val="center"/>
              <w:rPr>
                <w:sz w:val="18"/>
              </w:rPr>
            </w:pPr>
            <w:r>
              <w:rPr>
                <w:color w:val="202024"/>
                <w:spacing w:val="-2"/>
                <w:sz w:val="18"/>
              </w:rPr>
              <w:t>Saudi Arabia</w:t>
            </w:r>
          </w:p>
        </w:tc>
        <w:tc>
          <w:tcPr>
            <w:tcW w:w="118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ind w:left="237" w:hanging="81"/>
              <w:rPr>
                <w:sz w:val="18"/>
              </w:rPr>
            </w:pPr>
            <w:r>
              <w:rPr>
                <w:color w:val="202024"/>
                <w:spacing w:val="-2"/>
                <w:sz w:val="18"/>
              </w:rPr>
              <w:t>Karolinska Institutet</w:t>
            </w:r>
          </w:p>
        </w:tc>
        <w:tc>
          <w:tcPr>
            <w:tcW w:w="122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ind w:left="382" w:hanging="266"/>
              <w:rPr>
                <w:sz w:val="18"/>
              </w:rPr>
            </w:pPr>
            <w:r>
              <w:rPr>
                <w:color w:val="202024"/>
                <w:spacing w:val="-2"/>
                <w:sz w:val="18"/>
              </w:rPr>
              <w:t>Quantitative study</w:t>
            </w:r>
          </w:p>
        </w:tc>
        <w:tc>
          <w:tcPr>
            <w:tcW w:w="1540" w:type="dxa"/>
            <w:tcBorders>
              <w:top w:val="single" w:sz="8" w:space="0" w:color="000000"/>
              <w:left w:val="single" w:sz="8" w:space="0" w:color="000000"/>
              <w:bottom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ind w:left="337" w:right="256" w:hanging="81"/>
              <w:rPr>
                <w:sz w:val="18"/>
              </w:rPr>
            </w:pPr>
            <w:r>
              <w:rPr>
                <w:color w:val="202024"/>
                <w:sz w:val="18"/>
              </w:rPr>
              <w:t>Dentists</w:t>
            </w:r>
            <w:r>
              <w:rPr>
                <w:color w:val="202024"/>
                <w:spacing w:val="-13"/>
                <w:sz w:val="18"/>
              </w:rPr>
              <w:t> </w:t>
            </w:r>
            <w:r>
              <w:rPr>
                <w:color w:val="202024"/>
                <w:sz w:val="18"/>
              </w:rPr>
              <w:t>and </w:t>
            </w:r>
            <w:r>
              <w:rPr>
                <w:color w:val="202024"/>
                <w:spacing w:val="-2"/>
                <w:sz w:val="18"/>
              </w:rPr>
              <w:t>physicians</w:t>
            </w:r>
          </w:p>
        </w:tc>
        <w:tc>
          <w:tcPr>
            <w:tcW w:w="3070" w:type="dxa"/>
            <w:tcBorders>
              <w:top w:val="single" w:sz="8" w:space="0" w:color="000000"/>
              <w:left w:val="single" w:sz="8" w:space="0" w:color="000000"/>
              <w:bottom w:val="single" w:sz="8" w:space="0" w:color="000000"/>
              <w:right w:val="nil"/>
            </w:tcBorders>
          </w:tcPr>
          <w:p>
            <w:pPr>
              <w:pStyle w:val="TableParagraph"/>
              <w:spacing w:before="140"/>
              <w:rPr>
                <w:rFonts w:ascii="Arial"/>
                <w:b/>
                <w:sz w:val="18"/>
              </w:rPr>
            </w:pPr>
          </w:p>
          <w:p>
            <w:pPr>
              <w:pStyle w:val="TableParagraph"/>
              <w:ind w:left="134" w:right="152"/>
              <w:jc w:val="center"/>
              <w:rPr>
                <w:sz w:val="18"/>
              </w:rPr>
            </w:pPr>
            <w:r>
              <w:rPr>
                <w:color w:val="202024"/>
                <w:sz w:val="18"/>
              </w:rPr>
              <w:t>The authors compared knowledge about OFP in children and adolescents</w:t>
            </w:r>
            <w:r>
              <w:rPr>
                <w:color w:val="202024"/>
                <w:spacing w:val="-13"/>
                <w:sz w:val="18"/>
              </w:rPr>
              <w:t> </w:t>
            </w:r>
            <w:r>
              <w:rPr>
                <w:color w:val="202024"/>
                <w:sz w:val="18"/>
              </w:rPr>
              <w:t>between</w:t>
            </w:r>
            <w:r>
              <w:rPr>
                <w:color w:val="202024"/>
                <w:spacing w:val="-12"/>
                <w:sz w:val="18"/>
              </w:rPr>
              <w:t> </w:t>
            </w:r>
            <w:r>
              <w:rPr>
                <w:color w:val="202024"/>
                <w:sz w:val="18"/>
              </w:rPr>
              <w:t>Swedish</w:t>
            </w:r>
            <w:r>
              <w:rPr>
                <w:color w:val="202024"/>
                <w:spacing w:val="-13"/>
                <w:sz w:val="18"/>
              </w:rPr>
              <w:t> </w:t>
            </w:r>
            <w:r>
              <w:rPr>
                <w:color w:val="202024"/>
                <w:sz w:val="18"/>
              </w:rPr>
              <w:t>and Saudi professionals. Swedish professionals showed higher agreement with specialists, while Saudi professionals exhibited larger knowledge gaps, emphasizing the need for curriculum modernization.</w:t>
            </w:r>
          </w:p>
        </w:tc>
      </w:tr>
    </w:tbl>
    <w:p>
      <w:pPr>
        <w:pStyle w:val="TableParagraph"/>
        <w:spacing w:after="0"/>
        <w:jc w:val="center"/>
        <w:rPr>
          <w:sz w:val="18"/>
        </w:rPr>
        <w:sectPr>
          <w:pgSz w:w="12240" w:h="15840"/>
          <w:pgMar w:header="16" w:footer="0" w:top="340" w:bottom="280" w:left="1440" w:right="36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0"/>
        <w:gridCol w:w="940"/>
        <w:gridCol w:w="1180"/>
        <w:gridCol w:w="1220"/>
        <w:gridCol w:w="1540"/>
        <w:gridCol w:w="3070"/>
      </w:tblGrid>
      <w:tr>
        <w:trPr>
          <w:trHeight w:val="2759" w:hRule="atLeast"/>
        </w:trPr>
        <w:tc>
          <w:tcPr>
            <w:tcW w:w="1200" w:type="dxa"/>
            <w:tcBorders>
              <w:left w:val="single" w:sz="8" w:space="0" w:color="FFFFFF"/>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9"/>
              <w:rPr>
                <w:rFonts w:ascii="Arial"/>
                <w:b/>
                <w:sz w:val="18"/>
              </w:rPr>
            </w:pPr>
          </w:p>
          <w:p>
            <w:pPr>
              <w:pStyle w:val="TableParagraph"/>
              <w:ind w:left="252" w:right="200" w:hanging="30"/>
              <w:rPr>
                <w:sz w:val="18"/>
              </w:rPr>
            </w:pPr>
            <w:r>
              <w:rPr>
                <w:color w:val="202024"/>
                <w:sz w:val="18"/>
              </w:rPr>
              <w:t>Alonso</w:t>
            </w:r>
            <w:r>
              <w:rPr>
                <w:color w:val="202024"/>
                <w:spacing w:val="-13"/>
                <w:sz w:val="18"/>
              </w:rPr>
              <w:t> </w:t>
            </w:r>
            <w:r>
              <w:rPr>
                <w:rFonts w:ascii="Arial"/>
                <w:i/>
                <w:color w:val="202024"/>
                <w:sz w:val="18"/>
              </w:rPr>
              <w:t>et al</w:t>
            </w:r>
            <w:r>
              <w:rPr>
                <w:color w:val="202024"/>
                <w:sz w:val="18"/>
              </w:rPr>
              <w:t>., </w:t>
            </w:r>
            <w:r>
              <w:rPr>
                <w:color w:val="202024"/>
                <w:spacing w:val="-4"/>
                <w:sz w:val="18"/>
              </w:rPr>
              <w:t>2014</w:t>
            </w:r>
          </w:p>
        </w:tc>
        <w:tc>
          <w:tcPr>
            <w:tcW w:w="9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6"/>
              <w:rPr>
                <w:rFonts w:ascii="Arial"/>
                <w:b/>
                <w:sz w:val="18"/>
              </w:rPr>
            </w:pPr>
          </w:p>
          <w:p>
            <w:pPr>
              <w:pStyle w:val="TableParagraph"/>
              <w:ind w:left="30" w:right="23"/>
              <w:jc w:val="center"/>
              <w:rPr>
                <w:sz w:val="18"/>
              </w:rPr>
            </w:pPr>
            <w:r>
              <w:rPr>
                <w:color w:val="202024"/>
                <w:spacing w:val="-2"/>
                <w:sz w:val="18"/>
              </w:rPr>
              <w:t>United </w:t>
            </w:r>
            <w:r>
              <w:rPr>
                <w:color w:val="202024"/>
                <w:sz w:val="18"/>
              </w:rPr>
              <w:t>States</w:t>
            </w:r>
            <w:r>
              <w:rPr>
                <w:color w:val="202024"/>
                <w:spacing w:val="-13"/>
                <w:sz w:val="18"/>
              </w:rPr>
              <w:t> </w:t>
            </w:r>
            <w:r>
              <w:rPr>
                <w:color w:val="202024"/>
                <w:sz w:val="18"/>
              </w:rPr>
              <w:t>of </w:t>
            </w:r>
            <w:r>
              <w:rPr>
                <w:color w:val="202024"/>
                <w:spacing w:val="-2"/>
                <w:sz w:val="18"/>
              </w:rPr>
              <w:t>America</w:t>
            </w:r>
          </w:p>
        </w:tc>
        <w:tc>
          <w:tcPr>
            <w:tcW w:w="118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9"/>
              <w:rPr>
                <w:rFonts w:ascii="Arial"/>
                <w:b/>
                <w:sz w:val="18"/>
              </w:rPr>
            </w:pPr>
          </w:p>
          <w:p>
            <w:pPr>
              <w:pStyle w:val="TableParagraph"/>
              <w:ind w:left="192" w:right="175"/>
              <w:jc w:val="center"/>
              <w:rPr>
                <w:sz w:val="18"/>
              </w:rPr>
            </w:pPr>
            <w:r>
              <w:rPr>
                <w:color w:val="202024"/>
                <w:spacing w:val="-4"/>
                <w:sz w:val="18"/>
              </w:rPr>
              <w:t>Case </w:t>
            </w:r>
            <w:r>
              <w:rPr>
                <w:color w:val="202024"/>
                <w:spacing w:val="-2"/>
                <w:sz w:val="18"/>
              </w:rPr>
              <w:t>Western Reserve University</w:t>
            </w:r>
          </w:p>
        </w:tc>
        <w:tc>
          <w:tcPr>
            <w:tcW w:w="122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9"/>
              <w:rPr>
                <w:rFonts w:ascii="Arial"/>
                <w:b/>
                <w:sz w:val="18"/>
              </w:rPr>
            </w:pPr>
          </w:p>
          <w:p>
            <w:pPr>
              <w:pStyle w:val="TableParagraph"/>
              <w:ind w:left="392" w:hanging="211"/>
              <w:rPr>
                <w:sz w:val="18"/>
              </w:rPr>
            </w:pPr>
            <w:r>
              <w:rPr>
                <w:color w:val="202024"/>
                <w:spacing w:val="-2"/>
                <w:sz w:val="18"/>
              </w:rPr>
              <w:t>Qualitative </w:t>
            </w:r>
            <w:r>
              <w:rPr>
                <w:color w:val="202024"/>
                <w:spacing w:val="-4"/>
                <w:sz w:val="18"/>
              </w:rPr>
              <w:t>study</w:t>
            </w:r>
          </w:p>
        </w:tc>
        <w:tc>
          <w:tcPr>
            <w:tcW w:w="15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9"/>
              <w:rPr>
                <w:rFonts w:ascii="Arial"/>
                <w:b/>
                <w:sz w:val="18"/>
              </w:rPr>
            </w:pPr>
          </w:p>
          <w:p>
            <w:pPr>
              <w:pStyle w:val="TableParagraph"/>
              <w:ind w:left="332" w:right="315"/>
              <w:jc w:val="center"/>
              <w:rPr>
                <w:sz w:val="18"/>
              </w:rPr>
            </w:pPr>
            <w:r>
              <w:rPr>
                <w:color w:val="202024"/>
                <w:sz w:val="18"/>
              </w:rPr>
              <w:t>Third- and </w:t>
            </w:r>
            <w:r>
              <w:rPr>
                <w:color w:val="202024"/>
                <w:spacing w:val="-2"/>
                <w:sz w:val="18"/>
              </w:rPr>
              <w:t>fourth-</w:t>
            </w:r>
            <w:r>
              <w:rPr>
                <w:color w:val="202024"/>
                <w:spacing w:val="-2"/>
                <w:sz w:val="18"/>
              </w:rPr>
              <w:t>year Dentistry students</w:t>
            </w:r>
          </w:p>
        </w:tc>
        <w:tc>
          <w:tcPr>
            <w:tcW w:w="3070" w:type="dxa"/>
            <w:tcBorders>
              <w:right w:val="nil"/>
            </w:tcBorders>
          </w:tcPr>
          <w:p>
            <w:pPr>
              <w:pStyle w:val="TableParagraph"/>
              <w:spacing w:before="139"/>
              <w:rPr>
                <w:rFonts w:ascii="Arial"/>
                <w:b/>
                <w:sz w:val="18"/>
              </w:rPr>
            </w:pPr>
          </w:p>
          <w:p>
            <w:pPr>
              <w:pStyle w:val="TableParagraph"/>
              <w:ind w:left="154" w:right="152"/>
              <w:jc w:val="center"/>
              <w:rPr>
                <w:sz w:val="18"/>
              </w:rPr>
            </w:pPr>
            <w:r>
              <w:rPr>
                <w:color w:val="202024"/>
                <w:sz w:val="18"/>
              </w:rPr>
              <w:t>The study evaluated students’ perceptions</w:t>
            </w:r>
            <w:r>
              <w:rPr>
                <w:color w:val="202024"/>
                <w:spacing w:val="-10"/>
                <w:sz w:val="18"/>
              </w:rPr>
              <w:t> </w:t>
            </w:r>
            <w:r>
              <w:rPr>
                <w:color w:val="202024"/>
                <w:sz w:val="18"/>
              </w:rPr>
              <w:t>of</w:t>
            </w:r>
            <w:r>
              <w:rPr>
                <w:color w:val="202024"/>
                <w:spacing w:val="-10"/>
                <w:sz w:val="18"/>
              </w:rPr>
              <w:t> </w:t>
            </w:r>
            <w:r>
              <w:rPr>
                <w:color w:val="202024"/>
                <w:sz w:val="18"/>
              </w:rPr>
              <w:t>their</w:t>
            </w:r>
            <w:r>
              <w:rPr>
                <w:color w:val="202024"/>
                <w:spacing w:val="-10"/>
                <w:sz w:val="18"/>
              </w:rPr>
              <w:t> </w:t>
            </w:r>
            <w:r>
              <w:rPr>
                <w:color w:val="202024"/>
                <w:sz w:val="18"/>
              </w:rPr>
              <w:t>competence</w:t>
            </w:r>
            <w:r>
              <w:rPr>
                <w:color w:val="202024"/>
                <w:spacing w:val="-10"/>
                <w:sz w:val="18"/>
              </w:rPr>
              <w:t> </w:t>
            </w:r>
            <w:r>
              <w:rPr>
                <w:color w:val="202024"/>
                <w:sz w:val="18"/>
              </w:rPr>
              <w:t>in OFP. Fourth-year students felt more comfortable diagnosing and treating</w:t>
            </w:r>
            <w:r>
              <w:rPr>
                <w:color w:val="202024"/>
                <w:spacing w:val="-7"/>
                <w:sz w:val="18"/>
              </w:rPr>
              <w:t> </w:t>
            </w:r>
            <w:r>
              <w:rPr>
                <w:color w:val="202024"/>
                <w:sz w:val="18"/>
              </w:rPr>
              <w:t>intraoral</w:t>
            </w:r>
            <w:r>
              <w:rPr>
                <w:color w:val="202024"/>
                <w:spacing w:val="-7"/>
                <w:sz w:val="18"/>
              </w:rPr>
              <w:t> </w:t>
            </w:r>
            <w:r>
              <w:rPr>
                <w:color w:val="202024"/>
                <w:sz w:val="18"/>
              </w:rPr>
              <w:t>pain</w:t>
            </w:r>
            <w:r>
              <w:rPr>
                <w:color w:val="202024"/>
                <w:spacing w:val="-7"/>
                <w:sz w:val="18"/>
              </w:rPr>
              <w:t> </w:t>
            </w:r>
            <w:r>
              <w:rPr>
                <w:color w:val="202024"/>
                <w:sz w:val="18"/>
              </w:rPr>
              <w:t>compared</w:t>
            </w:r>
            <w:r>
              <w:rPr>
                <w:color w:val="202024"/>
                <w:spacing w:val="-7"/>
                <w:sz w:val="18"/>
              </w:rPr>
              <w:t> </w:t>
            </w:r>
            <w:r>
              <w:rPr>
                <w:color w:val="202024"/>
                <w:sz w:val="18"/>
              </w:rPr>
              <w:t>to third-year students. However, significant gaps in managing psychogenic pain were identified, highlighting areas for curriculum </w:t>
            </w:r>
            <w:r>
              <w:rPr>
                <w:color w:val="202024"/>
                <w:spacing w:val="-2"/>
                <w:sz w:val="18"/>
              </w:rPr>
              <w:t>improvement.</w:t>
            </w:r>
          </w:p>
        </w:tc>
      </w:tr>
      <w:tr>
        <w:trPr>
          <w:trHeight w:val="2500" w:hRule="atLeast"/>
        </w:trPr>
        <w:tc>
          <w:tcPr>
            <w:tcW w:w="1200" w:type="dxa"/>
            <w:tcBorders>
              <w:left w:val="single" w:sz="8" w:space="0" w:color="FFFFFF"/>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
              <w:rPr>
                <w:rFonts w:ascii="Arial"/>
                <w:b/>
                <w:sz w:val="18"/>
              </w:rPr>
            </w:pPr>
          </w:p>
          <w:p>
            <w:pPr>
              <w:pStyle w:val="TableParagraph"/>
              <w:ind w:left="252" w:right="215" w:hanging="15"/>
              <w:rPr>
                <w:sz w:val="18"/>
              </w:rPr>
            </w:pPr>
            <w:r>
              <w:rPr>
                <w:color w:val="202024"/>
                <w:sz w:val="18"/>
              </w:rPr>
              <w:t>Araújo</w:t>
            </w:r>
            <w:r>
              <w:rPr>
                <w:color w:val="202024"/>
                <w:spacing w:val="-13"/>
                <w:sz w:val="18"/>
              </w:rPr>
              <w:t> </w:t>
            </w:r>
            <w:r>
              <w:rPr>
                <w:rFonts w:ascii="Arial" w:hAnsi="Arial"/>
                <w:i/>
                <w:color w:val="202024"/>
                <w:sz w:val="18"/>
              </w:rPr>
              <w:t>et al., </w:t>
            </w:r>
            <w:r>
              <w:rPr>
                <w:color w:val="202024"/>
                <w:spacing w:val="-4"/>
                <w:sz w:val="18"/>
              </w:rPr>
              <w:t>2019</w:t>
            </w:r>
          </w:p>
        </w:tc>
        <w:tc>
          <w:tcPr>
            <w:tcW w:w="9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4"/>
              <w:rPr>
                <w:rFonts w:ascii="Arial"/>
                <w:b/>
                <w:sz w:val="18"/>
              </w:rPr>
            </w:pPr>
          </w:p>
          <w:p>
            <w:pPr>
              <w:pStyle w:val="TableParagraph"/>
              <w:ind w:left="28" w:right="23"/>
              <w:jc w:val="center"/>
              <w:rPr>
                <w:sz w:val="18"/>
              </w:rPr>
            </w:pPr>
            <w:r>
              <w:rPr>
                <w:color w:val="202024"/>
                <w:spacing w:val="-2"/>
                <w:sz w:val="18"/>
              </w:rPr>
              <w:t>Brazil</w:t>
            </w:r>
          </w:p>
        </w:tc>
        <w:tc>
          <w:tcPr>
            <w:tcW w:w="118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
              <w:rPr>
                <w:rFonts w:ascii="Arial"/>
                <w:b/>
                <w:sz w:val="18"/>
              </w:rPr>
            </w:pPr>
          </w:p>
          <w:p>
            <w:pPr>
              <w:pStyle w:val="TableParagraph"/>
              <w:ind w:left="192" w:right="175"/>
              <w:jc w:val="center"/>
              <w:rPr>
                <w:sz w:val="18"/>
              </w:rPr>
            </w:pPr>
            <w:r>
              <w:rPr>
                <w:color w:val="202024"/>
                <w:sz w:val="18"/>
              </w:rPr>
              <w:t>Veiga de </w:t>
            </w:r>
            <w:r>
              <w:rPr>
                <w:color w:val="202024"/>
                <w:spacing w:val="-2"/>
                <w:sz w:val="18"/>
              </w:rPr>
              <w:t>Almeida University (UVA)</w:t>
            </w:r>
          </w:p>
        </w:tc>
        <w:tc>
          <w:tcPr>
            <w:tcW w:w="122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
              <w:rPr>
                <w:rFonts w:ascii="Arial"/>
                <w:b/>
                <w:sz w:val="18"/>
              </w:rPr>
            </w:pPr>
          </w:p>
          <w:p>
            <w:pPr>
              <w:pStyle w:val="TableParagraph"/>
              <w:ind w:left="392" w:hanging="356"/>
              <w:rPr>
                <w:sz w:val="18"/>
              </w:rPr>
            </w:pPr>
            <w:r>
              <w:rPr>
                <w:color w:val="202024"/>
                <w:spacing w:val="-2"/>
                <w:sz w:val="18"/>
              </w:rPr>
              <w:t>Mixed-</w:t>
            </w:r>
            <w:r>
              <w:rPr>
                <w:color w:val="202024"/>
                <w:spacing w:val="-2"/>
                <w:sz w:val="18"/>
              </w:rPr>
              <w:t>method study</w:t>
            </w:r>
          </w:p>
        </w:tc>
        <w:tc>
          <w:tcPr>
            <w:tcW w:w="15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4"/>
              <w:rPr>
                <w:rFonts w:ascii="Arial"/>
                <w:b/>
                <w:sz w:val="18"/>
              </w:rPr>
            </w:pPr>
          </w:p>
          <w:p>
            <w:pPr>
              <w:pStyle w:val="TableParagraph"/>
              <w:ind w:left="134" w:right="119"/>
              <w:jc w:val="center"/>
              <w:rPr>
                <w:sz w:val="18"/>
              </w:rPr>
            </w:pPr>
            <w:r>
              <w:rPr>
                <w:color w:val="202024"/>
                <w:spacing w:val="-2"/>
                <w:sz w:val="18"/>
              </w:rPr>
              <w:t>Dentists</w:t>
            </w:r>
          </w:p>
        </w:tc>
        <w:tc>
          <w:tcPr>
            <w:tcW w:w="3070" w:type="dxa"/>
            <w:tcBorders>
              <w:right w:val="nil"/>
            </w:tcBorders>
          </w:tcPr>
          <w:p>
            <w:pPr>
              <w:pStyle w:val="TableParagraph"/>
              <w:spacing w:before="11"/>
              <w:rPr>
                <w:rFonts w:ascii="Arial"/>
                <w:b/>
                <w:sz w:val="18"/>
              </w:rPr>
            </w:pPr>
          </w:p>
          <w:p>
            <w:pPr>
              <w:pStyle w:val="TableParagraph"/>
              <w:ind w:left="54" w:right="52"/>
              <w:jc w:val="center"/>
              <w:rPr>
                <w:sz w:val="18"/>
              </w:rPr>
            </w:pPr>
            <w:r>
              <w:rPr>
                <w:color w:val="202024"/>
                <w:sz w:val="18"/>
              </w:rPr>
              <w:t>A questionnaire on TMD and its relationship</w:t>
            </w:r>
            <w:r>
              <w:rPr>
                <w:color w:val="202024"/>
                <w:spacing w:val="-10"/>
                <w:sz w:val="18"/>
              </w:rPr>
              <w:t> </w:t>
            </w:r>
            <w:r>
              <w:rPr>
                <w:color w:val="202024"/>
                <w:sz w:val="18"/>
              </w:rPr>
              <w:t>with</w:t>
            </w:r>
            <w:r>
              <w:rPr>
                <w:color w:val="202024"/>
                <w:spacing w:val="-10"/>
                <w:sz w:val="18"/>
              </w:rPr>
              <w:t> </w:t>
            </w:r>
            <w:r>
              <w:rPr>
                <w:color w:val="202024"/>
                <w:sz w:val="18"/>
              </w:rPr>
              <w:t>occlusal</w:t>
            </w:r>
            <w:r>
              <w:rPr>
                <w:color w:val="202024"/>
                <w:spacing w:val="-10"/>
                <w:sz w:val="18"/>
              </w:rPr>
              <w:t> </w:t>
            </w:r>
            <w:r>
              <w:rPr>
                <w:color w:val="202024"/>
                <w:sz w:val="18"/>
              </w:rPr>
              <w:t>factors</w:t>
            </w:r>
            <w:r>
              <w:rPr>
                <w:color w:val="202024"/>
                <w:spacing w:val="-10"/>
                <w:sz w:val="18"/>
              </w:rPr>
              <w:t> </w:t>
            </w:r>
            <w:r>
              <w:rPr>
                <w:color w:val="202024"/>
                <w:sz w:val="18"/>
              </w:rPr>
              <w:t>was applied to 2,500 dentists in Piauí, Brazil. Of these, 434 were eligible.</w:t>
            </w:r>
          </w:p>
          <w:p>
            <w:pPr>
              <w:pStyle w:val="TableParagraph"/>
              <w:ind w:left="54" w:right="52"/>
              <w:jc w:val="center"/>
              <w:rPr>
                <w:sz w:val="18"/>
              </w:rPr>
            </w:pPr>
            <w:r>
              <w:rPr>
                <w:color w:val="202024"/>
                <w:sz w:val="18"/>
              </w:rPr>
              <w:t>Results showed most gained knowledge</w:t>
            </w:r>
            <w:r>
              <w:rPr>
                <w:color w:val="202024"/>
                <w:spacing w:val="-10"/>
                <w:sz w:val="18"/>
              </w:rPr>
              <w:t> </w:t>
            </w:r>
            <w:r>
              <w:rPr>
                <w:color w:val="202024"/>
                <w:sz w:val="18"/>
              </w:rPr>
              <w:t>about</w:t>
            </w:r>
            <w:r>
              <w:rPr>
                <w:color w:val="202024"/>
                <w:spacing w:val="-10"/>
                <w:sz w:val="18"/>
              </w:rPr>
              <w:t> </w:t>
            </w:r>
            <w:r>
              <w:rPr>
                <w:color w:val="202024"/>
                <w:sz w:val="18"/>
              </w:rPr>
              <w:t>occlusion</w:t>
            </w:r>
            <w:r>
              <w:rPr>
                <w:color w:val="202024"/>
                <w:spacing w:val="-10"/>
                <w:sz w:val="18"/>
              </w:rPr>
              <w:t> </w:t>
            </w:r>
            <w:r>
              <w:rPr>
                <w:color w:val="202024"/>
                <w:sz w:val="18"/>
              </w:rPr>
              <w:t>and</w:t>
            </w:r>
            <w:r>
              <w:rPr>
                <w:color w:val="202024"/>
                <w:spacing w:val="-10"/>
                <w:sz w:val="18"/>
              </w:rPr>
              <w:t> </w:t>
            </w:r>
            <w:r>
              <w:rPr>
                <w:color w:val="202024"/>
                <w:sz w:val="18"/>
              </w:rPr>
              <w:t>TMD during their undergraduate studies. Additionally, 41% (181) were treated</w:t>
            </w:r>
          </w:p>
          <w:p>
            <w:pPr>
              <w:pStyle w:val="TableParagraph"/>
              <w:ind w:left="234" w:right="232"/>
              <w:jc w:val="center"/>
              <w:rPr>
                <w:sz w:val="18"/>
              </w:rPr>
            </w:pPr>
            <w:r>
              <w:rPr>
                <w:color w:val="202024"/>
                <w:sz w:val="18"/>
              </w:rPr>
              <w:t>with</w:t>
            </w:r>
            <w:r>
              <w:rPr>
                <w:color w:val="202024"/>
                <w:spacing w:val="-8"/>
                <w:sz w:val="18"/>
              </w:rPr>
              <w:t> </w:t>
            </w:r>
            <w:r>
              <w:rPr>
                <w:color w:val="202024"/>
                <w:sz w:val="18"/>
              </w:rPr>
              <w:t>TMD,</w:t>
            </w:r>
            <w:r>
              <w:rPr>
                <w:color w:val="202024"/>
                <w:spacing w:val="-8"/>
                <w:sz w:val="18"/>
              </w:rPr>
              <w:t> </w:t>
            </w:r>
            <w:r>
              <w:rPr>
                <w:color w:val="202024"/>
                <w:sz w:val="18"/>
              </w:rPr>
              <w:t>while</w:t>
            </w:r>
            <w:r>
              <w:rPr>
                <w:color w:val="202024"/>
                <w:spacing w:val="-8"/>
                <w:sz w:val="18"/>
              </w:rPr>
              <w:t> </w:t>
            </w:r>
            <w:r>
              <w:rPr>
                <w:color w:val="202024"/>
                <w:sz w:val="18"/>
              </w:rPr>
              <w:t>63%</w:t>
            </w:r>
            <w:r>
              <w:rPr>
                <w:color w:val="202024"/>
                <w:spacing w:val="-8"/>
                <w:sz w:val="18"/>
              </w:rPr>
              <w:t> </w:t>
            </w:r>
            <w:r>
              <w:rPr>
                <w:color w:val="202024"/>
                <w:sz w:val="18"/>
              </w:rPr>
              <w:t>(277)</w:t>
            </w:r>
            <w:r>
              <w:rPr>
                <w:color w:val="202024"/>
                <w:spacing w:val="-8"/>
                <w:sz w:val="18"/>
              </w:rPr>
              <w:t> </w:t>
            </w:r>
            <w:r>
              <w:rPr>
                <w:color w:val="202024"/>
                <w:sz w:val="18"/>
              </w:rPr>
              <w:t>were referred patients.</w:t>
            </w:r>
          </w:p>
        </w:tc>
      </w:tr>
      <w:tr>
        <w:trPr>
          <w:trHeight w:val="3119" w:hRule="atLeast"/>
        </w:trPr>
        <w:tc>
          <w:tcPr>
            <w:tcW w:w="1200" w:type="dxa"/>
            <w:tcBorders>
              <w:left w:val="single" w:sz="8" w:space="0" w:color="FFFFFF"/>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0"/>
              <w:rPr>
                <w:rFonts w:ascii="Arial"/>
                <w:b/>
                <w:sz w:val="18"/>
              </w:rPr>
            </w:pPr>
          </w:p>
          <w:p>
            <w:pPr>
              <w:pStyle w:val="TableParagraph"/>
              <w:ind w:left="17"/>
              <w:jc w:val="center"/>
              <w:rPr>
                <w:sz w:val="18"/>
              </w:rPr>
            </w:pPr>
            <w:r>
              <w:rPr>
                <w:color w:val="202024"/>
                <w:spacing w:val="-2"/>
                <w:sz w:val="18"/>
              </w:rPr>
              <w:t>Machado; </w:t>
            </w:r>
            <w:r>
              <w:rPr>
                <w:color w:val="202024"/>
                <w:sz w:val="18"/>
              </w:rPr>
              <w:t>Lima;</w:t>
            </w:r>
            <w:r>
              <w:rPr>
                <w:color w:val="202024"/>
                <w:spacing w:val="-13"/>
                <w:sz w:val="18"/>
              </w:rPr>
              <w:t> </w:t>
            </w:r>
            <w:r>
              <w:rPr>
                <w:color w:val="202024"/>
                <w:sz w:val="18"/>
              </w:rPr>
              <w:t>Conti, </w:t>
            </w:r>
            <w:r>
              <w:rPr>
                <w:color w:val="202024"/>
                <w:spacing w:val="-4"/>
                <w:sz w:val="18"/>
              </w:rPr>
              <w:t>2014</w:t>
            </w:r>
          </w:p>
        </w:tc>
        <w:tc>
          <w:tcPr>
            <w:tcW w:w="9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0"/>
              <w:rPr>
                <w:rFonts w:ascii="Arial"/>
                <w:b/>
                <w:sz w:val="18"/>
              </w:rPr>
            </w:pPr>
          </w:p>
          <w:p>
            <w:pPr>
              <w:pStyle w:val="TableParagraph"/>
              <w:ind w:left="28" w:right="23"/>
              <w:jc w:val="center"/>
              <w:rPr>
                <w:sz w:val="18"/>
              </w:rPr>
            </w:pPr>
            <w:r>
              <w:rPr>
                <w:color w:val="202024"/>
                <w:spacing w:val="-2"/>
                <w:sz w:val="18"/>
              </w:rPr>
              <w:t>Brazil</w:t>
            </w:r>
          </w:p>
        </w:tc>
        <w:tc>
          <w:tcPr>
            <w:tcW w:w="118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3"/>
              <w:rPr>
                <w:rFonts w:ascii="Arial"/>
                <w:b/>
                <w:sz w:val="18"/>
              </w:rPr>
            </w:pPr>
          </w:p>
          <w:p>
            <w:pPr>
              <w:pStyle w:val="TableParagraph"/>
              <w:ind w:left="172" w:right="70" w:hanging="80"/>
              <w:rPr>
                <w:sz w:val="18"/>
              </w:rPr>
            </w:pPr>
            <w:r>
              <w:rPr>
                <w:color w:val="202024"/>
                <w:sz w:val="18"/>
              </w:rPr>
              <w:t>University</w:t>
            </w:r>
            <w:r>
              <w:rPr>
                <w:color w:val="202024"/>
                <w:spacing w:val="-13"/>
                <w:sz w:val="18"/>
              </w:rPr>
              <w:t> </w:t>
            </w:r>
            <w:r>
              <w:rPr>
                <w:color w:val="202024"/>
                <w:sz w:val="18"/>
              </w:rPr>
              <w:t>of São Paulo</w:t>
            </w:r>
          </w:p>
        </w:tc>
        <w:tc>
          <w:tcPr>
            <w:tcW w:w="122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3"/>
              <w:rPr>
                <w:rFonts w:ascii="Arial"/>
                <w:b/>
                <w:sz w:val="18"/>
              </w:rPr>
            </w:pPr>
          </w:p>
          <w:p>
            <w:pPr>
              <w:pStyle w:val="TableParagraph"/>
              <w:ind w:left="347" w:hanging="256"/>
              <w:rPr>
                <w:sz w:val="18"/>
              </w:rPr>
            </w:pPr>
            <w:r>
              <w:rPr>
                <w:color w:val="202024"/>
                <w:spacing w:val="-2"/>
                <w:sz w:val="18"/>
              </w:rPr>
              <w:t>Bibliographic review</w:t>
            </w:r>
          </w:p>
        </w:tc>
        <w:tc>
          <w:tcPr>
            <w:tcW w:w="15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0"/>
              <w:rPr>
                <w:rFonts w:ascii="Arial"/>
                <w:b/>
                <w:sz w:val="18"/>
              </w:rPr>
            </w:pPr>
          </w:p>
          <w:p>
            <w:pPr>
              <w:pStyle w:val="TableParagraph"/>
              <w:ind w:left="134" w:right="119"/>
              <w:jc w:val="center"/>
              <w:rPr>
                <w:sz w:val="18"/>
              </w:rPr>
            </w:pPr>
            <w:r>
              <w:rPr>
                <w:color w:val="202024"/>
                <w:sz w:val="18"/>
              </w:rPr>
              <w:t>Not </w:t>
            </w:r>
            <w:r>
              <w:rPr>
                <w:color w:val="202024"/>
                <w:spacing w:val="-2"/>
                <w:sz w:val="18"/>
              </w:rPr>
              <w:t>applicable</w:t>
            </w:r>
          </w:p>
        </w:tc>
        <w:tc>
          <w:tcPr>
            <w:tcW w:w="3070" w:type="dxa"/>
            <w:tcBorders>
              <w:right w:val="nil"/>
            </w:tcBorders>
          </w:tcPr>
          <w:p>
            <w:pPr>
              <w:pStyle w:val="TableParagraph"/>
              <w:spacing w:before="20"/>
              <w:rPr>
                <w:rFonts w:ascii="Arial"/>
                <w:b/>
                <w:sz w:val="18"/>
              </w:rPr>
            </w:pPr>
          </w:p>
          <w:p>
            <w:pPr>
              <w:pStyle w:val="TableParagraph"/>
              <w:ind w:left="79" w:right="77"/>
              <w:jc w:val="center"/>
              <w:rPr>
                <w:sz w:val="18"/>
              </w:rPr>
            </w:pPr>
            <w:r>
              <w:rPr>
                <w:color w:val="202024"/>
                <w:sz w:val="18"/>
              </w:rPr>
              <w:t>Conducted</w:t>
            </w:r>
            <w:r>
              <w:rPr>
                <w:color w:val="202024"/>
                <w:spacing w:val="-10"/>
                <w:sz w:val="18"/>
              </w:rPr>
              <w:t> </w:t>
            </w:r>
            <w:r>
              <w:rPr>
                <w:color w:val="202024"/>
                <w:sz w:val="18"/>
              </w:rPr>
              <w:t>a</w:t>
            </w:r>
            <w:r>
              <w:rPr>
                <w:color w:val="202024"/>
                <w:spacing w:val="-10"/>
                <w:sz w:val="18"/>
              </w:rPr>
              <w:t> </w:t>
            </w:r>
            <w:r>
              <w:rPr>
                <w:color w:val="202024"/>
                <w:sz w:val="18"/>
              </w:rPr>
              <w:t>bibliographic</w:t>
            </w:r>
            <w:r>
              <w:rPr>
                <w:color w:val="202024"/>
                <w:spacing w:val="-10"/>
                <w:sz w:val="18"/>
              </w:rPr>
              <w:t> </w:t>
            </w:r>
            <w:r>
              <w:rPr>
                <w:color w:val="202024"/>
                <w:sz w:val="18"/>
              </w:rPr>
              <w:t>review</w:t>
            </w:r>
            <w:r>
              <w:rPr>
                <w:color w:val="202024"/>
                <w:spacing w:val="-10"/>
                <w:sz w:val="18"/>
              </w:rPr>
              <w:t> </w:t>
            </w:r>
            <w:r>
              <w:rPr>
                <w:color w:val="202024"/>
                <w:sz w:val="18"/>
              </w:rPr>
              <w:t>on the Brazilian Coordination for the Improvement of Higher Education</w:t>
            </w:r>
          </w:p>
          <w:p>
            <w:pPr>
              <w:pStyle w:val="TableParagraph"/>
              <w:ind w:left="149" w:right="147"/>
              <w:jc w:val="center"/>
              <w:rPr>
                <w:sz w:val="18"/>
              </w:rPr>
            </w:pPr>
            <w:r>
              <w:rPr>
                <w:color w:val="202024"/>
                <w:sz w:val="18"/>
              </w:rPr>
              <w:t>Personnel (CAPES) portal and PubMed, analyzing theses and dissertations on TMD and OFP. A total of 731 studies were </w:t>
            </w:r>
            <w:r>
              <w:rPr>
                <w:color w:val="202024"/>
                <w:spacing w:val="-2"/>
                <w:sz w:val="18"/>
              </w:rPr>
              <w:t>recorded:</w:t>
            </w:r>
          </w:p>
          <w:p>
            <w:pPr>
              <w:pStyle w:val="TableParagraph"/>
              <w:ind w:left="10" w:right="10"/>
              <w:jc w:val="center"/>
              <w:rPr>
                <w:sz w:val="18"/>
              </w:rPr>
            </w:pPr>
            <w:r>
              <w:rPr>
                <w:color w:val="202024"/>
                <w:sz w:val="18"/>
              </w:rPr>
              <w:t>421 master’s theses</w:t>
            </w:r>
            <w:r>
              <w:rPr>
                <w:color w:val="202024"/>
                <w:spacing w:val="1"/>
                <w:sz w:val="18"/>
              </w:rPr>
              <w:t> </w:t>
            </w:r>
            <w:r>
              <w:rPr>
                <w:color w:val="202024"/>
                <w:sz w:val="18"/>
              </w:rPr>
              <w:t>and 195</w:t>
            </w:r>
            <w:r>
              <w:rPr>
                <w:color w:val="202024"/>
                <w:spacing w:val="1"/>
                <w:sz w:val="18"/>
              </w:rPr>
              <w:t> </w:t>
            </w:r>
            <w:r>
              <w:rPr>
                <w:color w:val="202024"/>
                <w:spacing w:val="-2"/>
                <w:sz w:val="18"/>
              </w:rPr>
              <w:t>doctoral</w:t>
            </w:r>
          </w:p>
          <w:p>
            <w:pPr>
              <w:pStyle w:val="TableParagraph"/>
              <w:ind w:left="50" w:right="48"/>
              <w:jc w:val="center"/>
              <w:rPr>
                <w:sz w:val="18"/>
              </w:rPr>
            </w:pPr>
            <w:r>
              <w:rPr>
                <w:color w:val="202024"/>
                <w:sz w:val="18"/>
              </w:rPr>
              <w:t>dissertations. Additionally, 576 articles involving Brazilian researchers</w:t>
            </w:r>
            <w:r>
              <w:rPr>
                <w:color w:val="202024"/>
                <w:spacing w:val="-13"/>
                <w:sz w:val="18"/>
              </w:rPr>
              <w:t> </w:t>
            </w:r>
            <w:r>
              <w:rPr>
                <w:color w:val="202024"/>
                <w:sz w:val="18"/>
              </w:rPr>
              <w:t>were</w:t>
            </w:r>
            <w:r>
              <w:rPr>
                <w:color w:val="202024"/>
                <w:spacing w:val="-12"/>
                <w:sz w:val="18"/>
              </w:rPr>
              <w:t> </w:t>
            </w:r>
            <w:r>
              <w:rPr>
                <w:color w:val="202024"/>
                <w:sz w:val="18"/>
              </w:rPr>
              <w:t>published</w:t>
            </w:r>
            <w:r>
              <w:rPr>
                <w:color w:val="202024"/>
                <w:spacing w:val="-13"/>
                <w:sz w:val="18"/>
              </w:rPr>
              <w:t> </w:t>
            </w:r>
            <w:r>
              <w:rPr>
                <w:color w:val="202024"/>
                <w:sz w:val="18"/>
              </w:rPr>
              <w:t>between 2000 and 2013, indicating growing interest in the area.</w:t>
            </w:r>
          </w:p>
        </w:tc>
      </w:tr>
      <w:tr>
        <w:trPr>
          <w:trHeight w:val="2940" w:hRule="atLeast"/>
        </w:trPr>
        <w:tc>
          <w:tcPr>
            <w:tcW w:w="1200" w:type="dxa"/>
            <w:tcBorders>
              <w:left w:val="single" w:sz="8" w:space="0" w:color="FFFFFF"/>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9"/>
              <w:rPr>
                <w:rFonts w:ascii="Arial"/>
                <w:b/>
                <w:sz w:val="18"/>
              </w:rPr>
            </w:pPr>
          </w:p>
          <w:p>
            <w:pPr>
              <w:pStyle w:val="TableParagraph"/>
              <w:spacing w:before="1"/>
              <w:ind w:left="17" w:right="2"/>
              <w:jc w:val="center"/>
              <w:rPr>
                <w:rFonts w:ascii="Arial"/>
                <w:i/>
                <w:sz w:val="18"/>
              </w:rPr>
            </w:pPr>
            <w:r>
              <w:rPr>
                <w:color w:val="202024"/>
                <w:sz w:val="18"/>
              </w:rPr>
              <w:t>Magri </w:t>
            </w:r>
            <w:r>
              <w:rPr>
                <w:rFonts w:ascii="Arial"/>
                <w:i/>
                <w:color w:val="202024"/>
                <w:sz w:val="18"/>
              </w:rPr>
              <w:t>et </w:t>
            </w:r>
            <w:r>
              <w:rPr>
                <w:rFonts w:ascii="Arial"/>
                <w:i/>
                <w:color w:val="202024"/>
                <w:spacing w:val="-4"/>
                <w:sz w:val="18"/>
              </w:rPr>
              <w:t>al.,</w:t>
            </w:r>
          </w:p>
          <w:p>
            <w:pPr>
              <w:pStyle w:val="TableParagraph"/>
              <w:ind w:left="17" w:right="2"/>
              <w:jc w:val="center"/>
              <w:rPr>
                <w:sz w:val="18"/>
              </w:rPr>
            </w:pPr>
            <w:r>
              <w:rPr>
                <w:color w:val="202024"/>
                <w:spacing w:val="-4"/>
                <w:sz w:val="18"/>
              </w:rPr>
              <w:t>2018</w:t>
            </w:r>
          </w:p>
        </w:tc>
        <w:tc>
          <w:tcPr>
            <w:tcW w:w="9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3"/>
              <w:rPr>
                <w:rFonts w:ascii="Arial"/>
                <w:b/>
                <w:sz w:val="18"/>
              </w:rPr>
            </w:pPr>
          </w:p>
          <w:p>
            <w:pPr>
              <w:pStyle w:val="TableParagraph"/>
              <w:ind w:left="28" w:right="23"/>
              <w:jc w:val="center"/>
              <w:rPr>
                <w:sz w:val="18"/>
              </w:rPr>
            </w:pPr>
            <w:r>
              <w:rPr>
                <w:color w:val="202024"/>
                <w:spacing w:val="-2"/>
                <w:sz w:val="18"/>
              </w:rPr>
              <w:t>Brazil</w:t>
            </w:r>
          </w:p>
        </w:tc>
        <w:tc>
          <w:tcPr>
            <w:tcW w:w="118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9"/>
              <w:rPr>
                <w:rFonts w:ascii="Arial"/>
                <w:b/>
                <w:sz w:val="18"/>
              </w:rPr>
            </w:pPr>
          </w:p>
          <w:p>
            <w:pPr>
              <w:pStyle w:val="TableParagraph"/>
              <w:spacing w:before="1"/>
              <w:ind w:left="172" w:right="70" w:hanging="80"/>
              <w:rPr>
                <w:sz w:val="18"/>
              </w:rPr>
            </w:pPr>
            <w:r>
              <w:rPr>
                <w:color w:val="202024"/>
                <w:sz w:val="18"/>
              </w:rPr>
              <w:t>University</w:t>
            </w:r>
            <w:r>
              <w:rPr>
                <w:color w:val="202024"/>
                <w:spacing w:val="-13"/>
                <w:sz w:val="18"/>
              </w:rPr>
              <w:t> </w:t>
            </w:r>
            <w:r>
              <w:rPr>
                <w:color w:val="202024"/>
                <w:sz w:val="18"/>
              </w:rPr>
              <w:t>of São Paulo</w:t>
            </w:r>
          </w:p>
        </w:tc>
        <w:tc>
          <w:tcPr>
            <w:tcW w:w="122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9"/>
              <w:rPr>
                <w:rFonts w:ascii="Arial"/>
                <w:b/>
                <w:sz w:val="18"/>
              </w:rPr>
            </w:pPr>
          </w:p>
          <w:p>
            <w:pPr>
              <w:pStyle w:val="TableParagraph"/>
              <w:spacing w:before="1"/>
              <w:ind w:left="392" w:hanging="266"/>
              <w:rPr>
                <w:sz w:val="18"/>
              </w:rPr>
            </w:pPr>
            <w:r>
              <w:rPr>
                <w:color w:val="202024"/>
                <w:spacing w:val="-2"/>
                <w:sz w:val="18"/>
              </w:rPr>
              <w:t>Quantitative study</w:t>
            </w:r>
          </w:p>
        </w:tc>
        <w:tc>
          <w:tcPr>
            <w:tcW w:w="15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3"/>
              <w:rPr>
                <w:rFonts w:ascii="Arial"/>
                <w:b/>
                <w:sz w:val="18"/>
              </w:rPr>
            </w:pPr>
          </w:p>
          <w:p>
            <w:pPr>
              <w:pStyle w:val="TableParagraph"/>
              <w:ind w:left="134" w:right="119"/>
              <w:jc w:val="center"/>
              <w:rPr>
                <w:sz w:val="18"/>
              </w:rPr>
            </w:pPr>
            <w:r>
              <w:rPr>
                <w:color w:val="202024"/>
                <w:sz w:val="18"/>
              </w:rPr>
              <w:t>Not </w:t>
            </w:r>
            <w:r>
              <w:rPr>
                <w:color w:val="202024"/>
                <w:spacing w:val="-2"/>
                <w:sz w:val="18"/>
              </w:rPr>
              <w:t>applicable</w:t>
            </w:r>
          </w:p>
        </w:tc>
        <w:tc>
          <w:tcPr>
            <w:tcW w:w="3070" w:type="dxa"/>
            <w:tcBorders>
              <w:right w:val="nil"/>
            </w:tcBorders>
          </w:tcPr>
          <w:p>
            <w:pPr>
              <w:pStyle w:val="TableParagraph"/>
              <w:spacing w:before="29"/>
              <w:rPr>
                <w:rFonts w:ascii="Arial"/>
                <w:b/>
                <w:sz w:val="18"/>
              </w:rPr>
            </w:pPr>
          </w:p>
          <w:p>
            <w:pPr>
              <w:pStyle w:val="TableParagraph"/>
              <w:spacing w:before="1"/>
              <w:ind w:left="50" w:right="48"/>
              <w:jc w:val="center"/>
              <w:rPr>
                <w:sz w:val="18"/>
              </w:rPr>
            </w:pPr>
            <w:r>
              <w:rPr>
                <w:color w:val="202024"/>
                <w:sz w:val="18"/>
              </w:rPr>
              <w:t>A retrospective, longitudinal, and descriptive study collected data from the</w:t>
            </w:r>
            <w:r>
              <w:rPr>
                <w:color w:val="202024"/>
                <w:spacing w:val="-8"/>
                <w:sz w:val="18"/>
              </w:rPr>
              <w:t> </w:t>
            </w:r>
            <w:r>
              <w:rPr>
                <w:color w:val="202024"/>
                <w:sz w:val="18"/>
              </w:rPr>
              <w:t>Clinical</w:t>
            </w:r>
            <w:r>
              <w:rPr>
                <w:color w:val="202024"/>
                <w:spacing w:val="-8"/>
                <w:sz w:val="18"/>
              </w:rPr>
              <w:t> </w:t>
            </w:r>
            <w:r>
              <w:rPr>
                <w:color w:val="202024"/>
                <w:sz w:val="18"/>
              </w:rPr>
              <w:t>Informatics</w:t>
            </w:r>
            <w:r>
              <w:rPr>
                <w:color w:val="202024"/>
                <w:spacing w:val="-8"/>
                <w:sz w:val="18"/>
              </w:rPr>
              <w:t> </w:t>
            </w:r>
            <w:r>
              <w:rPr>
                <w:color w:val="202024"/>
                <w:sz w:val="18"/>
              </w:rPr>
              <w:t>System</w:t>
            </w:r>
            <w:r>
              <w:rPr>
                <w:color w:val="202024"/>
                <w:spacing w:val="-8"/>
                <w:sz w:val="18"/>
              </w:rPr>
              <w:t> </w:t>
            </w:r>
            <w:r>
              <w:rPr>
                <w:color w:val="202024"/>
                <w:sz w:val="18"/>
              </w:rPr>
              <w:t>of</w:t>
            </w:r>
            <w:r>
              <w:rPr>
                <w:color w:val="202024"/>
                <w:spacing w:val="-8"/>
                <w:sz w:val="18"/>
              </w:rPr>
              <w:t> </w:t>
            </w:r>
            <w:r>
              <w:rPr>
                <w:color w:val="202024"/>
                <w:sz w:val="18"/>
              </w:rPr>
              <w:t>the Ribeirão Preto Faculty of Dentistry, covering TMD and OFP care from 2006 to 2016. Results showed an increase in the number of treated patients, discharges, and education on pain management and self-care, as well as a reduction in referrals to other disciplines, indicating greater diagnostic accuracy.</w:t>
            </w:r>
          </w:p>
        </w:tc>
      </w:tr>
      <w:tr>
        <w:trPr>
          <w:trHeight w:val="2299" w:hRule="atLeast"/>
        </w:trPr>
        <w:tc>
          <w:tcPr>
            <w:tcW w:w="1200" w:type="dxa"/>
            <w:tcBorders>
              <w:left w:val="single" w:sz="8" w:space="0" w:color="FFFFFF"/>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6"/>
              <w:rPr>
                <w:rFonts w:ascii="Arial"/>
                <w:b/>
                <w:sz w:val="18"/>
              </w:rPr>
            </w:pPr>
          </w:p>
          <w:p>
            <w:pPr>
              <w:pStyle w:val="TableParagraph"/>
              <w:ind w:left="117"/>
              <w:rPr>
                <w:sz w:val="18"/>
              </w:rPr>
            </w:pPr>
            <w:r>
              <w:rPr>
                <w:color w:val="202024"/>
                <w:spacing w:val="-2"/>
                <w:sz w:val="18"/>
              </w:rPr>
              <w:t>Ommerborn</w:t>
            </w:r>
          </w:p>
          <w:p>
            <w:pPr>
              <w:pStyle w:val="TableParagraph"/>
              <w:ind w:left="152"/>
              <w:rPr>
                <w:sz w:val="18"/>
              </w:rPr>
            </w:pPr>
            <w:r>
              <w:rPr>
                <w:rFonts w:ascii="Arial"/>
                <w:i/>
                <w:color w:val="202024"/>
                <w:sz w:val="18"/>
              </w:rPr>
              <w:t>et al</w:t>
            </w:r>
            <w:r>
              <w:rPr>
                <w:color w:val="202024"/>
                <w:sz w:val="18"/>
              </w:rPr>
              <w:t>., </w:t>
            </w:r>
            <w:r>
              <w:rPr>
                <w:color w:val="202024"/>
                <w:spacing w:val="-4"/>
                <w:sz w:val="18"/>
              </w:rPr>
              <w:t>2009</w:t>
            </w:r>
          </w:p>
        </w:tc>
        <w:tc>
          <w:tcPr>
            <w:tcW w:w="9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
              <w:rPr>
                <w:rFonts w:ascii="Arial"/>
                <w:b/>
                <w:sz w:val="18"/>
              </w:rPr>
            </w:pPr>
          </w:p>
          <w:p>
            <w:pPr>
              <w:pStyle w:val="TableParagraph"/>
              <w:ind w:left="28" w:right="23"/>
              <w:jc w:val="center"/>
              <w:rPr>
                <w:sz w:val="18"/>
              </w:rPr>
            </w:pPr>
            <w:r>
              <w:rPr>
                <w:color w:val="202024"/>
                <w:spacing w:val="-2"/>
                <w:sz w:val="18"/>
              </w:rPr>
              <w:t>Germany</w:t>
            </w:r>
          </w:p>
        </w:tc>
        <w:tc>
          <w:tcPr>
            <w:tcW w:w="1180" w:type="dxa"/>
          </w:tcPr>
          <w:p>
            <w:pPr>
              <w:pStyle w:val="TableParagraph"/>
              <w:rPr>
                <w:rFonts w:ascii="Arial"/>
                <w:b/>
                <w:sz w:val="18"/>
              </w:rPr>
            </w:pPr>
          </w:p>
          <w:p>
            <w:pPr>
              <w:pStyle w:val="TableParagraph"/>
              <w:rPr>
                <w:rFonts w:ascii="Arial"/>
                <w:b/>
                <w:sz w:val="18"/>
              </w:rPr>
            </w:pPr>
          </w:p>
          <w:p>
            <w:pPr>
              <w:pStyle w:val="TableParagraph"/>
              <w:spacing w:before="116"/>
              <w:rPr>
                <w:rFonts w:ascii="Arial"/>
                <w:b/>
                <w:sz w:val="18"/>
              </w:rPr>
            </w:pPr>
          </w:p>
          <w:p>
            <w:pPr>
              <w:pStyle w:val="TableParagraph"/>
              <w:ind w:left="157" w:right="140"/>
              <w:jc w:val="center"/>
              <w:rPr>
                <w:sz w:val="18"/>
              </w:rPr>
            </w:pPr>
            <w:r>
              <w:rPr>
                <w:color w:val="202024"/>
                <w:spacing w:val="-2"/>
                <w:sz w:val="18"/>
              </w:rPr>
              <w:t>Heinrich Heine University Düsseldorf</w:t>
            </w:r>
          </w:p>
        </w:tc>
        <w:tc>
          <w:tcPr>
            <w:tcW w:w="122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6"/>
              <w:rPr>
                <w:rFonts w:ascii="Arial"/>
                <w:b/>
                <w:sz w:val="18"/>
              </w:rPr>
            </w:pPr>
          </w:p>
          <w:p>
            <w:pPr>
              <w:pStyle w:val="TableParagraph"/>
              <w:ind w:left="392" w:hanging="266"/>
              <w:rPr>
                <w:sz w:val="18"/>
              </w:rPr>
            </w:pPr>
            <w:r>
              <w:rPr>
                <w:color w:val="202024"/>
                <w:spacing w:val="-2"/>
                <w:sz w:val="18"/>
              </w:rPr>
              <w:t>Quantitative study</w:t>
            </w:r>
          </w:p>
        </w:tc>
        <w:tc>
          <w:tcPr>
            <w:tcW w:w="1540"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6"/>
              <w:rPr>
                <w:rFonts w:ascii="Arial"/>
                <w:b/>
                <w:sz w:val="18"/>
              </w:rPr>
            </w:pPr>
          </w:p>
          <w:p>
            <w:pPr>
              <w:pStyle w:val="TableParagraph"/>
              <w:ind w:left="62" w:right="40" w:firstLine="209"/>
              <w:rPr>
                <w:sz w:val="18"/>
              </w:rPr>
            </w:pPr>
            <w:r>
              <w:rPr>
                <w:color w:val="202024"/>
                <w:sz w:val="18"/>
              </w:rPr>
              <w:t>General and specialist</w:t>
            </w:r>
            <w:r>
              <w:rPr>
                <w:color w:val="202024"/>
                <w:spacing w:val="-13"/>
                <w:sz w:val="18"/>
              </w:rPr>
              <w:t> </w:t>
            </w:r>
            <w:r>
              <w:rPr>
                <w:color w:val="202024"/>
                <w:sz w:val="18"/>
              </w:rPr>
              <w:t>dentists</w:t>
            </w:r>
          </w:p>
        </w:tc>
        <w:tc>
          <w:tcPr>
            <w:tcW w:w="3070" w:type="dxa"/>
            <w:tcBorders>
              <w:right w:val="nil"/>
            </w:tcBorders>
          </w:tcPr>
          <w:p>
            <w:pPr>
              <w:pStyle w:val="TableParagraph"/>
              <w:spacing w:before="12"/>
              <w:rPr>
                <w:rFonts w:ascii="Arial"/>
                <w:b/>
                <w:sz w:val="18"/>
              </w:rPr>
            </w:pPr>
          </w:p>
          <w:p>
            <w:pPr>
              <w:pStyle w:val="TableParagraph"/>
              <w:ind w:left="25" w:right="23"/>
              <w:jc w:val="center"/>
              <w:rPr>
                <w:sz w:val="18"/>
              </w:rPr>
            </w:pPr>
            <w:r>
              <w:rPr>
                <w:color w:val="202024"/>
                <w:sz w:val="18"/>
              </w:rPr>
              <w:t>A questionnaire was used with dentists to identify the most common therapies for craniomandibular disorders. The study found occlusal splints</w:t>
            </w:r>
            <w:r>
              <w:rPr>
                <w:color w:val="202024"/>
                <w:spacing w:val="-7"/>
                <w:sz w:val="18"/>
              </w:rPr>
              <w:t> </w:t>
            </w:r>
            <w:r>
              <w:rPr>
                <w:color w:val="202024"/>
                <w:sz w:val="18"/>
              </w:rPr>
              <w:t>to</w:t>
            </w:r>
            <w:r>
              <w:rPr>
                <w:color w:val="202024"/>
                <w:spacing w:val="-7"/>
                <w:sz w:val="18"/>
              </w:rPr>
              <w:t> </w:t>
            </w:r>
            <w:r>
              <w:rPr>
                <w:color w:val="202024"/>
                <w:sz w:val="18"/>
              </w:rPr>
              <w:t>be</w:t>
            </w:r>
            <w:r>
              <w:rPr>
                <w:color w:val="202024"/>
                <w:spacing w:val="-7"/>
                <w:sz w:val="18"/>
              </w:rPr>
              <w:t> </w:t>
            </w:r>
            <w:r>
              <w:rPr>
                <w:color w:val="202024"/>
                <w:sz w:val="18"/>
              </w:rPr>
              <w:t>the</w:t>
            </w:r>
            <w:r>
              <w:rPr>
                <w:color w:val="202024"/>
                <w:spacing w:val="-7"/>
                <w:sz w:val="18"/>
              </w:rPr>
              <w:t> </w:t>
            </w:r>
            <w:r>
              <w:rPr>
                <w:color w:val="202024"/>
                <w:sz w:val="18"/>
              </w:rPr>
              <w:t>most</w:t>
            </w:r>
            <w:r>
              <w:rPr>
                <w:color w:val="202024"/>
                <w:spacing w:val="-7"/>
                <w:sz w:val="18"/>
              </w:rPr>
              <w:t> </w:t>
            </w:r>
            <w:r>
              <w:rPr>
                <w:color w:val="202024"/>
                <w:sz w:val="18"/>
              </w:rPr>
              <w:t>frequently</w:t>
            </w:r>
            <w:r>
              <w:rPr>
                <w:color w:val="202024"/>
                <w:spacing w:val="-7"/>
                <w:sz w:val="18"/>
              </w:rPr>
              <w:t> </w:t>
            </w:r>
            <w:r>
              <w:rPr>
                <w:color w:val="202024"/>
                <w:sz w:val="18"/>
              </w:rPr>
              <w:t>used therapy,</w:t>
            </w:r>
            <w:r>
              <w:rPr>
                <w:color w:val="202024"/>
                <w:spacing w:val="-4"/>
                <w:sz w:val="18"/>
              </w:rPr>
              <w:t> </w:t>
            </w:r>
            <w:r>
              <w:rPr>
                <w:color w:val="202024"/>
                <w:sz w:val="18"/>
              </w:rPr>
              <w:t>followed</w:t>
            </w:r>
            <w:r>
              <w:rPr>
                <w:color w:val="202024"/>
                <w:spacing w:val="-3"/>
                <w:sz w:val="18"/>
              </w:rPr>
              <w:t> </w:t>
            </w:r>
            <w:r>
              <w:rPr>
                <w:color w:val="202024"/>
                <w:sz w:val="18"/>
              </w:rPr>
              <w:t>by</w:t>
            </w:r>
            <w:r>
              <w:rPr>
                <w:color w:val="202024"/>
                <w:spacing w:val="-4"/>
                <w:sz w:val="18"/>
              </w:rPr>
              <w:t> </w:t>
            </w:r>
            <w:r>
              <w:rPr>
                <w:color w:val="202024"/>
                <w:sz w:val="18"/>
              </w:rPr>
              <w:t>physical</w:t>
            </w:r>
            <w:r>
              <w:rPr>
                <w:color w:val="202024"/>
                <w:spacing w:val="-3"/>
                <w:sz w:val="18"/>
              </w:rPr>
              <w:t> </w:t>
            </w:r>
            <w:r>
              <w:rPr>
                <w:color w:val="202024"/>
                <w:spacing w:val="-2"/>
                <w:sz w:val="18"/>
              </w:rPr>
              <w:t>therapy.</w:t>
            </w:r>
          </w:p>
          <w:p>
            <w:pPr>
              <w:pStyle w:val="TableParagraph"/>
              <w:ind w:left="189" w:right="148" w:hanging="39"/>
              <w:jc w:val="both"/>
              <w:rPr>
                <w:sz w:val="18"/>
              </w:rPr>
            </w:pPr>
            <w:r>
              <w:rPr>
                <w:color w:val="202024"/>
                <w:sz w:val="18"/>
              </w:rPr>
              <w:t>Significant</w:t>
            </w:r>
            <w:r>
              <w:rPr>
                <w:color w:val="202024"/>
                <w:spacing w:val="-13"/>
                <w:sz w:val="18"/>
              </w:rPr>
              <w:t> </w:t>
            </w:r>
            <w:r>
              <w:rPr>
                <w:color w:val="202024"/>
                <w:sz w:val="18"/>
              </w:rPr>
              <w:t>differences</w:t>
            </w:r>
            <w:r>
              <w:rPr>
                <w:color w:val="202024"/>
                <w:spacing w:val="-12"/>
                <w:sz w:val="18"/>
              </w:rPr>
              <w:t> </w:t>
            </w:r>
            <w:r>
              <w:rPr>
                <w:color w:val="202024"/>
                <w:sz w:val="18"/>
              </w:rPr>
              <w:t>in</w:t>
            </w:r>
            <w:r>
              <w:rPr>
                <w:color w:val="202024"/>
                <w:spacing w:val="-13"/>
                <w:sz w:val="18"/>
              </w:rPr>
              <w:t> </w:t>
            </w:r>
            <w:r>
              <w:rPr>
                <w:color w:val="202024"/>
                <w:sz w:val="18"/>
              </w:rPr>
              <w:t>treatment practices were observed between general dentists and specialists.</w:t>
            </w:r>
          </w:p>
        </w:tc>
      </w:tr>
      <w:tr>
        <w:trPr>
          <w:trHeight w:val="1260" w:hRule="atLeast"/>
        </w:trPr>
        <w:tc>
          <w:tcPr>
            <w:tcW w:w="1200" w:type="dxa"/>
            <w:tcBorders>
              <w:left w:val="single" w:sz="8" w:space="0" w:color="FFFFFF"/>
            </w:tcBorders>
          </w:tcPr>
          <w:p>
            <w:pPr>
              <w:pStyle w:val="TableParagraph"/>
              <w:rPr>
                <w:rFonts w:ascii="Arial"/>
                <w:b/>
                <w:sz w:val="18"/>
              </w:rPr>
            </w:pPr>
          </w:p>
          <w:p>
            <w:pPr>
              <w:pStyle w:val="TableParagraph"/>
              <w:spacing w:before="14"/>
              <w:rPr>
                <w:rFonts w:ascii="Arial"/>
                <w:b/>
                <w:sz w:val="18"/>
              </w:rPr>
            </w:pPr>
          </w:p>
          <w:p>
            <w:pPr>
              <w:pStyle w:val="TableParagraph"/>
              <w:ind w:left="207"/>
              <w:rPr>
                <w:sz w:val="18"/>
              </w:rPr>
            </w:pPr>
            <w:r>
              <w:rPr>
                <w:color w:val="202024"/>
                <w:spacing w:val="-2"/>
                <w:sz w:val="18"/>
              </w:rPr>
              <w:t>Rahmeier</w:t>
            </w:r>
          </w:p>
          <w:p>
            <w:pPr>
              <w:pStyle w:val="TableParagraph"/>
              <w:ind w:left="152"/>
              <w:rPr>
                <w:sz w:val="18"/>
              </w:rPr>
            </w:pPr>
            <w:r>
              <w:rPr>
                <w:rFonts w:ascii="Arial"/>
                <w:i/>
                <w:color w:val="202024"/>
                <w:sz w:val="18"/>
              </w:rPr>
              <w:t>et al., </w:t>
            </w:r>
            <w:r>
              <w:rPr>
                <w:color w:val="202024"/>
                <w:spacing w:val="-4"/>
                <w:sz w:val="18"/>
              </w:rPr>
              <w:t>2021</w:t>
            </w:r>
          </w:p>
        </w:tc>
        <w:tc>
          <w:tcPr>
            <w:tcW w:w="940" w:type="dxa"/>
          </w:tcPr>
          <w:p>
            <w:pPr>
              <w:pStyle w:val="TableParagraph"/>
              <w:rPr>
                <w:rFonts w:ascii="Arial"/>
                <w:b/>
                <w:sz w:val="18"/>
              </w:rPr>
            </w:pPr>
          </w:p>
          <w:p>
            <w:pPr>
              <w:pStyle w:val="TableParagraph"/>
              <w:spacing w:before="117"/>
              <w:rPr>
                <w:rFonts w:ascii="Arial"/>
                <w:b/>
                <w:sz w:val="18"/>
              </w:rPr>
            </w:pPr>
          </w:p>
          <w:p>
            <w:pPr>
              <w:pStyle w:val="TableParagraph"/>
              <w:spacing w:before="1"/>
              <w:ind w:left="28" w:right="23"/>
              <w:jc w:val="center"/>
              <w:rPr>
                <w:sz w:val="18"/>
              </w:rPr>
            </w:pPr>
            <w:r>
              <w:rPr>
                <w:color w:val="202024"/>
                <w:spacing w:val="-2"/>
                <w:sz w:val="18"/>
              </w:rPr>
              <w:t>Brazil</w:t>
            </w:r>
          </w:p>
        </w:tc>
        <w:tc>
          <w:tcPr>
            <w:tcW w:w="1180" w:type="dxa"/>
          </w:tcPr>
          <w:p>
            <w:pPr>
              <w:pStyle w:val="TableParagraph"/>
              <w:spacing w:before="14"/>
              <w:rPr>
                <w:rFonts w:ascii="Arial"/>
                <w:b/>
                <w:sz w:val="18"/>
              </w:rPr>
            </w:pPr>
          </w:p>
          <w:p>
            <w:pPr>
              <w:pStyle w:val="TableParagraph"/>
              <w:ind w:left="17"/>
              <w:jc w:val="center"/>
              <w:rPr>
                <w:sz w:val="18"/>
              </w:rPr>
            </w:pPr>
            <w:r>
              <w:rPr>
                <w:color w:val="202024"/>
                <w:spacing w:val="-2"/>
                <w:sz w:val="18"/>
              </w:rPr>
              <w:t>Federal </w:t>
            </w:r>
            <w:r>
              <w:rPr>
                <w:color w:val="202024"/>
                <w:sz w:val="18"/>
              </w:rPr>
              <w:t>University</w:t>
            </w:r>
            <w:r>
              <w:rPr>
                <w:color w:val="202024"/>
                <w:spacing w:val="-13"/>
                <w:sz w:val="18"/>
              </w:rPr>
              <w:t> </w:t>
            </w:r>
            <w:r>
              <w:rPr>
                <w:color w:val="202024"/>
                <w:sz w:val="18"/>
              </w:rPr>
              <w:t>of Santa</w:t>
            </w:r>
            <w:r>
              <w:rPr>
                <w:color w:val="202024"/>
                <w:spacing w:val="-13"/>
                <w:sz w:val="18"/>
              </w:rPr>
              <w:t> </w:t>
            </w:r>
            <w:r>
              <w:rPr>
                <w:color w:val="202024"/>
                <w:sz w:val="18"/>
              </w:rPr>
              <w:t>Maria </w:t>
            </w:r>
            <w:r>
              <w:rPr>
                <w:color w:val="202024"/>
                <w:spacing w:val="-2"/>
                <w:sz w:val="18"/>
              </w:rPr>
              <w:t>(UFSM)</w:t>
            </w:r>
          </w:p>
        </w:tc>
        <w:tc>
          <w:tcPr>
            <w:tcW w:w="1220" w:type="dxa"/>
          </w:tcPr>
          <w:p>
            <w:pPr>
              <w:pStyle w:val="TableParagraph"/>
              <w:rPr>
                <w:rFonts w:ascii="Arial"/>
                <w:b/>
                <w:sz w:val="18"/>
              </w:rPr>
            </w:pPr>
          </w:p>
          <w:p>
            <w:pPr>
              <w:pStyle w:val="TableParagraph"/>
              <w:spacing w:before="14"/>
              <w:rPr>
                <w:rFonts w:ascii="Arial"/>
                <w:b/>
                <w:sz w:val="18"/>
              </w:rPr>
            </w:pPr>
          </w:p>
          <w:p>
            <w:pPr>
              <w:pStyle w:val="TableParagraph"/>
              <w:ind w:left="392" w:hanging="266"/>
              <w:rPr>
                <w:sz w:val="18"/>
              </w:rPr>
            </w:pPr>
            <w:r>
              <w:rPr>
                <w:color w:val="202024"/>
                <w:spacing w:val="-2"/>
                <w:sz w:val="18"/>
              </w:rPr>
              <w:t>Quantitative study</w:t>
            </w:r>
          </w:p>
        </w:tc>
        <w:tc>
          <w:tcPr>
            <w:tcW w:w="1540" w:type="dxa"/>
          </w:tcPr>
          <w:p>
            <w:pPr>
              <w:pStyle w:val="TableParagraph"/>
              <w:rPr>
                <w:rFonts w:ascii="Arial"/>
                <w:b/>
                <w:sz w:val="18"/>
              </w:rPr>
            </w:pPr>
          </w:p>
          <w:p>
            <w:pPr>
              <w:pStyle w:val="TableParagraph"/>
              <w:spacing w:before="117"/>
              <w:rPr>
                <w:rFonts w:ascii="Arial"/>
                <w:b/>
                <w:sz w:val="18"/>
              </w:rPr>
            </w:pPr>
          </w:p>
          <w:p>
            <w:pPr>
              <w:pStyle w:val="TableParagraph"/>
              <w:spacing w:before="1"/>
              <w:ind w:left="17" w:right="2"/>
              <w:jc w:val="center"/>
              <w:rPr>
                <w:sz w:val="18"/>
              </w:rPr>
            </w:pPr>
            <w:r>
              <w:rPr>
                <w:color w:val="202024"/>
                <w:sz w:val="18"/>
              </w:rPr>
              <w:t>Dentistry </w:t>
            </w:r>
            <w:r>
              <w:rPr>
                <w:color w:val="202024"/>
                <w:spacing w:val="-2"/>
                <w:sz w:val="18"/>
              </w:rPr>
              <w:t>students</w:t>
            </w:r>
          </w:p>
        </w:tc>
        <w:tc>
          <w:tcPr>
            <w:tcW w:w="3070" w:type="dxa"/>
            <w:tcBorders>
              <w:right w:val="nil"/>
            </w:tcBorders>
          </w:tcPr>
          <w:p>
            <w:pPr>
              <w:pStyle w:val="TableParagraph"/>
              <w:spacing w:line="200" w:lineRule="atLeast" w:before="205"/>
              <w:ind w:left="64" w:right="62"/>
              <w:jc w:val="center"/>
              <w:rPr>
                <w:sz w:val="18"/>
              </w:rPr>
            </w:pPr>
            <w:r>
              <w:rPr>
                <w:color w:val="202024"/>
                <w:sz w:val="18"/>
              </w:rPr>
              <w:t>A questionnaire with 15 questions (open-ended</w:t>
            </w:r>
            <w:r>
              <w:rPr>
                <w:color w:val="202024"/>
                <w:spacing w:val="-13"/>
                <w:sz w:val="18"/>
              </w:rPr>
              <w:t> </w:t>
            </w:r>
            <w:r>
              <w:rPr>
                <w:color w:val="202024"/>
                <w:sz w:val="18"/>
              </w:rPr>
              <w:t>and</w:t>
            </w:r>
            <w:r>
              <w:rPr>
                <w:color w:val="202024"/>
                <w:spacing w:val="-12"/>
                <w:sz w:val="18"/>
              </w:rPr>
              <w:t> </w:t>
            </w:r>
            <w:r>
              <w:rPr>
                <w:color w:val="202024"/>
                <w:sz w:val="18"/>
              </w:rPr>
              <w:t>multiple-choice)</w:t>
            </w:r>
            <w:r>
              <w:rPr>
                <w:color w:val="202024"/>
                <w:spacing w:val="-13"/>
                <w:sz w:val="18"/>
              </w:rPr>
              <w:t> </w:t>
            </w:r>
            <w:r>
              <w:rPr>
                <w:color w:val="202024"/>
                <w:sz w:val="18"/>
              </w:rPr>
              <w:t>on TMD and bruxism was applied to 20 students from the 7th and 10th semesters at UFSM. The results</w:t>
            </w:r>
          </w:p>
        </w:tc>
      </w:tr>
    </w:tbl>
    <w:p>
      <w:pPr>
        <w:pStyle w:val="TableParagraph"/>
        <w:spacing w:after="0" w:line="200" w:lineRule="atLeast"/>
        <w:jc w:val="center"/>
        <w:rPr>
          <w:sz w:val="18"/>
        </w:rPr>
        <w:sectPr>
          <w:type w:val="continuous"/>
          <w:pgSz w:w="12240" w:h="15840"/>
          <w:pgMar w:header="16" w:footer="0" w:top="340" w:bottom="280" w:left="1440" w:right="36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0"/>
        <w:gridCol w:w="940"/>
        <w:gridCol w:w="1180"/>
        <w:gridCol w:w="1220"/>
        <w:gridCol w:w="1540"/>
        <w:gridCol w:w="3070"/>
      </w:tblGrid>
      <w:tr>
        <w:trPr>
          <w:trHeight w:val="840" w:hRule="atLeast"/>
        </w:trPr>
        <w:tc>
          <w:tcPr>
            <w:tcW w:w="1200" w:type="dxa"/>
            <w:tcBorders>
              <w:left w:val="single" w:sz="8" w:space="0" w:color="FFFFFF"/>
            </w:tcBorders>
          </w:tcPr>
          <w:p>
            <w:pPr>
              <w:pStyle w:val="TableParagraph"/>
              <w:rPr>
                <w:rFonts w:ascii="Times New Roman"/>
                <w:sz w:val="18"/>
              </w:rPr>
            </w:pPr>
          </w:p>
        </w:tc>
        <w:tc>
          <w:tcPr>
            <w:tcW w:w="940" w:type="dxa"/>
          </w:tcPr>
          <w:p>
            <w:pPr>
              <w:pStyle w:val="TableParagraph"/>
              <w:rPr>
                <w:rFonts w:ascii="Times New Roman"/>
                <w:sz w:val="18"/>
              </w:rPr>
            </w:pPr>
          </w:p>
        </w:tc>
        <w:tc>
          <w:tcPr>
            <w:tcW w:w="1180" w:type="dxa"/>
          </w:tcPr>
          <w:p>
            <w:pPr>
              <w:pStyle w:val="TableParagraph"/>
              <w:rPr>
                <w:rFonts w:ascii="Times New Roman"/>
                <w:sz w:val="18"/>
              </w:rPr>
            </w:pPr>
          </w:p>
        </w:tc>
        <w:tc>
          <w:tcPr>
            <w:tcW w:w="1220" w:type="dxa"/>
          </w:tcPr>
          <w:p>
            <w:pPr>
              <w:pStyle w:val="TableParagraph"/>
              <w:rPr>
                <w:rFonts w:ascii="Times New Roman"/>
                <w:sz w:val="18"/>
              </w:rPr>
            </w:pPr>
          </w:p>
        </w:tc>
        <w:tc>
          <w:tcPr>
            <w:tcW w:w="1540" w:type="dxa"/>
          </w:tcPr>
          <w:p>
            <w:pPr>
              <w:pStyle w:val="TableParagraph"/>
              <w:rPr>
                <w:rFonts w:ascii="Times New Roman"/>
                <w:sz w:val="18"/>
              </w:rPr>
            </w:pPr>
          </w:p>
        </w:tc>
        <w:tc>
          <w:tcPr>
            <w:tcW w:w="3070" w:type="dxa"/>
            <w:tcBorders>
              <w:right w:val="nil"/>
            </w:tcBorders>
          </w:tcPr>
          <w:p>
            <w:pPr>
              <w:pStyle w:val="TableParagraph"/>
              <w:spacing w:before="10"/>
              <w:ind w:left="174" w:right="137" w:hanging="36"/>
              <w:jc w:val="both"/>
              <w:rPr>
                <w:sz w:val="18"/>
              </w:rPr>
            </w:pPr>
            <w:r>
              <w:rPr>
                <w:color w:val="202024"/>
                <w:sz w:val="18"/>
              </w:rPr>
              <w:t>showed</w:t>
            </w:r>
            <w:r>
              <w:rPr>
                <w:color w:val="202024"/>
                <w:spacing w:val="-8"/>
                <w:sz w:val="18"/>
              </w:rPr>
              <w:t> </w:t>
            </w:r>
            <w:r>
              <w:rPr>
                <w:color w:val="202024"/>
                <w:sz w:val="18"/>
              </w:rPr>
              <w:t>an</w:t>
            </w:r>
            <w:r>
              <w:rPr>
                <w:color w:val="202024"/>
                <w:spacing w:val="-8"/>
                <w:sz w:val="18"/>
              </w:rPr>
              <w:t> </w:t>
            </w:r>
            <w:r>
              <w:rPr>
                <w:color w:val="202024"/>
                <w:sz w:val="18"/>
              </w:rPr>
              <w:t>average</w:t>
            </w:r>
            <w:r>
              <w:rPr>
                <w:color w:val="202024"/>
                <w:spacing w:val="-8"/>
                <w:sz w:val="18"/>
              </w:rPr>
              <w:t> </w:t>
            </w:r>
            <w:r>
              <w:rPr>
                <w:color w:val="202024"/>
                <w:sz w:val="18"/>
              </w:rPr>
              <w:t>of</w:t>
            </w:r>
            <w:r>
              <w:rPr>
                <w:color w:val="202024"/>
                <w:spacing w:val="-8"/>
                <w:sz w:val="18"/>
              </w:rPr>
              <w:t> </w:t>
            </w:r>
            <w:r>
              <w:rPr>
                <w:color w:val="202024"/>
                <w:sz w:val="18"/>
              </w:rPr>
              <w:t>54%</w:t>
            </w:r>
            <w:r>
              <w:rPr>
                <w:color w:val="202024"/>
                <w:spacing w:val="-8"/>
                <w:sz w:val="18"/>
              </w:rPr>
              <w:t> </w:t>
            </w:r>
            <w:r>
              <w:rPr>
                <w:color w:val="202024"/>
                <w:sz w:val="18"/>
              </w:rPr>
              <w:t>correct answers,</w:t>
            </w:r>
            <w:r>
              <w:rPr>
                <w:color w:val="202024"/>
                <w:spacing w:val="-1"/>
                <w:sz w:val="18"/>
              </w:rPr>
              <w:t> </w:t>
            </w:r>
            <w:r>
              <w:rPr>
                <w:color w:val="202024"/>
                <w:sz w:val="18"/>
              </w:rPr>
              <w:t>revealing</w:t>
            </w:r>
            <w:r>
              <w:rPr>
                <w:color w:val="202024"/>
                <w:spacing w:val="-1"/>
                <w:sz w:val="18"/>
              </w:rPr>
              <w:t> </w:t>
            </w:r>
            <w:r>
              <w:rPr>
                <w:color w:val="202024"/>
                <w:sz w:val="18"/>
              </w:rPr>
              <w:t>limited</w:t>
            </w:r>
            <w:r>
              <w:rPr>
                <w:color w:val="202024"/>
                <w:spacing w:val="-1"/>
                <w:sz w:val="18"/>
              </w:rPr>
              <w:t> </w:t>
            </w:r>
            <w:r>
              <w:rPr>
                <w:color w:val="202024"/>
                <w:sz w:val="18"/>
              </w:rPr>
              <w:t>student knowledge of TMD and bruxism.</w:t>
            </w:r>
          </w:p>
        </w:tc>
      </w:tr>
      <w:tr>
        <w:trPr>
          <w:trHeight w:val="2939" w:hRule="atLeast"/>
        </w:trPr>
        <w:tc>
          <w:tcPr>
            <w:tcW w:w="1200" w:type="dxa"/>
            <w:tcBorders>
              <w:left w:val="single" w:sz="8" w:space="0" w:color="FFFFFF"/>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before="1"/>
              <w:ind w:left="17"/>
              <w:jc w:val="center"/>
              <w:rPr>
                <w:sz w:val="18"/>
              </w:rPr>
            </w:pPr>
            <w:r>
              <w:rPr>
                <w:color w:val="202024"/>
                <w:spacing w:val="-2"/>
                <w:sz w:val="18"/>
              </w:rPr>
              <w:t>Simm; Guimarães, </w:t>
            </w:r>
            <w:r>
              <w:rPr>
                <w:color w:val="202024"/>
                <w:spacing w:val="-4"/>
                <w:sz w:val="18"/>
              </w:rPr>
              <w:t>2013</w:t>
            </w:r>
          </w:p>
        </w:tc>
        <w:tc>
          <w:tcPr>
            <w:tcW w:w="940" w:type="dxa"/>
            <w:tcBorders>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before="1"/>
              <w:ind w:left="237"/>
              <w:rPr>
                <w:sz w:val="18"/>
              </w:rPr>
            </w:pPr>
            <w:r>
              <w:rPr>
                <w:color w:val="202024"/>
                <w:spacing w:val="-2"/>
                <w:sz w:val="18"/>
              </w:rPr>
              <w:t>Brazil</w:t>
            </w:r>
          </w:p>
        </w:tc>
        <w:tc>
          <w:tcPr>
            <w:tcW w:w="1180" w:type="dxa"/>
            <w:tcBorders>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before="1"/>
              <w:ind w:left="192" w:right="175"/>
              <w:jc w:val="center"/>
              <w:rPr>
                <w:sz w:val="18"/>
              </w:rPr>
            </w:pPr>
            <w:r>
              <w:rPr>
                <w:color w:val="202024"/>
                <w:spacing w:val="-2"/>
                <w:sz w:val="18"/>
              </w:rPr>
              <w:t>Maringá University Center</w:t>
            </w:r>
          </w:p>
        </w:tc>
        <w:tc>
          <w:tcPr>
            <w:tcW w:w="1220" w:type="dxa"/>
            <w:tcBorders>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3"/>
              <w:rPr>
                <w:rFonts w:ascii="Arial"/>
                <w:b/>
                <w:sz w:val="18"/>
              </w:rPr>
            </w:pPr>
          </w:p>
          <w:p>
            <w:pPr>
              <w:pStyle w:val="TableParagraph"/>
              <w:ind w:left="392" w:hanging="266"/>
              <w:rPr>
                <w:sz w:val="18"/>
              </w:rPr>
            </w:pPr>
            <w:r>
              <w:rPr>
                <w:color w:val="202024"/>
                <w:spacing w:val="-2"/>
                <w:sz w:val="18"/>
              </w:rPr>
              <w:t>Quantitative study</w:t>
            </w:r>
          </w:p>
        </w:tc>
        <w:tc>
          <w:tcPr>
            <w:tcW w:w="1540" w:type="dxa"/>
            <w:tcBorders>
              <w:bottom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before="1"/>
              <w:ind w:left="17"/>
              <w:jc w:val="center"/>
              <w:rPr>
                <w:sz w:val="18"/>
              </w:rPr>
            </w:pPr>
            <w:r>
              <w:rPr>
                <w:color w:val="202024"/>
                <w:sz w:val="18"/>
              </w:rPr>
              <w:t>Dentistry</w:t>
            </w:r>
            <w:r>
              <w:rPr>
                <w:color w:val="202024"/>
                <w:spacing w:val="-13"/>
                <w:sz w:val="18"/>
              </w:rPr>
              <w:t> </w:t>
            </w:r>
            <w:r>
              <w:rPr>
                <w:color w:val="202024"/>
                <w:sz w:val="18"/>
              </w:rPr>
              <w:t>program coordinators and </w:t>
            </w:r>
            <w:r>
              <w:rPr>
                <w:color w:val="202024"/>
                <w:spacing w:val="-2"/>
                <w:sz w:val="18"/>
              </w:rPr>
              <w:t>directors</w:t>
            </w:r>
          </w:p>
        </w:tc>
        <w:tc>
          <w:tcPr>
            <w:tcW w:w="3070" w:type="dxa"/>
            <w:tcBorders>
              <w:bottom w:val="nil"/>
              <w:right w:val="nil"/>
            </w:tcBorders>
          </w:tcPr>
          <w:p>
            <w:pPr>
              <w:pStyle w:val="TableParagraph"/>
              <w:spacing w:before="23"/>
              <w:rPr>
                <w:rFonts w:ascii="Arial"/>
                <w:b/>
                <w:sz w:val="18"/>
              </w:rPr>
            </w:pPr>
          </w:p>
          <w:p>
            <w:pPr>
              <w:pStyle w:val="TableParagraph"/>
              <w:ind w:left="55" w:right="53"/>
              <w:jc w:val="center"/>
              <w:rPr>
                <w:sz w:val="18"/>
              </w:rPr>
            </w:pPr>
            <w:r>
              <w:rPr>
                <w:color w:val="202024"/>
                <w:sz w:val="18"/>
              </w:rPr>
              <w:t>Questionnaires were applied to coordinators and directors of Dentistry programs in Brazilian schools, collecting data on the number of hours dedicated to teaching</w:t>
            </w:r>
            <w:r>
              <w:rPr>
                <w:color w:val="202024"/>
                <w:spacing w:val="-8"/>
                <w:sz w:val="18"/>
              </w:rPr>
              <w:t> </w:t>
            </w:r>
            <w:r>
              <w:rPr>
                <w:color w:val="202024"/>
                <w:sz w:val="18"/>
              </w:rPr>
              <w:t>pain</w:t>
            </w:r>
            <w:r>
              <w:rPr>
                <w:color w:val="202024"/>
                <w:spacing w:val="-8"/>
                <w:sz w:val="18"/>
              </w:rPr>
              <w:t> </w:t>
            </w:r>
            <w:r>
              <w:rPr>
                <w:color w:val="202024"/>
                <w:sz w:val="18"/>
              </w:rPr>
              <w:t>mechanisms.</w:t>
            </w:r>
            <w:r>
              <w:rPr>
                <w:color w:val="202024"/>
                <w:spacing w:val="-8"/>
                <w:sz w:val="18"/>
              </w:rPr>
              <w:t> </w:t>
            </w:r>
            <w:r>
              <w:rPr>
                <w:color w:val="202024"/>
                <w:sz w:val="18"/>
              </w:rPr>
              <w:t>A</w:t>
            </w:r>
            <w:r>
              <w:rPr>
                <w:color w:val="202024"/>
                <w:spacing w:val="-8"/>
                <w:sz w:val="18"/>
              </w:rPr>
              <w:t> </w:t>
            </w:r>
            <w:r>
              <w:rPr>
                <w:color w:val="202024"/>
                <w:sz w:val="18"/>
              </w:rPr>
              <w:t>total</w:t>
            </w:r>
            <w:r>
              <w:rPr>
                <w:color w:val="202024"/>
                <w:spacing w:val="-8"/>
                <w:sz w:val="18"/>
              </w:rPr>
              <w:t> </w:t>
            </w:r>
            <w:r>
              <w:rPr>
                <w:color w:val="202024"/>
                <w:sz w:val="18"/>
              </w:rPr>
              <w:t>of 53 Dentistry schools participated.</w:t>
            </w:r>
          </w:p>
          <w:p>
            <w:pPr>
              <w:pStyle w:val="TableParagraph"/>
              <w:ind w:left="10" w:right="8"/>
              <w:jc w:val="center"/>
              <w:rPr>
                <w:sz w:val="18"/>
              </w:rPr>
            </w:pPr>
            <w:r>
              <w:rPr>
                <w:color w:val="202024"/>
                <w:sz w:val="18"/>
              </w:rPr>
              <w:t>Results showed an average of 4,530 hours allocated to the course, with significant</w:t>
            </w:r>
            <w:r>
              <w:rPr>
                <w:color w:val="202024"/>
                <w:spacing w:val="-10"/>
                <w:sz w:val="18"/>
              </w:rPr>
              <w:t> </w:t>
            </w:r>
            <w:r>
              <w:rPr>
                <w:color w:val="202024"/>
                <w:sz w:val="18"/>
              </w:rPr>
              <w:t>variations</w:t>
            </w:r>
            <w:r>
              <w:rPr>
                <w:color w:val="202024"/>
                <w:spacing w:val="-10"/>
                <w:sz w:val="18"/>
              </w:rPr>
              <w:t> </w:t>
            </w:r>
            <w:r>
              <w:rPr>
                <w:color w:val="202024"/>
                <w:sz w:val="18"/>
              </w:rPr>
              <w:t>in</w:t>
            </w:r>
            <w:r>
              <w:rPr>
                <w:color w:val="202024"/>
                <w:spacing w:val="-10"/>
                <w:sz w:val="18"/>
              </w:rPr>
              <w:t> </w:t>
            </w:r>
            <w:r>
              <w:rPr>
                <w:color w:val="202024"/>
                <w:sz w:val="18"/>
              </w:rPr>
              <w:t>the</w:t>
            </w:r>
            <w:r>
              <w:rPr>
                <w:color w:val="202024"/>
                <w:spacing w:val="-10"/>
                <w:sz w:val="18"/>
              </w:rPr>
              <w:t> </w:t>
            </w:r>
            <w:r>
              <w:rPr>
                <w:color w:val="202024"/>
                <w:sz w:val="18"/>
              </w:rPr>
              <w:t>proportion of hours dedicated to teaching OFP and TMD.</w:t>
            </w:r>
          </w:p>
        </w:tc>
      </w:tr>
    </w:tbl>
    <w:p>
      <w:pPr>
        <w:pStyle w:val="BodyText"/>
        <w:rPr>
          <w:rFonts w:ascii="Arial"/>
          <w:b/>
          <w:sz w:val="18"/>
        </w:rPr>
      </w:pPr>
    </w:p>
    <w:p>
      <w:pPr>
        <w:spacing w:before="0"/>
        <w:ind w:left="570" w:right="0" w:firstLine="0"/>
        <w:jc w:val="left"/>
        <w:rPr>
          <w:rFonts w:ascii="Arial"/>
          <w:i/>
          <w:sz w:val="18"/>
        </w:rPr>
      </w:pPr>
      <w:r>
        <w:rPr>
          <w:rFonts w:ascii="Arial"/>
          <w:i/>
          <w:sz w:val="18"/>
        </w:rPr>
        <w:t>Source: Rodacoski; Pires; Bellani, </w:t>
      </w:r>
      <w:r>
        <w:rPr>
          <w:rFonts w:ascii="Arial"/>
          <w:i/>
          <w:spacing w:val="-2"/>
          <w:sz w:val="18"/>
        </w:rPr>
        <w:t>2025.</w:t>
      </w:r>
    </w:p>
    <w:p>
      <w:pPr>
        <w:pStyle w:val="BodyText"/>
        <w:rPr>
          <w:rFonts w:ascii="Arial"/>
          <w:i/>
          <w:sz w:val="18"/>
        </w:rPr>
      </w:pPr>
    </w:p>
    <w:p>
      <w:pPr>
        <w:pStyle w:val="BodyText"/>
        <w:spacing w:before="59"/>
        <w:rPr>
          <w:rFonts w:ascii="Arial"/>
          <w:i/>
          <w:sz w:val="18"/>
        </w:rPr>
      </w:pPr>
    </w:p>
    <w:p>
      <w:pPr>
        <w:pStyle w:val="BodyText"/>
        <w:spacing w:line="230" w:lineRule="auto"/>
        <w:ind w:left="570" w:right="1648" w:firstLine="720"/>
        <w:jc w:val="both"/>
      </w:pPr>
      <w:r>
        <w:rPr/>
        <w:t>The key findings indicate considerable variation in pedagogical practices among higher education institutions. A lack of uniformity in the teaching of Temporomandibular Disorders (TMD) was widely identified, with significant differences in the number of hours dedicated to the subject and the depth with which the content is addressed. While some universities provide more robust training, others include TMD and Orofacial Pain (OFP) education superficially, often integrating these topics into broader courses, such as</w:t>
      </w:r>
      <w:r>
        <w:rPr>
          <w:spacing w:val="40"/>
        </w:rPr>
        <w:t> </w:t>
      </w:r>
      <w:r>
        <w:rPr/>
        <w:t>Pathology and Preventive Dentistry.</w:t>
      </w:r>
    </w:p>
    <w:p>
      <w:pPr>
        <w:pStyle w:val="BodyText"/>
        <w:spacing w:before="2"/>
      </w:pPr>
    </w:p>
    <w:p>
      <w:pPr>
        <w:pStyle w:val="BodyText"/>
        <w:spacing w:line="230" w:lineRule="auto"/>
        <w:ind w:left="570" w:right="1656" w:firstLine="720"/>
        <w:jc w:val="both"/>
      </w:pPr>
      <w:r>
        <w:rPr/>
        <w:t>It was observed that Dentistry students demonstrate limited knowledge of</w:t>
      </w:r>
      <w:r>
        <w:rPr>
          <w:spacing w:val="-4"/>
        </w:rPr>
        <w:t> </w:t>
      </w:r>
      <w:r>
        <w:rPr/>
        <w:t>TMD</w:t>
      </w:r>
      <w:r>
        <w:rPr>
          <w:spacing w:val="-4"/>
        </w:rPr>
        <w:t> </w:t>
      </w:r>
      <w:r>
        <w:rPr/>
        <w:t>and bruxism, with an average accuracy of only 54% on questions related</w:t>
      </w:r>
      <w:r>
        <w:rPr>
          <w:spacing w:val="-3"/>
        </w:rPr>
        <w:t> </w:t>
      </w:r>
      <w:r>
        <w:rPr/>
        <w:t>to</w:t>
      </w:r>
      <w:r>
        <w:rPr>
          <w:spacing w:val="-3"/>
        </w:rPr>
        <w:t> </w:t>
      </w:r>
      <w:r>
        <w:rPr/>
        <w:t>the</w:t>
      </w:r>
      <w:r>
        <w:rPr>
          <w:spacing w:val="-3"/>
        </w:rPr>
        <w:t> </w:t>
      </w:r>
      <w:r>
        <w:rPr/>
        <w:t>topic</w:t>
      </w:r>
      <w:r>
        <w:rPr>
          <w:spacing w:val="-3"/>
        </w:rPr>
        <w:t> </w:t>
      </w:r>
      <w:r>
        <w:rPr/>
        <w:t>(Rahmeier et al., 2021).</w:t>
      </w:r>
      <w:r>
        <w:rPr>
          <w:spacing w:val="-3"/>
        </w:rPr>
        <w:t> </w:t>
      </w:r>
      <w:r>
        <w:rPr/>
        <w:t>This</w:t>
      </w:r>
      <w:r>
        <w:rPr>
          <w:spacing w:val="-3"/>
        </w:rPr>
        <w:t> </w:t>
      </w:r>
      <w:r>
        <w:rPr/>
        <w:t>finding</w:t>
      </w:r>
      <w:r>
        <w:rPr>
          <w:spacing w:val="-3"/>
        </w:rPr>
        <w:t> </w:t>
      </w:r>
      <w:r>
        <w:rPr/>
        <w:t>reflects</w:t>
      </w:r>
      <w:r>
        <w:rPr>
          <w:spacing w:val="-3"/>
        </w:rPr>
        <w:t> </w:t>
      </w:r>
      <w:r>
        <w:rPr/>
        <w:t>the</w:t>
      </w:r>
      <w:r>
        <w:rPr>
          <w:spacing w:val="-3"/>
        </w:rPr>
        <w:t> </w:t>
      </w:r>
      <w:r>
        <w:rPr/>
        <w:t>insufficiency</w:t>
      </w:r>
      <w:r>
        <w:rPr>
          <w:spacing w:val="-3"/>
        </w:rPr>
        <w:t> </w:t>
      </w:r>
      <w:r>
        <w:rPr/>
        <w:t>of</w:t>
      </w:r>
      <w:r>
        <w:rPr>
          <w:spacing w:val="-3"/>
        </w:rPr>
        <w:t> </w:t>
      </w:r>
      <w:r>
        <w:rPr/>
        <w:t>academic</w:t>
      </w:r>
      <w:r>
        <w:rPr>
          <w:spacing w:val="-3"/>
        </w:rPr>
        <w:t> </w:t>
      </w:r>
      <w:r>
        <w:rPr/>
        <w:t>training</w:t>
      </w:r>
      <w:r>
        <w:rPr>
          <w:spacing w:val="-3"/>
        </w:rPr>
        <w:t> </w:t>
      </w:r>
      <w:r>
        <w:rPr/>
        <w:t>and</w:t>
      </w:r>
      <w:r>
        <w:rPr>
          <w:spacing w:val="-3"/>
        </w:rPr>
        <w:t> </w:t>
      </w:r>
      <w:r>
        <w:rPr/>
        <w:t>suggests</w:t>
      </w:r>
      <w:r>
        <w:rPr>
          <w:spacing w:val="-3"/>
        </w:rPr>
        <w:t> </w:t>
      </w:r>
      <w:r>
        <w:rPr/>
        <w:t>that</w:t>
      </w:r>
      <w:r>
        <w:rPr>
          <w:spacing w:val="-3"/>
        </w:rPr>
        <w:t> </w:t>
      </w:r>
      <w:r>
        <w:rPr/>
        <w:t>the current content does not adequately prepare students to</w:t>
      </w:r>
      <w:r>
        <w:rPr>
          <w:spacing w:val="-3"/>
        </w:rPr>
        <w:t> </w:t>
      </w:r>
      <w:r>
        <w:rPr/>
        <w:t>address</w:t>
      </w:r>
      <w:r>
        <w:rPr>
          <w:spacing w:val="-3"/>
        </w:rPr>
        <w:t> </w:t>
      </w:r>
      <w:r>
        <w:rPr/>
        <w:t>these</w:t>
      </w:r>
      <w:r>
        <w:rPr>
          <w:spacing w:val="-3"/>
        </w:rPr>
        <w:t> </w:t>
      </w:r>
      <w:r>
        <w:rPr/>
        <w:t>conditions</w:t>
      </w:r>
      <w:r>
        <w:rPr>
          <w:spacing w:val="-3"/>
        </w:rPr>
        <w:t> </w:t>
      </w:r>
      <w:r>
        <w:rPr/>
        <w:t>in</w:t>
      </w:r>
      <w:r>
        <w:rPr>
          <w:spacing w:val="-3"/>
        </w:rPr>
        <w:t> </w:t>
      </w:r>
      <w:r>
        <w:rPr/>
        <w:t>clinical </w:t>
      </w:r>
      <w:r>
        <w:rPr>
          <w:spacing w:val="-2"/>
        </w:rPr>
        <w:t>practice.</w:t>
      </w:r>
    </w:p>
    <w:p>
      <w:pPr>
        <w:pStyle w:val="BodyText"/>
        <w:spacing w:before="4"/>
      </w:pPr>
    </w:p>
    <w:p>
      <w:pPr>
        <w:pStyle w:val="BodyText"/>
        <w:spacing w:line="230" w:lineRule="auto"/>
        <w:ind w:left="570" w:right="1650" w:firstLine="720"/>
        <w:jc w:val="both"/>
      </w:pPr>
      <w:r>
        <w:rPr/>
        <w:t>Another significant issue</w:t>
      </w:r>
      <w:r>
        <w:rPr>
          <w:spacing w:val="-3"/>
        </w:rPr>
        <w:t> </w:t>
      </w:r>
      <w:r>
        <w:rPr/>
        <w:t>identified</w:t>
      </w:r>
      <w:r>
        <w:rPr>
          <w:spacing w:val="-3"/>
        </w:rPr>
        <w:t> </w:t>
      </w:r>
      <w:r>
        <w:rPr/>
        <w:t>was</w:t>
      </w:r>
      <w:r>
        <w:rPr>
          <w:spacing w:val="-3"/>
        </w:rPr>
        <w:t> </w:t>
      </w:r>
      <w:r>
        <w:rPr/>
        <w:t>the</w:t>
      </w:r>
      <w:r>
        <w:rPr>
          <w:spacing w:val="-3"/>
        </w:rPr>
        <w:t> </w:t>
      </w:r>
      <w:r>
        <w:rPr/>
        <w:t>predominance</w:t>
      </w:r>
      <w:r>
        <w:rPr>
          <w:spacing w:val="-3"/>
        </w:rPr>
        <w:t> </w:t>
      </w:r>
      <w:r>
        <w:rPr/>
        <w:t>of</w:t>
      </w:r>
      <w:r>
        <w:rPr>
          <w:spacing w:val="-3"/>
        </w:rPr>
        <w:t> </w:t>
      </w:r>
      <w:r>
        <w:rPr/>
        <w:t>outdated</w:t>
      </w:r>
      <w:r>
        <w:rPr>
          <w:spacing w:val="-3"/>
        </w:rPr>
        <w:t> </w:t>
      </w:r>
      <w:r>
        <w:rPr/>
        <w:t>approaches</w:t>
      </w:r>
      <w:r>
        <w:rPr>
          <w:spacing w:val="-3"/>
        </w:rPr>
        <w:t> </w:t>
      </w:r>
      <w:r>
        <w:rPr/>
        <w:t>in curricula, with excessive emphasis on occlusal and</w:t>
      </w:r>
      <w:r>
        <w:rPr>
          <w:spacing w:val="-3"/>
        </w:rPr>
        <w:t> </w:t>
      </w:r>
      <w:r>
        <w:rPr/>
        <w:t>biological</w:t>
      </w:r>
      <w:r>
        <w:rPr>
          <w:spacing w:val="-3"/>
        </w:rPr>
        <w:t> </w:t>
      </w:r>
      <w:r>
        <w:rPr/>
        <w:t>factors,</w:t>
      </w:r>
      <w:r>
        <w:rPr>
          <w:spacing w:val="-3"/>
        </w:rPr>
        <w:t> </w:t>
      </w:r>
      <w:r>
        <w:rPr/>
        <w:t>rather</w:t>
      </w:r>
      <w:r>
        <w:rPr>
          <w:spacing w:val="-3"/>
        </w:rPr>
        <w:t> </w:t>
      </w:r>
      <w:r>
        <w:rPr/>
        <w:t>than</w:t>
      </w:r>
      <w:r>
        <w:rPr>
          <w:spacing w:val="-3"/>
        </w:rPr>
        <w:t> </w:t>
      </w:r>
      <w:r>
        <w:rPr/>
        <w:t>adopting</w:t>
      </w:r>
      <w:r>
        <w:rPr>
          <w:spacing w:val="-3"/>
        </w:rPr>
        <w:t> </w:t>
      </w:r>
      <w:r>
        <w:rPr/>
        <w:t>a more contemporary biopsychosocial perspective. These methodologies were found to be inadequate, perpetuating outdated concepts and failing to align with current guidelines for</w:t>
      </w:r>
      <w:r>
        <w:rPr>
          <w:spacing w:val="40"/>
        </w:rPr>
        <w:t> </w:t>
      </w:r>
      <w:r>
        <w:rPr/>
        <w:t>the management of OFP, which requires a more holistic understanding of the factors</w:t>
      </w:r>
      <w:r>
        <w:rPr>
          <w:spacing w:val="40"/>
        </w:rPr>
        <w:t> </w:t>
      </w:r>
      <w:r>
        <w:rPr/>
        <w:t>involved (Araújo et al., 2019).</w:t>
      </w:r>
    </w:p>
    <w:p>
      <w:pPr>
        <w:pStyle w:val="BodyText"/>
        <w:spacing w:before="3"/>
      </w:pPr>
    </w:p>
    <w:p>
      <w:pPr>
        <w:pStyle w:val="BodyText"/>
        <w:spacing w:line="230" w:lineRule="auto" w:before="1"/>
        <w:ind w:left="570" w:right="1648" w:firstLine="720"/>
        <w:jc w:val="both"/>
      </w:pPr>
      <w:r>
        <w:rPr/>
        <w:t>Furthermore, the absence of specialized faculty in TMD and OFP was identified as an obstacle to adequate education. The shortage of specialists in academic staff limits universities' ability to provide in-depth training in this area,</w:t>
      </w:r>
      <w:r>
        <w:rPr>
          <w:spacing w:val="-3"/>
        </w:rPr>
        <w:t> </w:t>
      </w:r>
      <w:r>
        <w:rPr/>
        <w:t>resulting</w:t>
      </w:r>
      <w:r>
        <w:rPr>
          <w:spacing w:val="-3"/>
        </w:rPr>
        <w:t> </w:t>
      </w:r>
      <w:r>
        <w:rPr/>
        <w:t>in</w:t>
      </w:r>
      <w:r>
        <w:rPr>
          <w:spacing w:val="-3"/>
        </w:rPr>
        <w:t> </w:t>
      </w:r>
      <w:r>
        <w:rPr/>
        <w:t>fragmented</w:t>
      </w:r>
      <w:r>
        <w:rPr>
          <w:spacing w:val="-3"/>
        </w:rPr>
        <w:t> </w:t>
      </w:r>
      <w:r>
        <w:rPr/>
        <w:t>and</w:t>
      </w:r>
      <w:r>
        <w:rPr>
          <w:spacing w:val="-3"/>
        </w:rPr>
        <w:t> </w:t>
      </w:r>
      <w:r>
        <w:rPr/>
        <w:t>often insufficient learning experiences.</w:t>
      </w:r>
    </w:p>
    <w:p>
      <w:pPr>
        <w:pStyle w:val="BodyText"/>
        <w:spacing w:before="5"/>
      </w:pPr>
    </w:p>
    <w:p>
      <w:pPr>
        <w:pStyle w:val="BodyText"/>
        <w:spacing w:line="230" w:lineRule="auto"/>
        <w:ind w:left="570" w:right="1649" w:firstLine="720"/>
        <w:jc w:val="both"/>
      </w:pPr>
      <w:r>
        <w:rPr/>
        <w:t>Thus, the findings of this review highlight the need for curricular reform that incorporates TMD and OFP education more comprehensively, following the latest scientific evidence and pedagogical guidelines that emphasize an interdisciplinary and</w:t>
      </w:r>
      <w:r>
        <w:rPr>
          <w:spacing w:val="40"/>
        </w:rPr>
        <w:t> </w:t>
      </w:r>
      <w:r>
        <w:rPr/>
        <w:t>biopsychosocial approach. The implementation of National Curriculum Guidelines (NCGs) that structure the inclusion of these topics is essential to prepare future dentists to address the clinical challenges posed by these complex conditions.</w:t>
      </w:r>
    </w:p>
    <w:p>
      <w:pPr>
        <w:pStyle w:val="BodyText"/>
        <w:spacing w:after="0" w:line="230" w:lineRule="auto"/>
        <w:jc w:val="both"/>
        <w:sectPr>
          <w:type w:val="continuous"/>
          <w:pgSz w:w="12240" w:h="15840"/>
          <w:pgMar w:header="16" w:footer="0" w:top="340" w:bottom="280" w:left="1440" w:right="360"/>
        </w:sectPr>
      </w:pPr>
    </w:p>
    <w:p>
      <w:pPr>
        <w:pStyle w:val="BodyText"/>
        <w:rPr>
          <w:sz w:val="22"/>
        </w:rPr>
      </w:pPr>
    </w:p>
    <w:p>
      <w:pPr>
        <w:pStyle w:val="BodyText"/>
        <w:spacing w:before="51"/>
        <w:rPr>
          <w:sz w:val="22"/>
        </w:rPr>
      </w:pPr>
    </w:p>
    <w:p>
      <w:pPr>
        <w:pStyle w:val="Heading1"/>
        <w:numPr>
          <w:ilvl w:val="0"/>
          <w:numId w:val="4"/>
        </w:numPr>
        <w:tabs>
          <w:tab w:pos="823" w:val="left" w:leader="none"/>
        </w:tabs>
        <w:spacing w:line="240" w:lineRule="auto" w:before="1" w:after="0"/>
        <w:ind w:left="823" w:right="0" w:hanging="253"/>
        <w:jc w:val="left"/>
      </w:pPr>
      <w:r>
        <w:rPr>
          <w:spacing w:val="-2"/>
        </w:rPr>
        <w:t>DISCUSSION</w:t>
      </w:r>
    </w:p>
    <w:p>
      <w:pPr>
        <w:pStyle w:val="BodyText"/>
        <w:spacing w:line="230" w:lineRule="auto" w:before="237"/>
        <w:ind w:left="570" w:right="1649" w:firstLine="720"/>
        <w:jc w:val="both"/>
      </w:pPr>
      <w:r>
        <w:rPr/>
        <w:t>A major finding of this review is the urgent need for curriculum reform in TMD and OFP education. Many dental students graduate without sufficient training in diagnosing and managing these conditions, leading to suboptimal patient care.</w:t>
      </w:r>
    </w:p>
    <w:p>
      <w:pPr>
        <w:pStyle w:val="BodyText"/>
        <w:spacing w:before="7"/>
      </w:pPr>
    </w:p>
    <w:p>
      <w:pPr>
        <w:pStyle w:val="BodyText"/>
        <w:spacing w:line="230" w:lineRule="auto"/>
        <w:ind w:left="570" w:right="1648" w:firstLine="720"/>
        <w:jc w:val="both"/>
      </w:pPr>
      <w:r>
        <w:rPr/>
        <w:t>The analysis of TMD and OFP education in Dentistry programs reveals significant gaps, highlighting the need for a</w:t>
      </w:r>
      <w:r>
        <w:rPr>
          <w:spacing w:val="-3"/>
        </w:rPr>
        <w:t> </w:t>
      </w:r>
      <w:r>
        <w:rPr/>
        <w:t>more</w:t>
      </w:r>
      <w:r>
        <w:rPr>
          <w:spacing w:val="-3"/>
        </w:rPr>
        <w:t> </w:t>
      </w:r>
      <w:r>
        <w:rPr/>
        <w:t>comprehensive</w:t>
      </w:r>
      <w:r>
        <w:rPr>
          <w:spacing w:val="-3"/>
        </w:rPr>
        <w:t> </w:t>
      </w:r>
      <w:r>
        <w:rPr/>
        <w:t>curriculum</w:t>
      </w:r>
      <w:r>
        <w:rPr>
          <w:spacing w:val="-3"/>
        </w:rPr>
        <w:t> </w:t>
      </w:r>
      <w:r>
        <w:rPr/>
        <w:t>aligned</w:t>
      </w:r>
      <w:r>
        <w:rPr>
          <w:spacing w:val="-3"/>
        </w:rPr>
        <w:t> </w:t>
      </w:r>
      <w:r>
        <w:rPr/>
        <w:t>with</w:t>
      </w:r>
      <w:r>
        <w:rPr>
          <w:spacing w:val="-3"/>
        </w:rPr>
        <w:t> </w:t>
      </w:r>
      <w:r>
        <w:rPr/>
        <w:t>contemporary needs</w:t>
      </w:r>
      <w:r>
        <w:rPr>
          <w:spacing w:val="-4"/>
        </w:rPr>
        <w:t> </w:t>
      </w:r>
      <w:r>
        <w:rPr/>
        <w:t>in</w:t>
      </w:r>
      <w:r>
        <w:rPr>
          <w:spacing w:val="-4"/>
        </w:rPr>
        <w:t> </w:t>
      </w:r>
      <w:r>
        <w:rPr/>
        <w:t>dental</w:t>
      </w:r>
      <w:r>
        <w:rPr>
          <w:spacing w:val="-4"/>
        </w:rPr>
        <w:t> </w:t>
      </w:r>
      <w:r>
        <w:rPr/>
        <w:t>practice</w:t>
      </w:r>
      <w:r>
        <w:rPr>
          <w:spacing w:val="-4"/>
        </w:rPr>
        <w:t> </w:t>
      </w:r>
      <w:r>
        <w:rPr/>
        <w:t>(Ommerborn</w:t>
      </w:r>
      <w:r>
        <w:rPr>
          <w:spacing w:val="-4"/>
        </w:rPr>
        <w:t> </w:t>
      </w:r>
      <w:r>
        <w:rPr/>
        <w:t>et</w:t>
      </w:r>
      <w:r>
        <w:rPr>
          <w:spacing w:val="-4"/>
        </w:rPr>
        <w:t> </w:t>
      </w:r>
      <w:r>
        <w:rPr/>
        <w:t>al.,</w:t>
      </w:r>
      <w:r>
        <w:rPr>
          <w:spacing w:val="-4"/>
        </w:rPr>
        <w:t> </w:t>
      </w:r>
      <w:r>
        <w:rPr/>
        <w:t>2009;</w:t>
      </w:r>
      <w:r>
        <w:rPr>
          <w:spacing w:val="-4"/>
        </w:rPr>
        <w:t> </w:t>
      </w:r>
      <w:r>
        <w:rPr/>
        <w:t>Aggarwal</w:t>
      </w:r>
      <w:r>
        <w:rPr>
          <w:spacing w:val="-4"/>
        </w:rPr>
        <w:t> </w:t>
      </w:r>
      <w:r>
        <w:rPr/>
        <w:t>et</w:t>
      </w:r>
      <w:r>
        <w:rPr>
          <w:spacing w:val="-4"/>
        </w:rPr>
        <w:t> </w:t>
      </w:r>
      <w:r>
        <w:rPr/>
        <w:t>al.,</w:t>
      </w:r>
      <w:r>
        <w:rPr>
          <w:spacing w:val="-4"/>
        </w:rPr>
        <w:t> </w:t>
      </w:r>
      <w:r>
        <w:rPr/>
        <w:t>2011;</w:t>
      </w:r>
      <w:r>
        <w:rPr>
          <w:spacing w:val="-4"/>
        </w:rPr>
        <w:t> </w:t>
      </w:r>
      <w:r>
        <w:rPr/>
        <w:t>Simm</w:t>
      </w:r>
      <w:r>
        <w:rPr>
          <w:spacing w:val="-4"/>
        </w:rPr>
        <w:t> </w:t>
      </w:r>
      <w:r>
        <w:rPr/>
        <w:t>&amp;</w:t>
      </w:r>
      <w:r>
        <w:rPr>
          <w:spacing w:val="-4"/>
        </w:rPr>
        <w:t> </w:t>
      </w:r>
      <w:r>
        <w:rPr/>
        <w:t>Guimarães, 2013; Alonso et al., 2014; Machado, Lima, Conti, 2014; Al-Khotani et</w:t>
      </w:r>
      <w:r>
        <w:rPr>
          <w:spacing w:val="-2"/>
        </w:rPr>
        <w:t> </w:t>
      </w:r>
      <w:r>
        <w:rPr/>
        <w:t>al.,</w:t>
      </w:r>
      <w:r>
        <w:rPr>
          <w:spacing w:val="-2"/>
        </w:rPr>
        <w:t> </w:t>
      </w:r>
      <w:r>
        <w:rPr/>
        <w:t>2015;</w:t>
      </w:r>
      <w:r>
        <w:rPr>
          <w:spacing w:val="-2"/>
        </w:rPr>
        <w:t> </w:t>
      </w:r>
      <w:r>
        <w:rPr/>
        <w:t>Magri</w:t>
      </w:r>
      <w:r>
        <w:rPr>
          <w:spacing w:val="-2"/>
        </w:rPr>
        <w:t> </w:t>
      </w:r>
      <w:r>
        <w:rPr/>
        <w:t>et</w:t>
      </w:r>
      <w:r>
        <w:rPr>
          <w:spacing w:val="-2"/>
        </w:rPr>
        <w:t> </w:t>
      </w:r>
      <w:r>
        <w:rPr/>
        <w:t>al., 2018; Araújo et al., 2019; Heir, 2019; Rahmeier et al., 2021).</w:t>
      </w:r>
    </w:p>
    <w:p>
      <w:pPr>
        <w:pStyle w:val="BodyText"/>
        <w:spacing w:before="4"/>
      </w:pPr>
    </w:p>
    <w:p>
      <w:pPr>
        <w:pStyle w:val="BodyText"/>
        <w:spacing w:line="276" w:lineRule="auto" w:before="1"/>
        <w:ind w:left="570" w:right="1574" w:firstLine="720"/>
        <w:jc w:val="both"/>
      </w:pPr>
      <w:r>
        <w:rPr>
          <w:color w:val="000000"/>
          <w:highlight w:val="yellow"/>
        </w:rPr>
        <w:t>Current curricula often rely on outdated occlusal and biomechanical models,</w:t>
      </w:r>
      <w:r>
        <w:rPr>
          <w:color w:val="000000"/>
        </w:rPr>
        <w:t> </w:t>
      </w:r>
      <w:r>
        <w:rPr>
          <w:color w:val="000000"/>
          <w:highlight w:val="yellow"/>
        </w:rPr>
        <w:t>neglecting the essential biopsychosocial framework required for comprehensive pain</w:t>
      </w:r>
      <w:r>
        <w:rPr>
          <w:color w:val="000000"/>
        </w:rPr>
        <w:t> </w:t>
      </w:r>
      <w:r>
        <w:rPr>
          <w:color w:val="000000"/>
          <w:highlight w:val="yellow"/>
        </w:rPr>
        <w:t>management. This limited perspective fails to equip students with the necessary diagnostic</w:t>
      </w:r>
      <w:r>
        <w:rPr>
          <w:color w:val="000000"/>
        </w:rPr>
        <w:t> </w:t>
      </w:r>
      <w:r>
        <w:rPr>
          <w:color w:val="000000"/>
          <w:highlight w:val="yellow"/>
        </w:rPr>
        <w:t>and clinical skills to treat complex TMD and OFP cases effectively. Moreover, the lack of</w:t>
      </w:r>
      <w:r>
        <w:rPr>
          <w:color w:val="000000"/>
        </w:rPr>
        <w:t> </w:t>
      </w:r>
      <w:r>
        <w:rPr>
          <w:color w:val="000000"/>
          <w:highlight w:val="yellow"/>
        </w:rPr>
        <w:t>specialized faculty further restricts the depth and quality of instruction, leaving many</w:t>
      </w:r>
      <w:r>
        <w:rPr>
          <w:color w:val="000000"/>
          <w:spacing w:val="40"/>
        </w:rPr>
        <w:t> </w:t>
      </w:r>
      <w:r>
        <w:rPr>
          <w:color w:val="000000"/>
          <w:highlight w:val="yellow"/>
        </w:rPr>
        <w:t>programs with fragmented or superficial coverage of these topics. (Araújo et al., 2019).</w:t>
      </w:r>
    </w:p>
    <w:p>
      <w:pPr>
        <w:pStyle w:val="BodyText"/>
        <w:spacing w:before="6"/>
      </w:pPr>
    </w:p>
    <w:p>
      <w:pPr>
        <w:pStyle w:val="BodyText"/>
        <w:spacing w:line="230" w:lineRule="auto"/>
        <w:ind w:left="570" w:right="1654" w:firstLine="720"/>
        <w:jc w:val="both"/>
      </w:pPr>
      <w:r>
        <w:rPr/>
        <w:t>Studies from North America and the UK highlight a continued reliance on outdated occlusal theories, with limited incorporation of biopsychosocial approaches to pain management. US dental students often struggle with diagnosing neuropathic and psychogenic pain due to inadequate curriculum exposure (Alonso et al. 2014).</w:t>
      </w:r>
    </w:p>
    <w:p>
      <w:pPr>
        <w:pStyle w:val="BodyText"/>
        <w:spacing w:before="6"/>
      </w:pPr>
    </w:p>
    <w:p>
      <w:pPr>
        <w:pStyle w:val="BodyText"/>
        <w:spacing w:line="230" w:lineRule="auto"/>
        <w:ind w:left="570" w:right="1653" w:firstLine="720"/>
        <w:jc w:val="both"/>
      </w:pPr>
      <w:r>
        <w:rPr/>
        <w:t>Sweden has been a leader in recognizing TMD as a specialized field, integrating advanced coursework and clinical training into undergraduate programs (Al-Khotani et al., 2016). Germany also incorporates craniomandibular disorder education; however, there remains a gap between undergraduate knowledge and the actual management practices</w:t>
      </w:r>
      <w:r>
        <w:rPr>
          <w:spacing w:val="-3"/>
        </w:rPr>
        <w:t> </w:t>
      </w:r>
      <w:r>
        <w:rPr/>
        <w:t>of general practitioners (Ommerborn et al., 2009).</w:t>
      </w:r>
    </w:p>
    <w:p>
      <w:pPr>
        <w:pStyle w:val="BodyText"/>
        <w:spacing w:before="4"/>
      </w:pPr>
    </w:p>
    <w:p>
      <w:pPr>
        <w:pStyle w:val="BodyText"/>
        <w:spacing w:line="230" w:lineRule="auto"/>
        <w:ind w:left="570" w:right="1651" w:firstLine="720"/>
        <w:jc w:val="both"/>
      </w:pPr>
      <w:r>
        <w:rPr/>
        <w:t>Brazil officially recognized TMD and OFP as a specialty</w:t>
      </w:r>
      <w:r>
        <w:rPr>
          <w:spacing w:val="-3"/>
        </w:rPr>
        <w:t> </w:t>
      </w:r>
      <w:r>
        <w:rPr/>
        <w:t>in</w:t>
      </w:r>
      <w:r>
        <w:rPr>
          <w:spacing w:val="-3"/>
        </w:rPr>
        <w:t> </w:t>
      </w:r>
      <w:r>
        <w:rPr/>
        <w:t>2002,</w:t>
      </w:r>
      <w:r>
        <w:rPr>
          <w:spacing w:val="-3"/>
        </w:rPr>
        <w:t> </w:t>
      </w:r>
      <w:r>
        <w:rPr/>
        <w:t>but</w:t>
      </w:r>
      <w:r>
        <w:rPr>
          <w:spacing w:val="-3"/>
        </w:rPr>
        <w:t> </w:t>
      </w:r>
      <w:r>
        <w:rPr/>
        <w:t>integration</w:t>
      </w:r>
      <w:r>
        <w:rPr>
          <w:spacing w:val="-3"/>
        </w:rPr>
        <w:t> </w:t>
      </w:r>
      <w:r>
        <w:rPr/>
        <w:t>into undergraduate curricula remains inconsistent (CFO, 2024). Studies show that while certain universities have adopted comprehensive TMD training, many still treat it as a secondary topic, covered within general pathology</w:t>
      </w:r>
      <w:r>
        <w:rPr>
          <w:spacing w:val="-4"/>
        </w:rPr>
        <w:t> </w:t>
      </w:r>
      <w:r>
        <w:rPr/>
        <w:t>or</w:t>
      </w:r>
      <w:r>
        <w:rPr>
          <w:spacing w:val="-4"/>
        </w:rPr>
        <w:t> </w:t>
      </w:r>
      <w:r>
        <w:rPr/>
        <w:t>prosthodontics</w:t>
      </w:r>
      <w:r>
        <w:rPr>
          <w:spacing w:val="-4"/>
        </w:rPr>
        <w:t> </w:t>
      </w:r>
      <w:r>
        <w:rPr/>
        <w:t>courses</w:t>
      </w:r>
      <w:r>
        <w:rPr>
          <w:spacing w:val="-4"/>
        </w:rPr>
        <w:t> </w:t>
      </w:r>
      <w:r>
        <w:rPr/>
        <w:t>(Magri</w:t>
      </w:r>
      <w:r>
        <w:rPr>
          <w:spacing w:val="-4"/>
        </w:rPr>
        <w:t> </w:t>
      </w:r>
      <w:r>
        <w:rPr/>
        <w:t>et</w:t>
      </w:r>
      <w:r>
        <w:rPr>
          <w:spacing w:val="-4"/>
        </w:rPr>
        <w:t> </w:t>
      </w:r>
      <w:r>
        <w:rPr/>
        <w:t>al.,</w:t>
      </w:r>
      <w:r>
        <w:rPr>
          <w:spacing w:val="-4"/>
        </w:rPr>
        <w:t> </w:t>
      </w:r>
      <w:r>
        <w:rPr/>
        <w:t>2018;</w:t>
      </w:r>
      <w:r>
        <w:rPr>
          <w:spacing w:val="-4"/>
        </w:rPr>
        <w:t> </w:t>
      </w:r>
      <w:r>
        <w:rPr/>
        <w:t>Araújo et al., 2019).</w:t>
      </w:r>
    </w:p>
    <w:p>
      <w:pPr>
        <w:pStyle w:val="BodyText"/>
        <w:spacing w:before="4"/>
      </w:pPr>
    </w:p>
    <w:p>
      <w:pPr>
        <w:pStyle w:val="BodyText"/>
        <w:spacing w:line="230" w:lineRule="auto"/>
        <w:ind w:left="570" w:right="1648" w:firstLine="720"/>
        <w:jc w:val="both"/>
      </w:pPr>
      <w:r>
        <w:rPr/>
        <w:t>Studies involving students and practicing dentists, such as the one conducted at UFSM, indicate that a significant portion of students consider their knowledge base insufficient to address TMD disorders and OFP conditions (Rahmeier et al., 2021). Additionally, research conducted in the state of Piauí, Brazil, with dentists, revealed</w:t>
      </w:r>
      <w:r>
        <w:rPr>
          <w:spacing w:val="-3"/>
        </w:rPr>
        <w:t> </w:t>
      </w:r>
      <w:r>
        <w:rPr/>
        <w:t>gaps</w:t>
      </w:r>
      <w:r>
        <w:rPr>
          <w:spacing w:val="-3"/>
        </w:rPr>
        <w:t> </w:t>
      </w:r>
      <w:r>
        <w:rPr/>
        <w:t>in training, particularly regarding the relationship between TMD and occlusal</w:t>
      </w:r>
      <w:r>
        <w:rPr>
          <w:spacing w:val="-3"/>
        </w:rPr>
        <w:t> </w:t>
      </w:r>
      <w:r>
        <w:rPr/>
        <w:t>factors</w:t>
      </w:r>
      <w:r>
        <w:rPr>
          <w:spacing w:val="-3"/>
        </w:rPr>
        <w:t> </w:t>
      </w:r>
      <w:r>
        <w:rPr/>
        <w:t>(Araújo</w:t>
      </w:r>
      <w:r>
        <w:rPr>
          <w:spacing w:val="-3"/>
        </w:rPr>
        <w:t> </w:t>
      </w:r>
      <w:r>
        <w:rPr/>
        <w:t>et al., 2019). These findings demonstrate that, while many students and dentists have been exposed to these topics during their education, the majority describe their learning as fragmented and insufficient (Rahmeier et al., 2021; Araújo et al., 2019).</w:t>
      </w:r>
    </w:p>
    <w:p>
      <w:pPr>
        <w:pStyle w:val="BodyText"/>
        <w:spacing w:before="1"/>
      </w:pPr>
    </w:p>
    <w:p>
      <w:pPr>
        <w:pStyle w:val="BodyText"/>
        <w:spacing w:line="230" w:lineRule="auto"/>
        <w:ind w:left="570" w:right="1648" w:firstLine="720"/>
        <w:jc w:val="both"/>
      </w:pPr>
      <w:r>
        <w:rPr/>
        <w:t>A consistent theme across the reviewed articles is the excessive emphasis on biological and somatic approaches in TMD and OFP education, particularly regarding occlusal factors, to the detriment of a holistic understanding that includes psychosocial dimensions</w:t>
      </w:r>
      <w:r>
        <w:rPr>
          <w:spacing w:val="27"/>
        </w:rPr>
        <w:t> </w:t>
      </w:r>
      <w:r>
        <w:rPr/>
        <w:t>(Simm</w:t>
      </w:r>
      <w:r>
        <w:rPr>
          <w:spacing w:val="27"/>
        </w:rPr>
        <w:t> </w:t>
      </w:r>
      <w:r>
        <w:rPr/>
        <w:t>&amp; Guimarães, 2013; Machado et al., 2014; Magri et al., 2018; Araújo et al., 2019; Rahmeier et al., 2021). This bias is also reflected in clinical practice, where outdated treatments, such as occlusal adjustments, are still widely used despite current evidence favoring more effective and less</w:t>
      </w:r>
      <w:r>
        <w:rPr>
          <w:spacing w:val="-3"/>
        </w:rPr>
        <w:t> </w:t>
      </w:r>
      <w:r>
        <w:rPr/>
        <w:t>invasive</w:t>
      </w:r>
      <w:r>
        <w:rPr>
          <w:spacing w:val="-3"/>
        </w:rPr>
        <w:t> </w:t>
      </w:r>
      <w:r>
        <w:rPr/>
        <w:t>approaches</w:t>
      </w:r>
      <w:r>
        <w:rPr>
          <w:spacing w:val="-3"/>
        </w:rPr>
        <w:t> </w:t>
      </w:r>
      <w:r>
        <w:rPr/>
        <w:t>(Magri</w:t>
      </w:r>
      <w:r>
        <w:rPr>
          <w:spacing w:val="-3"/>
        </w:rPr>
        <w:t> </w:t>
      </w:r>
      <w:r>
        <w:rPr/>
        <w:t>et</w:t>
      </w:r>
      <w:r>
        <w:rPr>
          <w:spacing w:val="-3"/>
        </w:rPr>
        <w:t> </w:t>
      </w:r>
      <w:r>
        <w:rPr/>
        <w:t>al.,</w:t>
      </w:r>
      <w:r>
        <w:rPr>
          <w:spacing w:val="-3"/>
        </w:rPr>
        <w:t> </w:t>
      </w:r>
      <w:r>
        <w:rPr/>
        <w:t>2018;</w:t>
      </w:r>
      <w:r>
        <w:rPr>
          <w:spacing w:val="-3"/>
        </w:rPr>
        <w:t> </w:t>
      </w:r>
      <w:r>
        <w:rPr/>
        <w:t>Araújo</w:t>
      </w:r>
      <w:r>
        <w:rPr>
          <w:spacing w:val="-3"/>
        </w:rPr>
        <w:t> </w:t>
      </w:r>
      <w:r>
        <w:rPr/>
        <w:t>et al., 2019).</w:t>
      </w:r>
    </w:p>
    <w:p>
      <w:pPr>
        <w:pStyle w:val="BodyText"/>
        <w:spacing w:before="1"/>
      </w:pPr>
    </w:p>
    <w:p>
      <w:pPr>
        <w:pStyle w:val="BodyText"/>
        <w:spacing w:line="230" w:lineRule="auto"/>
        <w:ind w:left="570" w:right="1654" w:firstLine="720"/>
        <w:jc w:val="both"/>
      </w:pPr>
      <w:r>
        <w:rPr/>
        <w:t>Another significant challenge is the shortage of TMD and OFP specialists in the faculty of Dentistry programs. Oftentimes, OFP is addressed superficially within basic science</w:t>
      </w:r>
      <w:r>
        <w:rPr>
          <w:spacing w:val="-4"/>
        </w:rPr>
        <w:t> </w:t>
      </w:r>
      <w:r>
        <w:rPr/>
        <w:t>courses,</w:t>
      </w:r>
      <w:r>
        <w:rPr>
          <w:spacing w:val="-4"/>
        </w:rPr>
        <w:t> </w:t>
      </w:r>
      <w:r>
        <w:rPr/>
        <w:t>without</w:t>
      </w:r>
      <w:r>
        <w:rPr>
          <w:spacing w:val="-4"/>
        </w:rPr>
        <w:t> </w:t>
      </w:r>
      <w:r>
        <w:rPr/>
        <w:t>proper</w:t>
      </w:r>
      <w:r>
        <w:rPr>
          <w:spacing w:val="-4"/>
        </w:rPr>
        <w:t> </w:t>
      </w:r>
      <w:r>
        <w:rPr/>
        <w:t>integration</w:t>
      </w:r>
      <w:r>
        <w:rPr>
          <w:spacing w:val="-4"/>
        </w:rPr>
        <w:t> </w:t>
      </w:r>
      <w:r>
        <w:rPr/>
        <w:t>into</w:t>
      </w:r>
      <w:r>
        <w:rPr>
          <w:spacing w:val="-4"/>
        </w:rPr>
        <w:t> </w:t>
      </w:r>
      <w:r>
        <w:rPr/>
        <w:t>the</w:t>
      </w:r>
      <w:r>
        <w:rPr>
          <w:spacing w:val="-4"/>
        </w:rPr>
        <w:t> </w:t>
      </w:r>
      <w:r>
        <w:rPr/>
        <w:t>multidisciplinary</w:t>
      </w:r>
      <w:r>
        <w:rPr>
          <w:spacing w:val="-4"/>
        </w:rPr>
        <w:t> </w:t>
      </w:r>
      <w:r>
        <w:rPr/>
        <w:t>approaches</w:t>
      </w:r>
      <w:r>
        <w:rPr>
          <w:spacing w:val="-4"/>
        </w:rPr>
        <w:t> </w:t>
      </w:r>
      <w:r>
        <w:rPr/>
        <w:t>essential</w:t>
      </w:r>
      <w:r>
        <w:rPr>
          <w:spacing w:val="-4"/>
        </w:rPr>
        <w:t> </w:t>
      </w:r>
      <w:r>
        <w:rPr/>
        <w:t>for comprehensive dental education (Simm &amp; Guimarães, 2013).</w:t>
      </w:r>
      <w:r>
        <w:rPr>
          <w:spacing w:val="-4"/>
        </w:rPr>
        <w:t> </w:t>
      </w:r>
      <w:r>
        <w:rPr/>
        <w:t>The</w:t>
      </w:r>
      <w:r>
        <w:rPr>
          <w:spacing w:val="-4"/>
        </w:rPr>
        <w:t> </w:t>
      </w:r>
      <w:r>
        <w:rPr/>
        <w:t>lack</w:t>
      </w:r>
      <w:r>
        <w:rPr>
          <w:spacing w:val="-4"/>
        </w:rPr>
        <w:t> </w:t>
      </w:r>
      <w:r>
        <w:rPr/>
        <w:t>of</w:t>
      </w:r>
      <w:r>
        <w:rPr>
          <w:spacing w:val="-4"/>
        </w:rPr>
        <w:t> </w:t>
      </w:r>
      <w:r>
        <w:rPr/>
        <w:t>specialized</w:t>
      </w:r>
      <w:r>
        <w:rPr>
          <w:spacing w:val="-4"/>
        </w:rPr>
        <w:t> </w:t>
      </w:r>
      <w:r>
        <w:rPr/>
        <w:t>faculty limits the ability of universities to provide in-depth training, leaving students unprepared to handle the clinical challenges posed by these conditions.</w:t>
      </w:r>
    </w:p>
    <w:p>
      <w:pPr>
        <w:pStyle w:val="BodyText"/>
        <w:spacing w:before="2"/>
      </w:pPr>
    </w:p>
    <w:p>
      <w:pPr>
        <w:pStyle w:val="BodyText"/>
        <w:spacing w:line="230" w:lineRule="auto"/>
        <w:ind w:left="570" w:right="1658" w:firstLine="720"/>
        <w:jc w:val="both"/>
      </w:pPr>
      <w:r>
        <w:rPr/>
        <w:t>Recent years have seen important advances, such as the establishment of the Brazilian Society of TMD and OFP, which has worked to systematize and disseminate</w:t>
      </w:r>
    </w:p>
    <w:p>
      <w:pPr>
        <w:pStyle w:val="BodyText"/>
        <w:spacing w:after="0" w:line="230" w:lineRule="auto"/>
        <w:jc w:val="both"/>
        <w:sectPr>
          <w:pgSz w:w="12240" w:h="15840"/>
          <w:pgMar w:header="16" w:footer="0" w:top="340" w:bottom="280" w:left="1440" w:right="360"/>
        </w:sectPr>
      </w:pPr>
    </w:p>
    <w:p>
      <w:pPr>
        <w:pStyle w:val="BodyText"/>
        <w:spacing w:before="165"/>
      </w:pPr>
    </w:p>
    <w:p>
      <w:pPr>
        <w:pStyle w:val="BodyText"/>
        <w:spacing w:line="230" w:lineRule="auto"/>
        <w:ind w:left="570" w:right="1652"/>
        <w:jc w:val="both"/>
      </w:pPr>
      <w:r>
        <w:rPr/>
        <w:t>knowledge in the field, promote more specialization courses, and encourage academic research on the topic. Moreover, there has been a noticeable increase in academic output and the availability of specialization courses, reflecting a growing interest in and need for specialized training (Magri et al., 2018; Machado et al., 2014).</w:t>
      </w:r>
    </w:p>
    <w:p>
      <w:pPr>
        <w:pStyle w:val="BodyText"/>
        <w:spacing w:before="5"/>
      </w:pPr>
    </w:p>
    <w:p>
      <w:pPr>
        <w:pStyle w:val="BodyText"/>
        <w:spacing w:line="230" w:lineRule="auto"/>
        <w:ind w:left="570" w:right="1649" w:firstLine="720"/>
        <w:jc w:val="both"/>
      </w:pPr>
      <w:r>
        <w:rPr/>
        <w:t>The experience accumulated at the University of São</w:t>
      </w:r>
      <w:r>
        <w:rPr>
          <w:spacing w:val="-3"/>
        </w:rPr>
        <w:t> </w:t>
      </w:r>
      <w:r>
        <w:rPr/>
        <w:t>Paulo</w:t>
      </w:r>
      <w:r>
        <w:rPr>
          <w:spacing w:val="-3"/>
        </w:rPr>
        <w:t> </w:t>
      </w:r>
      <w:r>
        <w:rPr/>
        <w:t>(USP)</w:t>
      </w:r>
      <w:r>
        <w:rPr>
          <w:spacing w:val="-3"/>
        </w:rPr>
        <w:t> </w:t>
      </w:r>
      <w:r>
        <w:rPr/>
        <w:t>over</w:t>
      </w:r>
      <w:r>
        <w:rPr>
          <w:spacing w:val="-3"/>
        </w:rPr>
        <w:t> </w:t>
      </w:r>
      <w:r>
        <w:rPr/>
        <w:t>a</w:t>
      </w:r>
      <w:r>
        <w:rPr>
          <w:spacing w:val="-3"/>
        </w:rPr>
        <w:t> </w:t>
      </w:r>
      <w:r>
        <w:rPr/>
        <w:t>decade</w:t>
      </w:r>
      <w:r>
        <w:rPr>
          <w:spacing w:val="-3"/>
        </w:rPr>
        <w:t> </w:t>
      </w:r>
      <w:r>
        <w:rPr/>
        <w:t>in treating patients with TMD and OFP demonstrates the importance of educational practices focused on pain management, self-care, and multidisciplinary approaches. While this integrative model has proven effective in managing these conditions, it remains limited to a few centers of excellence and is not yet a reality for</w:t>
      </w:r>
      <w:r>
        <w:rPr>
          <w:spacing w:val="-3"/>
        </w:rPr>
        <w:t> </w:t>
      </w:r>
      <w:r>
        <w:rPr/>
        <w:t>most</w:t>
      </w:r>
      <w:r>
        <w:rPr>
          <w:spacing w:val="-3"/>
        </w:rPr>
        <w:t> </w:t>
      </w:r>
      <w:r>
        <w:rPr/>
        <w:t>Brazilian</w:t>
      </w:r>
      <w:r>
        <w:rPr>
          <w:spacing w:val="-3"/>
        </w:rPr>
        <w:t> </w:t>
      </w:r>
      <w:r>
        <w:rPr/>
        <w:t>universities</w:t>
      </w:r>
      <w:r>
        <w:rPr>
          <w:spacing w:val="-3"/>
        </w:rPr>
        <w:t> </w:t>
      </w:r>
      <w:r>
        <w:rPr/>
        <w:t>(Magri</w:t>
      </w:r>
      <w:r>
        <w:rPr>
          <w:spacing w:val="-3"/>
        </w:rPr>
        <w:t> </w:t>
      </w:r>
      <w:r>
        <w:rPr/>
        <w:t>et</w:t>
      </w:r>
      <w:r>
        <w:rPr>
          <w:spacing w:val="-3"/>
        </w:rPr>
        <w:t> </w:t>
      </w:r>
      <w:r>
        <w:rPr/>
        <w:t>al., </w:t>
      </w:r>
      <w:r>
        <w:rPr>
          <w:spacing w:val="-2"/>
        </w:rPr>
        <w:t>2018).</w:t>
      </w:r>
    </w:p>
    <w:p>
      <w:pPr>
        <w:pStyle w:val="BodyText"/>
        <w:spacing w:before="3"/>
      </w:pPr>
    </w:p>
    <w:p>
      <w:pPr>
        <w:pStyle w:val="BodyText"/>
        <w:spacing w:line="230" w:lineRule="auto"/>
        <w:ind w:left="570" w:right="1648" w:firstLine="720"/>
        <w:jc w:val="both"/>
      </w:pPr>
      <w:r>
        <w:rPr/>
        <w:t>A global comparison of TMD and OFP education and</w:t>
      </w:r>
      <w:r>
        <w:rPr>
          <w:spacing w:val="-3"/>
        </w:rPr>
        <w:t> </w:t>
      </w:r>
      <w:r>
        <w:rPr/>
        <w:t>recognition</w:t>
      </w:r>
      <w:r>
        <w:rPr>
          <w:spacing w:val="-3"/>
        </w:rPr>
        <w:t> </w:t>
      </w:r>
      <w:r>
        <w:rPr/>
        <w:t>reveals</w:t>
      </w:r>
      <w:r>
        <w:rPr>
          <w:spacing w:val="-3"/>
        </w:rPr>
        <w:t> </w:t>
      </w:r>
      <w:r>
        <w:rPr/>
        <w:t>significant structural differences among the analyzed countries. In Sweden, the formalization of TMD and</w:t>
      </w:r>
      <w:r>
        <w:rPr>
          <w:spacing w:val="40"/>
        </w:rPr>
        <w:t> </w:t>
      </w:r>
      <w:r>
        <w:rPr/>
        <w:t>OFP as a specialty since 1993 and its inclusion in undergraduate curricula ensure robust training for both general practitioners and specialists (Al-Khotani et al., 2016). In Germany, while craniomandibular disorders are included in undergraduate curricula and occlusal splint therapy is widely used, there is still a need to improve undergraduate and postgraduate curricula and offer continuing education to bridge the gap between scientific discoveries and clinical practice (Ommerborn et al., 2014). In the United States and the United Kingdom, despite efforts to integrate OFP into curricula, gaps persist, particularly in areas such as neuropathic and psychogenic pain, as well as in standardization and interdisciplinarity (Alonso</w:t>
      </w:r>
      <w:r>
        <w:rPr>
          <w:spacing w:val="-4"/>
        </w:rPr>
        <w:t> </w:t>
      </w:r>
      <w:r>
        <w:rPr/>
        <w:t>et</w:t>
      </w:r>
      <w:r>
        <w:rPr>
          <w:spacing w:val="-4"/>
        </w:rPr>
        <w:t> </w:t>
      </w:r>
      <w:r>
        <w:rPr/>
        <w:t>al.,</w:t>
      </w:r>
      <w:r>
        <w:rPr>
          <w:spacing w:val="-4"/>
        </w:rPr>
        <w:t> </w:t>
      </w:r>
      <w:r>
        <w:rPr/>
        <w:t>2014;</w:t>
      </w:r>
      <w:r>
        <w:rPr>
          <w:spacing w:val="-4"/>
        </w:rPr>
        <w:t> </w:t>
      </w:r>
      <w:r>
        <w:rPr/>
        <w:t>Aggarwal</w:t>
      </w:r>
      <w:r>
        <w:rPr>
          <w:spacing w:val="-4"/>
        </w:rPr>
        <w:t> </w:t>
      </w:r>
      <w:r>
        <w:rPr/>
        <w:t>et</w:t>
      </w:r>
      <w:r>
        <w:rPr>
          <w:spacing w:val="-4"/>
        </w:rPr>
        <w:t> </w:t>
      </w:r>
      <w:r>
        <w:rPr/>
        <w:t>al.,</w:t>
      </w:r>
      <w:r>
        <w:rPr>
          <w:spacing w:val="-4"/>
        </w:rPr>
        <w:t> </w:t>
      </w:r>
      <w:r>
        <w:rPr/>
        <w:t>2011).</w:t>
      </w:r>
      <w:r>
        <w:rPr>
          <w:spacing w:val="-4"/>
        </w:rPr>
        <w:t> </w:t>
      </w:r>
      <w:r>
        <w:rPr/>
        <w:t>In</w:t>
      </w:r>
      <w:r>
        <w:rPr>
          <w:spacing w:val="-4"/>
        </w:rPr>
        <w:t> </w:t>
      </w:r>
      <w:r>
        <w:rPr/>
        <w:t>Saudi</w:t>
      </w:r>
      <w:r>
        <w:rPr>
          <w:spacing w:val="-4"/>
        </w:rPr>
        <w:t> </w:t>
      </w:r>
      <w:r>
        <w:rPr/>
        <w:t>Arabia,</w:t>
      </w:r>
      <w:r>
        <w:rPr>
          <w:spacing w:val="-4"/>
        </w:rPr>
        <w:t> </w:t>
      </w:r>
      <w:r>
        <w:rPr/>
        <w:t>the</w:t>
      </w:r>
      <w:r>
        <w:rPr>
          <w:spacing w:val="-4"/>
        </w:rPr>
        <w:t> </w:t>
      </w:r>
      <w:r>
        <w:rPr/>
        <w:t>absence</w:t>
      </w:r>
      <w:r>
        <w:rPr>
          <w:spacing w:val="-4"/>
        </w:rPr>
        <w:t> </w:t>
      </w:r>
      <w:r>
        <w:rPr/>
        <w:t>of specialty recognition and the limited inclusion of OFP in undergraduate education result in deficient training, with an exclusive focus on surgical modalities and neglect of essential conservative approaches. Across all contexts, challenges in managing complex conditions like</w:t>
      </w:r>
      <w:r>
        <w:rPr>
          <w:spacing w:val="-6"/>
        </w:rPr>
        <w:t> </w:t>
      </w:r>
      <w:r>
        <w:rPr/>
        <w:t>chronic</w:t>
      </w:r>
      <w:r>
        <w:rPr>
          <w:spacing w:val="-6"/>
        </w:rPr>
        <w:t> </w:t>
      </w:r>
      <w:r>
        <w:rPr/>
        <w:t>OFP</w:t>
      </w:r>
      <w:r>
        <w:rPr>
          <w:spacing w:val="-6"/>
        </w:rPr>
        <w:t> </w:t>
      </w:r>
      <w:r>
        <w:rPr/>
        <w:t>underscore</w:t>
      </w:r>
      <w:r>
        <w:rPr>
          <w:spacing w:val="-6"/>
        </w:rPr>
        <w:t> </w:t>
      </w:r>
      <w:r>
        <w:rPr/>
        <w:t>the</w:t>
      </w:r>
      <w:r>
        <w:rPr>
          <w:spacing w:val="-6"/>
        </w:rPr>
        <w:t> </w:t>
      </w:r>
      <w:r>
        <w:rPr/>
        <w:t>need</w:t>
      </w:r>
      <w:r>
        <w:rPr>
          <w:spacing w:val="-6"/>
        </w:rPr>
        <w:t> </w:t>
      </w:r>
      <w:r>
        <w:rPr/>
        <w:t>to</w:t>
      </w:r>
      <w:r>
        <w:rPr>
          <w:spacing w:val="-6"/>
        </w:rPr>
        <w:t> </w:t>
      </w:r>
      <w:r>
        <w:rPr/>
        <w:t>modernize</w:t>
      </w:r>
      <w:r>
        <w:rPr>
          <w:spacing w:val="-6"/>
        </w:rPr>
        <w:t> </w:t>
      </w:r>
      <w:r>
        <w:rPr/>
        <w:t>curricula,</w:t>
      </w:r>
      <w:r>
        <w:rPr>
          <w:spacing w:val="-6"/>
        </w:rPr>
        <w:t> </w:t>
      </w:r>
      <w:r>
        <w:rPr/>
        <w:t>enhance</w:t>
      </w:r>
      <w:r>
        <w:rPr>
          <w:spacing w:val="-6"/>
        </w:rPr>
        <w:t> </w:t>
      </w:r>
      <w:r>
        <w:rPr/>
        <w:t>interdisciplinarity,</w:t>
      </w:r>
      <w:r>
        <w:rPr>
          <w:spacing w:val="-6"/>
        </w:rPr>
        <w:t> </w:t>
      </w:r>
      <w:r>
        <w:rPr/>
        <w:t>and promote continuing education.</w:t>
      </w:r>
    </w:p>
    <w:p>
      <w:pPr>
        <w:pStyle w:val="BodyText"/>
        <w:spacing w:line="230" w:lineRule="auto" w:before="222"/>
        <w:ind w:left="570" w:right="1650" w:firstLine="720"/>
        <w:jc w:val="both"/>
      </w:pPr>
      <w:r>
        <w:rPr/>
        <w:t>Thus, there is a pressing need for curricular reform that incorporates the latest guidelines for TMD and OFP education. Dentistry programs must adopt an interdisciplinary and biopsychosocial approach, equipping students with a comprehensive and effective understanding of the various dimensions of managing these disorders. Furthermore,</w:t>
      </w:r>
      <w:r>
        <w:rPr>
          <w:spacing w:val="40"/>
        </w:rPr>
        <w:t> </w:t>
      </w:r>
      <w:r>
        <w:rPr/>
        <w:t>curricula must be updated according to the latest scientific evidence, fostering the development of competencies that enable more comprehensive and patient-centered </w:t>
      </w:r>
      <w:r>
        <w:rPr>
          <w:spacing w:val="-2"/>
        </w:rPr>
        <w:t>treatment.</w:t>
      </w:r>
    </w:p>
    <w:p>
      <w:pPr>
        <w:pStyle w:val="BodyText"/>
        <w:spacing w:before="2"/>
      </w:pPr>
    </w:p>
    <w:p>
      <w:pPr>
        <w:pStyle w:val="BodyText"/>
        <w:spacing w:line="230" w:lineRule="auto"/>
        <w:ind w:left="570" w:right="1648" w:firstLine="720"/>
        <w:jc w:val="both"/>
      </w:pPr>
      <w:r>
        <w:rPr/>
        <w:t>The implementation of National Curriculum Guidelines (NCGs) that integrate these advancements and promote high-quality training in TMD and OFP is crucial for adequately preparing future dentists. Through a restructured education, it will be possible to address current deficiencies and improve the quality of dental care.</w:t>
      </w:r>
    </w:p>
    <w:p>
      <w:pPr>
        <w:pStyle w:val="BodyText"/>
        <w:spacing w:before="4"/>
      </w:pPr>
    </w:p>
    <w:p>
      <w:pPr>
        <w:pStyle w:val="BodyText"/>
        <w:spacing w:line="230" w:lineRule="auto" w:before="1"/>
        <w:ind w:left="570" w:right="1648" w:firstLine="720"/>
        <w:jc w:val="both"/>
      </w:pPr>
      <w:r>
        <w:rPr/>
        <w:t>Integrating an interdisciplinary approach involving dentistry, psychology, physiotherapy, and neurology could significantly improve educational outcomes. Countries such as Sweden and Germany have successfully implemented interdisciplinary models in their dental curricula.</w:t>
      </w:r>
    </w:p>
    <w:p>
      <w:pPr>
        <w:pStyle w:val="BodyText"/>
        <w:spacing w:before="5"/>
      </w:pPr>
    </w:p>
    <w:p>
      <w:pPr>
        <w:pStyle w:val="BodyText"/>
        <w:spacing w:line="230" w:lineRule="auto"/>
        <w:ind w:left="570" w:right="1654" w:firstLine="720"/>
        <w:jc w:val="both"/>
      </w:pPr>
      <w:r>
        <w:rPr/>
        <w:t>Beyond undergraduate training, continuing education programs</w:t>
      </w:r>
      <w:r>
        <w:rPr>
          <w:spacing w:val="-4"/>
        </w:rPr>
        <w:t> </w:t>
      </w:r>
      <w:r>
        <w:rPr/>
        <w:t>play</w:t>
      </w:r>
      <w:r>
        <w:rPr>
          <w:spacing w:val="-4"/>
        </w:rPr>
        <w:t> </w:t>
      </w:r>
      <w:r>
        <w:rPr/>
        <w:t>a</w:t>
      </w:r>
      <w:r>
        <w:rPr>
          <w:spacing w:val="-4"/>
        </w:rPr>
        <w:t> </w:t>
      </w:r>
      <w:r>
        <w:rPr/>
        <w:t>crucial</w:t>
      </w:r>
      <w:r>
        <w:rPr>
          <w:spacing w:val="-4"/>
        </w:rPr>
        <w:t> </w:t>
      </w:r>
      <w:r>
        <w:rPr/>
        <w:t>role</w:t>
      </w:r>
      <w:r>
        <w:rPr>
          <w:spacing w:val="-4"/>
        </w:rPr>
        <w:t> </w:t>
      </w:r>
      <w:r>
        <w:rPr/>
        <w:t>in keeping practitioners updated on the</w:t>
      </w:r>
      <w:r>
        <w:rPr>
          <w:spacing w:val="-5"/>
        </w:rPr>
        <w:t> </w:t>
      </w:r>
      <w:r>
        <w:rPr/>
        <w:t>latest</w:t>
      </w:r>
      <w:r>
        <w:rPr>
          <w:spacing w:val="-5"/>
        </w:rPr>
        <w:t> </w:t>
      </w:r>
      <w:r>
        <w:rPr/>
        <w:t>developments</w:t>
      </w:r>
      <w:r>
        <w:rPr>
          <w:spacing w:val="-5"/>
        </w:rPr>
        <w:t> </w:t>
      </w:r>
      <w:r>
        <w:rPr/>
        <w:t>in</w:t>
      </w:r>
      <w:r>
        <w:rPr>
          <w:spacing w:val="-5"/>
        </w:rPr>
        <w:t> </w:t>
      </w:r>
      <w:r>
        <w:rPr/>
        <w:t>TMD</w:t>
      </w:r>
      <w:r>
        <w:rPr>
          <w:spacing w:val="-5"/>
        </w:rPr>
        <w:t> </w:t>
      </w:r>
      <w:r>
        <w:rPr/>
        <w:t>management.</w:t>
      </w:r>
      <w:r>
        <w:rPr>
          <w:spacing w:val="-5"/>
        </w:rPr>
        <w:t> </w:t>
      </w:r>
      <w:r>
        <w:rPr/>
        <w:t>Workshops, certification courses, and clinical residencies should be encouraged to address knowledge </w:t>
      </w:r>
      <w:r>
        <w:rPr>
          <w:spacing w:val="-2"/>
        </w:rPr>
        <w:t>gaps.</w:t>
      </w:r>
    </w:p>
    <w:p>
      <w:pPr>
        <w:pStyle w:val="BodyText"/>
        <w:spacing w:before="195"/>
      </w:pPr>
    </w:p>
    <w:p>
      <w:pPr>
        <w:pStyle w:val="Heading1"/>
        <w:numPr>
          <w:ilvl w:val="0"/>
          <w:numId w:val="4"/>
        </w:numPr>
        <w:tabs>
          <w:tab w:pos="824" w:val="left" w:leader="none"/>
        </w:tabs>
        <w:spacing w:line="240" w:lineRule="auto" w:before="0" w:after="0"/>
        <w:ind w:left="824" w:right="0" w:hanging="254"/>
        <w:jc w:val="left"/>
        <w:rPr>
          <w:sz w:val="24"/>
        </w:rPr>
      </w:pPr>
      <w:r>
        <w:rPr>
          <w:spacing w:val="-2"/>
        </w:rPr>
        <w:t>CONCLUSIONS</w:t>
      </w:r>
    </w:p>
    <w:p>
      <w:pPr>
        <w:pStyle w:val="BodyText"/>
        <w:spacing w:before="185"/>
        <w:rPr>
          <w:rFonts w:ascii="Arial"/>
          <w:b/>
          <w:sz w:val="22"/>
        </w:rPr>
      </w:pPr>
    </w:p>
    <w:p>
      <w:pPr>
        <w:pStyle w:val="BodyText"/>
        <w:ind w:left="360" w:right="1144" w:firstLine="720"/>
      </w:pPr>
      <w:r>
        <w:rPr>
          <w:color w:val="000000"/>
          <w:highlight w:val="yellow"/>
        </w:rPr>
        <w:t>This</w:t>
      </w:r>
      <w:r>
        <w:rPr>
          <w:color w:val="000000"/>
          <w:spacing w:val="-7"/>
          <w:highlight w:val="yellow"/>
        </w:rPr>
        <w:t> </w:t>
      </w:r>
      <w:r>
        <w:rPr>
          <w:color w:val="000000"/>
          <w:highlight w:val="yellow"/>
        </w:rPr>
        <w:t>review</w:t>
      </w:r>
      <w:r>
        <w:rPr>
          <w:color w:val="000000"/>
          <w:spacing w:val="-7"/>
          <w:highlight w:val="yellow"/>
        </w:rPr>
        <w:t> </w:t>
      </w:r>
      <w:r>
        <w:rPr>
          <w:color w:val="000000"/>
          <w:highlight w:val="yellow"/>
        </w:rPr>
        <w:t>highlights</w:t>
      </w:r>
      <w:r>
        <w:rPr>
          <w:color w:val="000000"/>
          <w:spacing w:val="-7"/>
          <w:highlight w:val="yellow"/>
        </w:rPr>
        <w:t> </w:t>
      </w:r>
      <w:r>
        <w:rPr>
          <w:color w:val="000000"/>
          <w:highlight w:val="yellow"/>
        </w:rPr>
        <w:t>critical</w:t>
      </w:r>
      <w:r>
        <w:rPr>
          <w:color w:val="000000"/>
          <w:spacing w:val="-7"/>
          <w:highlight w:val="yellow"/>
        </w:rPr>
        <w:t> </w:t>
      </w:r>
      <w:r>
        <w:rPr>
          <w:color w:val="000000"/>
          <w:highlight w:val="yellow"/>
        </w:rPr>
        <w:t>deficiencies</w:t>
      </w:r>
      <w:r>
        <w:rPr>
          <w:color w:val="000000"/>
          <w:spacing w:val="-7"/>
          <w:highlight w:val="yellow"/>
        </w:rPr>
        <w:t> </w:t>
      </w:r>
      <w:r>
        <w:rPr>
          <w:color w:val="000000"/>
          <w:highlight w:val="yellow"/>
        </w:rPr>
        <w:t>in</w:t>
      </w:r>
      <w:r>
        <w:rPr>
          <w:color w:val="000000"/>
          <w:spacing w:val="-7"/>
          <w:highlight w:val="yellow"/>
        </w:rPr>
        <w:t> </w:t>
      </w:r>
      <w:r>
        <w:rPr>
          <w:color w:val="000000"/>
          <w:highlight w:val="yellow"/>
        </w:rPr>
        <w:t>the</w:t>
      </w:r>
      <w:r>
        <w:rPr>
          <w:color w:val="000000"/>
          <w:spacing w:val="-7"/>
          <w:highlight w:val="yellow"/>
        </w:rPr>
        <w:t> </w:t>
      </w:r>
      <w:r>
        <w:rPr>
          <w:color w:val="000000"/>
          <w:highlight w:val="yellow"/>
        </w:rPr>
        <w:t>education</w:t>
      </w:r>
      <w:r>
        <w:rPr>
          <w:color w:val="000000"/>
          <w:spacing w:val="-7"/>
          <w:highlight w:val="yellow"/>
        </w:rPr>
        <w:t> </w:t>
      </w:r>
      <w:r>
        <w:rPr>
          <w:color w:val="000000"/>
          <w:highlight w:val="yellow"/>
        </w:rPr>
        <w:t>of</w:t>
      </w:r>
      <w:r>
        <w:rPr>
          <w:color w:val="000000"/>
          <w:spacing w:val="-7"/>
          <w:highlight w:val="yellow"/>
        </w:rPr>
        <w:t> </w:t>
      </w:r>
      <w:r>
        <w:rPr>
          <w:color w:val="000000"/>
          <w:highlight w:val="yellow"/>
        </w:rPr>
        <w:t>Temporomandibular</w:t>
      </w:r>
      <w:r>
        <w:rPr>
          <w:color w:val="000000"/>
          <w:spacing w:val="-7"/>
          <w:highlight w:val="yellow"/>
        </w:rPr>
        <w:t> </w:t>
      </w:r>
      <w:r>
        <w:rPr>
          <w:color w:val="000000"/>
          <w:highlight w:val="yellow"/>
        </w:rPr>
        <w:t>Disorders</w:t>
      </w:r>
      <w:r>
        <w:rPr>
          <w:color w:val="000000"/>
        </w:rPr>
        <w:t> </w:t>
      </w:r>
      <w:r>
        <w:rPr>
          <w:color w:val="000000"/>
          <w:highlight w:val="yellow"/>
        </w:rPr>
        <w:t>(TMD) and Orofacial Pain (OFP) in undergraduate dentistry programs, emphasizing the lack of</w:t>
      </w:r>
      <w:r>
        <w:rPr>
          <w:color w:val="000000"/>
        </w:rPr>
        <w:t> </w:t>
      </w:r>
      <w:r>
        <w:rPr>
          <w:color w:val="000000"/>
          <w:highlight w:val="yellow"/>
        </w:rPr>
        <w:t>standardized curricula, inadequate clinical exposure, and reliance on outdated teaching models.</w:t>
      </w:r>
    </w:p>
    <w:p>
      <w:pPr>
        <w:pStyle w:val="BodyText"/>
        <w:ind w:left="360" w:right="1675"/>
      </w:pPr>
      <w:r>
        <w:rPr>
          <w:color w:val="000000"/>
          <w:highlight w:val="yellow"/>
        </w:rPr>
        <w:t>These</w:t>
      </w:r>
      <w:r>
        <w:rPr>
          <w:color w:val="000000"/>
          <w:spacing w:val="-4"/>
          <w:highlight w:val="yellow"/>
        </w:rPr>
        <w:t> </w:t>
      </w:r>
      <w:r>
        <w:rPr>
          <w:color w:val="000000"/>
          <w:highlight w:val="yellow"/>
        </w:rPr>
        <w:t>gaps</w:t>
      </w:r>
      <w:r>
        <w:rPr>
          <w:color w:val="000000"/>
          <w:spacing w:val="-4"/>
          <w:highlight w:val="yellow"/>
        </w:rPr>
        <w:t> </w:t>
      </w:r>
      <w:r>
        <w:rPr>
          <w:color w:val="000000"/>
          <w:highlight w:val="yellow"/>
        </w:rPr>
        <w:t>hinder</w:t>
      </w:r>
      <w:r>
        <w:rPr>
          <w:color w:val="000000"/>
          <w:spacing w:val="-4"/>
          <w:highlight w:val="yellow"/>
        </w:rPr>
        <w:t> </w:t>
      </w:r>
      <w:r>
        <w:rPr>
          <w:color w:val="000000"/>
          <w:highlight w:val="yellow"/>
        </w:rPr>
        <w:t>students’</w:t>
      </w:r>
      <w:r>
        <w:rPr>
          <w:color w:val="000000"/>
          <w:spacing w:val="-4"/>
          <w:highlight w:val="yellow"/>
        </w:rPr>
        <w:t> </w:t>
      </w:r>
      <w:r>
        <w:rPr>
          <w:color w:val="000000"/>
          <w:highlight w:val="yellow"/>
        </w:rPr>
        <w:t>ability</w:t>
      </w:r>
      <w:r>
        <w:rPr>
          <w:color w:val="000000"/>
          <w:spacing w:val="-4"/>
          <w:highlight w:val="yellow"/>
        </w:rPr>
        <w:t> </w:t>
      </w:r>
      <w:r>
        <w:rPr>
          <w:color w:val="000000"/>
          <w:highlight w:val="yellow"/>
        </w:rPr>
        <w:t>to</w:t>
      </w:r>
      <w:r>
        <w:rPr>
          <w:color w:val="000000"/>
          <w:spacing w:val="-4"/>
          <w:highlight w:val="yellow"/>
        </w:rPr>
        <w:t> </w:t>
      </w:r>
      <w:r>
        <w:rPr>
          <w:color w:val="000000"/>
          <w:highlight w:val="yellow"/>
        </w:rPr>
        <w:t>acquire</w:t>
      </w:r>
      <w:r>
        <w:rPr>
          <w:color w:val="000000"/>
          <w:spacing w:val="-4"/>
          <w:highlight w:val="yellow"/>
        </w:rPr>
        <w:t> </w:t>
      </w:r>
      <w:r>
        <w:rPr>
          <w:color w:val="000000"/>
          <w:highlight w:val="yellow"/>
        </w:rPr>
        <w:t>comprehensive</w:t>
      </w:r>
      <w:r>
        <w:rPr>
          <w:color w:val="000000"/>
          <w:spacing w:val="-4"/>
          <w:highlight w:val="yellow"/>
        </w:rPr>
        <w:t> </w:t>
      </w:r>
      <w:r>
        <w:rPr>
          <w:color w:val="000000"/>
          <w:highlight w:val="yellow"/>
        </w:rPr>
        <w:t>knowledge</w:t>
      </w:r>
      <w:r>
        <w:rPr>
          <w:color w:val="000000"/>
          <w:spacing w:val="-4"/>
          <w:highlight w:val="yellow"/>
        </w:rPr>
        <w:t> </w:t>
      </w:r>
      <w:r>
        <w:rPr>
          <w:color w:val="000000"/>
          <w:highlight w:val="yellow"/>
        </w:rPr>
        <w:t>and</w:t>
      </w:r>
      <w:r>
        <w:rPr>
          <w:color w:val="000000"/>
          <w:spacing w:val="-4"/>
          <w:highlight w:val="yellow"/>
        </w:rPr>
        <w:t> </w:t>
      </w:r>
      <w:r>
        <w:rPr>
          <w:color w:val="000000"/>
          <w:highlight w:val="yellow"/>
        </w:rPr>
        <w:t>practical</w:t>
      </w:r>
      <w:r>
        <w:rPr>
          <w:color w:val="000000"/>
          <w:spacing w:val="-4"/>
          <w:highlight w:val="yellow"/>
        </w:rPr>
        <w:t> </w:t>
      </w:r>
      <w:r>
        <w:rPr>
          <w:color w:val="000000"/>
          <w:highlight w:val="yellow"/>
        </w:rPr>
        <w:t>skills</w:t>
      </w:r>
      <w:r>
        <w:rPr>
          <w:color w:val="000000"/>
          <w:spacing w:val="-4"/>
          <w:highlight w:val="yellow"/>
        </w:rPr>
        <w:t> </w:t>
      </w:r>
      <w:r>
        <w:rPr>
          <w:color w:val="000000"/>
          <w:highlight w:val="yellow"/>
        </w:rPr>
        <w:t>in</w:t>
      </w:r>
      <w:r>
        <w:rPr>
          <w:color w:val="000000"/>
        </w:rPr>
        <w:t> </w:t>
      </w:r>
      <w:r>
        <w:rPr>
          <w:color w:val="000000"/>
          <w:highlight w:val="yellow"/>
        </w:rPr>
        <w:t>diagnosing and managing these conditions.</w:t>
      </w:r>
    </w:p>
    <w:p>
      <w:pPr>
        <w:pStyle w:val="BodyText"/>
        <w:spacing w:before="10"/>
      </w:pPr>
    </w:p>
    <w:p>
      <w:pPr>
        <w:pStyle w:val="BodyText"/>
        <w:ind w:left="360" w:right="1144"/>
      </w:pPr>
      <w:r>
        <w:rPr>
          <w:color w:val="000000"/>
          <w:highlight w:val="yellow"/>
        </w:rPr>
        <w:t>To address these shortcomings, the review calls for the implementation of standardized curriculum</w:t>
      </w:r>
      <w:r>
        <w:rPr>
          <w:color w:val="000000"/>
        </w:rPr>
        <w:t> </w:t>
      </w:r>
      <w:r>
        <w:rPr>
          <w:color w:val="000000"/>
          <w:highlight w:val="yellow"/>
        </w:rPr>
        <w:t>guidelines that incorporate a multidisciplinary and biopsychosocial framework. This would involve</w:t>
      </w:r>
      <w:r>
        <w:rPr>
          <w:color w:val="000000"/>
        </w:rPr>
        <w:t> </w:t>
      </w:r>
      <w:r>
        <w:rPr>
          <w:color w:val="000000"/>
          <w:highlight w:val="yellow"/>
        </w:rPr>
        <w:t>integrating</w:t>
      </w:r>
      <w:r>
        <w:rPr>
          <w:color w:val="000000"/>
          <w:spacing w:val="-6"/>
          <w:highlight w:val="yellow"/>
        </w:rPr>
        <w:t> </w:t>
      </w:r>
      <w:r>
        <w:rPr>
          <w:color w:val="000000"/>
          <w:highlight w:val="yellow"/>
        </w:rPr>
        <w:t>expertise</w:t>
      </w:r>
      <w:r>
        <w:rPr>
          <w:color w:val="000000"/>
          <w:spacing w:val="-6"/>
          <w:highlight w:val="yellow"/>
        </w:rPr>
        <w:t> </w:t>
      </w:r>
      <w:r>
        <w:rPr>
          <w:color w:val="000000"/>
          <w:highlight w:val="yellow"/>
        </w:rPr>
        <w:t>from</w:t>
      </w:r>
      <w:r>
        <w:rPr>
          <w:color w:val="000000"/>
          <w:spacing w:val="-6"/>
          <w:highlight w:val="yellow"/>
        </w:rPr>
        <w:t> </w:t>
      </w:r>
      <w:r>
        <w:rPr>
          <w:color w:val="000000"/>
          <w:highlight w:val="yellow"/>
        </w:rPr>
        <w:t>related</w:t>
      </w:r>
      <w:r>
        <w:rPr>
          <w:color w:val="000000"/>
          <w:spacing w:val="-6"/>
          <w:highlight w:val="yellow"/>
        </w:rPr>
        <w:t> </w:t>
      </w:r>
      <w:r>
        <w:rPr>
          <w:color w:val="000000"/>
          <w:highlight w:val="yellow"/>
        </w:rPr>
        <w:t>fields</w:t>
      </w:r>
      <w:r>
        <w:rPr>
          <w:color w:val="000000"/>
          <w:spacing w:val="-6"/>
          <w:highlight w:val="yellow"/>
        </w:rPr>
        <w:t> </w:t>
      </w:r>
      <w:r>
        <w:rPr>
          <w:color w:val="000000"/>
          <w:highlight w:val="yellow"/>
        </w:rPr>
        <w:t>such</w:t>
      </w:r>
      <w:r>
        <w:rPr>
          <w:color w:val="000000"/>
          <w:spacing w:val="-6"/>
          <w:highlight w:val="yellow"/>
        </w:rPr>
        <w:t> </w:t>
      </w:r>
      <w:r>
        <w:rPr>
          <w:color w:val="000000"/>
          <w:highlight w:val="yellow"/>
        </w:rPr>
        <w:t>as</w:t>
      </w:r>
      <w:r>
        <w:rPr>
          <w:color w:val="000000"/>
          <w:spacing w:val="-6"/>
          <w:highlight w:val="yellow"/>
        </w:rPr>
        <w:t> </w:t>
      </w:r>
      <w:r>
        <w:rPr>
          <w:color w:val="000000"/>
          <w:highlight w:val="yellow"/>
        </w:rPr>
        <w:t>psychology,</w:t>
      </w:r>
      <w:r>
        <w:rPr>
          <w:color w:val="000000"/>
          <w:spacing w:val="-6"/>
          <w:highlight w:val="yellow"/>
        </w:rPr>
        <w:t> </w:t>
      </w:r>
      <w:r>
        <w:rPr>
          <w:color w:val="000000"/>
          <w:highlight w:val="yellow"/>
        </w:rPr>
        <w:t>physiotherapy,</w:t>
      </w:r>
      <w:r>
        <w:rPr>
          <w:color w:val="000000"/>
          <w:spacing w:val="-6"/>
          <w:highlight w:val="yellow"/>
        </w:rPr>
        <w:t> </w:t>
      </w:r>
      <w:r>
        <w:rPr>
          <w:color w:val="000000"/>
          <w:highlight w:val="yellow"/>
        </w:rPr>
        <w:t>and</w:t>
      </w:r>
      <w:r>
        <w:rPr>
          <w:color w:val="000000"/>
          <w:spacing w:val="-6"/>
          <w:highlight w:val="yellow"/>
        </w:rPr>
        <w:t> </w:t>
      </w:r>
      <w:r>
        <w:rPr>
          <w:color w:val="000000"/>
          <w:highlight w:val="yellow"/>
        </w:rPr>
        <w:t>neurology</w:t>
      </w:r>
      <w:r>
        <w:rPr>
          <w:color w:val="000000"/>
          <w:spacing w:val="-6"/>
          <w:highlight w:val="yellow"/>
        </w:rPr>
        <w:t> </w:t>
      </w:r>
      <w:r>
        <w:rPr>
          <w:color w:val="000000"/>
          <w:highlight w:val="yellow"/>
        </w:rPr>
        <w:t>to</w:t>
      </w:r>
      <w:r>
        <w:rPr>
          <w:color w:val="000000"/>
          <w:spacing w:val="-6"/>
          <w:highlight w:val="yellow"/>
        </w:rPr>
        <w:t> </w:t>
      </w:r>
      <w:r>
        <w:rPr>
          <w:color w:val="000000"/>
          <w:highlight w:val="yellow"/>
        </w:rPr>
        <w:t>provide</w:t>
      </w:r>
      <w:r>
        <w:rPr>
          <w:color w:val="000000"/>
        </w:rPr>
        <w:t> </w:t>
      </w:r>
      <w:r>
        <w:rPr>
          <w:color w:val="000000"/>
          <w:highlight w:val="yellow"/>
        </w:rPr>
        <w:t>a more holistic approach to TMD and OFP education. Furthermore, the shift in dentistry towards</w:t>
      </w:r>
    </w:p>
    <w:p>
      <w:pPr>
        <w:pStyle w:val="BodyText"/>
        <w:spacing w:after="0"/>
        <w:sectPr>
          <w:pgSz w:w="12240" w:h="15840"/>
          <w:pgMar w:header="16" w:footer="0" w:top="340" w:bottom="0" w:left="1440" w:right="360"/>
        </w:sectPr>
      </w:pPr>
    </w:p>
    <w:p>
      <w:pPr>
        <w:pStyle w:val="BodyText"/>
        <w:ind w:left="360" w:right="1144"/>
      </w:pPr>
      <w:r>
        <w:rPr>
          <w:color w:val="000000"/>
          <w:highlight w:val="yellow"/>
        </w:rPr>
        <w:t>patient-centered,</w:t>
      </w:r>
      <w:r>
        <w:rPr>
          <w:color w:val="000000"/>
          <w:spacing w:val="-5"/>
          <w:highlight w:val="yellow"/>
        </w:rPr>
        <w:t> </w:t>
      </w:r>
      <w:r>
        <w:rPr>
          <w:color w:val="000000"/>
          <w:highlight w:val="yellow"/>
        </w:rPr>
        <w:t>evidence-based</w:t>
      </w:r>
      <w:r>
        <w:rPr>
          <w:color w:val="000000"/>
          <w:spacing w:val="-5"/>
          <w:highlight w:val="yellow"/>
        </w:rPr>
        <w:t> </w:t>
      </w:r>
      <w:r>
        <w:rPr>
          <w:color w:val="000000"/>
          <w:highlight w:val="yellow"/>
        </w:rPr>
        <w:t>care</w:t>
      </w:r>
      <w:r>
        <w:rPr>
          <w:color w:val="000000"/>
          <w:spacing w:val="-5"/>
          <w:highlight w:val="yellow"/>
        </w:rPr>
        <w:t> </w:t>
      </w:r>
      <w:r>
        <w:rPr>
          <w:color w:val="000000"/>
          <w:highlight w:val="yellow"/>
        </w:rPr>
        <w:t>necessitates</w:t>
      </w:r>
      <w:r>
        <w:rPr>
          <w:color w:val="000000"/>
          <w:spacing w:val="-5"/>
          <w:highlight w:val="yellow"/>
        </w:rPr>
        <w:t> </w:t>
      </w:r>
      <w:r>
        <w:rPr>
          <w:color w:val="000000"/>
          <w:highlight w:val="yellow"/>
        </w:rPr>
        <w:t>updates</w:t>
      </w:r>
      <w:r>
        <w:rPr>
          <w:color w:val="000000"/>
          <w:spacing w:val="-5"/>
          <w:highlight w:val="yellow"/>
        </w:rPr>
        <w:t> </w:t>
      </w:r>
      <w:r>
        <w:rPr>
          <w:color w:val="000000"/>
          <w:highlight w:val="yellow"/>
        </w:rPr>
        <w:t>to</w:t>
      </w:r>
      <w:r>
        <w:rPr>
          <w:color w:val="000000"/>
          <w:spacing w:val="-5"/>
          <w:highlight w:val="yellow"/>
        </w:rPr>
        <w:t> </w:t>
      </w:r>
      <w:r>
        <w:rPr>
          <w:color w:val="000000"/>
          <w:highlight w:val="yellow"/>
        </w:rPr>
        <w:t>diagnostic</w:t>
      </w:r>
      <w:r>
        <w:rPr>
          <w:color w:val="000000"/>
          <w:spacing w:val="-5"/>
          <w:highlight w:val="yellow"/>
        </w:rPr>
        <w:t> </w:t>
      </w:r>
      <w:r>
        <w:rPr>
          <w:color w:val="000000"/>
          <w:highlight w:val="yellow"/>
        </w:rPr>
        <w:t>criteria,</w:t>
      </w:r>
      <w:r>
        <w:rPr>
          <w:color w:val="000000"/>
          <w:spacing w:val="-5"/>
          <w:highlight w:val="yellow"/>
        </w:rPr>
        <w:t> </w:t>
      </w:r>
      <w:r>
        <w:rPr>
          <w:color w:val="000000"/>
          <w:highlight w:val="yellow"/>
        </w:rPr>
        <w:t>pain</w:t>
      </w:r>
      <w:r>
        <w:rPr>
          <w:color w:val="000000"/>
          <w:spacing w:val="-5"/>
          <w:highlight w:val="yellow"/>
        </w:rPr>
        <w:t> </w:t>
      </w:r>
      <w:r>
        <w:rPr>
          <w:color w:val="000000"/>
          <w:highlight w:val="yellow"/>
        </w:rPr>
        <w:t>management</w:t>
      </w:r>
      <w:r>
        <w:rPr>
          <w:color w:val="000000"/>
        </w:rPr>
        <w:t> </w:t>
      </w:r>
      <w:r>
        <w:rPr>
          <w:color w:val="000000"/>
          <w:highlight w:val="yellow"/>
        </w:rPr>
        <w:t>strategies, and non-invasive treatment methods within dental training.</w:t>
      </w:r>
    </w:p>
    <w:p>
      <w:pPr>
        <w:pStyle w:val="BodyText"/>
        <w:spacing w:before="10"/>
      </w:pPr>
    </w:p>
    <w:p>
      <w:pPr>
        <w:pStyle w:val="BodyText"/>
        <w:ind w:left="360" w:right="903"/>
      </w:pPr>
      <w:r>
        <w:rPr>
          <w:color w:val="000000"/>
          <w:highlight w:val="yellow"/>
        </w:rPr>
        <w:t>The study also stresses the need for enhanced clinical training opportunities, faculty development</w:t>
      </w:r>
      <w:r>
        <w:rPr>
          <w:color w:val="000000"/>
        </w:rPr>
        <w:t> </w:t>
      </w:r>
      <w:r>
        <w:rPr>
          <w:color w:val="000000"/>
          <w:highlight w:val="yellow"/>
        </w:rPr>
        <w:t>programs, and continuing education initiatives to ensure that both students and practicing dentists</w:t>
      </w:r>
      <w:r>
        <w:rPr>
          <w:color w:val="000000"/>
        </w:rPr>
        <w:t> </w:t>
      </w:r>
      <w:r>
        <w:rPr>
          <w:color w:val="000000"/>
          <w:highlight w:val="yellow"/>
        </w:rPr>
        <w:t>remain</w:t>
      </w:r>
      <w:r>
        <w:rPr>
          <w:color w:val="000000"/>
          <w:spacing w:val="-3"/>
          <w:highlight w:val="yellow"/>
        </w:rPr>
        <w:t> </w:t>
      </w:r>
      <w:r>
        <w:rPr>
          <w:color w:val="000000"/>
          <w:highlight w:val="yellow"/>
        </w:rPr>
        <w:t>up</w:t>
      </w:r>
      <w:r>
        <w:rPr>
          <w:color w:val="000000"/>
          <w:spacing w:val="-3"/>
          <w:highlight w:val="yellow"/>
        </w:rPr>
        <w:t> </w:t>
      </w:r>
      <w:r>
        <w:rPr>
          <w:color w:val="000000"/>
          <w:highlight w:val="yellow"/>
        </w:rPr>
        <w:t>to</w:t>
      </w:r>
      <w:r>
        <w:rPr>
          <w:color w:val="000000"/>
          <w:spacing w:val="-3"/>
          <w:highlight w:val="yellow"/>
        </w:rPr>
        <w:t> </w:t>
      </w:r>
      <w:r>
        <w:rPr>
          <w:color w:val="000000"/>
          <w:highlight w:val="yellow"/>
        </w:rPr>
        <w:t>date</w:t>
      </w:r>
      <w:r>
        <w:rPr>
          <w:color w:val="000000"/>
          <w:spacing w:val="-3"/>
          <w:highlight w:val="yellow"/>
        </w:rPr>
        <w:t> </w:t>
      </w:r>
      <w:r>
        <w:rPr>
          <w:color w:val="000000"/>
          <w:highlight w:val="yellow"/>
        </w:rPr>
        <w:t>with</w:t>
      </w:r>
      <w:r>
        <w:rPr>
          <w:color w:val="000000"/>
          <w:spacing w:val="-3"/>
          <w:highlight w:val="yellow"/>
        </w:rPr>
        <w:t> </w:t>
      </w:r>
      <w:r>
        <w:rPr>
          <w:color w:val="000000"/>
          <w:highlight w:val="yellow"/>
        </w:rPr>
        <w:t>the</w:t>
      </w:r>
      <w:r>
        <w:rPr>
          <w:color w:val="000000"/>
          <w:spacing w:val="-3"/>
          <w:highlight w:val="yellow"/>
        </w:rPr>
        <w:t> </w:t>
      </w:r>
      <w:r>
        <w:rPr>
          <w:color w:val="000000"/>
          <w:highlight w:val="yellow"/>
        </w:rPr>
        <w:t>latest</w:t>
      </w:r>
      <w:r>
        <w:rPr>
          <w:color w:val="000000"/>
          <w:spacing w:val="-3"/>
          <w:highlight w:val="yellow"/>
        </w:rPr>
        <w:t> </w:t>
      </w:r>
      <w:r>
        <w:rPr>
          <w:color w:val="000000"/>
          <w:highlight w:val="yellow"/>
        </w:rPr>
        <w:t>scientific</w:t>
      </w:r>
      <w:r>
        <w:rPr>
          <w:color w:val="000000"/>
          <w:spacing w:val="-3"/>
          <w:highlight w:val="yellow"/>
        </w:rPr>
        <w:t> </w:t>
      </w:r>
      <w:r>
        <w:rPr>
          <w:color w:val="000000"/>
          <w:highlight w:val="yellow"/>
        </w:rPr>
        <w:t>advancements.</w:t>
      </w:r>
      <w:r>
        <w:rPr>
          <w:color w:val="000000"/>
          <w:spacing w:val="-3"/>
          <w:highlight w:val="yellow"/>
        </w:rPr>
        <w:t> </w:t>
      </w:r>
      <w:r>
        <w:rPr>
          <w:color w:val="000000"/>
          <w:highlight w:val="yellow"/>
        </w:rPr>
        <w:t>Future</w:t>
      </w:r>
      <w:r>
        <w:rPr>
          <w:color w:val="000000"/>
          <w:spacing w:val="-3"/>
          <w:highlight w:val="yellow"/>
        </w:rPr>
        <w:t> </w:t>
      </w:r>
      <w:r>
        <w:rPr>
          <w:color w:val="000000"/>
          <w:highlight w:val="yellow"/>
        </w:rPr>
        <w:t>research</w:t>
      </w:r>
      <w:r>
        <w:rPr>
          <w:color w:val="000000"/>
          <w:spacing w:val="-3"/>
          <w:highlight w:val="yellow"/>
        </w:rPr>
        <w:t> </w:t>
      </w:r>
      <w:r>
        <w:rPr>
          <w:color w:val="000000"/>
          <w:highlight w:val="yellow"/>
        </w:rPr>
        <w:t>should</w:t>
      </w:r>
      <w:r>
        <w:rPr>
          <w:color w:val="000000"/>
          <w:spacing w:val="-3"/>
          <w:highlight w:val="yellow"/>
        </w:rPr>
        <w:t> </w:t>
      </w:r>
      <w:r>
        <w:rPr>
          <w:color w:val="000000"/>
          <w:highlight w:val="yellow"/>
        </w:rPr>
        <w:t>focus</w:t>
      </w:r>
      <w:r>
        <w:rPr>
          <w:color w:val="000000"/>
          <w:spacing w:val="-3"/>
          <w:highlight w:val="yellow"/>
        </w:rPr>
        <w:t> </w:t>
      </w:r>
      <w:r>
        <w:rPr>
          <w:color w:val="000000"/>
          <w:highlight w:val="yellow"/>
        </w:rPr>
        <w:t>on</w:t>
      </w:r>
      <w:r>
        <w:rPr>
          <w:color w:val="000000"/>
          <w:spacing w:val="-3"/>
          <w:highlight w:val="yellow"/>
        </w:rPr>
        <w:t> </w:t>
      </w:r>
      <w:r>
        <w:rPr>
          <w:color w:val="000000"/>
          <w:highlight w:val="yellow"/>
        </w:rPr>
        <w:t>evaluating</w:t>
      </w:r>
      <w:r>
        <w:rPr>
          <w:color w:val="000000"/>
        </w:rPr>
        <w:t> </w:t>
      </w:r>
      <w:r>
        <w:rPr>
          <w:color w:val="000000"/>
          <w:highlight w:val="yellow"/>
        </w:rPr>
        <w:t>the impact of curriculum reforms and identifying best practices for interdisciplinary TMD and OFP</w:t>
      </w:r>
      <w:r>
        <w:rPr>
          <w:color w:val="000000"/>
        </w:rPr>
        <w:t> </w:t>
      </w:r>
      <w:r>
        <w:rPr>
          <w:color w:val="000000"/>
          <w:spacing w:val="-2"/>
          <w:highlight w:val="yellow"/>
        </w:rPr>
        <w:t>education.</w:t>
      </w:r>
    </w:p>
    <w:p>
      <w:pPr>
        <w:pStyle w:val="BodyText"/>
        <w:spacing w:before="10"/>
      </w:pPr>
    </w:p>
    <w:p>
      <w:pPr>
        <w:pStyle w:val="BodyText"/>
        <w:ind w:left="360" w:right="1144"/>
      </w:pPr>
      <w:r>
        <w:rPr>
          <w:color w:val="000000"/>
          <w:highlight w:val="yellow"/>
        </w:rPr>
        <w:t>In conclusion, urgent curriculum reform is essential to equip future dentists with the necessary</w:t>
      </w:r>
      <w:r>
        <w:rPr>
          <w:color w:val="000000"/>
        </w:rPr>
        <w:t> </w:t>
      </w:r>
      <w:r>
        <w:rPr>
          <w:color w:val="000000"/>
          <w:highlight w:val="yellow"/>
        </w:rPr>
        <w:t>competencies for effective TMD and OFP management. Implementing structured, evidence-based</w:t>
      </w:r>
      <w:r>
        <w:rPr>
          <w:color w:val="000000"/>
        </w:rPr>
        <w:t> </w:t>
      </w:r>
      <w:r>
        <w:rPr>
          <w:color w:val="000000"/>
          <w:highlight w:val="yellow"/>
        </w:rPr>
        <w:t>educational</w:t>
      </w:r>
      <w:r>
        <w:rPr>
          <w:color w:val="000000"/>
          <w:spacing w:val="-5"/>
          <w:highlight w:val="yellow"/>
        </w:rPr>
        <w:t> </w:t>
      </w:r>
      <w:r>
        <w:rPr>
          <w:color w:val="000000"/>
          <w:highlight w:val="yellow"/>
        </w:rPr>
        <w:t>strategies</w:t>
      </w:r>
      <w:r>
        <w:rPr>
          <w:color w:val="000000"/>
          <w:spacing w:val="-5"/>
          <w:highlight w:val="yellow"/>
        </w:rPr>
        <w:t> </w:t>
      </w:r>
      <w:r>
        <w:rPr>
          <w:color w:val="000000"/>
          <w:highlight w:val="yellow"/>
        </w:rPr>
        <w:t>will</w:t>
      </w:r>
      <w:r>
        <w:rPr>
          <w:color w:val="000000"/>
          <w:spacing w:val="-5"/>
          <w:highlight w:val="yellow"/>
        </w:rPr>
        <w:t> </w:t>
      </w:r>
      <w:r>
        <w:rPr>
          <w:color w:val="000000"/>
          <w:highlight w:val="yellow"/>
        </w:rPr>
        <w:t>improve</w:t>
      </w:r>
      <w:r>
        <w:rPr>
          <w:color w:val="000000"/>
          <w:spacing w:val="-5"/>
          <w:highlight w:val="yellow"/>
        </w:rPr>
        <w:t> </w:t>
      </w:r>
      <w:r>
        <w:rPr>
          <w:color w:val="000000"/>
          <w:highlight w:val="yellow"/>
        </w:rPr>
        <w:t>student</w:t>
      </w:r>
      <w:r>
        <w:rPr>
          <w:color w:val="000000"/>
          <w:spacing w:val="-5"/>
          <w:highlight w:val="yellow"/>
        </w:rPr>
        <w:t> </w:t>
      </w:r>
      <w:r>
        <w:rPr>
          <w:color w:val="000000"/>
          <w:highlight w:val="yellow"/>
        </w:rPr>
        <w:t>preparedness,</w:t>
      </w:r>
      <w:r>
        <w:rPr>
          <w:color w:val="000000"/>
          <w:spacing w:val="-5"/>
          <w:highlight w:val="yellow"/>
        </w:rPr>
        <w:t> </w:t>
      </w:r>
      <w:r>
        <w:rPr>
          <w:color w:val="000000"/>
          <w:highlight w:val="yellow"/>
        </w:rPr>
        <w:t>enhance</w:t>
      </w:r>
      <w:r>
        <w:rPr>
          <w:color w:val="000000"/>
          <w:spacing w:val="-5"/>
          <w:highlight w:val="yellow"/>
        </w:rPr>
        <w:t> </w:t>
      </w:r>
      <w:r>
        <w:rPr>
          <w:color w:val="000000"/>
          <w:highlight w:val="yellow"/>
        </w:rPr>
        <w:t>patient</w:t>
      </w:r>
      <w:r>
        <w:rPr>
          <w:color w:val="000000"/>
          <w:spacing w:val="-5"/>
          <w:highlight w:val="yellow"/>
        </w:rPr>
        <w:t> </w:t>
      </w:r>
      <w:r>
        <w:rPr>
          <w:color w:val="000000"/>
          <w:highlight w:val="yellow"/>
        </w:rPr>
        <w:t>outcomes,</w:t>
      </w:r>
      <w:r>
        <w:rPr>
          <w:color w:val="000000"/>
          <w:spacing w:val="-5"/>
          <w:highlight w:val="yellow"/>
        </w:rPr>
        <w:t> </w:t>
      </w:r>
      <w:r>
        <w:rPr>
          <w:color w:val="000000"/>
          <w:highlight w:val="yellow"/>
        </w:rPr>
        <w:t>and</w:t>
      </w:r>
      <w:r>
        <w:rPr>
          <w:color w:val="000000"/>
          <w:spacing w:val="-5"/>
          <w:highlight w:val="yellow"/>
        </w:rPr>
        <w:t> </w:t>
      </w:r>
      <w:r>
        <w:rPr>
          <w:color w:val="000000"/>
          <w:highlight w:val="yellow"/>
        </w:rPr>
        <w:t>advance</w:t>
      </w:r>
      <w:r>
        <w:rPr>
          <w:color w:val="000000"/>
        </w:rPr>
        <w:t> </w:t>
      </w:r>
      <w:r>
        <w:rPr>
          <w:color w:val="000000"/>
          <w:highlight w:val="yellow"/>
        </w:rPr>
        <w:t>pain management practices in dental care.</w:t>
      </w:r>
    </w:p>
    <w:p>
      <w:pPr>
        <w:pStyle w:val="BodyText"/>
        <w:spacing w:after="0"/>
        <w:sectPr>
          <w:pgSz w:w="12240" w:h="15840"/>
          <w:pgMar w:header="16" w:footer="0" w:top="340" w:bottom="280" w:left="1440" w:right="360"/>
        </w:sectPr>
      </w:pPr>
    </w:p>
    <w:p>
      <w:pPr>
        <w:pStyle w:val="BodyText"/>
        <w:rPr>
          <w:sz w:val="22"/>
        </w:rPr>
      </w:pPr>
    </w:p>
    <w:p>
      <w:pPr>
        <w:pStyle w:val="BodyText"/>
        <w:spacing w:before="118"/>
        <w:rPr>
          <w:sz w:val="22"/>
        </w:rPr>
      </w:pPr>
    </w:p>
    <w:p>
      <w:pPr>
        <w:pStyle w:val="Heading1"/>
        <w:ind w:left="570" w:firstLine="0"/>
      </w:pPr>
      <w:r>
        <w:rPr>
          <w:spacing w:val="-2"/>
        </w:rPr>
        <w:t>REFERENCES</w:t>
      </w:r>
    </w:p>
    <w:p>
      <w:pPr>
        <w:pStyle w:val="BodyText"/>
        <w:rPr>
          <w:rFonts w:ascii="Arial"/>
          <w:b/>
          <w:sz w:val="22"/>
        </w:rPr>
      </w:pPr>
    </w:p>
    <w:p>
      <w:pPr>
        <w:pStyle w:val="BodyText"/>
        <w:spacing w:before="152"/>
        <w:rPr>
          <w:rFonts w:ascii="Arial"/>
          <w:b/>
          <w:sz w:val="22"/>
        </w:rPr>
      </w:pPr>
    </w:p>
    <w:p>
      <w:pPr>
        <w:pStyle w:val="ListParagraph"/>
        <w:numPr>
          <w:ilvl w:val="1"/>
          <w:numId w:val="4"/>
        </w:numPr>
        <w:tabs>
          <w:tab w:pos="1078" w:val="left" w:leader="none"/>
          <w:tab w:pos="1080" w:val="left" w:leader="none"/>
        </w:tabs>
        <w:spacing w:line="230" w:lineRule="auto" w:before="0" w:after="0"/>
        <w:ind w:left="1080" w:right="1648" w:hanging="360"/>
        <w:jc w:val="both"/>
        <w:rPr>
          <w:sz w:val="20"/>
        </w:rPr>
      </w:pPr>
      <w:r>
        <w:rPr>
          <w:sz w:val="20"/>
        </w:rPr>
        <w:t>AGGARWAL, V. R. et al. Dentists’ and Specialists’ Knowledge of Chronic Orofacial Pain: Results from a Continuing Professional Development Survey. </w:t>
      </w:r>
      <w:r>
        <w:rPr>
          <w:rFonts w:ascii="Arial" w:hAnsi="Arial"/>
          <w:i/>
          <w:sz w:val="20"/>
        </w:rPr>
        <w:t>Primary Dental Care</w:t>
      </w:r>
      <w:r>
        <w:rPr>
          <w:sz w:val="20"/>
        </w:rPr>
        <w:t>, v. 18, n. 1, p. 41–44, 10 jan. 2011.</w:t>
      </w:r>
    </w:p>
    <w:p>
      <w:pPr>
        <w:pStyle w:val="BodyText"/>
        <w:spacing w:before="6"/>
      </w:pPr>
    </w:p>
    <w:p>
      <w:pPr>
        <w:pStyle w:val="ListParagraph"/>
        <w:numPr>
          <w:ilvl w:val="1"/>
          <w:numId w:val="4"/>
        </w:numPr>
        <w:tabs>
          <w:tab w:pos="1078" w:val="left" w:leader="none"/>
          <w:tab w:pos="1080" w:val="left" w:leader="none"/>
        </w:tabs>
        <w:spacing w:line="230" w:lineRule="auto" w:before="1" w:after="0"/>
        <w:ind w:left="1080" w:right="1648" w:hanging="360"/>
        <w:jc w:val="both"/>
        <w:rPr>
          <w:sz w:val="20"/>
        </w:rPr>
      </w:pPr>
      <w:r>
        <w:rPr>
          <w:sz w:val="20"/>
        </w:rPr>
        <w:t>ARAÚJO, I. R. S. et al. Knowledge of dentists about the relationship between temporomandibular dysfunction and occlusal factors. </w:t>
      </w:r>
      <w:r>
        <w:rPr>
          <w:rFonts w:ascii="Arial" w:hAnsi="Arial"/>
          <w:i/>
          <w:sz w:val="20"/>
        </w:rPr>
        <w:t>Revista de Odontologia da UNESP</w:t>
      </w:r>
      <w:r>
        <w:rPr>
          <w:sz w:val="20"/>
        </w:rPr>
        <w:t>, v. 48, 2019.</w:t>
      </w:r>
    </w:p>
    <w:p>
      <w:pPr>
        <w:pStyle w:val="ListParagraph"/>
        <w:numPr>
          <w:ilvl w:val="1"/>
          <w:numId w:val="4"/>
        </w:numPr>
        <w:tabs>
          <w:tab w:pos="1078" w:val="left" w:leader="none"/>
          <w:tab w:pos="1080" w:val="left" w:leader="none"/>
        </w:tabs>
        <w:spacing w:line="230" w:lineRule="auto" w:before="219" w:after="0"/>
        <w:ind w:left="1080" w:right="1653" w:hanging="360"/>
        <w:jc w:val="both"/>
        <w:rPr>
          <w:sz w:val="20"/>
        </w:rPr>
      </w:pPr>
      <w:r>
        <w:rPr>
          <w:color w:val="000000"/>
          <w:sz w:val="20"/>
          <w:highlight w:val="yellow"/>
        </w:rPr>
        <w:t>ARÚS, N. A. et al. Teaching Dental Students to Understand the Temporomandibular</w:t>
      </w:r>
      <w:r>
        <w:rPr>
          <w:color w:val="000000"/>
          <w:sz w:val="20"/>
        </w:rPr>
        <w:t> </w:t>
      </w:r>
      <w:r>
        <w:rPr>
          <w:color w:val="000000"/>
          <w:sz w:val="20"/>
          <w:highlight w:val="yellow"/>
        </w:rPr>
        <w:t>Joint Using</w:t>
      </w:r>
      <w:r>
        <w:rPr>
          <w:color w:val="000000"/>
          <w:spacing w:val="-4"/>
          <w:sz w:val="20"/>
          <w:highlight w:val="yellow"/>
        </w:rPr>
        <w:t> </w:t>
      </w:r>
      <w:r>
        <w:rPr>
          <w:color w:val="000000"/>
          <w:sz w:val="20"/>
          <w:highlight w:val="yellow"/>
        </w:rPr>
        <w:t>MRI:</w:t>
      </w:r>
      <w:r>
        <w:rPr>
          <w:color w:val="000000"/>
          <w:spacing w:val="-4"/>
          <w:sz w:val="20"/>
          <w:highlight w:val="yellow"/>
        </w:rPr>
        <w:t> </w:t>
      </w:r>
      <w:r>
        <w:rPr>
          <w:color w:val="000000"/>
          <w:sz w:val="20"/>
          <w:highlight w:val="yellow"/>
        </w:rPr>
        <w:t>Comparison</w:t>
      </w:r>
      <w:r>
        <w:rPr>
          <w:color w:val="000000"/>
          <w:spacing w:val="-4"/>
          <w:sz w:val="20"/>
          <w:highlight w:val="yellow"/>
        </w:rPr>
        <w:t> </w:t>
      </w:r>
      <w:r>
        <w:rPr>
          <w:color w:val="000000"/>
          <w:sz w:val="20"/>
          <w:highlight w:val="yellow"/>
        </w:rPr>
        <w:t>of</w:t>
      </w:r>
      <w:r>
        <w:rPr>
          <w:color w:val="000000"/>
          <w:spacing w:val="-4"/>
          <w:sz w:val="20"/>
          <w:highlight w:val="yellow"/>
        </w:rPr>
        <w:t> </w:t>
      </w:r>
      <w:r>
        <w:rPr>
          <w:color w:val="000000"/>
          <w:sz w:val="20"/>
          <w:highlight w:val="yellow"/>
        </w:rPr>
        <w:t>Conventional</w:t>
      </w:r>
      <w:r>
        <w:rPr>
          <w:color w:val="000000"/>
          <w:spacing w:val="-4"/>
          <w:sz w:val="20"/>
          <w:highlight w:val="yellow"/>
        </w:rPr>
        <w:t> </w:t>
      </w:r>
      <w:r>
        <w:rPr>
          <w:color w:val="000000"/>
          <w:sz w:val="20"/>
          <w:highlight w:val="yellow"/>
        </w:rPr>
        <w:t>and</w:t>
      </w:r>
      <w:r>
        <w:rPr>
          <w:color w:val="000000"/>
          <w:spacing w:val="-4"/>
          <w:sz w:val="20"/>
          <w:highlight w:val="yellow"/>
        </w:rPr>
        <w:t> </w:t>
      </w:r>
      <w:r>
        <w:rPr>
          <w:color w:val="000000"/>
          <w:sz w:val="20"/>
          <w:highlight w:val="yellow"/>
        </w:rPr>
        <w:t>Digital</w:t>
      </w:r>
      <w:r>
        <w:rPr>
          <w:color w:val="000000"/>
          <w:spacing w:val="-4"/>
          <w:sz w:val="20"/>
          <w:highlight w:val="yellow"/>
        </w:rPr>
        <w:t> </w:t>
      </w:r>
      <w:r>
        <w:rPr>
          <w:color w:val="000000"/>
          <w:sz w:val="20"/>
          <w:highlight w:val="yellow"/>
        </w:rPr>
        <w:t>Learning</w:t>
      </w:r>
      <w:r>
        <w:rPr>
          <w:color w:val="000000"/>
          <w:spacing w:val="-4"/>
          <w:sz w:val="20"/>
          <w:highlight w:val="yellow"/>
        </w:rPr>
        <w:t> </w:t>
      </w:r>
      <w:r>
        <w:rPr>
          <w:color w:val="000000"/>
          <w:sz w:val="20"/>
          <w:highlight w:val="yellow"/>
        </w:rPr>
        <w:t>Methods.</w:t>
      </w:r>
      <w:r>
        <w:rPr>
          <w:color w:val="000000"/>
          <w:spacing w:val="-4"/>
          <w:sz w:val="20"/>
          <w:highlight w:val="yellow"/>
        </w:rPr>
        <w:t> </w:t>
      </w:r>
      <w:r>
        <w:rPr>
          <w:rFonts w:ascii="Arial" w:hAnsi="Arial"/>
          <w:i/>
          <w:color w:val="000000"/>
          <w:sz w:val="20"/>
          <w:highlight w:val="yellow"/>
        </w:rPr>
        <w:t>Journal</w:t>
      </w:r>
      <w:r>
        <w:rPr>
          <w:rFonts w:ascii="Arial" w:hAnsi="Arial"/>
          <w:i/>
          <w:color w:val="000000"/>
          <w:spacing w:val="-4"/>
          <w:sz w:val="20"/>
          <w:highlight w:val="yellow"/>
        </w:rPr>
        <w:t> </w:t>
      </w:r>
      <w:r>
        <w:rPr>
          <w:rFonts w:ascii="Arial" w:hAnsi="Arial"/>
          <w:i/>
          <w:color w:val="000000"/>
          <w:sz w:val="20"/>
          <w:highlight w:val="yellow"/>
        </w:rPr>
        <w:t>of</w:t>
      </w:r>
      <w:r>
        <w:rPr>
          <w:rFonts w:ascii="Arial" w:hAnsi="Arial"/>
          <w:i/>
          <w:color w:val="000000"/>
          <w:sz w:val="20"/>
        </w:rPr>
        <w:t> </w:t>
      </w:r>
      <w:r>
        <w:rPr>
          <w:rFonts w:ascii="Arial" w:hAnsi="Arial"/>
          <w:i/>
          <w:color w:val="000000"/>
          <w:sz w:val="20"/>
          <w:highlight w:val="yellow"/>
        </w:rPr>
        <w:t>Dental Education</w:t>
      </w:r>
      <w:r>
        <w:rPr>
          <w:color w:val="000000"/>
          <w:sz w:val="20"/>
          <w:highlight w:val="yellow"/>
        </w:rPr>
        <w:t>, v. 81, n. 6, p. 752–758, jun. 2017.</w:t>
      </w:r>
    </w:p>
    <w:p>
      <w:pPr>
        <w:pStyle w:val="BodyText"/>
        <w:spacing w:before="7"/>
      </w:pPr>
    </w:p>
    <w:p>
      <w:pPr>
        <w:pStyle w:val="ListParagraph"/>
        <w:numPr>
          <w:ilvl w:val="1"/>
          <w:numId w:val="4"/>
        </w:numPr>
        <w:tabs>
          <w:tab w:pos="1078" w:val="left" w:leader="none"/>
          <w:tab w:pos="1080" w:val="left" w:leader="none"/>
        </w:tabs>
        <w:spacing w:line="230" w:lineRule="auto" w:before="0" w:after="0"/>
        <w:ind w:left="1080" w:right="1649" w:hanging="360"/>
        <w:jc w:val="both"/>
        <w:rPr>
          <w:sz w:val="20"/>
        </w:rPr>
      </w:pPr>
      <w:r>
        <w:rPr>
          <w:sz w:val="20"/>
        </w:rPr>
        <w:t>AROMATARIS, E. et al. </w:t>
      </w:r>
      <w:r>
        <w:rPr>
          <w:rFonts w:ascii="Arial"/>
          <w:i/>
          <w:sz w:val="20"/>
        </w:rPr>
        <w:t>JBI Manual for Evidence Synthesis</w:t>
      </w:r>
      <w:r>
        <w:rPr>
          <w:sz w:val="20"/>
        </w:rPr>
        <w:t>. JBI, 2024. Available at: </w:t>
      </w:r>
      <w:r>
        <w:rPr>
          <w:color w:val="0000FF"/>
          <w:sz w:val="20"/>
          <w:u w:val="thick" w:color="0000FF"/>
        </w:rPr>
        <w:t>https://synthesismanual.jbi.global</w:t>
      </w:r>
      <w:r>
        <w:rPr>
          <w:sz w:val="20"/>
        </w:rPr>
        <w:t>. Accessed on: Aug. 7, 2024.</w:t>
      </w:r>
    </w:p>
    <w:p>
      <w:pPr>
        <w:pStyle w:val="ListParagraph"/>
        <w:numPr>
          <w:ilvl w:val="1"/>
          <w:numId w:val="4"/>
        </w:numPr>
        <w:tabs>
          <w:tab w:pos="1078" w:val="left" w:leader="none"/>
          <w:tab w:pos="1080" w:val="left" w:leader="none"/>
        </w:tabs>
        <w:spacing w:line="230" w:lineRule="auto" w:before="219" w:after="0"/>
        <w:ind w:left="1080" w:right="1652" w:hanging="360"/>
        <w:jc w:val="both"/>
        <w:rPr>
          <w:sz w:val="20"/>
        </w:rPr>
      </w:pPr>
      <w:r>
        <w:rPr>
          <w:sz w:val="20"/>
        </w:rPr>
        <w:t>AL-KHOTANI, A. et</w:t>
      </w:r>
      <w:r>
        <w:rPr>
          <w:spacing w:val="40"/>
          <w:sz w:val="20"/>
        </w:rPr>
        <w:t> </w:t>
      </w:r>
      <w:r>
        <w:rPr>
          <w:sz w:val="20"/>
        </w:rPr>
        <w:t>al.</w:t>
      </w:r>
      <w:r>
        <w:rPr>
          <w:spacing w:val="40"/>
          <w:sz w:val="20"/>
        </w:rPr>
        <w:t> </w:t>
      </w:r>
      <w:r>
        <w:rPr>
          <w:sz w:val="20"/>
        </w:rPr>
        <w:t>Professional</w:t>
      </w:r>
      <w:r>
        <w:rPr>
          <w:spacing w:val="-5"/>
          <w:sz w:val="20"/>
        </w:rPr>
        <w:t> </w:t>
      </w:r>
      <w:r>
        <w:rPr>
          <w:sz w:val="20"/>
        </w:rPr>
        <w:t>knowledge</w:t>
      </w:r>
      <w:r>
        <w:rPr>
          <w:spacing w:val="-5"/>
          <w:sz w:val="20"/>
        </w:rPr>
        <w:t> </w:t>
      </w:r>
      <w:r>
        <w:rPr>
          <w:sz w:val="20"/>
        </w:rPr>
        <w:t>among</w:t>
      </w:r>
      <w:r>
        <w:rPr>
          <w:spacing w:val="-5"/>
          <w:sz w:val="20"/>
        </w:rPr>
        <w:t> </w:t>
      </w:r>
      <w:r>
        <w:rPr>
          <w:sz w:val="20"/>
        </w:rPr>
        <w:t>Swedish</w:t>
      </w:r>
      <w:r>
        <w:rPr>
          <w:spacing w:val="-5"/>
          <w:sz w:val="20"/>
        </w:rPr>
        <w:t> </w:t>
      </w:r>
      <w:r>
        <w:rPr>
          <w:sz w:val="20"/>
        </w:rPr>
        <w:t>and</w:t>
      </w:r>
      <w:r>
        <w:rPr>
          <w:spacing w:val="-5"/>
          <w:sz w:val="20"/>
        </w:rPr>
        <w:t> </w:t>
      </w:r>
      <w:r>
        <w:rPr>
          <w:sz w:val="20"/>
        </w:rPr>
        <w:t>Saudi</w:t>
      </w:r>
      <w:r>
        <w:rPr>
          <w:spacing w:val="-5"/>
          <w:sz w:val="20"/>
        </w:rPr>
        <w:t> </w:t>
      </w:r>
      <w:r>
        <w:rPr>
          <w:sz w:val="20"/>
        </w:rPr>
        <w:t>healthcare practitioners regarding orofacial pain in children and adolescents. </w:t>
      </w:r>
      <w:r>
        <w:rPr>
          <w:rFonts w:ascii="Arial" w:hAnsi="Arial"/>
          <w:i/>
          <w:sz w:val="20"/>
        </w:rPr>
        <w:t>Journal of Oral Rehabilitation</w:t>
      </w:r>
      <w:r>
        <w:rPr>
          <w:sz w:val="20"/>
        </w:rPr>
        <w:t>, v. 43, n. 1, p. 1–9, 2015.</w:t>
      </w:r>
    </w:p>
    <w:p>
      <w:pPr>
        <w:pStyle w:val="BodyText"/>
        <w:spacing w:before="7"/>
      </w:pPr>
    </w:p>
    <w:p>
      <w:pPr>
        <w:pStyle w:val="ListParagraph"/>
        <w:numPr>
          <w:ilvl w:val="1"/>
          <w:numId w:val="4"/>
        </w:numPr>
        <w:tabs>
          <w:tab w:pos="1078" w:val="left" w:leader="none"/>
          <w:tab w:pos="1080" w:val="left" w:leader="none"/>
        </w:tabs>
        <w:spacing w:line="230" w:lineRule="auto" w:before="0" w:after="0"/>
        <w:ind w:left="1080" w:right="1652" w:hanging="360"/>
        <w:jc w:val="both"/>
        <w:rPr>
          <w:sz w:val="20"/>
        </w:rPr>
      </w:pPr>
      <w:r>
        <w:rPr>
          <w:sz w:val="20"/>
        </w:rPr>
        <w:t>ALONSO, A. A. et al. Dental Students’ Perceived Level of Competence in Orofacial Pain. </w:t>
      </w:r>
      <w:r>
        <w:rPr>
          <w:rFonts w:ascii="Arial" w:hAnsi="Arial"/>
          <w:i/>
          <w:sz w:val="20"/>
        </w:rPr>
        <w:t>Journal of Dental Education</w:t>
      </w:r>
      <w:r>
        <w:rPr>
          <w:sz w:val="20"/>
        </w:rPr>
        <w:t>, v. 78, n. 10, p. 1379–1387, 2014.</w:t>
      </w:r>
    </w:p>
    <w:p>
      <w:pPr>
        <w:pStyle w:val="BodyText"/>
        <w:spacing w:before="7"/>
      </w:pPr>
    </w:p>
    <w:p>
      <w:pPr>
        <w:pStyle w:val="ListParagraph"/>
        <w:numPr>
          <w:ilvl w:val="1"/>
          <w:numId w:val="4"/>
        </w:numPr>
        <w:tabs>
          <w:tab w:pos="1078" w:val="left" w:leader="none"/>
          <w:tab w:pos="1080" w:val="left" w:leader="none"/>
        </w:tabs>
        <w:spacing w:line="230" w:lineRule="auto" w:before="0" w:after="0"/>
        <w:ind w:left="1080" w:right="1654" w:hanging="360"/>
        <w:jc w:val="both"/>
        <w:rPr>
          <w:sz w:val="20"/>
        </w:rPr>
      </w:pPr>
      <w:r>
        <w:rPr>
          <w:sz w:val="20"/>
        </w:rPr>
        <w:t>BARROS, V. DE M. et al. The impact of orofacial pain on the quality of</w:t>
      </w:r>
      <w:r>
        <w:rPr>
          <w:spacing w:val="-3"/>
          <w:sz w:val="20"/>
        </w:rPr>
        <w:t> </w:t>
      </w:r>
      <w:r>
        <w:rPr>
          <w:sz w:val="20"/>
        </w:rPr>
        <w:t>life</w:t>
      </w:r>
      <w:r>
        <w:rPr>
          <w:spacing w:val="-3"/>
          <w:sz w:val="20"/>
        </w:rPr>
        <w:t> </w:t>
      </w:r>
      <w:r>
        <w:rPr>
          <w:sz w:val="20"/>
        </w:rPr>
        <w:t>of</w:t>
      </w:r>
      <w:r>
        <w:rPr>
          <w:spacing w:val="-3"/>
          <w:sz w:val="20"/>
        </w:rPr>
        <w:t> </w:t>
      </w:r>
      <w:r>
        <w:rPr>
          <w:sz w:val="20"/>
        </w:rPr>
        <w:t>patients with temporomandibular disorder. </w:t>
      </w:r>
      <w:r>
        <w:rPr>
          <w:rFonts w:ascii="Arial" w:hAnsi="Arial"/>
          <w:i/>
          <w:sz w:val="20"/>
        </w:rPr>
        <w:t>Journal of orofacial pain</w:t>
      </w:r>
      <w:r>
        <w:rPr>
          <w:sz w:val="20"/>
        </w:rPr>
        <w:t>, v. 23, n. 1, p. 28–37, 2009.</w:t>
      </w:r>
    </w:p>
    <w:p>
      <w:pPr>
        <w:pStyle w:val="ListParagraph"/>
        <w:numPr>
          <w:ilvl w:val="1"/>
          <w:numId w:val="4"/>
        </w:numPr>
        <w:tabs>
          <w:tab w:pos="1078" w:val="left" w:leader="none"/>
          <w:tab w:pos="1080" w:val="left" w:leader="none"/>
        </w:tabs>
        <w:spacing w:line="230" w:lineRule="auto" w:before="222" w:after="0"/>
        <w:ind w:left="1080" w:right="1648" w:hanging="360"/>
        <w:jc w:val="both"/>
        <w:rPr>
          <w:sz w:val="20"/>
        </w:rPr>
      </w:pPr>
      <w:r>
        <w:rPr>
          <w:color w:val="202024"/>
          <w:sz w:val="20"/>
          <w:highlight w:val="yellow"/>
        </w:rPr>
        <w:t>BRAZIL. National Education Council. Chamber of Higher Education.</w:t>
      </w:r>
      <w:r>
        <w:rPr>
          <w:color w:val="202024"/>
          <w:spacing w:val="-4"/>
          <w:sz w:val="20"/>
          <w:highlight w:val="yellow"/>
        </w:rPr>
        <w:t> </w:t>
      </w:r>
      <w:r>
        <w:rPr>
          <w:color w:val="202024"/>
          <w:sz w:val="20"/>
          <w:highlight w:val="yellow"/>
        </w:rPr>
        <w:t>Resolution</w:t>
      </w:r>
      <w:r>
        <w:rPr>
          <w:color w:val="202024"/>
          <w:spacing w:val="-4"/>
          <w:sz w:val="20"/>
          <w:highlight w:val="yellow"/>
        </w:rPr>
        <w:t> </w:t>
      </w:r>
      <w:r>
        <w:rPr>
          <w:color w:val="202024"/>
          <w:sz w:val="20"/>
          <w:highlight w:val="yellow"/>
        </w:rPr>
        <w:t>No.</w:t>
      </w:r>
      <w:r>
        <w:rPr>
          <w:color w:val="202024"/>
          <w:spacing w:val="-4"/>
          <w:sz w:val="20"/>
          <w:highlight w:val="yellow"/>
        </w:rPr>
        <w:t> </w:t>
      </w:r>
      <w:r>
        <w:rPr>
          <w:color w:val="202024"/>
          <w:sz w:val="20"/>
          <w:highlight w:val="yellow"/>
        </w:rPr>
        <w:t>3,</w:t>
      </w:r>
      <w:r>
        <w:rPr>
          <w:color w:val="202024"/>
          <w:sz w:val="20"/>
        </w:rPr>
        <w:t> </w:t>
      </w:r>
      <w:r>
        <w:rPr>
          <w:color w:val="202024"/>
          <w:sz w:val="20"/>
          <w:highlight w:val="yellow"/>
        </w:rPr>
        <w:t>of June 21,</w:t>
      </w:r>
      <w:r>
        <w:rPr>
          <w:color w:val="202024"/>
          <w:spacing w:val="-4"/>
          <w:sz w:val="20"/>
          <w:highlight w:val="yellow"/>
        </w:rPr>
        <w:t> </w:t>
      </w:r>
      <w:r>
        <w:rPr>
          <w:color w:val="202024"/>
          <w:sz w:val="20"/>
          <w:highlight w:val="yellow"/>
        </w:rPr>
        <w:t>2021.</w:t>
      </w:r>
      <w:r>
        <w:rPr>
          <w:color w:val="202024"/>
          <w:spacing w:val="-4"/>
          <w:sz w:val="20"/>
          <w:highlight w:val="yellow"/>
        </w:rPr>
        <w:t> </w:t>
      </w:r>
      <w:r>
        <w:rPr>
          <w:color w:val="202024"/>
          <w:sz w:val="20"/>
          <w:highlight w:val="yellow"/>
        </w:rPr>
        <w:t>Establishes</w:t>
      </w:r>
      <w:r>
        <w:rPr>
          <w:color w:val="202024"/>
          <w:spacing w:val="-4"/>
          <w:sz w:val="20"/>
          <w:highlight w:val="yellow"/>
        </w:rPr>
        <w:t> </w:t>
      </w:r>
      <w:r>
        <w:rPr>
          <w:color w:val="202024"/>
          <w:sz w:val="20"/>
          <w:highlight w:val="yellow"/>
        </w:rPr>
        <w:t>the</w:t>
      </w:r>
      <w:r>
        <w:rPr>
          <w:color w:val="202024"/>
          <w:spacing w:val="-4"/>
          <w:sz w:val="20"/>
          <w:highlight w:val="yellow"/>
        </w:rPr>
        <w:t> </w:t>
      </w:r>
      <w:r>
        <w:rPr>
          <w:color w:val="202024"/>
          <w:sz w:val="20"/>
          <w:highlight w:val="yellow"/>
        </w:rPr>
        <w:t>National</w:t>
      </w:r>
      <w:r>
        <w:rPr>
          <w:color w:val="202024"/>
          <w:spacing w:val="-4"/>
          <w:sz w:val="20"/>
          <w:highlight w:val="yellow"/>
        </w:rPr>
        <w:t> </w:t>
      </w:r>
      <w:r>
        <w:rPr>
          <w:color w:val="202024"/>
          <w:sz w:val="20"/>
          <w:highlight w:val="yellow"/>
        </w:rPr>
        <w:t>Curricular</w:t>
      </w:r>
      <w:r>
        <w:rPr>
          <w:color w:val="202024"/>
          <w:spacing w:val="-4"/>
          <w:sz w:val="20"/>
          <w:highlight w:val="yellow"/>
        </w:rPr>
        <w:t> </w:t>
      </w:r>
      <w:r>
        <w:rPr>
          <w:color w:val="202024"/>
          <w:sz w:val="20"/>
          <w:highlight w:val="yellow"/>
        </w:rPr>
        <w:t>Guidelines</w:t>
      </w:r>
      <w:r>
        <w:rPr>
          <w:color w:val="202024"/>
          <w:spacing w:val="-4"/>
          <w:sz w:val="20"/>
          <w:highlight w:val="yellow"/>
        </w:rPr>
        <w:t> </w:t>
      </w:r>
      <w:r>
        <w:rPr>
          <w:color w:val="202024"/>
          <w:sz w:val="20"/>
          <w:highlight w:val="yellow"/>
        </w:rPr>
        <w:t>for</w:t>
      </w:r>
      <w:r>
        <w:rPr>
          <w:color w:val="202024"/>
          <w:spacing w:val="-4"/>
          <w:sz w:val="20"/>
          <w:highlight w:val="yellow"/>
        </w:rPr>
        <w:t> </w:t>
      </w:r>
      <w:r>
        <w:rPr>
          <w:color w:val="202024"/>
          <w:sz w:val="20"/>
          <w:highlight w:val="yellow"/>
        </w:rPr>
        <w:t>the</w:t>
      </w:r>
      <w:r>
        <w:rPr>
          <w:color w:val="202024"/>
          <w:spacing w:val="-4"/>
          <w:sz w:val="20"/>
          <w:highlight w:val="yellow"/>
        </w:rPr>
        <w:t> </w:t>
      </w:r>
      <w:r>
        <w:rPr>
          <w:color w:val="202024"/>
          <w:sz w:val="20"/>
          <w:highlight w:val="yellow"/>
        </w:rPr>
        <w:t>Undergraduate</w:t>
      </w:r>
      <w:r>
        <w:rPr>
          <w:color w:val="202024"/>
          <w:sz w:val="20"/>
        </w:rPr>
        <w:t> </w:t>
      </w:r>
      <w:r>
        <w:rPr>
          <w:color w:val="202024"/>
          <w:sz w:val="20"/>
          <w:highlight w:val="yellow"/>
        </w:rPr>
        <w:t>Dentistry Course. Official Gazette of the Union: section 1, Brasília,</w:t>
      </w:r>
      <w:r>
        <w:rPr>
          <w:color w:val="202024"/>
          <w:spacing w:val="-5"/>
          <w:sz w:val="20"/>
          <w:highlight w:val="yellow"/>
        </w:rPr>
        <w:t> </w:t>
      </w:r>
      <w:r>
        <w:rPr>
          <w:color w:val="202024"/>
          <w:sz w:val="20"/>
          <w:highlight w:val="yellow"/>
        </w:rPr>
        <w:t>DF,</w:t>
      </w:r>
      <w:r>
        <w:rPr>
          <w:color w:val="202024"/>
          <w:spacing w:val="-5"/>
          <w:sz w:val="20"/>
          <w:highlight w:val="yellow"/>
        </w:rPr>
        <w:t> </w:t>
      </w:r>
      <w:r>
        <w:rPr>
          <w:color w:val="202024"/>
          <w:sz w:val="20"/>
          <w:highlight w:val="yellow"/>
        </w:rPr>
        <w:t>p.</w:t>
      </w:r>
      <w:r>
        <w:rPr>
          <w:color w:val="202024"/>
          <w:spacing w:val="-5"/>
          <w:sz w:val="20"/>
          <w:highlight w:val="yellow"/>
        </w:rPr>
        <w:t> </w:t>
      </w:r>
      <w:r>
        <w:rPr>
          <w:color w:val="202024"/>
          <w:sz w:val="20"/>
          <w:highlight w:val="yellow"/>
        </w:rPr>
        <w:t>77,</w:t>
      </w:r>
      <w:r>
        <w:rPr>
          <w:color w:val="202024"/>
          <w:spacing w:val="-5"/>
          <w:sz w:val="20"/>
          <w:highlight w:val="yellow"/>
        </w:rPr>
        <w:t> </w:t>
      </w:r>
      <w:r>
        <w:rPr>
          <w:color w:val="202024"/>
          <w:sz w:val="20"/>
          <w:highlight w:val="yellow"/>
        </w:rPr>
        <w:t>22</w:t>
      </w:r>
      <w:r>
        <w:rPr>
          <w:color w:val="202024"/>
          <w:spacing w:val="-5"/>
          <w:sz w:val="20"/>
          <w:highlight w:val="yellow"/>
        </w:rPr>
        <w:t> </w:t>
      </w:r>
      <w:r>
        <w:rPr>
          <w:color w:val="202024"/>
          <w:sz w:val="20"/>
          <w:highlight w:val="yellow"/>
        </w:rPr>
        <w:t>June.</w:t>
      </w:r>
      <w:r>
        <w:rPr>
          <w:color w:val="202024"/>
          <w:sz w:val="20"/>
        </w:rPr>
        <w:t> </w:t>
      </w:r>
      <w:r>
        <w:rPr>
          <w:color w:val="202024"/>
          <w:spacing w:val="-2"/>
          <w:sz w:val="20"/>
          <w:highlight w:val="yellow"/>
        </w:rPr>
        <w:t>2021.</w:t>
      </w:r>
    </w:p>
    <w:p>
      <w:pPr>
        <w:pStyle w:val="BodyText"/>
        <w:spacing w:before="5"/>
      </w:pPr>
    </w:p>
    <w:p>
      <w:pPr>
        <w:pStyle w:val="ListParagraph"/>
        <w:numPr>
          <w:ilvl w:val="1"/>
          <w:numId w:val="4"/>
        </w:numPr>
        <w:tabs>
          <w:tab w:pos="1078" w:val="left" w:leader="none"/>
          <w:tab w:pos="1080" w:val="left" w:leader="none"/>
        </w:tabs>
        <w:spacing w:line="230" w:lineRule="auto" w:before="1" w:after="0"/>
        <w:ind w:left="1080" w:right="1655" w:hanging="360"/>
        <w:jc w:val="both"/>
        <w:rPr>
          <w:sz w:val="20"/>
        </w:rPr>
      </w:pPr>
      <w:r>
        <w:rPr>
          <w:sz w:val="20"/>
        </w:rPr>
        <w:t>COELHO, T. P. et al. Comparison and analysis of systematic reviews and scoping reviews in patient care in Pharmacy. </w:t>
      </w:r>
      <w:r>
        <w:rPr>
          <w:rFonts w:ascii="Arial"/>
          <w:i/>
          <w:sz w:val="20"/>
        </w:rPr>
        <w:t>Research, Society and Development</w:t>
      </w:r>
      <w:r>
        <w:rPr>
          <w:sz w:val="20"/>
        </w:rPr>
        <w:t>, Minas Gerais, v. 10, n. 12, p. e08101219915, 2021.</w:t>
      </w:r>
    </w:p>
    <w:p>
      <w:pPr>
        <w:pStyle w:val="BodyText"/>
        <w:spacing w:before="6"/>
      </w:pPr>
    </w:p>
    <w:p>
      <w:pPr>
        <w:pStyle w:val="ListParagraph"/>
        <w:numPr>
          <w:ilvl w:val="1"/>
          <w:numId w:val="4"/>
        </w:numPr>
        <w:tabs>
          <w:tab w:pos="1077" w:val="left" w:leader="none"/>
          <w:tab w:pos="1080" w:val="left" w:leader="none"/>
        </w:tabs>
        <w:spacing w:line="230" w:lineRule="auto" w:before="0" w:after="0"/>
        <w:ind w:left="1080" w:right="1661" w:hanging="360"/>
        <w:jc w:val="both"/>
        <w:rPr>
          <w:sz w:val="20"/>
        </w:rPr>
      </w:pPr>
      <w:r>
        <w:rPr>
          <w:sz w:val="20"/>
        </w:rPr>
        <w:t>CONTI, Paulo César Rodrigues. </w:t>
      </w:r>
      <w:r>
        <w:rPr>
          <w:rFonts w:ascii="Arial" w:hAnsi="Arial"/>
          <w:i/>
          <w:sz w:val="20"/>
        </w:rPr>
        <w:t>TMD: Temporomandibular Disorders and Orofacial Pain: Clinical Application of Scientific Evidence</w:t>
      </w:r>
      <w:r>
        <w:rPr>
          <w:sz w:val="20"/>
        </w:rPr>
        <w:t>. Maringá, PR: Dental Press, 2021.</w:t>
      </w:r>
    </w:p>
    <w:p>
      <w:pPr>
        <w:pStyle w:val="BodyText"/>
        <w:spacing w:before="7"/>
      </w:pPr>
    </w:p>
    <w:p>
      <w:pPr>
        <w:pStyle w:val="ListParagraph"/>
        <w:numPr>
          <w:ilvl w:val="1"/>
          <w:numId w:val="4"/>
        </w:numPr>
        <w:tabs>
          <w:tab w:pos="1078" w:val="left" w:leader="none"/>
          <w:tab w:pos="1080" w:val="left" w:leader="none"/>
        </w:tabs>
        <w:spacing w:line="230" w:lineRule="auto" w:before="1" w:after="0"/>
        <w:ind w:left="1080" w:right="1648" w:hanging="360"/>
        <w:jc w:val="both"/>
        <w:rPr>
          <w:sz w:val="20"/>
        </w:rPr>
      </w:pPr>
      <w:r>
        <w:rPr>
          <w:sz w:val="20"/>
        </w:rPr>
        <w:t>FEDERAL COUNCIL OF DENTISTRY BRAZIL (CFO). General quantity of specialist dentists. 2024. Available at:</w:t>
      </w:r>
      <w:r>
        <w:rPr>
          <w:color w:val="0000FF"/>
          <w:sz w:val="20"/>
          <w:u w:val="thick" w:color="0000FF"/>
        </w:rPr>
        <w:t> https://website.cfo.org.br/estatisticas/quantidade-geral-</w:t>
      </w:r>
      <w:r>
        <w:rPr>
          <w:color w:val="0000FF"/>
          <w:spacing w:val="80"/>
          <w:sz w:val="20"/>
        </w:rPr>
        <w:t> </w:t>
      </w:r>
      <w:r>
        <w:rPr>
          <w:color w:val="0000FF"/>
          <w:sz w:val="20"/>
          <w:u w:val="thick" w:color="0000FF"/>
        </w:rPr>
        <w:t>de-cirurgioes-dentistas-especialistas/</w:t>
      </w:r>
      <w:r>
        <w:rPr>
          <w:sz w:val="20"/>
        </w:rPr>
        <w:t>. Accessed on: Dec. 5, 2024.</w:t>
      </w:r>
    </w:p>
    <w:p>
      <w:pPr>
        <w:pStyle w:val="BodyText"/>
        <w:spacing w:before="6"/>
      </w:pPr>
    </w:p>
    <w:p>
      <w:pPr>
        <w:pStyle w:val="ListParagraph"/>
        <w:numPr>
          <w:ilvl w:val="1"/>
          <w:numId w:val="4"/>
        </w:numPr>
        <w:tabs>
          <w:tab w:pos="1077" w:val="left" w:leader="none"/>
          <w:tab w:pos="1080" w:val="left" w:leader="none"/>
        </w:tabs>
        <w:spacing w:line="230" w:lineRule="auto" w:before="0" w:after="0"/>
        <w:ind w:left="1080" w:right="1638" w:hanging="360"/>
        <w:jc w:val="both"/>
        <w:rPr>
          <w:sz w:val="20"/>
        </w:rPr>
      </w:pPr>
      <w:r>
        <w:rPr>
          <w:sz w:val="20"/>
        </w:rPr>
        <w:t>CHOI, K.; PARK, J.-H.; CHEONG, H.-K. Prevalence of Musculoskeletal Symptoms Related With Activities of Daily Living and Contributing Factors in Korean Adults. </w:t>
      </w:r>
      <w:r>
        <w:rPr>
          <w:rFonts w:ascii="Arial" w:hAnsi="Arial"/>
          <w:i/>
          <w:sz w:val="20"/>
        </w:rPr>
        <w:t>Journal of Preventive Medicine &amp; Public Health</w:t>
      </w:r>
      <w:r>
        <w:rPr>
          <w:sz w:val="20"/>
        </w:rPr>
        <w:t>, v. 46, n. 1, p. 39–49, 31 jan. 2013.</w:t>
      </w:r>
    </w:p>
    <w:p>
      <w:pPr>
        <w:pStyle w:val="ListParagraph"/>
        <w:numPr>
          <w:ilvl w:val="1"/>
          <w:numId w:val="4"/>
        </w:numPr>
        <w:tabs>
          <w:tab w:pos="1077" w:val="left" w:leader="none"/>
          <w:tab w:pos="1080" w:val="left" w:leader="none"/>
        </w:tabs>
        <w:spacing w:line="230" w:lineRule="auto" w:before="220" w:after="0"/>
        <w:ind w:left="1080" w:right="1633" w:hanging="360"/>
        <w:jc w:val="both"/>
        <w:rPr>
          <w:sz w:val="20"/>
        </w:rPr>
      </w:pPr>
      <w:r>
        <w:rPr>
          <w:sz w:val="20"/>
        </w:rPr>
        <w:t>DWORKIN, S. F.; LERESCHE, L. Research diagnostic criteria for temporomandibular disorders: review, criteria, examinations, and specifications, critique. </w:t>
      </w:r>
      <w:r>
        <w:rPr>
          <w:rFonts w:ascii="Arial" w:hAnsi="Arial"/>
          <w:i/>
          <w:sz w:val="20"/>
        </w:rPr>
        <w:t>Journal of Craniomandibular Disorders: Facial &amp; Oral Pain</w:t>
      </w:r>
      <w:r>
        <w:rPr>
          <w:sz w:val="20"/>
        </w:rPr>
        <w:t>, v. 6, n. 4, p. 301–355, 1992.</w:t>
      </w:r>
    </w:p>
    <w:p>
      <w:pPr>
        <w:pStyle w:val="ListParagraph"/>
        <w:numPr>
          <w:ilvl w:val="1"/>
          <w:numId w:val="4"/>
        </w:numPr>
        <w:tabs>
          <w:tab w:pos="1077" w:val="left" w:leader="none"/>
          <w:tab w:pos="1080" w:val="left" w:leader="none"/>
        </w:tabs>
        <w:spacing w:line="230" w:lineRule="auto" w:before="219" w:after="0"/>
        <w:ind w:left="1080" w:right="1643" w:hanging="360"/>
        <w:jc w:val="both"/>
        <w:rPr>
          <w:sz w:val="20"/>
        </w:rPr>
      </w:pPr>
      <w:r>
        <w:rPr>
          <w:sz w:val="20"/>
        </w:rPr>
        <w:t>FREDRICSON, A. S.; et</w:t>
      </w:r>
      <w:r>
        <w:rPr>
          <w:spacing w:val="-3"/>
          <w:sz w:val="20"/>
        </w:rPr>
        <w:t> </w:t>
      </w:r>
      <w:r>
        <w:rPr>
          <w:sz w:val="20"/>
        </w:rPr>
        <w:t>al.</w:t>
      </w:r>
      <w:r>
        <w:rPr>
          <w:spacing w:val="-3"/>
          <w:sz w:val="20"/>
        </w:rPr>
        <w:t> </w:t>
      </w:r>
      <w:r>
        <w:rPr>
          <w:sz w:val="20"/>
        </w:rPr>
        <w:t>Sick</w:t>
      </w:r>
      <w:r>
        <w:rPr>
          <w:spacing w:val="-3"/>
          <w:sz w:val="20"/>
        </w:rPr>
        <w:t> </w:t>
      </w:r>
      <w:r>
        <w:rPr>
          <w:sz w:val="20"/>
        </w:rPr>
        <w:t>leave</w:t>
      </w:r>
      <w:r>
        <w:rPr>
          <w:spacing w:val="-3"/>
          <w:sz w:val="20"/>
        </w:rPr>
        <w:t> </w:t>
      </w:r>
      <w:r>
        <w:rPr>
          <w:sz w:val="20"/>
        </w:rPr>
        <w:t>and</w:t>
      </w:r>
      <w:r>
        <w:rPr>
          <w:spacing w:val="-3"/>
          <w:sz w:val="20"/>
        </w:rPr>
        <w:t> </w:t>
      </w:r>
      <w:r>
        <w:rPr>
          <w:sz w:val="20"/>
        </w:rPr>
        <w:t>disability</w:t>
      </w:r>
      <w:r>
        <w:rPr>
          <w:spacing w:val="-3"/>
          <w:sz w:val="20"/>
        </w:rPr>
        <w:t> </w:t>
      </w:r>
      <w:r>
        <w:rPr>
          <w:sz w:val="20"/>
        </w:rPr>
        <w:t>pension</w:t>
      </w:r>
      <w:r>
        <w:rPr>
          <w:spacing w:val="-3"/>
          <w:sz w:val="20"/>
        </w:rPr>
        <w:t> </w:t>
      </w:r>
      <w:r>
        <w:rPr>
          <w:sz w:val="20"/>
        </w:rPr>
        <w:t>among</w:t>
      </w:r>
      <w:r>
        <w:rPr>
          <w:spacing w:val="-3"/>
          <w:sz w:val="20"/>
        </w:rPr>
        <w:t> </w:t>
      </w:r>
      <w:r>
        <w:rPr>
          <w:sz w:val="20"/>
        </w:rPr>
        <w:t>TMD</w:t>
      </w:r>
      <w:r>
        <w:rPr>
          <w:spacing w:val="-3"/>
          <w:sz w:val="20"/>
        </w:rPr>
        <w:t> </w:t>
      </w:r>
      <w:r>
        <w:rPr>
          <w:sz w:val="20"/>
        </w:rPr>
        <w:t>patients</w:t>
      </w:r>
      <w:r>
        <w:rPr>
          <w:spacing w:val="-3"/>
          <w:sz w:val="20"/>
        </w:rPr>
        <w:t> </w:t>
      </w:r>
      <w:r>
        <w:rPr>
          <w:sz w:val="20"/>
        </w:rPr>
        <w:t>with musculoskeletal diseases, mental and behavioral disorders—a SWEREG-TMD population-based cohort study. BMC Public Health, v. 23, n. 1,</w:t>
      </w:r>
      <w:r>
        <w:rPr>
          <w:spacing w:val="-6"/>
          <w:sz w:val="20"/>
        </w:rPr>
        <w:t> </w:t>
      </w:r>
      <w:r>
        <w:rPr>
          <w:sz w:val="20"/>
        </w:rPr>
        <w:t>art.</w:t>
      </w:r>
      <w:r>
        <w:rPr>
          <w:spacing w:val="-6"/>
          <w:sz w:val="20"/>
        </w:rPr>
        <w:t> </w:t>
      </w:r>
      <w:r>
        <w:rPr>
          <w:sz w:val="20"/>
        </w:rPr>
        <w:t>852,</w:t>
      </w:r>
      <w:r>
        <w:rPr>
          <w:spacing w:val="-6"/>
          <w:sz w:val="20"/>
        </w:rPr>
        <w:t> </w:t>
      </w:r>
      <w:r>
        <w:rPr>
          <w:sz w:val="20"/>
        </w:rPr>
        <w:t>May</w:t>
      </w:r>
      <w:r>
        <w:rPr>
          <w:spacing w:val="-6"/>
          <w:sz w:val="20"/>
        </w:rPr>
        <w:t> </w:t>
      </w:r>
      <w:r>
        <w:rPr>
          <w:sz w:val="20"/>
        </w:rPr>
        <w:t>11,</w:t>
      </w:r>
      <w:r>
        <w:rPr>
          <w:spacing w:val="-6"/>
          <w:sz w:val="20"/>
        </w:rPr>
        <w:t> </w:t>
      </w:r>
      <w:r>
        <w:rPr>
          <w:sz w:val="20"/>
        </w:rPr>
        <w:t>2023. DOI: 10.1186/s12889-023-15815-4.</w:t>
      </w:r>
    </w:p>
    <w:p>
      <w:pPr>
        <w:pStyle w:val="ListParagraph"/>
        <w:numPr>
          <w:ilvl w:val="1"/>
          <w:numId w:val="4"/>
        </w:numPr>
        <w:tabs>
          <w:tab w:pos="1077" w:val="left" w:leader="none"/>
          <w:tab w:pos="1080" w:val="left" w:leader="none"/>
        </w:tabs>
        <w:spacing w:line="230" w:lineRule="auto" w:before="219" w:after="0"/>
        <w:ind w:left="1080" w:right="1661" w:hanging="360"/>
        <w:jc w:val="both"/>
        <w:rPr>
          <w:sz w:val="20"/>
        </w:rPr>
      </w:pPr>
      <w:r>
        <w:rPr>
          <w:sz w:val="20"/>
        </w:rPr>
        <w:t>GREENE, C. S.; MANFREDINI, D. Transitioning to Chronic</w:t>
      </w:r>
      <w:r>
        <w:rPr>
          <w:spacing w:val="-4"/>
          <w:sz w:val="20"/>
        </w:rPr>
        <w:t> </w:t>
      </w:r>
      <w:r>
        <w:rPr>
          <w:sz w:val="20"/>
        </w:rPr>
        <w:t>TMD</w:t>
      </w:r>
      <w:r>
        <w:rPr>
          <w:spacing w:val="-4"/>
          <w:sz w:val="20"/>
        </w:rPr>
        <w:t> </w:t>
      </w:r>
      <w:r>
        <w:rPr>
          <w:sz w:val="20"/>
        </w:rPr>
        <w:t>Pain:</w:t>
      </w:r>
      <w:r>
        <w:rPr>
          <w:spacing w:val="-4"/>
          <w:sz w:val="20"/>
        </w:rPr>
        <w:t> </w:t>
      </w:r>
      <w:r>
        <w:rPr>
          <w:sz w:val="20"/>
        </w:rPr>
        <w:t>A</w:t>
      </w:r>
      <w:r>
        <w:rPr>
          <w:spacing w:val="-4"/>
          <w:sz w:val="20"/>
        </w:rPr>
        <w:t> </w:t>
      </w:r>
      <w:r>
        <w:rPr>
          <w:sz w:val="20"/>
        </w:rPr>
        <w:t>Combination of Patient Vulnerabilities and Iatrogenesis. </w:t>
      </w:r>
      <w:r>
        <w:rPr>
          <w:rFonts w:ascii="Arial"/>
          <w:i/>
          <w:sz w:val="20"/>
        </w:rPr>
        <w:t>Journal of Oral Rehabilitation</w:t>
      </w:r>
      <w:r>
        <w:rPr>
          <w:sz w:val="20"/>
        </w:rPr>
        <w:t>, 2021.</w:t>
      </w:r>
    </w:p>
    <w:p>
      <w:pPr>
        <w:pStyle w:val="BodyText"/>
        <w:spacing w:before="6"/>
      </w:pPr>
    </w:p>
    <w:p>
      <w:pPr>
        <w:pStyle w:val="ListParagraph"/>
        <w:numPr>
          <w:ilvl w:val="1"/>
          <w:numId w:val="4"/>
        </w:numPr>
        <w:tabs>
          <w:tab w:pos="1077" w:val="left" w:leader="none"/>
          <w:tab w:pos="1080" w:val="left" w:leader="none"/>
        </w:tabs>
        <w:spacing w:line="230" w:lineRule="auto" w:before="0" w:after="0"/>
        <w:ind w:left="1080" w:right="1651" w:hanging="360"/>
        <w:jc w:val="both"/>
        <w:rPr>
          <w:sz w:val="20"/>
        </w:rPr>
      </w:pPr>
      <w:r>
        <w:rPr>
          <w:sz w:val="20"/>
        </w:rPr>
        <w:t>GUEDES,</w:t>
      </w:r>
      <w:r>
        <w:rPr>
          <w:spacing w:val="-5"/>
          <w:sz w:val="20"/>
        </w:rPr>
        <w:t> </w:t>
      </w:r>
      <w:r>
        <w:rPr>
          <w:sz w:val="20"/>
        </w:rPr>
        <w:t>A.</w:t>
      </w:r>
      <w:r>
        <w:rPr>
          <w:spacing w:val="-5"/>
          <w:sz w:val="20"/>
        </w:rPr>
        <w:t> </w:t>
      </w:r>
      <w:r>
        <w:rPr>
          <w:sz w:val="20"/>
        </w:rPr>
        <w:t>C.</w:t>
      </w:r>
      <w:r>
        <w:rPr>
          <w:spacing w:val="-5"/>
          <w:sz w:val="20"/>
        </w:rPr>
        <w:t> </w:t>
      </w:r>
      <w:r>
        <w:rPr>
          <w:sz w:val="20"/>
        </w:rPr>
        <w:t>C.</w:t>
      </w:r>
      <w:r>
        <w:rPr>
          <w:spacing w:val="-5"/>
          <w:sz w:val="20"/>
        </w:rPr>
        <w:t> </w:t>
      </w:r>
      <w:r>
        <w:rPr>
          <w:sz w:val="20"/>
        </w:rPr>
        <w:t>M.;</w:t>
      </w:r>
      <w:r>
        <w:rPr>
          <w:spacing w:val="-5"/>
          <w:sz w:val="20"/>
        </w:rPr>
        <w:t> </w:t>
      </w:r>
      <w:r>
        <w:rPr>
          <w:sz w:val="20"/>
        </w:rPr>
        <w:t>VALENTE,</w:t>
      </w:r>
      <w:r>
        <w:rPr>
          <w:spacing w:val="-5"/>
          <w:sz w:val="20"/>
        </w:rPr>
        <w:t> </w:t>
      </w:r>
      <w:r>
        <w:rPr>
          <w:sz w:val="20"/>
        </w:rPr>
        <w:t>T.</w:t>
      </w:r>
      <w:r>
        <w:rPr>
          <w:spacing w:val="-5"/>
          <w:sz w:val="20"/>
        </w:rPr>
        <w:t> </w:t>
      </w:r>
      <w:r>
        <w:rPr>
          <w:sz w:val="20"/>
        </w:rPr>
        <w:t>C.</w:t>
      </w:r>
      <w:r>
        <w:rPr>
          <w:spacing w:val="-5"/>
          <w:sz w:val="20"/>
        </w:rPr>
        <w:t> </w:t>
      </w:r>
      <w:r>
        <w:rPr>
          <w:sz w:val="20"/>
        </w:rPr>
        <w:t>O.</w:t>
      </w:r>
      <w:r>
        <w:rPr>
          <w:spacing w:val="-5"/>
          <w:sz w:val="20"/>
        </w:rPr>
        <w:t> </w:t>
      </w:r>
      <w:r>
        <w:rPr>
          <w:sz w:val="20"/>
        </w:rPr>
        <w:t>Collaborative</w:t>
      </w:r>
      <w:r>
        <w:rPr>
          <w:spacing w:val="-5"/>
          <w:sz w:val="20"/>
        </w:rPr>
        <w:t> </w:t>
      </w:r>
      <w:r>
        <w:rPr>
          <w:sz w:val="20"/>
        </w:rPr>
        <w:t>educational</w:t>
      </w:r>
      <w:r>
        <w:rPr>
          <w:spacing w:val="-5"/>
          <w:sz w:val="20"/>
        </w:rPr>
        <w:t> </w:t>
      </w:r>
      <w:r>
        <w:rPr>
          <w:sz w:val="20"/>
        </w:rPr>
        <w:t>practices</w:t>
      </w:r>
      <w:r>
        <w:rPr>
          <w:spacing w:val="-5"/>
          <w:sz w:val="20"/>
        </w:rPr>
        <w:t> </w:t>
      </w:r>
      <w:r>
        <w:rPr>
          <w:sz w:val="20"/>
        </w:rPr>
        <w:t>in</w:t>
      </w:r>
      <w:r>
        <w:rPr>
          <w:spacing w:val="-5"/>
          <w:sz w:val="20"/>
        </w:rPr>
        <w:t> </w:t>
      </w:r>
      <w:r>
        <w:rPr>
          <w:sz w:val="20"/>
        </w:rPr>
        <w:t>health mediated by information and communication technologies: a literature review. </w:t>
      </w:r>
      <w:r>
        <w:rPr>
          <w:rFonts w:ascii="Arial" w:hAnsi="Arial"/>
          <w:i/>
          <w:sz w:val="20"/>
        </w:rPr>
        <w:t>Revista Eletrônica de Comunicação, Informação &amp; Inovação em Saúde</w:t>
      </w:r>
      <w:r>
        <w:rPr>
          <w:sz w:val="20"/>
        </w:rPr>
        <w:t>, Rio de</w:t>
      </w:r>
      <w:r>
        <w:rPr>
          <w:spacing w:val="-4"/>
          <w:sz w:val="20"/>
        </w:rPr>
        <w:t> </w:t>
      </w:r>
      <w:r>
        <w:rPr>
          <w:sz w:val="20"/>
        </w:rPr>
        <w:t>Janeiro,</w:t>
      </w:r>
      <w:r>
        <w:rPr>
          <w:spacing w:val="-4"/>
          <w:sz w:val="20"/>
        </w:rPr>
        <w:t> </w:t>
      </w:r>
      <w:r>
        <w:rPr>
          <w:sz w:val="20"/>
        </w:rPr>
        <w:t>v.</w:t>
      </w:r>
      <w:r>
        <w:rPr>
          <w:spacing w:val="-4"/>
          <w:sz w:val="20"/>
        </w:rPr>
        <w:t> </w:t>
      </w:r>
      <w:r>
        <w:rPr>
          <w:sz w:val="20"/>
        </w:rPr>
        <w:t>17,</w:t>
      </w:r>
    </w:p>
    <w:p>
      <w:pPr>
        <w:pStyle w:val="BodyText"/>
        <w:spacing w:line="221" w:lineRule="exact"/>
        <w:ind w:left="1080"/>
        <w:jc w:val="both"/>
      </w:pPr>
      <w:r>
        <w:rPr/>
        <w:t>n.</w:t>
      </w:r>
      <w:r>
        <w:rPr>
          <w:spacing w:val="-4"/>
        </w:rPr>
        <w:t> </w:t>
      </w:r>
      <w:r>
        <w:rPr/>
        <w:t>4,</w:t>
      </w:r>
      <w:r>
        <w:rPr>
          <w:spacing w:val="-3"/>
        </w:rPr>
        <w:t> </w:t>
      </w:r>
      <w:r>
        <w:rPr/>
        <w:t>p.</w:t>
      </w:r>
      <w:r>
        <w:rPr>
          <w:spacing w:val="-4"/>
        </w:rPr>
        <w:t> </w:t>
      </w:r>
      <w:r>
        <w:rPr/>
        <w:t>962–975,</w:t>
      </w:r>
      <w:r>
        <w:rPr>
          <w:spacing w:val="-3"/>
        </w:rPr>
        <w:t> </w:t>
      </w:r>
      <w:r>
        <w:rPr>
          <w:spacing w:val="-4"/>
        </w:rPr>
        <w:t>2023.</w:t>
      </w:r>
    </w:p>
    <w:p>
      <w:pPr>
        <w:pStyle w:val="BodyText"/>
        <w:spacing w:after="0" w:line="221" w:lineRule="exact"/>
        <w:jc w:val="both"/>
        <w:sectPr>
          <w:pgSz w:w="12240" w:h="15840"/>
          <w:pgMar w:header="16" w:footer="0" w:top="340" w:bottom="0" w:left="1440" w:right="360"/>
        </w:sectPr>
      </w:pPr>
    </w:p>
    <w:p>
      <w:pPr>
        <w:pStyle w:val="BodyText"/>
        <w:spacing w:before="201"/>
      </w:pPr>
    </w:p>
    <w:p>
      <w:pPr>
        <w:pStyle w:val="ListParagraph"/>
        <w:numPr>
          <w:ilvl w:val="1"/>
          <w:numId w:val="4"/>
        </w:numPr>
        <w:tabs>
          <w:tab w:pos="1078" w:val="left" w:leader="none"/>
          <w:tab w:pos="1080" w:val="left" w:leader="none"/>
        </w:tabs>
        <w:spacing w:line="232" w:lineRule="auto" w:before="0" w:after="0"/>
        <w:ind w:left="1080" w:right="1648" w:hanging="360"/>
        <w:jc w:val="left"/>
        <w:rPr>
          <w:rFonts w:ascii="Times New Roman" w:hAnsi="Times New Roman"/>
          <w:sz w:val="20"/>
        </w:rPr>
      </w:pPr>
      <w:r>
        <w:rPr>
          <w:sz w:val="20"/>
        </w:rPr>
        <w:t>HEIR, G. M. Chronic Orofacial Pain, Cognitive</w:t>
      </w:r>
      <w:r>
        <w:rPr>
          <w:rFonts w:ascii="Times New Roman" w:hAnsi="Times New Roman"/>
          <w:sz w:val="20"/>
        </w:rPr>
        <w:t>-</w:t>
      </w:r>
      <w:r>
        <w:rPr>
          <w:sz w:val="20"/>
        </w:rPr>
        <w:t>emotional</w:t>
      </w:r>
      <w:r>
        <w:rPr>
          <w:rFonts w:ascii="Times New Roman" w:hAnsi="Times New Roman"/>
          <w:sz w:val="20"/>
        </w:rPr>
        <w:t>-</w:t>
      </w:r>
      <w:r>
        <w:rPr>
          <w:sz w:val="20"/>
        </w:rPr>
        <w:t>motivational considerations:</w:t>
      </w:r>
      <w:r>
        <w:rPr>
          <w:spacing w:val="40"/>
          <w:sz w:val="20"/>
        </w:rPr>
        <w:t> </w:t>
      </w:r>
      <w:r>
        <w:rPr>
          <w:sz w:val="20"/>
        </w:rPr>
        <w:t>A Narrative Review. </w:t>
      </w:r>
      <w:r>
        <w:rPr>
          <w:rFonts w:ascii="Arial" w:hAnsi="Arial"/>
          <w:i/>
          <w:sz w:val="20"/>
        </w:rPr>
        <w:t>Journal of Oral Rehabilitation</w:t>
      </w:r>
      <w:r>
        <w:rPr>
          <w:sz w:val="20"/>
        </w:rPr>
        <w:t>, v. 46, n. 11, p. 1065–1070, 2019.</w:t>
      </w:r>
    </w:p>
    <w:p>
      <w:pPr>
        <w:pStyle w:val="BodyText"/>
        <w:spacing w:before="9"/>
      </w:pPr>
    </w:p>
    <w:p>
      <w:pPr>
        <w:pStyle w:val="ListParagraph"/>
        <w:numPr>
          <w:ilvl w:val="1"/>
          <w:numId w:val="4"/>
        </w:numPr>
        <w:tabs>
          <w:tab w:pos="1077" w:val="left" w:leader="none"/>
          <w:tab w:pos="1080" w:val="left" w:leader="none"/>
        </w:tabs>
        <w:spacing w:line="230" w:lineRule="auto" w:before="0" w:after="0"/>
        <w:ind w:left="1080" w:right="1648" w:hanging="360"/>
        <w:jc w:val="left"/>
        <w:rPr>
          <w:sz w:val="20"/>
        </w:rPr>
      </w:pPr>
      <w:r>
        <w:rPr>
          <w:sz w:val="20"/>
        </w:rPr>
        <w:t>KAROS, K. et al. The social threats of COVID-19 for</w:t>
      </w:r>
      <w:r>
        <w:rPr>
          <w:spacing w:val="-4"/>
          <w:sz w:val="20"/>
        </w:rPr>
        <w:t> </w:t>
      </w:r>
      <w:r>
        <w:rPr>
          <w:sz w:val="20"/>
        </w:rPr>
        <w:t>people</w:t>
      </w:r>
      <w:r>
        <w:rPr>
          <w:spacing w:val="-4"/>
          <w:sz w:val="20"/>
        </w:rPr>
        <w:t> </w:t>
      </w:r>
      <w:r>
        <w:rPr>
          <w:sz w:val="20"/>
        </w:rPr>
        <w:t>with</w:t>
      </w:r>
      <w:r>
        <w:rPr>
          <w:spacing w:val="-4"/>
          <w:sz w:val="20"/>
        </w:rPr>
        <w:t> </w:t>
      </w:r>
      <w:r>
        <w:rPr>
          <w:sz w:val="20"/>
        </w:rPr>
        <w:t>chronic</w:t>
      </w:r>
      <w:r>
        <w:rPr>
          <w:spacing w:val="-4"/>
          <w:sz w:val="20"/>
        </w:rPr>
        <w:t> </w:t>
      </w:r>
      <w:r>
        <w:rPr>
          <w:sz w:val="20"/>
        </w:rPr>
        <w:t>pain.</w:t>
      </w:r>
      <w:r>
        <w:rPr>
          <w:spacing w:val="-4"/>
          <w:sz w:val="20"/>
        </w:rPr>
        <w:t> </w:t>
      </w:r>
      <w:r>
        <w:rPr>
          <w:rFonts w:ascii="Arial"/>
          <w:i/>
          <w:sz w:val="20"/>
        </w:rPr>
        <w:t>Pain</w:t>
      </w:r>
      <w:r>
        <w:rPr>
          <w:sz w:val="20"/>
        </w:rPr>
        <w:t>,</w:t>
      </w:r>
      <w:r>
        <w:rPr>
          <w:spacing w:val="-4"/>
          <w:sz w:val="20"/>
        </w:rPr>
        <w:t> </w:t>
      </w:r>
      <w:r>
        <w:rPr>
          <w:sz w:val="20"/>
        </w:rPr>
        <w:t>v. 161, n. 10, 13 jul. 2020.</w:t>
      </w:r>
    </w:p>
    <w:p>
      <w:pPr>
        <w:pStyle w:val="BodyText"/>
        <w:spacing w:before="7"/>
      </w:pPr>
    </w:p>
    <w:p>
      <w:pPr>
        <w:pStyle w:val="ListParagraph"/>
        <w:numPr>
          <w:ilvl w:val="1"/>
          <w:numId w:val="4"/>
        </w:numPr>
        <w:tabs>
          <w:tab w:pos="1077" w:val="left" w:leader="none"/>
          <w:tab w:pos="1080" w:val="left" w:leader="none"/>
        </w:tabs>
        <w:spacing w:line="230" w:lineRule="auto" w:before="0" w:after="0"/>
        <w:ind w:left="1080" w:right="1637" w:hanging="360"/>
        <w:jc w:val="left"/>
        <w:rPr>
          <w:sz w:val="20"/>
        </w:rPr>
      </w:pPr>
      <w:r>
        <w:rPr>
          <w:sz w:val="20"/>
        </w:rPr>
        <w:t>LOMAS,</w:t>
      </w:r>
      <w:r>
        <w:rPr>
          <w:spacing w:val="40"/>
          <w:sz w:val="20"/>
        </w:rPr>
        <w:t> </w:t>
      </w:r>
      <w:r>
        <w:rPr>
          <w:sz w:val="20"/>
        </w:rPr>
        <w:t>J.</w:t>
      </w:r>
      <w:r>
        <w:rPr>
          <w:spacing w:val="40"/>
          <w:sz w:val="20"/>
        </w:rPr>
        <w:t> </w:t>
      </w:r>
      <w:r>
        <w:rPr>
          <w:sz w:val="20"/>
        </w:rPr>
        <w:t>et</w:t>
      </w:r>
      <w:r>
        <w:rPr>
          <w:spacing w:val="40"/>
          <w:sz w:val="20"/>
        </w:rPr>
        <w:t> </w:t>
      </w:r>
      <w:r>
        <w:rPr>
          <w:sz w:val="20"/>
        </w:rPr>
        <w:t>al.</w:t>
      </w:r>
      <w:r>
        <w:rPr>
          <w:spacing w:val="40"/>
          <w:sz w:val="20"/>
        </w:rPr>
        <w:t> </w:t>
      </w:r>
      <w:r>
        <w:rPr>
          <w:sz w:val="20"/>
        </w:rPr>
        <w:t>Temporomandibular</w:t>
      </w:r>
      <w:r>
        <w:rPr>
          <w:spacing w:val="40"/>
          <w:sz w:val="20"/>
        </w:rPr>
        <w:t> </w:t>
      </w:r>
      <w:r>
        <w:rPr>
          <w:sz w:val="20"/>
        </w:rPr>
        <w:t>dysfunction.</w:t>
      </w:r>
      <w:r>
        <w:rPr>
          <w:spacing w:val="40"/>
          <w:sz w:val="20"/>
        </w:rPr>
        <w:t> </w:t>
      </w:r>
      <w:r>
        <w:rPr>
          <w:rFonts w:ascii="Arial" w:hAnsi="Arial"/>
          <w:i/>
          <w:sz w:val="20"/>
        </w:rPr>
        <w:t>Australian</w:t>
      </w:r>
      <w:r>
        <w:rPr>
          <w:rFonts w:ascii="Arial" w:hAnsi="Arial"/>
          <w:i/>
          <w:spacing w:val="40"/>
          <w:sz w:val="20"/>
        </w:rPr>
        <w:t> </w:t>
      </w:r>
      <w:r>
        <w:rPr>
          <w:rFonts w:ascii="Arial" w:hAnsi="Arial"/>
          <w:i/>
          <w:sz w:val="20"/>
        </w:rPr>
        <w:t>Journal</w:t>
      </w:r>
      <w:r>
        <w:rPr>
          <w:rFonts w:ascii="Arial" w:hAnsi="Arial"/>
          <w:i/>
          <w:spacing w:val="40"/>
          <w:sz w:val="20"/>
        </w:rPr>
        <w:t> </w:t>
      </w:r>
      <w:r>
        <w:rPr>
          <w:rFonts w:ascii="Arial" w:hAnsi="Arial"/>
          <w:i/>
          <w:sz w:val="20"/>
        </w:rPr>
        <w:t>of</w:t>
      </w:r>
      <w:r>
        <w:rPr>
          <w:rFonts w:ascii="Arial" w:hAnsi="Arial"/>
          <w:i/>
          <w:spacing w:val="40"/>
          <w:sz w:val="20"/>
        </w:rPr>
        <w:t> </w:t>
      </w:r>
      <w:r>
        <w:rPr>
          <w:rFonts w:ascii="Arial" w:hAnsi="Arial"/>
          <w:i/>
          <w:sz w:val="20"/>
        </w:rPr>
        <w:t>General</w:t>
      </w:r>
      <w:r>
        <w:rPr>
          <w:rFonts w:ascii="Arial" w:hAnsi="Arial"/>
          <w:i/>
          <w:spacing w:val="40"/>
          <w:sz w:val="20"/>
        </w:rPr>
        <w:t> </w:t>
      </w:r>
      <w:r>
        <w:rPr>
          <w:rFonts w:ascii="Arial" w:hAnsi="Arial"/>
          <w:i/>
          <w:sz w:val="20"/>
        </w:rPr>
        <w:t>Practice</w:t>
      </w:r>
      <w:r>
        <w:rPr>
          <w:sz w:val="20"/>
        </w:rPr>
        <w:t>, v. 47, n. 4, p. 212–215, 1 apr. 2018.</w:t>
      </w:r>
    </w:p>
    <w:p>
      <w:pPr>
        <w:pStyle w:val="BodyText"/>
        <w:spacing w:before="8"/>
      </w:pPr>
    </w:p>
    <w:p>
      <w:pPr>
        <w:pStyle w:val="ListParagraph"/>
        <w:numPr>
          <w:ilvl w:val="1"/>
          <w:numId w:val="4"/>
        </w:numPr>
        <w:tabs>
          <w:tab w:pos="1077" w:val="left" w:leader="none"/>
          <w:tab w:pos="1080" w:val="left" w:leader="none"/>
        </w:tabs>
        <w:spacing w:line="230" w:lineRule="auto" w:before="0" w:after="0"/>
        <w:ind w:left="1080" w:right="1651" w:hanging="360"/>
        <w:jc w:val="both"/>
        <w:rPr>
          <w:sz w:val="20"/>
        </w:rPr>
      </w:pPr>
      <w:r>
        <w:rPr>
          <w:sz w:val="20"/>
        </w:rPr>
        <w:t>MACHADO, A.; LIMA, F.; CONTI, P. Current panorama of temporomandibular disorders’ field in Brazil. </w:t>
      </w:r>
      <w:r>
        <w:rPr>
          <w:rFonts w:ascii="Arial" w:hAnsi="Arial"/>
          <w:i/>
          <w:sz w:val="20"/>
        </w:rPr>
        <w:t>Journal of Applied Oral</w:t>
      </w:r>
      <w:r>
        <w:rPr>
          <w:rFonts w:ascii="Arial" w:hAnsi="Arial"/>
          <w:i/>
          <w:spacing w:val="-4"/>
          <w:sz w:val="20"/>
        </w:rPr>
        <w:t> </w:t>
      </w:r>
      <w:r>
        <w:rPr>
          <w:rFonts w:ascii="Arial" w:hAnsi="Arial"/>
          <w:i/>
          <w:sz w:val="20"/>
        </w:rPr>
        <w:t>Science</w:t>
      </w:r>
      <w:r>
        <w:rPr>
          <w:sz w:val="20"/>
        </w:rPr>
        <w:t>,</w:t>
      </w:r>
      <w:r>
        <w:rPr>
          <w:spacing w:val="-4"/>
          <w:sz w:val="20"/>
        </w:rPr>
        <w:t> </w:t>
      </w:r>
      <w:r>
        <w:rPr>
          <w:sz w:val="20"/>
        </w:rPr>
        <w:t>v.</w:t>
      </w:r>
      <w:r>
        <w:rPr>
          <w:spacing w:val="-4"/>
          <w:sz w:val="20"/>
        </w:rPr>
        <w:t> </w:t>
      </w:r>
      <w:r>
        <w:rPr>
          <w:sz w:val="20"/>
        </w:rPr>
        <w:t>22,</w:t>
      </w:r>
      <w:r>
        <w:rPr>
          <w:spacing w:val="-4"/>
          <w:sz w:val="20"/>
        </w:rPr>
        <w:t> </w:t>
      </w:r>
      <w:r>
        <w:rPr>
          <w:sz w:val="20"/>
        </w:rPr>
        <w:t>n.</w:t>
      </w:r>
      <w:r>
        <w:rPr>
          <w:spacing w:val="-4"/>
          <w:sz w:val="20"/>
        </w:rPr>
        <w:t> </w:t>
      </w:r>
      <w:r>
        <w:rPr>
          <w:sz w:val="20"/>
        </w:rPr>
        <w:t>3,</w:t>
      </w:r>
      <w:r>
        <w:rPr>
          <w:spacing w:val="-4"/>
          <w:sz w:val="20"/>
        </w:rPr>
        <w:t> </w:t>
      </w:r>
      <w:r>
        <w:rPr>
          <w:sz w:val="20"/>
        </w:rPr>
        <w:t>p.</w:t>
      </w:r>
      <w:r>
        <w:rPr>
          <w:spacing w:val="-4"/>
          <w:sz w:val="20"/>
        </w:rPr>
        <w:t> </w:t>
      </w:r>
      <w:r>
        <w:rPr>
          <w:sz w:val="20"/>
        </w:rPr>
        <w:t>146–151,</w:t>
      </w:r>
      <w:r>
        <w:rPr>
          <w:spacing w:val="-4"/>
          <w:sz w:val="20"/>
        </w:rPr>
        <w:t> </w:t>
      </w:r>
      <w:r>
        <w:rPr>
          <w:sz w:val="20"/>
        </w:rPr>
        <w:t>June 1, 2014.</w:t>
      </w:r>
    </w:p>
    <w:p>
      <w:pPr>
        <w:pStyle w:val="BodyText"/>
        <w:spacing w:before="5"/>
      </w:pPr>
    </w:p>
    <w:p>
      <w:pPr>
        <w:pStyle w:val="ListParagraph"/>
        <w:numPr>
          <w:ilvl w:val="1"/>
          <w:numId w:val="4"/>
        </w:numPr>
        <w:tabs>
          <w:tab w:pos="1077" w:val="left" w:leader="none"/>
          <w:tab w:pos="1080" w:val="left" w:leader="none"/>
        </w:tabs>
        <w:spacing w:line="230" w:lineRule="auto" w:before="1" w:after="0"/>
        <w:ind w:left="1080" w:right="1653" w:hanging="360"/>
        <w:jc w:val="both"/>
        <w:rPr>
          <w:sz w:val="20"/>
        </w:rPr>
      </w:pPr>
      <w:r>
        <w:rPr>
          <w:sz w:val="20"/>
        </w:rPr>
        <w:t>MAGRI, L. V., et al. Profile of a Temporomandibular Dysfunction and Orofacial Pain Service</w:t>
      </w:r>
      <w:r>
        <w:rPr>
          <w:spacing w:val="-5"/>
          <w:sz w:val="20"/>
        </w:rPr>
        <w:t> </w:t>
      </w:r>
      <w:r>
        <w:rPr>
          <w:sz w:val="20"/>
        </w:rPr>
        <w:t>of</w:t>
      </w:r>
      <w:r>
        <w:rPr>
          <w:spacing w:val="-5"/>
          <w:sz w:val="20"/>
        </w:rPr>
        <w:t> </w:t>
      </w:r>
      <w:r>
        <w:rPr>
          <w:sz w:val="20"/>
        </w:rPr>
        <w:t>a</w:t>
      </w:r>
      <w:r>
        <w:rPr>
          <w:spacing w:val="-5"/>
          <w:sz w:val="20"/>
        </w:rPr>
        <w:t> </w:t>
      </w:r>
      <w:r>
        <w:rPr>
          <w:sz w:val="20"/>
        </w:rPr>
        <w:t>Brazilian</w:t>
      </w:r>
      <w:r>
        <w:rPr>
          <w:spacing w:val="-5"/>
          <w:sz w:val="20"/>
        </w:rPr>
        <w:t> </w:t>
      </w:r>
      <w:r>
        <w:rPr>
          <w:sz w:val="20"/>
        </w:rPr>
        <w:t>Public</w:t>
      </w:r>
      <w:r>
        <w:rPr>
          <w:spacing w:val="-5"/>
          <w:sz w:val="20"/>
        </w:rPr>
        <w:t> </w:t>
      </w:r>
      <w:r>
        <w:rPr>
          <w:sz w:val="20"/>
        </w:rPr>
        <w:t>University:</w:t>
      </w:r>
      <w:r>
        <w:rPr>
          <w:spacing w:val="-5"/>
          <w:sz w:val="20"/>
        </w:rPr>
        <w:t> </w:t>
      </w:r>
      <w:r>
        <w:rPr>
          <w:sz w:val="20"/>
        </w:rPr>
        <w:t>What</w:t>
      </w:r>
      <w:r>
        <w:rPr>
          <w:spacing w:val="-5"/>
          <w:sz w:val="20"/>
        </w:rPr>
        <w:t> </w:t>
      </w:r>
      <w:r>
        <w:rPr>
          <w:sz w:val="20"/>
        </w:rPr>
        <w:t>Has</w:t>
      </w:r>
      <w:r>
        <w:rPr>
          <w:spacing w:val="-5"/>
          <w:sz w:val="20"/>
        </w:rPr>
        <w:t> </w:t>
      </w:r>
      <w:r>
        <w:rPr>
          <w:sz w:val="20"/>
        </w:rPr>
        <w:t>Changed</w:t>
      </w:r>
      <w:r>
        <w:rPr>
          <w:spacing w:val="-5"/>
          <w:sz w:val="20"/>
        </w:rPr>
        <w:t> </w:t>
      </w:r>
      <w:r>
        <w:rPr>
          <w:sz w:val="20"/>
        </w:rPr>
        <w:t>in</w:t>
      </w:r>
      <w:r>
        <w:rPr>
          <w:spacing w:val="-5"/>
          <w:sz w:val="20"/>
        </w:rPr>
        <w:t> </w:t>
      </w:r>
      <w:r>
        <w:rPr>
          <w:sz w:val="20"/>
        </w:rPr>
        <w:t>10</w:t>
      </w:r>
      <w:r>
        <w:rPr>
          <w:spacing w:val="-5"/>
          <w:sz w:val="20"/>
        </w:rPr>
        <w:t> </w:t>
      </w:r>
      <w:r>
        <w:rPr>
          <w:sz w:val="20"/>
        </w:rPr>
        <w:t>Years?</w:t>
      </w:r>
      <w:r>
        <w:rPr>
          <w:spacing w:val="-5"/>
          <w:sz w:val="20"/>
        </w:rPr>
        <w:t> </w:t>
      </w:r>
      <w:r>
        <w:rPr>
          <w:sz w:val="20"/>
        </w:rPr>
        <w:t>Retrospective Study. </w:t>
      </w:r>
      <w:r>
        <w:rPr>
          <w:rFonts w:ascii="Arial"/>
          <w:i/>
          <w:sz w:val="20"/>
        </w:rPr>
        <w:t>Brazilian Journal of Pain</w:t>
      </w:r>
      <w:r>
        <w:rPr>
          <w:sz w:val="20"/>
        </w:rPr>
        <w:t>, v. 1, n. 3, 2018.</w:t>
      </w:r>
    </w:p>
    <w:p>
      <w:pPr>
        <w:pStyle w:val="BodyText"/>
        <w:spacing w:before="6"/>
      </w:pPr>
    </w:p>
    <w:p>
      <w:pPr>
        <w:pStyle w:val="ListParagraph"/>
        <w:numPr>
          <w:ilvl w:val="1"/>
          <w:numId w:val="4"/>
        </w:numPr>
        <w:tabs>
          <w:tab w:pos="1077" w:val="left" w:leader="none"/>
          <w:tab w:pos="1080" w:val="left" w:leader="none"/>
        </w:tabs>
        <w:spacing w:line="230" w:lineRule="auto" w:before="0" w:after="0"/>
        <w:ind w:left="1080" w:right="1649" w:hanging="360"/>
        <w:jc w:val="both"/>
        <w:rPr>
          <w:sz w:val="20"/>
        </w:rPr>
      </w:pPr>
      <w:r>
        <w:rPr>
          <w:sz w:val="20"/>
        </w:rPr>
        <w:t>MCCULLOCH GALLAGHER, R.; SANDBRINK, F. The Socioeconomic Burden of</w:t>
      </w:r>
      <w:r>
        <w:rPr>
          <w:spacing w:val="-6"/>
          <w:sz w:val="20"/>
        </w:rPr>
        <w:t> </w:t>
      </w:r>
      <w:r>
        <w:rPr>
          <w:sz w:val="20"/>
        </w:rPr>
        <w:t>Pain From War. </w:t>
      </w:r>
      <w:r>
        <w:rPr>
          <w:rFonts w:ascii="Arial" w:hAnsi="Arial"/>
          <w:i/>
          <w:sz w:val="20"/>
        </w:rPr>
        <w:t>American Journal of Public Health</w:t>
      </w:r>
      <w:r>
        <w:rPr>
          <w:sz w:val="20"/>
        </w:rPr>
        <w:t>, v. 109, n. 1, p. 41–45, 2019.</w:t>
      </w:r>
    </w:p>
    <w:p>
      <w:pPr>
        <w:pStyle w:val="BodyText"/>
        <w:spacing w:before="7"/>
      </w:pPr>
    </w:p>
    <w:p>
      <w:pPr>
        <w:pStyle w:val="ListParagraph"/>
        <w:numPr>
          <w:ilvl w:val="1"/>
          <w:numId w:val="4"/>
        </w:numPr>
        <w:tabs>
          <w:tab w:pos="1077" w:val="left" w:leader="none"/>
          <w:tab w:pos="1080" w:val="left" w:leader="none"/>
        </w:tabs>
        <w:spacing w:line="230" w:lineRule="auto" w:before="1" w:after="0"/>
        <w:ind w:left="1080" w:right="1655" w:hanging="360"/>
        <w:jc w:val="both"/>
        <w:rPr>
          <w:sz w:val="20"/>
        </w:rPr>
      </w:pPr>
      <w:r>
        <w:rPr>
          <w:sz w:val="20"/>
        </w:rPr>
        <w:t>MCNEILL, C. Management of temporomandibular disorders: Concepts and controversies. The Journal of Prosthetic Dentistry, v. 77, n. 5, p. 510–522, may 1997.</w:t>
      </w:r>
    </w:p>
    <w:p>
      <w:pPr>
        <w:pStyle w:val="ListParagraph"/>
        <w:numPr>
          <w:ilvl w:val="1"/>
          <w:numId w:val="4"/>
        </w:numPr>
        <w:tabs>
          <w:tab w:pos="1077" w:val="left" w:leader="none"/>
          <w:tab w:pos="1080" w:val="left" w:leader="none"/>
        </w:tabs>
        <w:spacing w:line="230" w:lineRule="auto" w:before="219" w:after="0"/>
        <w:ind w:left="1080" w:right="1651" w:hanging="360"/>
        <w:jc w:val="both"/>
        <w:rPr>
          <w:sz w:val="20"/>
        </w:rPr>
      </w:pPr>
      <w:r>
        <w:rPr>
          <w:sz w:val="20"/>
        </w:rPr>
        <w:t>MIGUEL, E. R. A. et al. Educação Interprofissional na Formação em</w:t>
      </w:r>
      <w:r>
        <w:rPr>
          <w:spacing w:val="-3"/>
          <w:sz w:val="20"/>
        </w:rPr>
        <w:t> </w:t>
      </w:r>
      <w:r>
        <w:rPr>
          <w:sz w:val="20"/>
        </w:rPr>
        <w:t>Saúde:</w:t>
      </w:r>
      <w:r>
        <w:rPr>
          <w:spacing w:val="-3"/>
          <w:sz w:val="20"/>
        </w:rPr>
        <w:t> </w:t>
      </w:r>
      <w:r>
        <w:rPr>
          <w:sz w:val="20"/>
        </w:rPr>
        <w:t>Desafios</w:t>
      </w:r>
      <w:r>
        <w:rPr>
          <w:spacing w:val="40"/>
          <w:sz w:val="20"/>
        </w:rPr>
        <w:t> </w:t>
      </w:r>
      <w:r>
        <w:rPr>
          <w:sz w:val="20"/>
        </w:rPr>
        <w:t>e Oportunidades na Pós-graduação. </w:t>
      </w:r>
      <w:r>
        <w:rPr>
          <w:rFonts w:ascii="Arial" w:hAnsi="Arial"/>
          <w:i/>
          <w:sz w:val="20"/>
        </w:rPr>
        <w:t>Cadernos Cajuína</w:t>
      </w:r>
      <w:r>
        <w:rPr>
          <w:sz w:val="20"/>
        </w:rPr>
        <w:t>, v. 9, n. 5, p. e249534, 1 out. </w:t>
      </w:r>
      <w:r>
        <w:rPr>
          <w:spacing w:val="-2"/>
          <w:sz w:val="20"/>
        </w:rPr>
        <w:t>2024.</w:t>
      </w:r>
    </w:p>
    <w:p>
      <w:pPr>
        <w:pStyle w:val="ListParagraph"/>
        <w:numPr>
          <w:ilvl w:val="1"/>
          <w:numId w:val="4"/>
        </w:numPr>
        <w:tabs>
          <w:tab w:pos="1077" w:val="left" w:leader="none"/>
          <w:tab w:pos="1080" w:val="left" w:leader="none"/>
        </w:tabs>
        <w:spacing w:line="230" w:lineRule="auto" w:before="220" w:after="0"/>
        <w:ind w:left="1080" w:right="1661" w:hanging="360"/>
        <w:jc w:val="both"/>
        <w:rPr>
          <w:sz w:val="20"/>
        </w:rPr>
      </w:pPr>
      <w:r>
        <w:rPr>
          <w:sz w:val="20"/>
        </w:rPr>
        <w:t>MOHER, D. Preferred Reporting Items for Systematic Reviews and Meta-Analyses: The PRISMA Statement. </w:t>
      </w:r>
      <w:r>
        <w:rPr>
          <w:rFonts w:ascii="Arial"/>
          <w:i/>
          <w:sz w:val="20"/>
        </w:rPr>
        <w:t>Annals of Internal Medicine</w:t>
      </w:r>
      <w:r>
        <w:rPr>
          <w:sz w:val="20"/>
        </w:rPr>
        <w:t>, v. 151, n. 4, p. 264, 2009.</w:t>
      </w:r>
    </w:p>
    <w:p>
      <w:pPr>
        <w:pStyle w:val="BodyText"/>
        <w:spacing w:before="7"/>
      </w:pPr>
    </w:p>
    <w:p>
      <w:pPr>
        <w:pStyle w:val="ListParagraph"/>
        <w:numPr>
          <w:ilvl w:val="1"/>
          <w:numId w:val="4"/>
        </w:numPr>
        <w:tabs>
          <w:tab w:pos="1077" w:val="left" w:leader="none"/>
          <w:tab w:pos="1080" w:val="left" w:leader="none"/>
        </w:tabs>
        <w:spacing w:line="230" w:lineRule="auto" w:before="0" w:after="0"/>
        <w:ind w:left="1080" w:right="1658" w:hanging="360"/>
        <w:jc w:val="both"/>
        <w:rPr>
          <w:sz w:val="20"/>
        </w:rPr>
      </w:pPr>
      <w:r>
        <w:rPr>
          <w:sz w:val="20"/>
        </w:rPr>
        <w:t>OMMERBORN,</w:t>
      </w:r>
      <w:r>
        <w:rPr>
          <w:spacing w:val="26"/>
          <w:sz w:val="20"/>
        </w:rPr>
        <w:t> </w:t>
      </w:r>
      <w:r>
        <w:rPr>
          <w:sz w:val="20"/>
        </w:rPr>
        <w:t>M. A. et al. A survey on German dentists regarding the management of craniomandibular disorders. Clinical Oral Investigations, v. 14, n. 2, p. 137–144, 14</w:t>
      </w:r>
    </w:p>
    <w:p>
      <w:pPr>
        <w:pStyle w:val="BodyText"/>
        <w:spacing w:line="222" w:lineRule="exact"/>
        <w:ind w:left="1080"/>
      </w:pPr>
      <w:r>
        <w:rPr/>
        <w:t>may</w:t>
      </w:r>
      <w:r>
        <w:rPr>
          <w:spacing w:val="-5"/>
        </w:rPr>
        <w:t> </w:t>
      </w:r>
      <w:r>
        <w:rPr>
          <w:spacing w:val="-2"/>
        </w:rPr>
        <w:t>2009.</w:t>
      </w:r>
    </w:p>
    <w:p>
      <w:pPr>
        <w:pStyle w:val="BodyText"/>
        <w:spacing w:before="5"/>
      </w:pPr>
    </w:p>
    <w:p>
      <w:pPr>
        <w:pStyle w:val="ListParagraph"/>
        <w:numPr>
          <w:ilvl w:val="1"/>
          <w:numId w:val="4"/>
        </w:numPr>
        <w:tabs>
          <w:tab w:pos="1077" w:val="left" w:leader="none"/>
          <w:tab w:pos="1080" w:val="left" w:leader="none"/>
        </w:tabs>
        <w:spacing w:line="230" w:lineRule="auto" w:before="1" w:after="0"/>
        <w:ind w:left="1080" w:right="1660" w:hanging="360"/>
        <w:jc w:val="both"/>
        <w:rPr>
          <w:sz w:val="20"/>
        </w:rPr>
      </w:pPr>
      <w:r>
        <w:rPr>
          <w:sz w:val="20"/>
        </w:rPr>
        <w:t>RAHMEIER, G. et al. Assessment of Dentistry Students' Knowledge at UFSM About TMD and Bruxism. </w:t>
      </w:r>
      <w:r>
        <w:rPr>
          <w:rFonts w:ascii="Arial" w:hAnsi="Arial"/>
          <w:i/>
          <w:sz w:val="20"/>
        </w:rPr>
        <w:t>Revista da ABENO</w:t>
      </w:r>
      <w:r>
        <w:rPr>
          <w:sz w:val="20"/>
        </w:rPr>
        <w:t>, v. 21, n. 1, p. 1253–1253, 2021.</w:t>
      </w:r>
    </w:p>
    <w:p>
      <w:pPr>
        <w:pStyle w:val="ListParagraph"/>
        <w:numPr>
          <w:ilvl w:val="1"/>
          <w:numId w:val="4"/>
        </w:numPr>
        <w:tabs>
          <w:tab w:pos="1077" w:val="left" w:leader="none"/>
        </w:tabs>
        <w:spacing w:line="240" w:lineRule="auto" w:before="221" w:after="0"/>
        <w:ind w:left="1077" w:right="0" w:hanging="357"/>
        <w:jc w:val="left"/>
        <w:rPr>
          <w:sz w:val="20"/>
        </w:rPr>
      </w:pPr>
      <w:r>
        <w:rPr>
          <w:sz w:val="20"/>
        </w:rPr>
        <w:t>RENY</w:t>
      </w:r>
      <w:r>
        <w:rPr>
          <w:spacing w:val="-9"/>
          <w:sz w:val="20"/>
        </w:rPr>
        <w:t> </w:t>
      </w:r>
      <w:r>
        <w:rPr>
          <w:sz w:val="20"/>
        </w:rPr>
        <w:t>DE</w:t>
      </w:r>
      <w:r>
        <w:rPr>
          <w:spacing w:val="-7"/>
          <w:sz w:val="20"/>
        </w:rPr>
        <w:t> </w:t>
      </w:r>
      <w:r>
        <w:rPr>
          <w:sz w:val="20"/>
        </w:rPr>
        <w:t>LEEUW;</w:t>
      </w:r>
      <w:r>
        <w:rPr>
          <w:spacing w:val="-7"/>
          <w:sz w:val="20"/>
        </w:rPr>
        <w:t> </w:t>
      </w:r>
      <w:r>
        <w:rPr>
          <w:sz w:val="20"/>
        </w:rPr>
        <w:t>KLASSER,</w:t>
      </w:r>
      <w:r>
        <w:rPr>
          <w:spacing w:val="-6"/>
          <w:sz w:val="20"/>
        </w:rPr>
        <w:t> </w:t>
      </w:r>
      <w:r>
        <w:rPr>
          <w:sz w:val="20"/>
        </w:rPr>
        <w:t>Gary</w:t>
      </w:r>
      <w:r>
        <w:rPr>
          <w:spacing w:val="-7"/>
          <w:sz w:val="20"/>
        </w:rPr>
        <w:t> </w:t>
      </w:r>
      <w:r>
        <w:rPr>
          <w:sz w:val="20"/>
        </w:rPr>
        <w:t>D.;</w:t>
      </w:r>
      <w:r>
        <w:rPr>
          <w:spacing w:val="-7"/>
          <w:sz w:val="20"/>
        </w:rPr>
        <w:t> </w:t>
      </w:r>
      <w:r>
        <w:rPr>
          <w:sz w:val="20"/>
        </w:rPr>
        <w:t>AMERICAN</w:t>
      </w:r>
      <w:r>
        <w:rPr>
          <w:spacing w:val="-6"/>
          <w:sz w:val="20"/>
        </w:rPr>
        <w:t> </w:t>
      </w:r>
      <w:r>
        <w:rPr>
          <w:sz w:val="20"/>
        </w:rPr>
        <w:t>ACADEMY</w:t>
      </w:r>
      <w:r>
        <w:rPr>
          <w:spacing w:val="-7"/>
          <w:sz w:val="20"/>
        </w:rPr>
        <w:t> </w:t>
      </w:r>
      <w:r>
        <w:rPr>
          <w:sz w:val="20"/>
        </w:rPr>
        <w:t>OF</w:t>
      </w:r>
      <w:r>
        <w:rPr>
          <w:spacing w:val="-7"/>
          <w:sz w:val="20"/>
        </w:rPr>
        <w:t> </w:t>
      </w:r>
      <w:r>
        <w:rPr>
          <w:sz w:val="20"/>
        </w:rPr>
        <w:t>OROFACIAL</w:t>
      </w:r>
      <w:r>
        <w:rPr>
          <w:spacing w:val="-6"/>
          <w:sz w:val="20"/>
        </w:rPr>
        <w:t> </w:t>
      </w:r>
      <w:r>
        <w:rPr>
          <w:spacing w:val="-2"/>
          <w:sz w:val="20"/>
        </w:rPr>
        <w:t>PAIN.</w:t>
      </w:r>
    </w:p>
    <w:p>
      <w:pPr>
        <w:spacing w:before="0"/>
        <w:ind w:left="1080" w:right="1675" w:firstLine="0"/>
        <w:jc w:val="left"/>
        <w:rPr>
          <w:sz w:val="20"/>
        </w:rPr>
      </w:pPr>
      <w:r>
        <w:rPr>
          <w:rFonts w:ascii="Arial"/>
          <w:i/>
          <w:sz w:val="20"/>
        </w:rPr>
        <w:t>Orofacial</w:t>
      </w:r>
      <w:r>
        <w:rPr>
          <w:rFonts w:ascii="Arial"/>
          <w:i/>
          <w:spacing w:val="-6"/>
          <w:sz w:val="20"/>
        </w:rPr>
        <w:t> </w:t>
      </w:r>
      <w:r>
        <w:rPr>
          <w:rFonts w:ascii="Arial"/>
          <w:i/>
          <w:sz w:val="20"/>
        </w:rPr>
        <w:t>Pain:</w:t>
      </w:r>
      <w:r>
        <w:rPr>
          <w:rFonts w:ascii="Arial"/>
          <w:i/>
          <w:spacing w:val="-6"/>
          <w:sz w:val="20"/>
        </w:rPr>
        <w:t> </w:t>
      </w:r>
      <w:r>
        <w:rPr>
          <w:rFonts w:ascii="Arial"/>
          <w:i/>
          <w:sz w:val="20"/>
        </w:rPr>
        <w:t>Guidelines</w:t>
      </w:r>
      <w:r>
        <w:rPr>
          <w:rFonts w:ascii="Arial"/>
          <w:i/>
          <w:spacing w:val="-6"/>
          <w:sz w:val="20"/>
        </w:rPr>
        <w:t> </w:t>
      </w:r>
      <w:r>
        <w:rPr>
          <w:rFonts w:ascii="Arial"/>
          <w:i/>
          <w:sz w:val="20"/>
        </w:rPr>
        <w:t>for</w:t>
      </w:r>
      <w:r>
        <w:rPr>
          <w:rFonts w:ascii="Arial"/>
          <w:i/>
          <w:spacing w:val="-6"/>
          <w:sz w:val="20"/>
        </w:rPr>
        <w:t> </w:t>
      </w:r>
      <w:r>
        <w:rPr>
          <w:rFonts w:ascii="Arial"/>
          <w:i/>
          <w:sz w:val="20"/>
        </w:rPr>
        <w:t>Assessment,</w:t>
      </w:r>
      <w:r>
        <w:rPr>
          <w:rFonts w:ascii="Arial"/>
          <w:i/>
          <w:spacing w:val="-6"/>
          <w:sz w:val="20"/>
        </w:rPr>
        <w:t> </w:t>
      </w:r>
      <w:r>
        <w:rPr>
          <w:rFonts w:ascii="Arial"/>
          <w:i/>
          <w:sz w:val="20"/>
        </w:rPr>
        <w:t>Diagnosis,</w:t>
      </w:r>
      <w:r>
        <w:rPr>
          <w:rFonts w:ascii="Arial"/>
          <w:i/>
          <w:spacing w:val="-6"/>
          <w:sz w:val="20"/>
        </w:rPr>
        <w:t> </w:t>
      </w:r>
      <w:r>
        <w:rPr>
          <w:rFonts w:ascii="Arial"/>
          <w:i/>
          <w:sz w:val="20"/>
        </w:rPr>
        <w:t>and</w:t>
      </w:r>
      <w:r>
        <w:rPr>
          <w:rFonts w:ascii="Arial"/>
          <w:i/>
          <w:spacing w:val="-6"/>
          <w:sz w:val="20"/>
        </w:rPr>
        <w:t> </w:t>
      </w:r>
      <w:r>
        <w:rPr>
          <w:rFonts w:ascii="Arial"/>
          <w:i/>
          <w:sz w:val="20"/>
        </w:rPr>
        <w:t>Management</w:t>
      </w:r>
      <w:r>
        <w:rPr>
          <w:sz w:val="20"/>
        </w:rPr>
        <w:t>.</w:t>
      </w:r>
      <w:r>
        <w:rPr>
          <w:spacing w:val="-6"/>
          <w:sz w:val="20"/>
        </w:rPr>
        <w:t> </w:t>
      </w:r>
      <w:r>
        <w:rPr>
          <w:sz w:val="20"/>
        </w:rPr>
        <w:t>Chicago: Quintessence Publ, 2013.</w:t>
      </w:r>
    </w:p>
    <w:p>
      <w:pPr>
        <w:pStyle w:val="BodyText"/>
        <w:spacing w:before="8"/>
      </w:pPr>
    </w:p>
    <w:p>
      <w:pPr>
        <w:pStyle w:val="ListParagraph"/>
        <w:numPr>
          <w:ilvl w:val="1"/>
          <w:numId w:val="4"/>
        </w:numPr>
        <w:tabs>
          <w:tab w:pos="1077" w:val="left" w:leader="none"/>
          <w:tab w:pos="1080" w:val="left" w:leader="none"/>
        </w:tabs>
        <w:spacing w:line="230" w:lineRule="auto" w:before="0" w:after="0"/>
        <w:ind w:left="1080" w:right="1654" w:hanging="360"/>
        <w:jc w:val="both"/>
        <w:rPr>
          <w:sz w:val="20"/>
        </w:rPr>
      </w:pPr>
      <w:r>
        <w:rPr>
          <w:sz w:val="20"/>
        </w:rPr>
        <w:t>SIMM, W.r; GUIMARÃES, A. S. The Teaching of Temporomandibular Disorders and Orofacial Pain at the Undergraduate Level in Brazilian Dental Schools. </w:t>
      </w:r>
      <w:r>
        <w:rPr>
          <w:rFonts w:ascii="Arial" w:hAnsi="Arial"/>
          <w:i/>
          <w:sz w:val="20"/>
        </w:rPr>
        <w:t>Journal of Applied Oral Science</w:t>
      </w:r>
      <w:r>
        <w:rPr>
          <w:sz w:val="20"/>
        </w:rPr>
        <w:t>, v. 21, n. 6, p. 518–524, 2013.</w:t>
      </w:r>
    </w:p>
    <w:p>
      <w:pPr>
        <w:pStyle w:val="BodyText"/>
        <w:spacing w:before="7"/>
      </w:pPr>
    </w:p>
    <w:p>
      <w:pPr>
        <w:pStyle w:val="ListParagraph"/>
        <w:numPr>
          <w:ilvl w:val="1"/>
          <w:numId w:val="4"/>
        </w:numPr>
        <w:tabs>
          <w:tab w:pos="1077" w:val="left" w:leader="none"/>
          <w:tab w:pos="1080" w:val="left" w:leader="none"/>
        </w:tabs>
        <w:spacing w:line="230" w:lineRule="auto" w:before="0" w:after="0"/>
        <w:ind w:left="1080" w:right="1661" w:hanging="360"/>
        <w:jc w:val="both"/>
        <w:rPr>
          <w:sz w:val="20"/>
        </w:rPr>
      </w:pPr>
      <w:r>
        <w:rPr>
          <w:sz w:val="20"/>
        </w:rPr>
        <w:t>SHARMA, S. et al. Etiological factors of temporomandibular joint disorders. </w:t>
      </w:r>
      <w:r>
        <w:rPr>
          <w:rFonts w:ascii="Arial" w:hAnsi="Arial"/>
          <w:i/>
          <w:sz w:val="20"/>
        </w:rPr>
        <w:t>National Journal of Maxillofacial Surgery</w:t>
      </w:r>
      <w:r>
        <w:rPr>
          <w:sz w:val="20"/>
        </w:rPr>
        <w:t>, v. 2, n. 2, p. 116–119, 2011.</w:t>
      </w:r>
    </w:p>
    <w:p>
      <w:pPr>
        <w:pStyle w:val="BodyText"/>
        <w:spacing w:before="6"/>
      </w:pPr>
    </w:p>
    <w:p>
      <w:pPr>
        <w:pStyle w:val="ListParagraph"/>
        <w:numPr>
          <w:ilvl w:val="1"/>
          <w:numId w:val="4"/>
        </w:numPr>
        <w:tabs>
          <w:tab w:pos="1077" w:val="left" w:leader="none"/>
          <w:tab w:pos="1080" w:val="left" w:leader="none"/>
        </w:tabs>
        <w:spacing w:line="230" w:lineRule="auto" w:before="0" w:after="0"/>
        <w:ind w:left="1080" w:right="1657" w:hanging="360"/>
        <w:jc w:val="both"/>
        <w:rPr>
          <w:sz w:val="20"/>
        </w:rPr>
      </w:pPr>
      <w:r>
        <w:rPr>
          <w:sz w:val="20"/>
        </w:rPr>
        <w:t>WOLF, E. et al. Nonspecific chronic orofacial pain: Studying patient experiences and perspectives with a qualitative approach. </w:t>
      </w:r>
      <w:r>
        <w:rPr>
          <w:rFonts w:ascii="Arial" w:hAnsi="Arial"/>
          <w:i/>
          <w:sz w:val="20"/>
        </w:rPr>
        <w:t>Journal of Orofacial Pain</w:t>
      </w:r>
      <w:r>
        <w:rPr>
          <w:sz w:val="20"/>
        </w:rPr>
        <w:t>, v. 22, n. 4, p. 349–358, 2008</w:t>
      </w:r>
    </w:p>
    <w:p>
      <w:pPr>
        <w:pStyle w:val="ListParagraph"/>
        <w:numPr>
          <w:ilvl w:val="1"/>
          <w:numId w:val="4"/>
        </w:numPr>
        <w:tabs>
          <w:tab w:pos="1077" w:val="left" w:leader="none"/>
          <w:tab w:pos="1080" w:val="left" w:leader="none"/>
        </w:tabs>
        <w:spacing w:line="230" w:lineRule="auto" w:before="220" w:after="0"/>
        <w:ind w:left="1080" w:right="1652" w:hanging="360"/>
        <w:jc w:val="both"/>
        <w:rPr>
          <w:sz w:val="20"/>
        </w:rPr>
      </w:pPr>
      <w:r>
        <w:rPr>
          <w:sz w:val="20"/>
        </w:rPr>
        <w:t>WOLF, E. et al. Patients’ experiences of consultations</w:t>
      </w:r>
      <w:r>
        <w:rPr>
          <w:spacing w:val="-5"/>
          <w:sz w:val="20"/>
        </w:rPr>
        <w:t> </w:t>
      </w:r>
      <w:r>
        <w:rPr>
          <w:sz w:val="20"/>
        </w:rPr>
        <w:t>for</w:t>
      </w:r>
      <w:r>
        <w:rPr>
          <w:spacing w:val="-5"/>
          <w:sz w:val="20"/>
        </w:rPr>
        <w:t> </w:t>
      </w:r>
      <w:r>
        <w:rPr>
          <w:sz w:val="20"/>
        </w:rPr>
        <w:t>nonspecific</w:t>
      </w:r>
      <w:r>
        <w:rPr>
          <w:spacing w:val="-5"/>
          <w:sz w:val="20"/>
        </w:rPr>
        <w:t> </w:t>
      </w:r>
      <w:r>
        <w:rPr>
          <w:sz w:val="20"/>
        </w:rPr>
        <w:t>chronic</w:t>
      </w:r>
      <w:r>
        <w:rPr>
          <w:spacing w:val="-5"/>
          <w:sz w:val="20"/>
        </w:rPr>
        <w:t> </w:t>
      </w:r>
      <w:r>
        <w:rPr>
          <w:sz w:val="20"/>
        </w:rPr>
        <w:t>orofacial pain: A phenomenological study. </w:t>
      </w:r>
      <w:r>
        <w:rPr>
          <w:rFonts w:ascii="Arial" w:hAnsi="Arial"/>
          <w:i/>
          <w:sz w:val="20"/>
        </w:rPr>
        <w:t>Journal of Orofacial Pain</w:t>
      </w:r>
      <w:r>
        <w:rPr>
          <w:sz w:val="20"/>
        </w:rPr>
        <w:t>, v. 20, n. 3, p. 226–233, </w:t>
      </w:r>
      <w:r>
        <w:rPr>
          <w:spacing w:val="-2"/>
          <w:sz w:val="20"/>
        </w:rPr>
        <w:t>2006.</w:t>
      </w:r>
    </w:p>
    <w:sectPr>
      <w:pgSz w:w="12240" w:h="15840"/>
      <w:pgMar w:header="16" w:footer="0" w:top="34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64928">
          <wp:simplePos x="0" y="0"/>
          <wp:positionH relativeFrom="page">
            <wp:posOffset>0</wp:posOffset>
          </wp:positionH>
          <wp:positionV relativeFrom="page">
            <wp:posOffset>10193</wp:posOffset>
          </wp:positionV>
          <wp:extent cx="1573212" cy="2095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73212" cy="20954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decimal"/>
      <w:lvlText w:val="%1."/>
      <w:lvlJc w:val="left"/>
      <w:pPr>
        <w:ind w:left="825" w:hanging="255"/>
        <w:jc w:val="left"/>
      </w:pPr>
      <w:rPr>
        <w:rFonts w:hint="default"/>
        <w:spacing w:val="-1"/>
        <w:w w:val="100"/>
        <w:lang w:val="en-US" w:eastAsia="en-US" w:bidi="ar-SA"/>
      </w:rPr>
    </w:lvl>
    <w:lvl w:ilvl="1">
      <w:start w:val="1"/>
      <w:numFmt w:val="decimal"/>
      <w:lvlText w:val="%2."/>
      <w:lvlJc w:val="left"/>
      <w:pPr>
        <w:ind w:left="1080" w:hanging="360"/>
        <w:jc w:val="left"/>
      </w:pPr>
      <w:rPr>
        <w:rFonts w:hint="default"/>
        <w:spacing w:val="-1"/>
        <w:w w:val="100"/>
        <w:lang w:val="en-US" w:eastAsia="en-US" w:bidi="ar-SA"/>
      </w:rPr>
    </w:lvl>
    <w:lvl w:ilvl="2">
      <w:start w:val="0"/>
      <w:numFmt w:val="bullet"/>
      <w:lvlText w:val="•"/>
      <w:lvlJc w:val="left"/>
      <w:pPr>
        <w:ind w:left="2120" w:hanging="360"/>
      </w:pPr>
      <w:rPr>
        <w:rFonts w:hint="default"/>
        <w:lang w:val="en-US" w:eastAsia="en-US" w:bidi="ar-SA"/>
      </w:rPr>
    </w:lvl>
    <w:lvl w:ilvl="3">
      <w:start w:val="0"/>
      <w:numFmt w:val="bullet"/>
      <w:lvlText w:val="•"/>
      <w:lvlJc w:val="left"/>
      <w:pPr>
        <w:ind w:left="316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360" w:hanging="360"/>
      </w:pPr>
      <w:rPr>
        <w:rFonts w:hint="default"/>
        <w:lang w:val="en-US" w:eastAsia="en-US" w:bidi="ar-SA"/>
      </w:rPr>
    </w:lvl>
  </w:abstractNum>
  <w:abstractNum w:abstractNumId="2">
    <w:multiLevelType w:val="hybridMultilevel"/>
    <w:lvl w:ilvl="0">
      <w:start w:val="1"/>
      <w:numFmt w:val="decimal"/>
      <w:lvlText w:val="%1."/>
      <w:lvlJc w:val="left"/>
      <w:pPr>
        <w:ind w:left="1290" w:hanging="360"/>
        <w:jc w:val="left"/>
      </w:pPr>
      <w:rPr>
        <w:rFonts w:hint="default" w:ascii="Arial MT" w:hAnsi="Arial MT" w:eastAsia="Arial MT" w:cs="Arial MT"/>
        <w:b w:val="0"/>
        <w:bCs w:val="0"/>
        <w:i w:val="0"/>
        <w:iCs w:val="0"/>
        <w:spacing w:val="-1"/>
        <w:w w:val="100"/>
        <w:sz w:val="20"/>
        <w:szCs w:val="20"/>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128" w:hanging="360"/>
      </w:pPr>
      <w:rPr>
        <w:rFonts w:hint="default"/>
        <w:lang w:val="en-US" w:eastAsia="en-US" w:bidi="ar-SA"/>
      </w:rPr>
    </w:lvl>
    <w:lvl w:ilvl="3">
      <w:start w:val="0"/>
      <w:numFmt w:val="bullet"/>
      <w:lvlText w:val="•"/>
      <w:lvlJc w:val="left"/>
      <w:pPr>
        <w:ind w:left="404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4" w:hanging="360"/>
      </w:pPr>
      <w:rPr>
        <w:rFonts w:hint="default"/>
        <w:lang w:val="en-US" w:eastAsia="en-US" w:bidi="ar-SA"/>
      </w:rPr>
    </w:lvl>
    <w:lvl w:ilvl="7">
      <w:start w:val="0"/>
      <w:numFmt w:val="bullet"/>
      <w:lvlText w:val="•"/>
      <w:lvlJc w:val="left"/>
      <w:pPr>
        <w:ind w:left="7698" w:hanging="360"/>
      </w:pPr>
      <w:rPr>
        <w:rFonts w:hint="default"/>
        <w:lang w:val="en-US" w:eastAsia="en-US" w:bidi="ar-SA"/>
      </w:rPr>
    </w:lvl>
    <w:lvl w:ilvl="8">
      <w:start w:val="0"/>
      <w:numFmt w:val="bullet"/>
      <w:lvlText w:val="•"/>
      <w:lvlJc w:val="left"/>
      <w:pPr>
        <w:ind w:left="8612" w:hanging="360"/>
      </w:pPr>
      <w:rPr>
        <w:rFonts w:hint="default"/>
        <w:lang w:val="en-US" w:eastAsia="en-US" w:bidi="ar-SA"/>
      </w:rPr>
    </w:lvl>
  </w:abstractNum>
  <w:abstractNum w:abstractNumId="1">
    <w:multiLevelType w:val="hybridMultilevel"/>
    <w:lvl w:ilvl="0">
      <w:start w:val="1"/>
      <w:numFmt w:val="decimal"/>
      <w:lvlText w:val="%1."/>
      <w:lvlJc w:val="left"/>
      <w:pPr>
        <w:ind w:left="825" w:hanging="255"/>
        <w:jc w:val="left"/>
      </w:pPr>
      <w:rPr>
        <w:rFonts w:hint="default" w:ascii="Arial" w:hAnsi="Arial" w:eastAsia="Arial" w:cs="Arial"/>
        <w:b/>
        <w:bCs/>
        <w:i w:val="0"/>
        <w:iCs w:val="0"/>
        <w:spacing w:val="-1"/>
        <w:w w:val="100"/>
        <w:sz w:val="22"/>
        <w:szCs w:val="22"/>
        <w:lang w:val="en-US" w:eastAsia="en-US" w:bidi="ar-SA"/>
      </w:rPr>
    </w:lvl>
    <w:lvl w:ilvl="1">
      <w:start w:val="1"/>
      <w:numFmt w:val="decimal"/>
      <w:lvlText w:val="%2."/>
      <w:lvlJc w:val="left"/>
      <w:pPr>
        <w:ind w:left="1290" w:hanging="360"/>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2315" w:hanging="360"/>
      </w:pPr>
      <w:rPr>
        <w:rFonts w:hint="default"/>
        <w:lang w:val="en-US" w:eastAsia="en-US" w:bidi="ar-SA"/>
      </w:rPr>
    </w:lvl>
    <w:lvl w:ilvl="3">
      <w:start w:val="0"/>
      <w:numFmt w:val="bullet"/>
      <w:lvlText w:val="•"/>
      <w:lvlJc w:val="left"/>
      <w:pPr>
        <w:ind w:left="3331"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62" w:hanging="360"/>
      </w:pPr>
      <w:rPr>
        <w:rFonts w:hint="default"/>
        <w:lang w:val="en-US" w:eastAsia="en-US" w:bidi="ar-SA"/>
      </w:rPr>
    </w:lvl>
    <w:lvl w:ilvl="6">
      <w:start w:val="0"/>
      <w:numFmt w:val="bullet"/>
      <w:lvlText w:val="•"/>
      <w:lvlJc w:val="left"/>
      <w:pPr>
        <w:ind w:left="6377" w:hanging="360"/>
      </w:pPr>
      <w:rPr>
        <w:rFonts w:hint="default"/>
        <w:lang w:val="en-US" w:eastAsia="en-US" w:bidi="ar-SA"/>
      </w:rPr>
    </w:lvl>
    <w:lvl w:ilvl="7">
      <w:start w:val="0"/>
      <w:numFmt w:val="bullet"/>
      <w:lvlText w:val="•"/>
      <w:lvlJc w:val="left"/>
      <w:pPr>
        <w:ind w:left="7393"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0">
    <w:multiLevelType w:val="hybridMultilevel"/>
    <w:lvl w:ilvl="0">
      <w:start w:val="1"/>
      <w:numFmt w:val="decimal"/>
      <w:lvlText w:val="%1."/>
      <w:lvlJc w:val="left"/>
      <w:pPr>
        <w:ind w:left="825" w:hanging="255"/>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782" w:hanging="255"/>
      </w:pPr>
      <w:rPr>
        <w:rFonts w:hint="default"/>
        <w:lang w:val="en-US" w:eastAsia="en-US" w:bidi="ar-SA"/>
      </w:rPr>
    </w:lvl>
    <w:lvl w:ilvl="2">
      <w:start w:val="0"/>
      <w:numFmt w:val="bullet"/>
      <w:lvlText w:val="•"/>
      <w:lvlJc w:val="left"/>
      <w:pPr>
        <w:ind w:left="2744" w:hanging="255"/>
      </w:pPr>
      <w:rPr>
        <w:rFonts w:hint="default"/>
        <w:lang w:val="en-US" w:eastAsia="en-US" w:bidi="ar-SA"/>
      </w:rPr>
    </w:lvl>
    <w:lvl w:ilvl="3">
      <w:start w:val="0"/>
      <w:numFmt w:val="bullet"/>
      <w:lvlText w:val="•"/>
      <w:lvlJc w:val="left"/>
      <w:pPr>
        <w:ind w:left="3706" w:hanging="255"/>
      </w:pPr>
      <w:rPr>
        <w:rFonts w:hint="default"/>
        <w:lang w:val="en-US" w:eastAsia="en-US" w:bidi="ar-SA"/>
      </w:rPr>
    </w:lvl>
    <w:lvl w:ilvl="4">
      <w:start w:val="0"/>
      <w:numFmt w:val="bullet"/>
      <w:lvlText w:val="•"/>
      <w:lvlJc w:val="left"/>
      <w:pPr>
        <w:ind w:left="4668" w:hanging="255"/>
      </w:pPr>
      <w:rPr>
        <w:rFonts w:hint="default"/>
        <w:lang w:val="en-US" w:eastAsia="en-US" w:bidi="ar-SA"/>
      </w:rPr>
    </w:lvl>
    <w:lvl w:ilvl="5">
      <w:start w:val="0"/>
      <w:numFmt w:val="bullet"/>
      <w:lvlText w:val="•"/>
      <w:lvlJc w:val="left"/>
      <w:pPr>
        <w:ind w:left="5630" w:hanging="255"/>
      </w:pPr>
      <w:rPr>
        <w:rFonts w:hint="default"/>
        <w:lang w:val="en-US" w:eastAsia="en-US" w:bidi="ar-SA"/>
      </w:rPr>
    </w:lvl>
    <w:lvl w:ilvl="6">
      <w:start w:val="0"/>
      <w:numFmt w:val="bullet"/>
      <w:lvlText w:val="•"/>
      <w:lvlJc w:val="left"/>
      <w:pPr>
        <w:ind w:left="6592" w:hanging="255"/>
      </w:pPr>
      <w:rPr>
        <w:rFonts w:hint="default"/>
        <w:lang w:val="en-US" w:eastAsia="en-US" w:bidi="ar-SA"/>
      </w:rPr>
    </w:lvl>
    <w:lvl w:ilvl="7">
      <w:start w:val="0"/>
      <w:numFmt w:val="bullet"/>
      <w:lvlText w:val="•"/>
      <w:lvlJc w:val="left"/>
      <w:pPr>
        <w:ind w:left="7554" w:hanging="255"/>
      </w:pPr>
      <w:rPr>
        <w:rFonts w:hint="default"/>
        <w:lang w:val="en-US" w:eastAsia="en-US" w:bidi="ar-SA"/>
      </w:rPr>
    </w:lvl>
    <w:lvl w:ilvl="8">
      <w:start w:val="0"/>
      <w:numFmt w:val="bullet"/>
      <w:lvlText w:val="•"/>
      <w:lvlJc w:val="left"/>
      <w:pPr>
        <w:ind w:left="8516" w:hanging="25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823" w:hanging="253"/>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570"/>
      <w:outlineLvl w:val="2"/>
    </w:pPr>
    <w:rPr>
      <w:rFonts w:ascii="Arial" w:hAnsi="Arial" w:eastAsia="Arial" w:cs="Arial"/>
      <w:b/>
      <w:bCs/>
      <w:sz w:val="20"/>
      <w:szCs w:val="20"/>
      <w:lang w:val="en-US" w:eastAsia="en-US" w:bidi="ar-SA"/>
    </w:rPr>
  </w:style>
  <w:style w:styleId="Title" w:type="paragraph">
    <w:name w:val="Title"/>
    <w:basedOn w:val="Normal"/>
    <w:uiPriority w:val="1"/>
    <w:qFormat/>
    <w:pPr>
      <w:ind w:left="1208"/>
      <w:jc w:val="both"/>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080"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alterado</dc:title>
  <dcterms:created xsi:type="dcterms:W3CDTF">2025-02-22T04:23:43Z</dcterms:created>
  <dcterms:modified xsi:type="dcterms:W3CDTF">2025-02-22T04:23:43Z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Producer">
    <vt:lpwstr>Skia/PDF m135 Google Docs Renderer</vt:lpwstr>
  </property>
  <property fmtid="{D5CDD505-2E9C-101B-9397-08002B2CF9AE}" pid="4" name="LastSaved">
    <vt:filetime>2025-02-22T00:00:00Z</vt:filetime>
  </property>
</Properties>
</file>