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34DE9" w14:textId="16A9E235" w:rsidR="00190E34" w:rsidRDefault="00190E34" w:rsidP="009440EC">
      <w:pPr>
        <w:spacing w:before="120" w:after="120" w:line="360" w:lineRule="auto"/>
        <w:ind w:right="-23"/>
        <w:jc w:val="right"/>
        <w:rPr>
          <w:rFonts w:ascii="Arial" w:hAnsi="Arial" w:cs="Arial"/>
          <w:b/>
          <w:bCs/>
        </w:rPr>
      </w:pPr>
      <w:r w:rsidRPr="00276095">
        <w:rPr>
          <w:rFonts w:ascii="Arial" w:hAnsi="Arial" w:cs="Arial"/>
          <w:b/>
          <w:bCs/>
        </w:rPr>
        <w:t xml:space="preserve">Soil properties influenced by long-term management practices in the rice-wheat system of the </w:t>
      </w:r>
      <w:proofErr w:type="spellStart"/>
      <w:r w:rsidRPr="00276095">
        <w:rPr>
          <w:rFonts w:ascii="Arial" w:hAnsi="Arial" w:cs="Arial"/>
          <w:b/>
          <w:bCs/>
        </w:rPr>
        <w:t>Terai</w:t>
      </w:r>
      <w:proofErr w:type="spellEnd"/>
      <w:r w:rsidRPr="00276095">
        <w:rPr>
          <w:rFonts w:ascii="Arial" w:hAnsi="Arial" w:cs="Arial"/>
          <w:b/>
          <w:bCs/>
        </w:rPr>
        <w:t>-T</w:t>
      </w:r>
      <w:r w:rsidR="00327A18" w:rsidRPr="00276095">
        <w:rPr>
          <w:rFonts w:ascii="Arial" w:hAnsi="Arial" w:cs="Arial"/>
          <w:b/>
          <w:bCs/>
        </w:rPr>
        <w:t>ee</w:t>
      </w:r>
      <w:r w:rsidRPr="00276095">
        <w:rPr>
          <w:rFonts w:ascii="Arial" w:hAnsi="Arial" w:cs="Arial"/>
          <w:b/>
          <w:bCs/>
        </w:rPr>
        <w:t>sta Alluvial Zone</w:t>
      </w:r>
      <w:r w:rsidR="00C56729">
        <w:rPr>
          <w:rFonts w:ascii="Arial" w:hAnsi="Arial" w:cs="Arial"/>
          <w:b/>
          <w:bCs/>
        </w:rPr>
        <w:t>, India</w:t>
      </w:r>
      <w:bookmarkStart w:id="0" w:name="_GoBack"/>
      <w:bookmarkEnd w:id="0"/>
    </w:p>
    <w:p w14:paraId="27028CFA" w14:textId="77777777" w:rsidR="00A40B3F" w:rsidRPr="00276095" w:rsidRDefault="00A40B3F" w:rsidP="009440EC">
      <w:pPr>
        <w:spacing w:before="120" w:after="120" w:line="360" w:lineRule="auto"/>
        <w:ind w:right="-23"/>
        <w:jc w:val="right"/>
        <w:rPr>
          <w:rFonts w:ascii="Arial" w:hAnsi="Arial" w:cs="Arial"/>
          <w:b/>
          <w:bCs/>
        </w:rPr>
      </w:pPr>
    </w:p>
    <w:p w14:paraId="38312C0D" w14:textId="193789D7" w:rsidR="00C54834" w:rsidRPr="002F0012" w:rsidRDefault="002F0012" w:rsidP="009440EC">
      <w:pPr>
        <w:spacing w:before="120" w:after="120" w:line="360" w:lineRule="auto"/>
        <w:ind w:right="-23"/>
        <w:rPr>
          <w:rFonts w:ascii="Arial" w:hAnsi="Arial" w:cs="Arial"/>
          <w:b/>
          <w:bCs/>
          <w:vertAlign w:val="superscript"/>
        </w:rPr>
      </w:pPr>
      <w:r w:rsidRPr="002F0012">
        <w:rPr>
          <w:rFonts w:ascii="Arial" w:hAnsi="Arial" w:cs="Arial"/>
          <w:b/>
          <w:bCs/>
        </w:rPr>
        <w:t>ABSTRACT</w:t>
      </w:r>
    </w:p>
    <w:p w14:paraId="5173C989" w14:textId="401A6973" w:rsidR="00C54834" w:rsidRDefault="00C54834" w:rsidP="009440EC">
      <w:pPr>
        <w:spacing w:before="120" w:after="120" w:line="360" w:lineRule="auto"/>
        <w:ind w:right="-23"/>
        <w:jc w:val="both"/>
        <w:rPr>
          <w:rFonts w:ascii="Times New Roman" w:eastAsia="Times New Roman" w:hAnsi="Times New Roman" w:cs="Times New Roman"/>
          <w:sz w:val="24"/>
          <w:szCs w:val="24"/>
          <w:lang w:eastAsia="en-IN" w:bidi="te-IN"/>
        </w:rPr>
      </w:pPr>
      <w:r w:rsidRPr="00DA233C">
        <w:rPr>
          <w:rFonts w:ascii="Times New Roman" w:eastAsia="Times New Roman" w:hAnsi="Times New Roman" w:cs="Times New Roman"/>
          <w:sz w:val="24"/>
          <w:szCs w:val="24"/>
          <w:lang w:eastAsia="en-IN" w:bidi="te-IN"/>
        </w:rPr>
        <w:t xml:space="preserve">A factorial randomized block design was </w:t>
      </w:r>
      <w:proofErr w:type="gramStart"/>
      <w:r w:rsidRPr="00DA233C">
        <w:rPr>
          <w:rFonts w:ascii="Times New Roman" w:eastAsia="Times New Roman" w:hAnsi="Times New Roman" w:cs="Times New Roman"/>
          <w:sz w:val="24"/>
          <w:szCs w:val="24"/>
          <w:lang w:eastAsia="en-IN" w:bidi="te-IN"/>
        </w:rPr>
        <w:t xml:space="preserve">employed </w:t>
      </w:r>
      <w:r w:rsidR="001B4D89" w:rsidRPr="00863443">
        <w:rPr>
          <w:rFonts w:ascii="Times New Roman" w:hAnsi="Times New Roman" w:cs="Times New Roman"/>
          <w:sz w:val="24"/>
          <w:szCs w:val="24"/>
          <w:lang w:val="en-GB"/>
        </w:rPr>
        <w:t xml:space="preserve"> </w:t>
      </w:r>
      <w:r w:rsidR="002276CB" w:rsidRPr="00BA4D94">
        <w:rPr>
          <w:rFonts w:ascii="Times New Roman" w:hAnsi="Times New Roman" w:cs="Times New Roman"/>
          <w:b/>
          <w:bCs/>
          <w:color w:val="000000" w:themeColor="text1"/>
          <w:sz w:val="24"/>
          <w:szCs w:val="24"/>
          <w:lang w:val="en-GB"/>
        </w:rPr>
        <w:t>at</w:t>
      </w:r>
      <w:proofErr w:type="gramEnd"/>
      <w:r w:rsidR="001B4D89" w:rsidRPr="00BA4D94">
        <w:rPr>
          <w:rFonts w:ascii="Times New Roman" w:hAnsi="Times New Roman" w:cs="Times New Roman"/>
          <w:b/>
          <w:bCs/>
          <w:color w:val="000000" w:themeColor="text1"/>
          <w:sz w:val="24"/>
          <w:szCs w:val="24"/>
          <w:lang w:val="en-GB"/>
        </w:rPr>
        <w:t xml:space="preserve"> </w:t>
      </w:r>
      <w:proofErr w:type="spellStart"/>
      <w:r w:rsidR="001B4D89" w:rsidRPr="00BA4D94">
        <w:rPr>
          <w:rFonts w:ascii="Times New Roman" w:hAnsi="Times New Roman" w:cs="Times New Roman"/>
          <w:b/>
          <w:bCs/>
          <w:color w:val="000000" w:themeColor="text1"/>
          <w:sz w:val="24"/>
          <w:szCs w:val="24"/>
          <w:lang w:val="en-GB"/>
        </w:rPr>
        <w:t>Pundibari</w:t>
      </w:r>
      <w:proofErr w:type="spellEnd"/>
      <w:r w:rsidR="001B4D89" w:rsidRPr="00BA4D94">
        <w:rPr>
          <w:rFonts w:ascii="Times New Roman" w:hAnsi="Times New Roman" w:cs="Times New Roman"/>
          <w:b/>
          <w:bCs/>
          <w:color w:val="000000" w:themeColor="text1"/>
          <w:sz w:val="24"/>
          <w:szCs w:val="24"/>
          <w:lang w:val="en-GB"/>
        </w:rPr>
        <w:t>, Cooch Behar, West Bengal, India</w:t>
      </w:r>
      <w:r w:rsidR="001B4D89" w:rsidRPr="00BA4D94">
        <w:rPr>
          <w:rFonts w:ascii="Times New Roman" w:eastAsia="Times New Roman" w:hAnsi="Times New Roman" w:cs="Times New Roman"/>
          <w:b/>
          <w:bCs/>
          <w:color w:val="000000" w:themeColor="text1"/>
          <w:sz w:val="24"/>
          <w:szCs w:val="24"/>
          <w:lang w:eastAsia="en-IN" w:bidi="te-IN"/>
        </w:rPr>
        <w:t xml:space="preserve"> </w:t>
      </w:r>
      <w:r w:rsidRPr="00BA4D94">
        <w:rPr>
          <w:rFonts w:ascii="Times New Roman" w:eastAsia="Times New Roman" w:hAnsi="Times New Roman" w:cs="Times New Roman"/>
          <w:b/>
          <w:bCs/>
          <w:color w:val="000000" w:themeColor="text1"/>
          <w:sz w:val="24"/>
          <w:szCs w:val="24"/>
          <w:lang w:eastAsia="en-IN" w:bidi="te-IN"/>
        </w:rPr>
        <w:t>to study the long-term effects of tillage</w:t>
      </w:r>
      <w:r w:rsidRPr="00334171">
        <w:rPr>
          <w:rFonts w:ascii="Times New Roman" w:eastAsia="Times New Roman" w:hAnsi="Times New Roman" w:cs="Times New Roman"/>
          <w:color w:val="FF0000"/>
          <w:sz w:val="24"/>
          <w:szCs w:val="24"/>
          <w:lang w:eastAsia="en-IN" w:bidi="te-IN"/>
        </w:rPr>
        <w:t xml:space="preserve"> </w:t>
      </w:r>
      <w:r w:rsidRPr="00BA4D94">
        <w:rPr>
          <w:rFonts w:ascii="Times New Roman" w:eastAsia="Times New Roman" w:hAnsi="Times New Roman" w:cs="Times New Roman"/>
          <w:color w:val="000000" w:themeColor="text1"/>
          <w:sz w:val="24"/>
          <w:szCs w:val="24"/>
          <w:lang w:eastAsia="en-IN" w:bidi="te-IN"/>
        </w:rPr>
        <w:t>(zero tilla</w:t>
      </w:r>
      <w:r w:rsidRPr="00DA233C">
        <w:rPr>
          <w:rFonts w:ascii="Times New Roman" w:eastAsia="Times New Roman" w:hAnsi="Times New Roman" w:cs="Times New Roman"/>
          <w:sz w:val="24"/>
          <w:szCs w:val="24"/>
          <w:lang w:eastAsia="en-IN" w:bidi="te-IN"/>
        </w:rPr>
        <w:t>ge, ZT; conventional tillage, CT), crop residue (R) addition, and biofertilizers (B) on soil properties and wheat yield</w:t>
      </w:r>
      <w:r w:rsidR="00327A18" w:rsidRPr="00DA233C">
        <w:rPr>
          <w:rFonts w:ascii="Times New Roman" w:eastAsia="Times New Roman" w:hAnsi="Times New Roman" w:cs="Times New Roman"/>
          <w:sz w:val="24"/>
          <w:szCs w:val="24"/>
          <w:lang w:eastAsia="en-IN" w:bidi="te-IN"/>
        </w:rPr>
        <w:t xml:space="preserve"> in the rice-wheat system of the </w:t>
      </w:r>
      <w:proofErr w:type="spellStart"/>
      <w:r w:rsidR="00327A18" w:rsidRPr="00DA233C">
        <w:rPr>
          <w:rFonts w:ascii="Times New Roman" w:eastAsia="Times New Roman" w:hAnsi="Times New Roman" w:cs="Times New Roman"/>
          <w:sz w:val="24"/>
          <w:szCs w:val="24"/>
          <w:lang w:eastAsia="en-IN" w:bidi="te-IN"/>
        </w:rPr>
        <w:t>Terai</w:t>
      </w:r>
      <w:proofErr w:type="spellEnd"/>
      <w:r w:rsidR="00327A18" w:rsidRPr="00DA233C">
        <w:rPr>
          <w:rFonts w:ascii="Times New Roman" w:eastAsia="Times New Roman" w:hAnsi="Times New Roman" w:cs="Times New Roman"/>
          <w:sz w:val="24"/>
          <w:szCs w:val="24"/>
          <w:lang w:eastAsia="en-IN" w:bidi="te-IN"/>
        </w:rPr>
        <w:t>-Teesta Alluvial Zone</w:t>
      </w:r>
      <w:r w:rsidRPr="00DA233C">
        <w:rPr>
          <w:rFonts w:ascii="Times New Roman" w:eastAsia="Times New Roman" w:hAnsi="Times New Roman" w:cs="Times New Roman"/>
          <w:sz w:val="24"/>
          <w:szCs w:val="24"/>
          <w:lang w:eastAsia="en-IN" w:bidi="te-IN"/>
        </w:rPr>
        <w:t>. The results revealed that soil pH ranged from acidic to slightly acidic in the surface layer (0–10 cm), with the highest pH observed in Z</w:t>
      </w:r>
      <w:r w:rsidR="004954D0" w:rsidRPr="00DA233C">
        <w:rPr>
          <w:rFonts w:ascii="Times New Roman" w:eastAsia="Times New Roman" w:hAnsi="Times New Roman" w:cs="Times New Roman"/>
          <w:sz w:val="24"/>
          <w:szCs w:val="24"/>
          <w:lang w:eastAsia="en-IN" w:bidi="te-IN"/>
        </w:rPr>
        <w:t>TR</w:t>
      </w:r>
      <w:r w:rsidR="004954D0" w:rsidRPr="00B2630B">
        <w:rPr>
          <w:rFonts w:ascii="Times New Roman" w:eastAsia="Times New Roman" w:hAnsi="Times New Roman" w:cs="Times New Roman"/>
          <w:sz w:val="24"/>
          <w:szCs w:val="24"/>
          <w:lang w:eastAsia="en-IN" w:bidi="te-IN"/>
        </w:rPr>
        <w:t>1</w:t>
      </w:r>
      <w:r w:rsidR="004954D0" w:rsidRPr="00DA233C">
        <w:rPr>
          <w:rFonts w:ascii="Times New Roman" w:eastAsia="Times New Roman" w:hAnsi="Times New Roman" w:cs="Times New Roman"/>
          <w:sz w:val="24"/>
          <w:szCs w:val="24"/>
          <w:lang w:eastAsia="en-IN" w:bidi="te-IN"/>
        </w:rPr>
        <w:t>B</w:t>
      </w:r>
      <w:r w:rsidR="004954D0" w:rsidRPr="00B2630B">
        <w:rPr>
          <w:rFonts w:ascii="Times New Roman" w:eastAsia="Times New Roman" w:hAnsi="Times New Roman" w:cs="Times New Roman"/>
          <w:sz w:val="24"/>
          <w:szCs w:val="24"/>
          <w:lang w:eastAsia="en-IN" w:bidi="te-IN"/>
        </w:rPr>
        <w:t>1</w:t>
      </w:r>
      <w:r w:rsidR="004954D0" w:rsidRPr="00DA233C">
        <w:rPr>
          <w:rFonts w:ascii="Times New Roman" w:eastAsia="Times New Roman" w:hAnsi="Times New Roman" w:cs="Times New Roman"/>
          <w:sz w:val="24"/>
          <w:szCs w:val="24"/>
          <w:lang w:eastAsia="en-IN" w:bidi="te-IN"/>
        </w:rPr>
        <w:t xml:space="preserve">. Organic carbon (OC) </w:t>
      </w:r>
      <w:r w:rsidRPr="00DA233C">
        <w:rPr>
          <w:rFonts w:ascii="Times New Roman" w:eastAsia="Times New Roman" w:hAnsi="Times New Roman" w:cs="Times New Roman"/>
          <w:sz w:val="24"/>
          <w:szCs w:val="24"/>
          <w:lang w:eastAsia="en-IN" w:bidi="te-IN"/>
        </w:rPr>
        <w:t>was higher in the surface layer than in deeper layers, with the maximum OC (0.98%) recorded in ZTR1B0. However, no significant changes in OC were in deeper layers (10–40 cm). ZT treatment resulted in higher wheat yields than CT, although the combined effects of tillage and R addition did not significantly influence yield. However, significant interaction effects were between R addition and B an</w:t>
      </w:r>
      <w:r w:rsidR="00A612E8" w:rsidRPr="00DA233C">
        <w:rPr>
          <w:rFonts w:ascii="Times New Roman" w:eastAsia="Times New Roman" w:hAnsi="Times New Roman" w:cs="Times New Roman"/>
          <w:sz w:val="24"/>
          <w:szCs w:val="24"/>
          <w:lang w:eastAsia="en-IN" w:bidi="te-IN"/>
        </w:rPr>
        <w:t xml:space="preserve">d tillage and B on grain yield. </w:t>
      </w:r>
      <w:r w:rsidRPr="00DA233C">
        <w:rPr>
          <w:rFonts w:ascii="Times New Roman" w:eastAsia="Times New Roman" w:hAnsi="Times New Roman" w:cs="Times New Roman"/>
          <w:sz w:val="24"/>
          <w:szCs w:val="24"/>
          <w:lang w:eastAsia="en-IN" w:bidi="te-IN"/>
        </w:rPr>
        <w:t>These findings highlight the importance of soil management practices in optimizing soil health and crop productivity.</w:t>
      </w:r>
    </w:p>
    <w:p w14:paraId="0B3B2C23" w14:textId="58B3366B" w:rsidR="008872A2" w:rsidRPr="00DC1AA9" w:rsidRDefault="008872A2" w:rsidP="009440EC">
      <w:pPr>
        <w:spacing w:before="120" w:after="120" w:line="360" w:lineRule="auto"/>
        <w:ind w:right="-23"/>
        <w:rPr>
          <w:rFonts w:ascii="Arial" w:eastAsia="Times New Roman" w:hAnsi="Arial" w:cs="Arial"/>
          <w:b/>
          <w:bCs/>
          <w:i/>
          <w:iCs/>
          <w:color w:val="000000" w:themeColor="text1"/>
          <w:sz w:val="20"/>
          <w:szCs w:val="20"/>
          <w:lang w:eastAsia="en-IN" w:bidi="te-IN"/>
        </w:rPr>
      </w:pPr>
      <w:r w:rsidRPr="00DC1AA9">
        <w:rPr>
          <w:rFonts w:ascii="Arial" w:eastAsia="Times New Roman" w:hAnsi="Arial" w:cs="Arial"/>
          <w:b/>
          <w:bCs/>
          <w:i/>
          <w:iCs/>
          <w:color w:val="000000" w:themeColor="text1"/>
          <w:sz w:val="20"/>
          <w:szCs w:val="20"/>
          <w:lang w:eastAsia="en-IN" w:bidi="te-IN"/>
        </w:rPr>
        <w:t>Keywords</w:t>
      </w:r>
      <w:r w:rsidRPr="00DC1AA9">
        <w:rPr>
          <w:rFonts w:ascii="Times New Roman" w:eastAsia="Times New Roman" w:hAnsi="Times New Roman" w:cs="Times New Roman"/>
          <w:b/>
          <w:bCs/>
          <w:i/>
          <w:iCs/>
          <w:color w:val="000000" w:themeColor="text1"/>
          <w:sz w:val="20"/>
          <w:szCs w:val="20"/>
          <w:lang w:eastAsia="en-IN" w:bidi="te-IN"/>
        </w:rPr>
        <w:t>:</w:t>
      </w:r>
      <w:r w:rsidR="00DC1AA9" w:rsidRPr="00DC1AA9">
        <w:rPr>
          <w:rFonts w:ascii="Times New Roman" w:eastAsia="Times New Roman" w:hAnsi="Times New Roman" w:cs="Times New Roman"/>
          <w:b/>
          <w:bCs/>
          <w:i/>
          <w:iCs/>
          <w:color w:val="000000" w:themeColor="text1"/>
          <w:sz w:val="20"/>
          <w:szCs w:val="20"/>
          <w:lang w:eastAsia="en-IN" w:bidi="te-IN"/>
        </w:rPr>
        <w:t xml:space="preserve"> </w:t>
      </w:r>
      <w:r w:rsidR="00DC1AA9" w:rsidRPr="006A4A27">
        <w:rPr>
          <w:rFonts w:ascii="Arial" w:eastAsia="Times New Roman" w:hAnsi="Arial" w:cs="Arial"/>
          <w:bCs/>
          <w:i/>
          <w:iCs/>
          <w:color w:val="000000" w:themeColor="text1"/>
          <w:sz w:val="20"/>
          <w:szCs w:val="20"/>
          <w:lang w:eastAsia="en-IN" w:bidi="te-IN"/>
        </w:rPr>
        <w:t>Zero tillage, Convention</w:t>
      </w:r>
      <w:r w:rsidR="00113089" w:rsidRPr="006A4A27">
        <w:rPr>
          <w:rFonts w:ascii="Arial" w:eastAsia="Times New Roman" w:hAnsi="Arial" w:cs="Arial"/>
          <w:bCs/>
          <w:i/>
          <w:iCs/>
          <w:color w:val="000000" w:themeColor="text1"/>
          <w:sz w:val="20"/>
          <w:szCs w:val="20"/>
          <w:lang w:eastAsia="en-IN" w:bidi="te-IN"/>
        </w:rPr>
        <w:t>al</w:t>
      </w:r>
      <w:r w:rsidR="00DC1AA9" w:rsidRPr="006A4A27">
        <w:rPr>
          <w:rFonts w:ascii="Arial" w:eastAsia="Times New Roman" w:hAnsi="Arial" w:cs="Arial"/>
          <w:bCs/>
          <w:i/>
          <w:iCs/>
          <w:color w:val="000000" w:themeColor="text1"/>
          <w:sz w:val="20"/>
          <w:szCs w:val="20"/>
          <w:lang w:eastAsia="en-IN" w:bidi="te-IN"/>
        </w:rPr>
        <w:t xml:space="preserve"> tillage, Organic carbon</w:t>
      </w:r>
      <w:r w:rsidR="00BE294C" w:rsidRPr="006A4A27">
        <w:rPr>
          <w:rFonts w:ascii="Arial" w:eastAsia="Times New Roman" w:hAnsi="Arial" w:cs="Arial"/>
          <w:bCs/>
          <w:i/>
          <w:iCs/>
          <w:color w:val="000000" w:themeColor="text1"/>
          <w:sz w:val="20"/>
          <w:szCs w:val="20"/>
          <w:lang w:eastAsia="en-IN" w:bidi="te-IN"/>
        </w:rPr>
        <w:t xml:space="preserve">, </w:t>
      </w:r>
      <w:r w:rsidR="00BE294C" w:rsidRPr="006A4A27">
        <w:rPr>
          <w:rFonts w:ascii="Arial" w:eastAsia="Times New Roman" w:hAnsi="Arial" w:cs="Arial"/>
          <w:bCs/>
          <w:i/>
          <w:iCs/>
          <w:color w:val="FF0000"/>
          <w:sz w:val="20"/>
          <w:szCs w:val="20"/>
          <w:lang w:eastAsia="en-IN" w:bidi="te-IN"/>
        </w:rPr>
        <w:t>Biofertilizer,</w:t>
      </w:r>
      <w:r w:rsidR="00113089" w:rsidRPr="006A4A27">
        <w:rPr>
          <w:rFonts w:ascii="Arial" w:eastAsia="Times New Roman" w:hAnsi="Arial" w:cs="Arial"/>
          <w:bCs/>
          <w:i/>
          <w:iCs/>
          <w:color w:val="FF0000"/>
          <w:sz w:val="20"/>
          <w:szCs w:val="20"/>
          <w:lang w:eastAsia="en-IN" w:bidi="te-IN"/>
        </w:rPr>
        <w:t xml:space="preserve"> Crop residue</w:t>
      </w:r>
    </w:p>
    <w:p w14:paraId="62076C4D" w14:textId="56DCB602" w:rsidR="00C76D93" w:rsidRPr="002F0012" w:rsidRDefault="002F0012" w:rsidP="009440EC">
      <w:pPr>
        <w:spacing w:before="120" w:after="120" w:line="360" w:lineRule="auto"/>
        <w:ind w:right="-23"/>
        <w:jc w:val="both"/>
        <w:rPr>
          <w:rFonts w:ascii="Arial" w:hAnsi="Arial" w:cs="Arial"/>
        </w:rPr>
      </w:pPr>
      <w:r w:rsidRPr="002F0012">
        <w:rPr>
          <w:rFonts w:ascii="Arial" w:hAnsi="Arial" w:cs="Arial"/>
          <w:b/>
          <w:bCs/>
        </w:rPr>
        <w:t>1. INTRODUCTION</w:t>
      </w:r>
      <w:r w:rsidR="00DC1AA9">
        <w:rPr>
          <w:rFonts w:ascii="Arial" w:hAnsi="Arial" w:cs="Arial"/>
          <w:b/>
          <w:bCs/>
        </w:rPr>
        <w:t xml:space="preserve"> </w:t>
      </w:r>
    </w:p>
    <w:p w14:paraId="51D2B684" w14:textId="08817B98" w:rsidR="006F3688" w:rsidRPr="00625F88" w:rsidRDefault="006F3688" w:rsidP="00AD7B88">
      <w:pPr>
        <w:pStyle w:val="Default"/>
        <w:spacing w:before="120" w:after="120" w:line="360" w:lineRule="auto"/>
        <w:ind w:right="-23"/>
        <w:jc w:val="both"/>
        <w:rPr>
          <w:rFonts w:ascii="Arial" w:hAnsi="Arial" w:cs="Arial"/>
          <w:bCs/>
          <w:color w:val="auto"/>
          <w:sz w:val="20"/>
          <w:szCs w:val="20"/>
        </w:rPr>
      </w:pPr>
      <w:r w:rsidRPr="00625F88">
        <w:rPr>
          <w:rFonts w:ascii="Arial" w:hAnsi="Arial" w:cs="Arial"/>
          <w:bCs/>
          <w:color w:val="auto"/>
          <w:sz w:val="20"/>
          <w:szCs w:val="20"/>
        </w:rPr>
        <w:t>The ric</w:t>
      </w:r>
      <w:r w:rsidR="001B4D89">
        <w:rPr>
          <w:rFonts w:ascii="Arial" w:hAnsi="Arial" w:cs="Arial"/>
          <w:bCs/>
          <w:color w:val="auto"/>
          <w:sz w:val="20"/>
          <w:szCs w:val="20"/>
        </w:rPr>
        <w:t>e-wheat cropping system</w:t>
      </w:r>
      <w:r w:rsidR="001B4D89" w:rsidRPr="00BA4D94">
        <w:rPr>
          <w:rFonts w:ascii="Arial" w:hAnsi="Arial" w:cs="Arial"/>
          <w:b/>
          <w:color w:val="000000" w:themeColor="text1"/>
          <w:sz w:val="20"/>
          <w:szCs w:val="20"/>
        </w:rPr>
        <w:t xml:space="preserve"> practic</w:t>
      </w:r>
      <w:r w:rsidRPr="00BA4D94">
        <w:rPr>
          <w:rFonts w:ascii="Arial" w:hAnsi="Arial" w:cs="Arial"/>
          <w:b/>
          <w:color w:val="000000" w:themeColor="text1"/>
          <w:sz w:val="20"/>
          <w:szCs w:val="20"/>
        </w:rPr>
        <w:t>ed</w:t>
      </w:r>
      <w:r w:rsidRPr="00625F88">
        <w:rPr>
          <w:rFonts w:ascii="Arial" w:hAnsi="Arial" w:cs="Arial"/>
          <w:bCs/>
          <w:color w:val="auto"/>
          <w:sz w:val="20"/>
          <w:szCs w:val="20"/>
        </w:rPr>
        <w:t xml:space="preserve"> in an estimated 11 million hectares of land, is the most popular in India. In the Indo-Gangetic plains in northwest India, rice-wheat cropping is heavily mechanized, and the harvesting of 90% of cereals using a combine harvester leaves the residues in the field. Increasing soil organic matter and nutrient-supplying capability, while minimizing the negative impact of residue-burning, crop residue (R) management is a crucial element of sustainable farming systems</w:t>
      </w:r>
      <w:r w:rsidR="008B404C" w:rsidRPr="00625F88">
        <w:rPr>
          <w:rFonts w:ascii="Arial" w:hAnsi="Arial" w:cs="Arial"/>
          <w:bCs/>
          <w:color w:val="auto"/>
          <w:sz w:val="20"/>
          <w:szCs w:val="20"/>
        </w:rPr>
        <w:t xml:space="preserve"> (Bhatt </w:t>
      </w:r>
      <w:r w:rsidR="008B404C" w:rsidRPr="009243C6">
        <w:rPr>
          <w:rFonts w:ascii="Arial" w:hAnsi="Arial" w:cs="Arial"/>
          <w:bCs/>
          <w:color w:val="auto"/>
          <w:sz w:val="20"/>
          <w:szCs w:val="20"/>
        </w:rPr>
        <w:t>et al.,</w:t>
      </w:r>
      <w:r w:rsidR="008B404C" w:rsidRPr="00625F88">
        <w:rPr>
          <w:rFonts w:ascii="Arial" w:hAnsi="Arial" w:cs="Arial"/>
          <w:bCs/>
          <w:color w:val="auto"/>
          <w:sz w:val="20"/>
          <w:szCs w:val="20"/>
        </w:rPr>
        <w:t xml:space="preserve"> 2021)</w:t>
      </w:r>
      <w:r w:rsidRPr="00625F88">
        <w:rPr>
          <w:rFonts w:ascii="Arial" w:hAnsi="Arial" w:cs="Arial"/>
          <w:bCs/>
          <w:color w:val="auto"/>
          <w:sz w:val="20"/>
          <w:szCs w:val="20"/>
        </w:rPr>
        <w:t>. Mulching rice residue at wheat sowing gives the option of surface-applied rice residue rather than incorporation and burning, is less likely to result in nitrogen immobilization, and provides non-nitrogen benefits like soil conservation, water retention, and weed suppression</w:t>
      </w:r>
      <w:r w:rsidR="00C10577" w:rsidRPr="00625F88">
        <w:rPr>
          <w:rFonts w:ascii="Arial" w:hAnsi="Arial" w:cs="Arial"/>
          <w:bCs/>
          <w:color w:val="auto"/>
          <w:sz w:val="20"/>
          <w:szCs w:val="20"/>
        </w:rPr>
        <w:t xml:space="preserve"> (Kaur </w:t>
      </w:r>
      <w:r w:rsidR="00C10577" w:rsidRPr="009243C6">
        <w:rPr>
          <w:rFonts w:ascii="Arial" w:hAnsi="Arial" w:cs="Arial"/>
          <w:bCs/>
          <w:color w:val="auto"/>
          <w:sz w:val="20"/>
          <w:szCs w:val="20"/>
        </w:rPr>
        <w:t>et al.,</w:t>
      </w:r>
      <w:r w:rsidR="00C10577" w:rsidRPr="00625F88">
        <w:rPr>
          <w:rFonts w:ascii="Arial" w:hAnsi="Arial" w:cs="Arial"/>
          <w:bCs/>
          <w:color w:val="auto"/>
          <w:sz w:val="20"/>
          <w:szCs w:val="20"/>
        </w:rPr>
        <w:t xml:space="preserve"> 2021)</w:t>
      </w:r>
      <w:r w:rsidRPr="00625F88">
        <w:rPr>
          <w:rFonts w:ascii="Arial" w:hAnsi="Arial" w:cs="Arial"/>
          <w:bCs/>
          <w:color w:val="auto"/>
          <w:sz w:val="20"/>
          <w:szCs w:val="20"/>
        </w:rPr>
        <w:t>. The first process in a series is nutrient release. Rates of decomposition and nutrient release from residue organic forms into soil mineral forms are influenced by environmental factors like air temperature, precipitation, soil characteristics and the biochemical makeup of residue material.</w:t>
      </w:r>
      <w:r w:rsidR="00AD7B88" w:rsidRPr="00AD7B88">
        <w:t xml:space="preserve"> </w:t>
      </w:r>
      <w:r w:rsidR="00AD7B88" w:rsidRPr="00AD7B88">
        <w:rPr>
          <w:rFonts w:ascii="Arial" w:hAnsi="Arial" w:cs="Arial"/>
          <w:sz w:val="20"/>
          <w:szCs w:val="20"/>
        </w:rPr>
        <w:t xml:space="preserve">Rice-wheat production system plays a significant role in providing staple grain (8%) for the world’s population (Qamar </w:t>
      </w:r>
      <w:r w:rsidR="00AD7B88" w:rsidRPr="00AD7B88">
        <w:rPr>
          <w:rFonts w:ascii="Arial" w:hAnsi="Arial" w:cs="Arial"/>
          <w:i/>
          <w:sz w:val="20"/>
          <w:szCs w:val="20"/>
        </w:rPr>
        <w:t>et al</w:t>
      </w:r>
      <w:r w:rsidR="00AD7B88" w:rsidRPr="00AD7B88">
        <w:rPr>
          <w:rFonts w:ascii="Arial" w:hAnsi="Arial" w:cs="Arial"/>
          <w:sz w:val="20"/>
          <w:szCs w:val="20"/>
        </w:rPr>
        <w:t>., 2021).</w:t>
      </w:r>
    </w:p>
    <w:p w14:paraId="1BB0B90D" w14:textId="77777777" w:rsidR="006F3688" w:rsidRPr="00625F88" w:rsidRDefault="006F3688" w:rsidP="009440EC">
      <w:pPr>
        <w:pStyle w:val="Default"/>
        <w:spacing w:before="120" w:after="120" w:line="360" w:lineRule="auto"/>
        <w:ind w:right="-23" w:firstLine="720"/>
        <w:jc w:val="both"/>
        <w:rPr>
          <w:rFonts w:ascii="Arial" w:hAnsi="Arial" w:cs="Arial"/>
          <w:bCs/>
          <w:color w:val="auto"/>
          <w:sz w:val="20"/>
          <w:szCs w:val="20"/>
        </w:rPr>
      </w:pPr>
      <w:r w:rsidRPr="00625F88">
        <w:rPr>
          <w:rFonts w:ascii="Arial" w:hAnsi="Arial" w:cs="Arial"/>
          <w:bCs/>
          <w:color w:val="auto"/>
          <w:sz w:val="20"/>
          <w:szCs w:val="20"/>
        </w:rPr>
        <w:t>Conservation agriculture principles, including crop residue management, minimum tillage, and crop rotation, improve soil organic carbon, enhance microbial activity, and support nutrient cycling</w:t>
      </w:r>
      <w:r w:rsidR="008B404C" w:rsidRPr="00625F88">
        <w:rPr>
          <w:rFonts w:ascii="Arial" w:hAnsi="Arial" w:cs="Arial"/>
          <w:bCs/>
          <w:color w:val="auto"/>
          <w:sz w:val="20"/>
          <w:szCs w:val="20"/>
        </w:rPr>
        <w:t xml:space="preserve"> (</w:t>
      </w:r>
      <w:proofErr w:type="spellStart"/>
      <w:r w:rsidR="008B404C" w:rsidRPr="00625F88">
        <w:rPr>
          <w:rFonts w:ascii="Arial" w:hAnsi="Arial" w:cs="Arial"/>
          <w:bCs/>
          <w:color w:val="auto"/>
          <w:sz w:val="20"/>
          <w:szCs w:val="20"/>
        </w:rPr>
        <w:t>Padbhushan</w:t>
      </w:r>
      <w:proofErr w:type="spellEnd"/>
      <w:r w:rsidR="008B404C" w:rsidRPr="00625F88">
        <w:rPr>
          <w:rFonts w:ascii="Arial" w:hAnsi="Arial" w:cs="Arial"/>
          <w:bCs/>
          <w:color w:val="auto"/>
          <w:sz w:val="20"/>
          <w:szCs w:val="20"/>
        </w:rPr>
        <w:t xml:space="preserve"> </w:t>
      </w:r>
      <w:r w:rsidR="008B404C" w:rsidRPr="009243C6">
        <w:rPr>
          <w:rFonts w:ascii="Arial" w:hAnsi="Arial" w:cs="Arial"/>
          <w:bCs/>
          <w:color w:val="auto"/>
          <w:sz w:val="20"/>
          <w:szCs w:val="20"/>
        </w:rPr>
        <w:t>et al.,</w:t>
      </w:r>
      <w:r w:rsidR="008B404C" w:rsidRPr="00625F88">
        <w:rPr>
          <w:rFonts w:ascii="Arial" w:hAnsi="Arial" w:cs="Arial"/>
          <w:bCs/>
          <w:color w:val="auto"/>
          <w:sz w:val="20"/>
          <w:szCs w:val="20"/>
        </w:rPr>
        <w:t xml:space="preserve"> 2023)</w:t>
      </w:r>
      <w:r w:rsidRPr="00625F88">
        <w:rPr>
          <w:rFonts w:ascii="Arial" w:hAnsi="Arial" w:cs="Arial"/>
          <w:bCs/>
          <w:color w:val="auto"/>
          <w:sz w:val="20"/>
          <w:szCs w:val="20"/>
        </w:rPr>
        <w:t xml:space="preserve">. Zero tillage (ZT), especially when combined with mulching or diverse cropping systems, improves soil properties and boosts crop yields by enhancing nutrient transport and </w:t>
      </w:r>
      <w:r w:rsidRPr="00625F88">
        <w:rPr>
          <w:rFonts w:ascii="Arial" w:hAnsi="Arial" w:cs="Arial"/>
          <w:bCs/>
          <w:color w:val="auto"/>
          <w:sz w:val="20"/>
          <w:szCs w:val="20"/>
        </w:rPr>
        <w:lastRenderedPageBreak/>
        <w:t xml:space="preserve">retention. In the rice-wheat cropping system, vital for global food security and dominant in India’s Indo-Gangetic plains, sustainable residue management, like mulching, increases soil organic matter, retains moisture, and suppresses weeds while avoiding the harmful effects of residue burning. Compared to the soil continually tilled, the ZT technique enriches the soil with continuous pores volume between the subsurface and the surface. This results in the rapid transport of soluble nutrients into deeper portions of the soil profile. </w:t>
      </w:r>
    </w:p>
    <w:p w14:paraId="65B7EC0E" w14:textId="77777777" w:rsidR="006F3688" w:rsidRPr="00625F88" w:rsidRDefault="006F3688" w:rsidP="009440EC">
      <w:pPr>
        <w:pStyle w:val="Default"/>
        <w:spacing w:before="120" w:after="120" w:line="360" w:lineRule="auto"/>
        <w:ind w:right="-23" w:firstLine="720"/>
        <w:jc w:val="both"/>
        <w:rPr>
          <w:rFonts w:ascii="Arial" w:hAnsi="Arial" w:cs="Arial"/>
          <w:bCs/>
          <w:color w:val="auto"/>
          <w:sz w:val="20"/>
          <w:szCs w:val="20"/>
        </w:rPr>
      </w:pPr>
      <w:r w:rsidRPr="00625F88">
        <w:rPr>
          <w:rFonts w:ascii="Arial" w:hAnsi="Arial" w:cs="Arial"/>
          <w:bCs/>
          <w:color w:val="auto"/>
          <w:sz w:val="20"/>
          <w:szCs w:val="20"/>
        </w:rPr>
        <w:t xml:space="preserve">This study was done to assess the impact of long-term tillage, R management and biofertilizers inoculation on soil properties and crop yield in the rice-wheat system of the </w:t>
      </w:r>
      <w:proofErr w:type="spellStart"/>
      <w:r w:rsidRPr="00625F88">
        <w:rPr>
          <w:rFonts w:ascii="Arial" w:hAnsi="Arial" w:cs="Arial"/>
          <w:bCs/>
          <w:color w:val="auto"/>
          <w:sz w:val="20"/>
          <w:szCs w:val="20"/>
        </w:rPr>
        <w:t>Terai</w:t>
      </w:r>
      <w:proofErr w:type="spellEnd"/>
      <w:r w:rsidRPr="00625F88">
        <w:rPr>
          <w:rFonts w:ascii="Arial" w:hAnsi="Arial" w:cs="Arial"/>
          <w:bCs/>
          <w:color w:val="auto"/>
          <w:sz w:val="20"/>
          <w:szCs w:val="20"/>
        </w:rPr>
        <w:t>-Teesta Alluvial Zone. We hypothesized that soil properties and management practices influence crop yield.</w:t>
      </w:r>
      <w:r w:rsidRPr="00625F88">
        <w:rPr>
          <w:rFonts w:ascii="Arial" w:hAnsi="Arial" w:cs="Arial"/>
          <w:bCs/>
          <w:color w:val="auto"/>
          <w:sz w:val="20"/>
          <w:szCs w:val="20"/>
        </w:rPr>
        <w:tab/>
      </w:r>
    </w:p>
    <w:p w14:paraId="5BE7C819" w14:textId="30DE6F4D" w:rsidR="00725128" w:rsidRPr="002F0012" w:rsidRDefault="002F0012" w:rsidP="009440EC">
      <w:pPr>
        <w:pStyle w:val="Default"/>
        <w:spacing w:before="120" w:after="120" w:line="360" w:lineRule="auto"/>
        <w:ind w:right="-23"/>
        <w:jc w:val="both"/>
        <w:rPr>
          <w:rFonts w:ascii="Arial" w:hAnsi="Arial" w:cs="Arial"/>
          <w:b/>
          <w:bCs/>
          <w:color w:val="auto"/>
          <w:sz w:val="22"/>
          <w:szCs w:val="22"/>
        </w:rPr>
      </w:pPr>
      <w:r w:rsidRPr="002F0012">
        <w:rPr>
          <w:rFonts w:ascii="Arial" w:hAnsi="Arial" w:cs="Arial"/>
          <w:b/>
          <w:bCs/>
          <w:color w:val="auto"/>
          <w:sz w:val="22"/>
          <w:szCs w:val="22"/>
        </w:rPr>
        <w:t>2. MATERIALS AND METHODS</w:t>
      </w:r>
    </w:p>
    <w:p w14:paraId="65F46050" w14:textId="3D1BAF06" w:rsidR="006C6CA8" w:rsidRPr="00625F88" w:rsidRDefault="006C6CA8" w:rsidP="009440EC">
      <w:pPr>
        <w:pStyle w:val="Default"/>
        <w:spacing w:before="120" w:after="120" w:line="360" w:lineRule="auto"/>
        <w:ind w:right="-23"/>
        <w:jc w:val="both"/>
        <w:rPr>
          <w:rFonts w:ascii="Arial" w:hAnsi="Arial" w:cs="Arial"/>
          <w:bCs/>
          <w:color w:val="auto"/>
          <w:sz w:val="20"/>
          <w:szCs w:val="20"/>
        </w:rPr>
      </w:pPr>
      <w:r w:rsidRPr="00625F88">
        <w:rPr>
          <w:rFonts w:ascii="Arial" w:hAnsi="Arial" w:cs="Arial"/>
          <w:bCs/>
          <w:color w:val="auto"/>
          <w:sz w:val="20"/>
          <w:szCs w:val="20"/>
        </w:rPr>
        <w:t xml:space="preserve">The study was on a long-term conservation agriculture trial established in 2006 under a rice-wheat cropping system at the Research Farm, </w:t>
      </w:r>
      <w:proofErr w:type="spellStart"/>
      <w:r w:rsidRPr="00625F88">
        <w:rPr>
          <w:rFonts w:ascii="Arial" w:hAnsi="Arial" w:cs="Arial"/>
          <w:bCs/>
          <w:color w:val="auto"/>
          <w:sz w:val="20"/>
          <w:szCs w:val="20"/>
        </w:rPr>
        <w:t>Pundibari</w:t>
      </w:r>
      <w:proofErr w:type="spellEnd"/>
      <w:r w:rsidRPr="00625F88">
        <w:rPr>
          <w:rFonts w:ascii="Arial" w:hAnsi="Arial" w:cs="Arial"/>
          <w:bCs/>
          <w:color w:val="auto"/>
          <w:sz w:val="20"/>
          <w:szCs w:val="20"/>
        </w:rPr>
        <w:t>, C</w:t>
      </w:r>
      <w:r w:rsidR="00016152">
        <w:rPr>
          <w:rFonts w:ascii="Arial" w:hAnsi="Arial" w:cs="Arial"/>
          <w:bCs/>
          <w:color w:val="auto"/>
          <w:sz w:val="20"/>
          <w:szCs w:val="20"/>
        </w:rPr>
        <w:t xml:space="preserve">ooch Behar, West Bengal, India. </w:t>
      </w:r>
      <w:r w:rsidRPr="00625F88">
        <w:rPr>
          <w:rFonts w:ascii="Arial" w:hAnsi="Arial" w:cs="Arial"/>
          <w:bCs/>
          <w:color w:val="auto"/>
          <w:sz w:val="20"/>
          <w:szCs w:val="20"/>
        </w:rPr>
        <w:t xml:space="preserve">The 15th crop cycle (2020-21) involved wheat grown during the winter season. The site lies in the </w:t>
      </w:r>
      <w:proofErr w:type="spellStart"/>
      <w:r w:rsidRPr="00625F88">
        <w:rPr>
          <w:rFonts w:ascii="Arial" w:hAnsi="Arial" w:cs="Arial"/>
          <w:bCs/>
          <w:color w:val="auto"/>
          <w:sz w:val="20"/>
          <w:szCs w:val="20"/>
        </w:rPr>
        <w:t>Terai</w:t>
      </w:r>
      <w:proofErr w:type="spellEnd"/>
      <w:r w:rsidRPr="00625F88">
        <w:rPr>
          <w:rFonts w:ascii="Arial" w:hAnsi="Arial" w:cs="Arial"/>
          <w:bCs/>
          <w:color w:val="auto"/>
          <w:sz w:val="20"/>
          <w:szCs w:val="20"/>
        </w:rPr>
        <w:t xml:space="preserve"> agroecological region, characterized by a humid subtropical climate, receiving over 2500 mm of annual rainfall (80% from June to October). Winters are cold, summers mild, with average temperatures ranging from 19°C to 30°C.</w:t>
      </w:r>
    </w:p>
    <w:p w14:paraId="6B1FD937" w14:textId="77777777" w:rsidR="006C6CA8" w:rsidRPr="00625F88" w:rsidRDefault="006C6CA8" w:rsidP="009440EC">
      <w:pPr>
        <w:pStyle w:val="Default"/>
        <w:spacing w:before="120" w:after="120" w:line="360" w:lineRule="auto"/>
        <w:ind w:right="-23" w:firstLine="720"/>
        <w:jc w:val="both"/>
        <w:rPr>
          <w:rFonts w:ascii="Arial" w:hAnsi="Arial" w:cs="Arial"/>
          <w:bCs/>
          <w:color w:val="auto"/>
          <w:sz w:val="20"/>
          <w:szCs w:val="20"/>
        </w:rPr>
      </w:pPr>
      <w:r w:rsidRPr="00625F88">
        <w:rPr>
          <w:rFonts w:ascii="Arial" w:hAnsi="Arial" w:cs="Arial"/>
          <w:bCs/>
          <w:color w:val="auto"/>
          <w:sz w:val="20"/>
          <w:szCs w:val="20"/>
        </w:rPr>
        <w:t>Each of the three treatment components in the experiment had two levels or alternatives, such as ZT and CT, the two types of tillage practices. The addition of crop residue (R1) and removal of crop residue (R0</w:t>
      </w:r>
      <w:r w:rsidR="00C10577" w:rsidRPr="00625F88">
        <w:rPr>
          <w:rFonts w:ascii="Arial" w:hAnsi="Arial" w:cs="Arial"/>
          <w:bCs/>
          <w:color w:val="auto"/>
          <w:sz w:val="20"/>
          <w:szCs w:val="20"/>
        </w:rPr>
        <w:t>)</w:t>
      </w:r>
      <w:r w:rsidRPr="00625F88">
        <w:rPr>
          <w:rFonts w:ascii="Arial" w:hAnsi="Arial" w:cs="Arial"/>
          <w:bCs/>
          <w:color w:val="auto"/>
          <w:sz w:val="20"/>
          <w:szCs w:val="20"/>
        </w:rPr>
        <w:t xml:space="preserve"> were the two types of crop residue practices. The addition of biofertilizers (B1) and without biofertilizers (B0) was combined to create eight treatments in all, namely T1, T2, T3, T4, T5, T6, T7, and T8, i.e. T1-ZTR0B0 (Zero Tillage), T2-ZTR0B1 (Zero-tillage+ Biofertilizer),  T3-ZTR1B0 (Zero tillage +Crop residue addition),  T4-ZTR1B1 (Zero Tillage+ Crop residue addition+ Biofertilizers),  T5-CTR0B0 (Conventional Tillage),  T6-CTR0B1 (Conventional tillage + Biofertilizer),   T7-CTR1B0 (Conventional tillage + Crop residue addition) and T8-CTR1B1 (Conventional Tillage + Crop residue addition + Biofertilizer). Twenty-four plots were created by replicating each treatment three times arranged in a randomized block design.</w:t>
      </w:r>
      <w:r w:rsidR="00F94400" w:rsidRPr="00625F88">
        <w:rPr>
          <w:rFonts w:ascii="Arial" w:hAnsi="Arial" w:cs="Arial"/>
          <w:bCs/>
          <w:color w:val="auto"/>
          <w:sz w:val="20"/>
          <w:szCs w:val="20"/>
        </w:rPr>
        <w:t xml:space="preserve"> The recommended dose of fertilizer, irrigation, and intercultural operation were performed in rice and wheat crops.</w:t>
      </w:r>
    </w:p>
    <w:p w14:paraId="3FDD125C" w14:textId="77777777" w:rsidR="006C6CA8" w:rsidRPr="00625F88" w:rsidRDefault="006C6CA8" w:rsidP="009440EC">
      <w:pPr>
        <w:spacing w:before="120" w:after="120" w:line="360" w:lineRule="auto"/>
        <w:ind w:right="-23" w:firstLine="720"/>
        <w:jc w:val="both"/>
        <w:rPr>
          <w:rFonts w:ascii="Arial" w:hAnsi="Arial" w:cs="Arial"/>
          <w:sz w:val="20"/>
          <w:szCs w:val="20"/>
          <w:lang w:val="en-GB"/>
        </w:rPr>
      </w:pPr>
      <w:r w:rsidRPr="00625F88">
        <w:rPr>
          <w:rFonts w:ascii="Arial" w:hAnsi="Arial" w:cs="Arial"/>
          <w:sz w:val="20"/>
          <w:szCs w:val="20"/>
          <w:lang w:val="en-GB"/>
        </w:rPr>
        <w:t xml:space="preserve">Harvesting the wheat crop at maturity and yield from individual plots was recorded at the 12% moisture level. Composite soil samples were collected from 0–5 cm, 5–20 cm and 20-40 cm depths in each treatment plot after harvesting wheat and rice. Five cores per plot were combined, homogenized, and reduced to 500 g by removing stubbles, roots, and debris. Samples were air-dried, pulverized, sieved (2 mm), and stored in airtight polythene containers for analysis. Took soil samples and distilled water (1:2 ratio) in a 50-ml beaker. The soil water solution was stirred occasionally for 30 minutes, and then the pH reading was measured using a glass electrode pH meter (Jackson, 1973) and weighed 0.5 gm of the soil in a 500 ml Erlenmeyer flask. Add 10 ml of 1 N potassium dichromate and 20 ml of sulphuric acid to the soil and keep in the dark for 30 minutes. After 30 minutes, add 200 ml of distilled water. Reducing agent orthophosphoric acid (10 ml) and a pinch of sodium fluoride were added and </w:t>
      </w:r>
      <w:r w:rsidRPr="00625F88">
        <w:rPr>
          <w:rFonts w:ascii="Arial" w:hAnsi="Arial" w:cs="Arial"/>
          <w:sz w:val="20"/>
          <w:szCs w:val="20"/>
          <w:lang w:val="en-GB"/>
        </w:rPr>
        <w:lastRenderedPageBreak/>
        <w:t>titrated with 0.5 N ferrous ammonium sulphate. Observe the colour change as the endpoint (dark purple to bottle green) and record the final titre value (FTV). Blank was also simultaneously done. The analysis process was similarly followed without the soil sample and recorded blank titre value (BTV). The SOC was determined using the formula given by Walkley and Black (1934):</w:t>
      </w:r>
    </w:p>
    <w:p w14:paraId="1F16252C" w14:textId="77777777" w:rsidR="004A19B5" w:rsidRPr="00625F88" w:rsidRDefault="004A19B5" w:rsidP="009440EC">
      <w:pPr>
        <w:spacing w:before="120" w:after="120" w:line="360" w:lineRule="auto"/>
        <w:ind w:left="794" w:right="-23"/>
        <w:jc w:val="both"/>
        <w:rPr>
          <w:rFonts w:ascii="Arial" w:eastAsiaTheme="minorEastAsia" w:hAnsi="Arial" w:cs="Arial"/>
          <w:sz w:val="20"/>
          <w:szCs w:val="20"/>
          <w:lang w:val="en-GB"/>
        </w:rPr>
      </w:pPr>
      <m:oMathPara>
        <m:oMath>
          <m:r>
            <m:rPr>
              <m:sty m:val="p"/>
            </m:rPr>
            <w:rPr>
              <w:rFonts w:ascii="Cambria Math" w:hAnsi="Cambria Math" w:cs="Arial"/>
              <w:sz w:val="20"/>
              <w:szCs w:val="20"/>
              <w:lang w:val="en-GB"/>
            </w:rPr>
            <m:t>OC=</m:t>
          </m:r>
          <m:f>
            <m:fPr>
              <m:ctrlPr>
                <w:rPr>
                  <w:rFonts w:ascii="Cambria Math" w:hAnsi="Cambria Math" w:cs="Arial"/>
                  <w:sz w:val="20"/>
                  <w:szCs w:val="20"/>
                  <w:lang w:val="en-GB"/>
                </w:rPr>
              </m:ctrlPr>
            </m:fPr>
            <m:num>
              <m:d>
                <m:dPr>
                  <m:ctrlPr>
                    <w:rPr>
                      <w:rFonts w:ascii="Cambria Math" w:hAnsi="Cambria Math" w:cs="Arial"/>
                      <w:sz w:val="20"/>
                      <w:szCs w:val="20"/>
                      <w:lang w:val="en-GB"/>
                    </w:rPr>
                  </m:ctrlPr>
                </m:dPr>
                <m:e>
                  <m:r>
                    <m:rPr>
                      <m:sty m:val="p"/>
                    </m:rPr>
                    <w:rPr>
                      <w:rFonts w:ascii="Cambria Math" w:hAnsi="Cambria Math" w:cs="Arial"/>
                      <w:sz w:val="20"/>
                      <w:szCs w:val="20"/>
                      <w:lang w:val="en-GB"/>
                    </w:rPr>
                    <m:t>BTV-FTV</m:t>
                  </m:r>
                </m:e>
              </m:d>
              <m:r>
                <m:rPr>
                  <m:sty m:val="p"/>
                </m:rPr>
                <w:rPr>
                  <w:rFonts w:ascii="Cambria Math" w:hAnsi="Cambria Math" w:cs="Arial"/>
                  <w:sz w:val="20"/>
                  <w:szCs w:val="20"/>
                  <w:lang w:val="en-GB"/>
                </w:rPr>
                <m:t>*0.5*0.003*100</m:t>
              </m:r>
            </m:num>
            <m:den>
              <m:r>
                <m:rPr>
                  <m:sty m:val="p"/>
                </m:rPr>
                <w:rPr>
                  <w:rFonts w:ascii="Cambria Math" w:hAnsi="Cambria Math" w:cs="Arial"/>
                  <w:sz w:val="20"/>
                  <w:szCs w:val="20"/>
                  <w:lang w:val="en-GB"/>
                </w:rPr>
                <m:t>Wt. of soil</m:t>
              </m:r>
            </m:den>
          </m:f>
          <m:r>
            <m:rPr>
              <m:sty m:val="p"/>
            </m:rPr>
            <w:rPr>
              <w:rFonts w:ascii="Cambria Math" w:hAnsi="Cambria Math" w:cs="Arial"/>
              <w:sz w:val="20"/>
              <w:szCs w:val="20"/>
              <w:lang w:val="en-GB"/>
            </w:rPr>
            <m:t>*correction factor</m:t>
          </m:r>
        </m:oMath>
      </m:oMathPara>
    </w:p>
    <w:p w14:paraId="2F9CC2FB" w14:textId="77777777" w:rsidR="00F271C2" w:rsidRPr="00625F88" w:rsidRDefault="00F271C2" w:rsidP="009440EC">
      <w:pPr>
        <w:pStyle w:val="Default"/>
        <w:spacing w:before="120" w:after="120" w:line="360" w:lineRule="auto"/>
        <w:ind w:right="-23"/>
        <w:jc w:val="both"/>
        <w:rPr>
          <w:rFonts w:ascii="Arial" w:hAnsi="Arial" w:cs="Arial"/>
          <w:bCs/>
          <w:color w:val="auto"/>
          <w:sz w:val="20"/>
          <w:szCs w:val="20"/>
        </w:rPr>
      </w:pPr>
      <w:r w:rsidRPr="00625F88">
        <w:rPr>
          <w:rFonts w:ascii="Arial" w:hAnsi="Arial" w:cs="Arial"/>
          <w:bCs/>
          <w:color w:val="auto"/>
          <w:sz w:val="20"/>
          <w:szCs w:val="20"/>
        </w:rPr>
        <w:t xml:space="preserve">The analysis of data was done using the Analysis of Variance in a randomized block design. </w:t>
      </w:r>
      <w:r w:rsidR="00E67D32" w:rsidRPr="00625F88">
        <w:rPr>
          <w:rFonts w:ascii="Arial" w:hAnsi="Arial" w:cs="Arial"/>
          <w:bCs/>
          <w:color w:val="auto"/>
          <w:sz w:val="20"/>
          <w:szCs w:val="20"/>
        </w:rPr>
        <w:t xml:space="preserve">Average ± standard error was used to represent the </w:t>
      </w:r>
      <w:r w:rsidRPr="00625F88">
        <w:rPr>
          <w:rFonts w:ascii="Arial" w:hAnsi="Arial" w:cs="Arial"/>
          <w:bCs/>
          <w:color w:val="auto"/>
          <w:sz w:val="20"/>
          <w:szCs w:val="20"/>
        </w:rPr>
        <w:t xml:space="preserve">data in Table/Figure, showing a 5% significance level. </w:t>
      </w:r>
    </w:p>
    <w:p w14:paraId="2BF0E14A" w14:textId="75357823" w:rsidR="00A00D6B" w:rsidRPr="002F0012" w:rsidRDefault="005449AB" w:rsidP="009440EC">
      <w:pPr>
        <w:pStyle w:val="Default"/>
        <w:spacing w:before="120" w:after="120" w:line="360" w:lineRule="auto"/>
        <w:ind w:right="-23"/>
        <w:jc w:val="both"/>
        <w:rPr>
          <w:rFonts w:ascii="Arial" w:hAnsi="Arial" w:cs="Arial"/>
          <w:b/>
          <w:bCs/>
          <w:color w:val="auto"/>
          <w:sz w:val="22"/>
          <w:szCs w:val="22"/>
        </w:rPr>
      </w:pPr>
      <w:r w:rsidRPr="002F0012">
        <w:rPr>
          <w:rFonts w:ascii="Arial" w:hAnsi="Arial" w:cs="Arial"/>
          <w:b/>
          <w:bCs/>
          <w:color w:val="auto"/>
          <w:sz w:val="22"/>
          <w:szCs w:val="22"/>
        </w:rPr>
        <w:t>3. RESULTS AND DISCUSSION</w:t>
      </w:r>
    </w:p>
    <w:p w14:paraId="52FFA002" w14:textId="1E32F5C6" w:rsidR="00E67D32" w:rsidRPr="005449AB" w:rsidRDefault="005449AB" w:rsidP="009440EC">
      <w:pPr>
        <w:pStyle w:val="Default"/>
        <w:spacing w:before="120" w:after="120" w:line="360" w:lineRule="auto"/>
        <w:ind w:right="-23"/>
        <w:jc w:val="both"/>
        <w:rPr>
          <w:rFonts w:ascii="Arial" w:hAnsi="Arial" w:cs="Arial"/>
          <w:b/>
          <w:iCs/>
          <w:color w:val="auto"/>
          <w:sz w:val="22"/>
          <w:szCs w:val="22"/>
        </w:rPr>
      </w:pPr>
      <w:r w:rsidRPr="005449AB">
        <w:rPr>
          <w:rFonts w:ascii="Arial" w:hAnsi="Arial" w:cs="Arial"/>
          <w:b/>
          <w:iCs/>
          <w:color w:val="auto"/>
          <w:sz w:val="22"/>
          <w:szCs w:val="22"/>
        </w:rPr>
        <w:t xml:space="preserve">3.1 SOIL </w:t>
      </w:r>
      <w:r>
        <w:rPr>
          <w:rFonts w:ascii="Arial" w:hAnsi="Arial" w:cs="Arial"/>
          <w:b/>
          <w:iCs/>
          <w:color w:val="auto"/>
          <w:sz w:val="22"/>
          <w:szCs w:val="22"/>
        </w:rPr>
        <w:t>pH</w:t>
      </w:r>
    </w:p>
    <w:p w14:paraId="33AA5B8C" w14:textId="4F67EB73" w:rsidR="00F94400" w:rsidRPr="009D517E" w:rsidRDefault="00F94400" w:rsidP="00774437">
      <w:pPr>
        <w:autoSpaceDE w:val="0"/>
        <w:autoSpaceDN w:val="0"/>
        <w:adjustRightInd w:val="0"/>
        <w:spacing w:after="0" w:line="360" w:lineRule="auto"/>
        <w:jc w:val="both"/>
        <w:rPr>
          <w:rFonts w:ascii="Arial" w:hAnsi="Arial" w:cs="Arial"/>
          <w:color w:val="FF0000"/>
          <w:sz w:val="20"/>
          <w:szCs w:val="20"/>
          <w:lang w:bidi="te-IN"/>
        </w:rPr>
      </w:pPr>
      <w:r w:rsidRPr="00774437">
        <w:rPr>
          <w:rFonts w:ascii="Arial" w:hAnsi="Arial" w:cs="Arial"/>
          <w:bCs/>
          <w:sz w:val="20"/>
          <w:szCs w:val="20"/>
        </w:rPr>
        <w:t xml:space="preserve">Soil pH is one of the important soil parameters that </w:t>
      </w:r>
      <w:r w:rsidR="00F271C2" w:rsidRPr="00774437">
        <w:rPr>
          <w:rFonts w:ascii="Arial" w:hAnsi="Arial" w:cs="Arial"/>
          <w:bCs/>
          <w:sz w:val="20"/>
          <w:szCs w:val="20"/>
        </w:rPr>
        <w:t>influence</w:t>
      </w:r>
      <w:r w:rsidRPr="00774437">
        <w:rPr>
          <w:rFonts w:ascii="Arial" w:hAnsi="Arial" w:cs="Arial"/>
          <w:bCs/>
          <w:sz w:val="20"/>
          <w:szCs w:val="20"/>
        </w:rPr>
        <w:t xml:space="preserve"> a plant's nutrient availability. It is a measure of soil acidity or alkalinity. It affects crop yield, crop suitability, and soil microbial activity and is thus a vital indicator of soil health. Data related to interactive impacts of tillage, residue management and biofertilizer inoculation on soil pH is shown in Figure 1, revealing that after the 15th crop cycle, soil pH was varied in the soil layer 0-10 cm, while no impact was in the deeper soil layers from 10 to 40 cm. Soil pH in all the treatments was acidic to slightly acidic in the surface layer. Comparatively, a higher value was in ZTR1B1 (6.89) followed by ZTR1B0 (6.04) in the soil depth of 0-10 cm. CT-included treatments had lower soil pH than ZT-included treatments (Figure 1). The findings in this study agreed with the results of Umar et al. (2011) and Duiker and Beegle (2006), who attributed the upward changes in pH to the buffering effect of accumulated soil organic matter under conservation agriculture.</w:t>
      </w:r>
      <w:r w:rsidR="00513931" w:rsidRPr="00774437">
        <w:rPr>
          <w:rFonts w:ascii="Arial" w:hAnsi="Arial" w:cs="Arial"/>
          <w:color w:val="000000"/>
          <w:sz w:val="20"/>
          <w:szCs w:val="20"/>
          <w:lang w:bidi="te-IN"/>
        </w:rPr>
        <w:t xml:space="preserve"> </w:t>
      </w:r>
      <w:r w:rsidR="00CC7934" w:rsidRPr="00774437">
        <w:rPr>
          <w:rFonts w:ascii="Arial" w:hAnsi="Arial" w:cs="Arial"/>
          <w:color w:val="000000"/>
          <w:sz w:val="20"/>
          <w:szCs w:val="20"/>
          <w:lang w:bidi="te-IN"/>
        </w:rPr>
        <w:t xml:space="preserve">soil. </w:t>
      </w:r>
      <w:proofErr w:type="spellStart"/>
      <w:r w:rsidR="00CC7934" w:rsidRPr="00BA4D94">
        <w:rPr>
          <w:rFonts w:ascii="Arial" w:hAnsi="Arial" w:cs="Arial"/>
          <w:b/>
          <w:bCs/>
          <w:color w:val="000000" w:themeColor="text1"/>
          <w:sz w:val="20"/>
          <w:szCs w:val="20"/>
          <w:lang w:bidi="te-IN"/>
        </w:rPr>
        <w:t>Ligowe</w:t>
      </w:r>
      <w:proofErr w:type="spellEnd"/>
      <w:r w:rsidR="00CC7934" w:rsidRPr="00BA4D94">
        <w:rPr>
          <w:rFonts w:ascii="Arial" w:hAnsi="Arial" w:cs="Arial"/>
          <w:b/>
          <w:bCs/>
          <w:color w:val="000000" w:themeColor="text1"/>
          <w:sz w:val="20"/>
          <w:szCs w:val="20"/>
          <w:lang w:bidi="te-IN"/>
        </w:rPr>
        <w:t xml:space="preserve"> et al. (2017) in </w:t>
      </w:r>
      <w:proofErr w:type="gramStart"/>
      <w:r w:rsidR="00CC7934" w:rsidRPr="00BA4D94">
        <w:rPr>
          <w:rFonts w:ascii="Arial" w:hAnsi="Arial" w:cs="Arial"/>
          <w:b/>
          <w:bCs/>
          <w:color w:val="000000" w:themeColor="text1"/>
          <w:sz w:val="20"/>
          <w:szCs w:val="20"/>
          <w:lang w:bidi="te-IN"/>
        </w:rPr>
        <w:t>their  long</w:t>
      </w:r>
      <w:proofErr w:type="gramEnd"/>
      <w:r w:rsidR="00CC7934" w:rsidRPr="00BA4D94">
        <w:rPr>
          <w:rFonts w:ascii="Arial" w:hAnsi="Arial" w:cs="Arial"/>
          <w:b/>
          <w:bCs/>
          <w:color w:val="000000" w:themeColor="text1"/>
          <w:sz w:val="20"/>
          <w:szCs w:val="20"/>
          <w:lang w:bidi="te-IN"/>
        </w:rPr>
        <w:t>-term CA experiment registered that on average, 14 and 21% higher pH and SOM, respectively, than the conventional practice</w:t>
      </w:r>
      <w:r w:rsidR="00BA4D94" w:rsidRPr="00BA4D94">
        <w:rPr>
          <w:rFonts w:ascii="Arial" w:hAnsi="Arial" w:cs="Arial"/>
          <w:b/>
          <w:bCs/>
          <w:color w:val="000000" w:themeColor="text1"/>
          <w:sz w:val="20"/>
          <w:szCs w:val="20"/>
          <w:lang w:bidi="te-IN"/>
        </w:rPr>
        <w:t>s</w:t>
      </w:r>
      <w:r w:rsidR="00CC7934" w:rsidRPr="00BA4D94">
        <w:rPr>
          <w:rFonts w:ascii="Arial" w:hAnsi="Arial" w:cs="Arial"/>
          <w:b/>
          <w:bCs/>
          <w:color w:val="000000" w:themeColor="text1"/>
          <w:sz w:val="20"/>
          <w:szCs w:val="20"/>
          <w:lang w:bidi="te-IN"/>
        </w:rPr>
        <w:t>.</w:t>
      </w:r>
    </w:p>
    <w:p w14:paraId="2986D623" w14:textId="77777777" w:rsidR="0014162B" w:rsidRPr="00DA233C" w:rsidRDefault="0014162B" w:rsidP="009440EC">
      <w:pPr>
        <w:spacing w:line="360" w:lineRule="auto"/>
        <w:ind w:right="-23"/>
        <w:jc w:val="both"/>
        <w:rPr>
          <w:rFonts w:ascii="Times New Roman" w:hAnsi="Times New Roman" w:cs="Times New Roman"/>
          <w:b/>
          <w:sz w:val="24"/>
          <w:szCs w:val="24"/>
          <w:lang w:val="en-GB"/>
        </w:rPr>
      </w:pPr>
      <w:r w:rsidRPr="00DA233C">
        <w:rPr>
          <w:rFonts w:ascii="Times New Roman" w:hAnsi="Times New Roman" w:cs="Times New Roman"/>
          <w:noProof/>
          <w:sz w:val="24"/>
          <w:szCs w:val="24"/>
          <w:lang w:eastAsia="en-IN" w:bidi="te-IN"/>
        </w:rPr>
        <w:drawing>
          <wp:inline distT="0" distB="0" distL="0" distR="0" wp14:anchorId="5CAED261" wp14:editId="7B6D20EA">
            <wp:extent cx="5731510" cy="2420098"/>
            <wp:effectExtent l="0" t="0" r="0" b="0"/>
            <wp:docPr id="358" name="Chart 358">
              <a:extLst xmlns:a="http://schemas.openxmlformats.org/drawingml/2006/main">
                <a:ext uri="{FF2B5EF4-FFF2-40B4-BE49-F238E27FC236}">
                  <a16:creationId xmlns:a16="http://schemas.microsoft.com/office/drawing/2014/main" id="{7CE9CBAC-66A4-4D49-B9BD-F2205DBF6D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4D1D31C" w14:textId="77777777" w:rsidR="0014162B" w:rsidRPr="00276095" w:rsidRDefault="00D10D42" w:rsidP="009440EC">
      <w:pPr>
        <w:pStyle w:val="NoSpacing"/>
        <w:spacing w:line="360" w:lineRule="auto"/>
        <w:ind w:right="-23"/>
        <w:jc w:val="both"/>
        <w:rPr>
          <w:rFonts w:ascii="Arial" w:hAnsi="Arial" w:cs="Arial"/>
          <w:b/>
          <w:sz w:val="20"/>
          <w:szCs w:val="20"/>
        </w:rPr>
      </w:pPr>
      <w:r w:rsidRPr="00276095">
        <w:rPr>
          <w:rFonts w:ascii="Arial" w:hAnsi="Arial" w:cs="Arial"/>
          <w:b/>
          <w:sz w:val="20"/>
          <w:szCs w:val="20"/>
        </w:rPr>
        <w:t>Fig</w:t>
      </w:r>
      <w:r w:rsidR="00E67D32" w:rsidRPr="00276095">
        <w:rPr>
          <w:rFonts w:ascii="Arial" w:hAnsi="Arial" w:cs="Arial"/>
          <w:b/>
          <w:sz w:val="20"/>
          <w:szCs w:val="20"/>
        </w:rPr>
        <w:t>ure</w:t>
      </w:r>
      <w:r w:rsidRPr="00276095">
        <w:rPr>
          <w:rFonts w:ascii="Arial" w:hAnsi="Arial" w:cs="Arial"/>
          <w:b/>
          <w:sz w:val="20"/>
          <w:szCs w:val="20"/>
        </w:rPr>
        <w:t xml:space="preserve"> 1</w:t>
      </w:r>
      <w:r w:rsidR="0014162B" w:rsidRPr="00276095">
        <w:rPr>
          <w:rFonts w:ascii="Arial" w:hAnsi="Arial" w:cs="Arial"/>
          <w:b/>
          <w:sz w:val="20"/>
          <w:szCs w:val="20"/>
        </w:rPr>
        <w:t>: Effect of tillage, residue addition and biofertilizer inoculation on soil pH in post-wheat soil after the 15</w:t>
      </w:r>
      <w:r w:rsidR="0014162B" w:rsidRPr="00276095">
        <w:rPr>
          <w:rFonts w:ascii="Arial" w:hAnsi="Arial" w:cs="Arial"/>
          <w:b/>
          <w:sz w:val="20"/>
          <w:szCs w:val="20"/>
          <w:vertAlign w:val="superscript"/>
        </w:rPr>
        <w:t>th</w:t>
      </w:r>
      <w:r w:rsidR="0014162B" w:rsidRPr="00276095">
        <w:rPr>
          <w:rFonts w:ascii="Arial" w:hAnsi="Arial" w:cs="Arial"/>
          <w:b/>
          <w:sz w:val="20"/>
          <w:szCs w:val="20"/>
        </w:rPr>
        <w:t xml:space="preserve"> crop cycle (ZT-Zero-tillage, CT-Conventional tillage, R-Residue (1-with and 0-without), B-Biofertilizer inoculation (1-with and 0-without), NS-Non-significant)</w:t>
      </w:r>
    </w:p>
    <w:p w14:paraId="41D55B36" w14:textId="77777777" w:rsidR="009D517E" w:rsidRDefault="009D517E" w:rsidP="009440EC">
      <w:pPr>
        <w:spacing w:before="120" w:after="120" w:line="360" w:lineRule="auto"/>
        <w:ind w:right="-23"/>
        <w:jc w:val="both"/>
        <w:rPr>
          <w:rFonts w:ascii="Arial" w:hAnsi="Arial" w:cs="Arial"/>
          <w:b/>
          <w:bCs/>
          <w:iCs/>
          <w:lang w:val="en-GB"/>
        </w:rPr>
      </w:pPr>
    </w:p>
    <w:p w14:paraId="709C9D34" w14:textId="0F90D202" w:rsidR="00E67D32" w:rsidRPr="005449AB" w:rsidRDefault="005449AB" w:rsidP="009440EC">
      <w:pPr>
        <w:spacing w:before="120" w:after="120" w:line="360" w:lineRule="auto"/>
        <w:ind w:right="-23"/>
        <w:jc w:val="both"/>
        <w:rPr>
          <w:rFonts w:ascii="Arial" w:hAnsi="Arial" w:cs="Arial"/>
          <w:b/>
          <w:bCs/>
          <w:iCs/>
          <w:lang w:val="en-GB"/>
        </w:rPr>
      </w:pPr>
      <w:r w:rsidRPr="005449AB">
        <w:rPr>
          <w:rFonts w:ascii="Arial" w:hAnsi="Arial" w:cs="Arial"/>
          <w:b/>
          <w:bCs/>
          <w:iCs/>
          <w:lang w:val="en-GB"/>
        </w:rPr>
        <w:lastRenderedPageBreak/>
        <w:t>3.2 ORGANIC CARBON</w:t>
      </w:r>
    </w:p>
    <w:p w14:paraId="4347D165" w14:textId="77777777" w:rsidR="0014162B" w:rsidRPr="00625F88" w:rsidRDefault="00E67D32" w:rsidP="009440EC">
      <w:pPr>
        <w:spacing w:before="120" w:after="120" w:line="360" w:lineRule="auto"/>
        <w:ind w:right="-23"/>
        <w:jc w:val="both"/>
        <w:rPr>
          <w:rFonts w:ascii="Arial" w:hAnsi="Arial" w:cs="Arial"/>
          <w:sz w:val="20"/>
          <w:szCs w:val="20"/>
          <w:lang w:val="en-GB"/>
        </w:rPr>
      </w:pPr>
      <w:r w:rsidRPr="00625F88">
        <w:rPr>
          <w:rFonts w:ascii="Arial" w:hAnsi="Arial" w:cs="Arial"/>
          <w:sz w:val="20"/>
          <w:szCs w:val="20"/>
          <w:lang w:val="en-GB"/>
        </w:rPr>
        <w:t>Organic carbon is the measured carbon contained within organic matter. It is one of the critical chemical indicators in the soil, increased by adding organic manure, crop residue, ZT, and legume-based crop rotation. Data related to interactive impacts of tillage, residue management and biofertilizer inoculation on OC was in Figure 2. It was evident that after the 15th crop cycle, OC varied in the soil layer from 0-10 cm, while no impact was in the deeper soil layers from 10 to 40 cm. OC in all the treatments was high in the surface layer (0-10 cm) and declined in the deeper layer, showing a trend of 10-20 cm and 20-40 cm in decreasing order (Figure 2). Comparatively, a higher value of OC was in ZTR</w:t>
      </w:r>
      <w:r w:rsidRPr="00467329">
        <w:rPr>
          <w:rFonts w:ascii="Arial" w:hAnsi="Arial" w:cs="Arial"/>
          <w:sz w:val="20"/>
          <w:szCs w:val="20"/>
          <w:lang w:val="en-GB"/>
        </w:rPr>
        <w:t>1</w:t>
      </w:r>
      <w:r w:rsidRPr="00625F88">
        <w:rPr>
          <w:rFonts w:ascii="Arial" w:hAnsi="Arial" w:cs="Arial"/>
          <w:sz w:val="20"/>
          <w:szCs w:val="20"/>
          <w:lang w:val="en-GB"/>
        </w:rPr>
        <w:t>B</w:t>
      </w:r>
      <w:r w:rsidRPr="00467329">
        <w:rPr>
          <w:rFonts w:ascii="Arial" w:hAnsi="Arial" w:cs="Arial"/>
          <w:sz w:val="20"/>
          <w:szCs w:val="20"/>
          <w:lang w:val="en-GB"/>
        </w:rPr>
        <w:t>0</w:t>
      </w:r>
      <w:r w:rsidRPr="00625F88">
        <w:rPr>
          <w:rFonts w:ascii="Arial" w:hAnsi="Arial" w:cs="Arial"/>
          <w:sz w:val="20"/>
          <w:szCs w:val="20"/>
          <w:lang w:val="en-GB"/>
        </w:rPr>
        <w:t xml:space="preserve"> (0.98%), followed by ZTR</w:t>
      </w:r>
      <w:r w:rsidRPr="00467329">
        <w:rPr>
          <w:rFonts w:ascii="Arial" w:hAnsi="Arial" w:cs="Arial"/>
          <w:sz w:val="20"/>
          <w:szCs w:val="20"/>
          <w:lang w:val="en-GB"/>
        </w:rPr>
        <w:t>1</w:t>
      </w:r>
      <w:r w:rsidRPr="00625F88">
        <w:rPr>
          <w:rFonts w:ascii="Arial" w:hAnsi="Arial" w:cs="Arial"/>
          <w:sz w:val="20"/>
          <w:szCs w:val="20"/>
          <w:lang w:val="en-GB"/>
        </w:rPr>
        <w:t>B</w:t>
      </w:r>
      <w:r w:rsidRPr="00467329">
        <w:rPr>
          <w:rFonts w:ascii="Arial" w:hAnsi="Arial" w:cs="Arial"/>
          <w:sz w:val="20"/>
          <w:szCs w:val="20"/>
          <w:lang w:val="en-GB"/>
        </w:rPr>
        <w:t>1</w:t>
      </w:r>
      <w:r w:rsidRPr="00625F88">
        <w:rPr>
          <w:rFonts w:ascii="Arial" w:hAnsi="Arial" w:cs="Arial"/>
          <w:sz w:val="20"/>
          <w:szCs w:val="20"/>
          <w:lang w:val="en-GB"/>
        </w:rPr>
        <w:t xml:space="preserve"> (0.92%) in the 0-10 cm layer. CT added with residue had higher OC than ZT done without adding residue, showing residue addition can improve the OC in intensive cultivation irrespective of changing tillage practices.</w:t>
      </w:r>
    </w:p>
    <w:p w14:paraId="3538F31F" w14:textId="77777777" w:rsidR="0014162B" w:rsidRPr="00DA233C" w:rsidRDefault="0014162B" w:rsidP="009440EC">
      <w:pPr>
        <w:spacing w:before="120" w:after="120" w:line="360" w:lineRule="auto"/>
        <w:ind w:right="-23"/>
        <w:jc w:val="both"/>
        <w:rPr>
          <w:rFonts w:ascii="Times New Roman" w:hAnsi="Times New Roman" w:cs="Times New Roman"/>
          <w:sz w:val="24"/>
          <w:szCs w:val="24"/>
          <w:lang w:val="en-GB"/>
        </w:rPr>
      </w:pPr>
    </w:p>
    <w:p w14:paraId="64D3C786" w14:textId="77777777" w:rsidR="00D10D42" w:rsidRPr="005449AB" w:rsidRDefault="0014162B" w:rsidP="009440EC">
      <w:pPr>
        <w:spacing w:before="120" w:after="120" w:line="360" w:lineRule="auto"/>
        <w:ind w:right="-23"/>
        <w:jc w:val="both"/>
        <w:rPr>
          <w:rFonts w:ascii="Arial" w:hAnsi="Arial" w:cs="Arial"/>
          <w:sz w:val="24"/>
          <w:szCs w:val="24"/>
          <w:lang w:val="en-GB"/>
        </w:rPr>
      </w:pPr>
      <w:r w:rsidRPr="005449AB">
        <w:rPr>
          <w:rFonts w:ascii="Arial" w:hAnsi="Arial" w:cs="Arial"/>
          <w:b/>
          <w:bCs/>
          <w:noProof/>
          <w:sz w:val="24"/>
          <w:szCs w:val="24"/>
          <w:lang w:eastAsia="en-IN" w:bidi="te-IN"/>
        </w:rPr>
        <w:drawing>
          <wp:inline distT="0" distB="0" distL="0" distR="0" wp14:anchorId="0C8B2134" wp14:editId="7042E828">
            <wp:extent cx="5731510" cy="2392423"/>
            <wp:effectExtent l="0" t="0" r="0" b="0"/>
            <wp:docPr id="359" name="Chart 359">
              <a:extLst xmlns:a="http://schemas.openxmlformats.org/drawingml/2006/main">
                <a:ext uri="{FF2B5EF4-FFF2-40B4-BE49-F238E27FC236}">
                  <a16:creationId xmlns:a16="http://schemas.microsoft.com/office/drawing/2014/main" id="{F2A90335-BCBB-42FE-9E0C-4B498E21CA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B9A42A9" w14:textId="77777777" w:rsidR="0014162B" w:rsidRPr="00276095" w:rsidRDefault="00D10D42" w:rsidP="009440EC">
      <w:pPr>
        <w:pStyle w:val="NoSpacing"/>
        <w:spacing w:before="120" w:after="120" w:line="360" w:lineRule="auto"/>
        <w:ind w:right="-23"/>
        <w:jc w:val="both"/>
        <w:rPr>
          <w:rFonts w:ascii="Arial" w:hAnsi="Arial" w:cs="Arial"/>
          <w:b/>
          <w:bCs/>
          <w:lang w:val="en-GB"/>
        </w:rPr>
      </w:pPr>
      <w:r w:rsidRPr="00276095">
        <w:rPr>
          <w:rFonts w:ascii="Arial" w:hAnsi="Arial" w:cs="Arial"/>
          <w:b/>
          <w:bCs/>
        </w:rPr>
        <w:t>Figure 2</w:t>
      </w:r>
      <w:r w:rsidR="0014162B" w:rsidRPr="00276095">
        <w:rPr>
          <w:rFonts w:ascii="Arial" w:hAnsi="Arial" w:cs="Arial"/>
          <w:b/>
          <w:bCs/>
        </w:rPr>
        <w:t xml:space="preserve">: Effect of tillage, residue addition and biofertilizer inoculation on soil </w:t>
      </w:r>
      <w:r w:rsidR="0073651B" w:rsidRPr="00276095">
        <w:rPr>
          <w:rFonts w:ascii="Arial" w:hAnsi="Arial" w:cs="Arial"/>
          <w:b/>
          <w:bCs/>
        </w:rPr>
        <w:t>organic carbon</w:t>
      </w:r>
      <w:r w:rsidR="0014162B" w:rsidRPr="00276095">
        <w:rPr>
          <w:rFonts w:ascii="Arial" w:hAnsi="Arial" w:cs="Arial"/>
          <w:b/>
          <w:bCs/>
        </w:rPr>
        <w:t xml:space="preserve"> (%) in post-wheat soil after the 15</w:t>
      </w:r>
      <w:r w:rsidR="0014162B" w:rsidRPr="00276095">
        <w:rPr>
          <w:rFonts w:ascii="Arial" w:hAnsi="Arial" w:cs="Arial"/>
          <w:b/>
          <w:bCs/>
          <w:vertAlign w:val="superscript"/>
        </w:rPr>
        <w:t>th</w:t>
      </w:r>
      <w:r w:rsidR="0014162B" w:rsidRPr="00276095">
        <w:rPr>
          <w:rFonts w:ascii="Arial" w:hAnsi="Arial" w:cs="Arial"/>
          <w:b/>
          <w:bCs/>
        </w:rPr>
        <w:t xml:space="preserve"> crop cycle</w:t>
      </w:r>
      <w:r w:rsidR="0073651B" w:rsidRPr="00276095">
        <w:rPr>
          <w:rFonts w:ascii="Arial" w:hAnsi="Arial" w:cs="Arial"/>
          <w:b/>
          <w:bCs/>
        </w:rPr>
        <w:t xml:space="preserve"> </w:t>
      </w:r>
      <w:r w:rsidR="0014162B" w:rsidRPr="00276095">
        <w:rPr>
          <w:rFonts w:ascii="Arial" w:hAnsi="Arial" w:cs="Arial"/>
          <w:b/>
          <w:bCs/>
        </w:rPr>
        <w:t>(</w:t>
      </w:r>
      <w:r w:rsidR="0014162B" w:rsidRPr="00276095">
        <w:rPr>
          <w:rFonts w:ascii="Arial" w:hAnsi="Arial" w:cs="Arial"/>
          <w:b/>
          <w:bCs/>
          <w:lang w:val="en-GB"/>
        </w:rPr>
        <w:t>ZT-Zero-tillage, CT-Conventional tillage, R-Residue (1-with and 0-without), B-Biofertilizer inoculation (1-with and 0-without),</w:t>
      </w:r>
      <w:r w:rsidR="00A12B55" w:rsidRPr="00276095">
        <w:rPr>
          <w:rFonts w:ascii="Arial" w:hAnsi="Arial" w:cs="Arial"/>
          <w:b/>
          <w:bCs/>
          <w:lang w:val="en-GB"/>
        </w:rPr>
        <w:t xml:space="preserve"> </w:t>
      </w:r>
      <w:r w:rsidR="0014162B" w:rsidRPr="00276095">
        <w:rPr>
          <w:rFonts w:ascii="Arial" w:hAnsi="Arial" w:cs="Arial"/>
          <w:b/>
          <w:bCs/>
          <w:lang w:val="en-GB"/>
        </w:rPr>
        <w:t>NS-Non-significant)</w:t>
      </w:r>
    </w:p>
    <w:p w14:paraId="57FC2536" w14:textId="5D663D46" w:rsidR="00F06F5F" w:rsidRPr="005449AB" w:rsidRDefault="005449AB" w:rsidP="009440EC">
      <w:pPr>
        <w:spacing w:before="120" w:after="120" w:line="360" w:lineRule="auto"/>
        <w:ind w:right="-23"/>
        <w:jc w:val="both"/>
        <w:rPr>
          <w:rFonts w:ascii="Arial" w:hAnsi="Arial" w:cs="Arial"/>
          <w:b/>
          <w:iCs/>
          <w:lang w:val="en-GB"/>
        </w:rPr>
      </w:pPr>
      <w:r w:rsidRPr="005449AB">
        <w:rPr>
          <w:rFonts w:ascii="Arial" w:hAnsi="Arial" w:cs="Arial"/>
          <w:b/>
          <w:iCs/>
          <w:lang w:val="en-GB"/>
        </w:rPr>
        <w:t>3.3 WHEAT YIELD</w:t>
      </w:r>
    </w:p>
    <w:p w14:paraId="7F2C5DF5" w14:textId="4AD91C52" w:rsidR="0073651B" w:rsidRPr="00625F88" w:rsidRDefault="0073651B" w:rsidP="009440EC">
      <w:pPr>
        <w:pStyle w:val="NormalWeb"/>
        <w:spacing w:before="0" w:beforeAutospacing="0" w:after="0" w:afterAutospacing="0" w:line="360" w:lineRule="auto"/>
        <w:ind w:right="-23"/>
        <w:jc w:val="both"/>
        <w:rPr>
          <w:rFonts w:ascii="Arial" w:hAnsi="Arial" w:cs="Arial"/>
          <w:color w:val="0E101A"/>
          <w:sz w:val="20"/>
          <w:szCs w:val="20"/>
        </w:rPr>
      </w:pPr>
      <w:r w:rsidRPr="00625F88">
        <w:rPr>
          <w:rFonts w:ascii="Arial" w:hAnsi="Arial" w:cs="Arial"/>
          <w:color w:val="0E101A"/>
          <w:sz w:val="20"/>
          <w:szCs w:val="20"/>
        </w:rPr>
        <w:t>Data related to wheat yield is in Table 1, which shows the impacts of tillage practices, residue management, and biofertilizer inoculation on wheat yield after the 15th crop cycle. On comparing the wheat yield and tillage practices, a higher yield was in ZT over the CT. The average grain yield in ZT was 3.55 t ha</w:t>
      </w:r>
      <w:r w:rsidRPr="00625F88">
        <w:rPr>
          <w:rFonts w:ascii="Arial" w:hAnsi="Arial" w:cs="Arial"/>
          <w:color w:val="0E101A"/>
          <w:sz w:val="20"/>
          <w:szCs w:val="20"/>
          <w:vertAlign w:val="superscript"/>
        </w:rPr>
        <w:t>-1</w:t>
      </w:r>
      <w:r w:rsidR="00A12B55" w:rsidRPr="00625F88">
        <w:rPr>
          <w:rFonts w:ascii="Arial" w:hAnsi="Arial" w:cs="Arial"/>
          <w:color w:val="0E101A"/>
          <w:sz w:val="20"/>
          <w:szCs w:val="20"/>
        </w:rPr>
        <w:t>,</w:t>
      </w:r>
      <w:r w:rsidRPr="00625F88">
        <w:rPr>
          <w:rFonts w:ascii="Arial" w:hAnsi="Arial" w:cs="Arial"/>
          <w:color w:val="0E101A"/>
          <w:sz w:val="20"/>
          <w:szCs w:val="20"/>
        </w:rPr>
        <w:t xml:space="preserve"> and in CT was 3.41 t ha</w:t>
      </w:r>
      <w:r w:rsidRPr="00625F88">
        <w:rPr>
          <w:rFonts w:ascii="Arial" w:hAnsi="Arial" w:cs="Arial"/>
          <w:color w:val="0E101A"/>
          <w:sz w:val="20"/>
          <w:szCs w:val="20"/>
          <w:vertAlign w:val="superscript"/>
        </w:rPr>
        <w:t>-1</w:t>
      </w:r>
      <w:r w:rsidRPr="00625F88">
        <w:rPr>
          <w:rFonts w:ascii="Arial" w:hAnsi="Arial" w:cs="Arial"/>
          <w:color w:val="0E101A"/>
          <w:sz w:val="20"/>
          <w:szCs w:val="20"/>
        </w:rPr>
        <w:t xml:space="preserve">. Dixit </w:t>
      </w:r>
      <w:r w:rsidRPr="00625F88">
        <w:rPr>
          <w:rStyle w:val="Emphasis"/>
          <w:rFonts w:ascii="Arial" w:hAnsi="Arial" w:cs="Arial"/>
          <w:i w:val="0"/>
          <w:color w:val="0E101A"/>
          <w:sz w:val="20"/>
          <w:szCs w:val="20"/>
        </w:rPr>
        <w:t>et al.</w:t>
      </w:r>
      <w:r w:rsidRPr="00625F88">
        <w:rPr>
          <w:rFonts w:ascii="Arial" w:hAnsi="Arial" w:cs="Arial"/>
          <w:color w:val="0E101A"/>
          <w:sz w:val="20"/>
          <w:szCs w:val="20"/>
        </w:rPr>
        <w:t xml:space="preserve"> (2018) observed the positive impacts of ZT on wheat yield over five years of cultivation. The higher yield of wheat in ZT is due to the compound effects of additional nutri</w:t>
      </w:r>
      <w:r w:rsidR="000B6EA7">
        <w:rPr>
          <w:rFonts w:ascii="Arial" w:hAnsi="Arial" w:cs="Arial"/>
          <w:color w:val="0E101A"/>
          <w:sz w:val="20"/>
          <w:szCs w:val="20"/>
        </w:rPr>
        <w:t xml:space="preserve">ents held in the system </w:t>
      </w:r>
      <w:r w:rsidR="000B6EA7" w:rsidRPr="00BA4D94">
        <w:rPr>
          <w:rFonts w:ascii="Arial" w:hAnsi="Arial" w:cs="Arial"/>
          <w:b/>
          <w:bCs/>
          <w:color w:val="000000" w:themeColor="text1"/>
          <w:sz w:val="20"/>
          <w:szCs w:val="20"/>
        </w:rPr>
        <w:t>(</w:t>
      </w:r>
      <w:proofErr w:type="spellStart"/>
      <w:r w:rsidR="000B6EA7" w:rsidRPr="00BA4D94">
        <w:rPr>
          <w:rFonts w:ascii="Arial" w:hAnsi="Arial" w:cs="Arial"/>
          <w:b/>
          <w:bCs/>
          <w:color w:val="000000" w:themeColor="text1"/>
          <w:sz w:val="18"/>
          <w:szCs w:val="18"/>
        </w:rPr>
        <w:t>Timalsina</w:t>
      </w:r>
      <w:proofErr w:type="spellEnd"/>
      <w:r w:rsidRPr="00BA4D94">
        <w:rPr>
          <w:rFonts w:ascii="Arial" w:hAnsi="Arial" w:cs="Arial"/>
          <w:b/>
          <w:bCs/>
          <w:color w:val="000000" w:themeColor="text1"/>
          <w:sz w:val="20"/>
          <w:szCs w:val="20"/>
        </w:rPr>
        <w:t xml:space="preserve"> </w:t>
      </w:r>
      <w:r w:rsidRPr="00BA4D94">
        <w:rPr>
          <w:rStyle w:val="Emphasis"/>
          <w:rFonts w:ascii="Arial" w:hAnsi="Arial" w:cs="Arial"/>
          <w:b/>
          <w:bCs/>
          <w:i w:val="0"/>
          <w:color w:val="000000" w:themeColor="text1"/>
          <w:sz w:val="20"/>
          <w:szCs w:val="20"/>
        </w:rPr>
        <w:t>et al</w:t>
      </w:r>
      <w:r w:rsidRPr="00BA4D94">
        <w:rPr>
          <w:rFonts w:ascii="Arial" w:hAnsi="Arial" w:cs="Arial"/>
          <w:b/>
          <w:bCs/>
          <w:i/>
          <w:color w:val="000000" w:themeColor="text1"/>
          <w:sz w:val="20"/>
          <w:szCs w:val="20"/>
        </w:rPr>
        <w:t>.,</w:t>
      </w:r>
      <w:r w:rsidR="000B6EA7" w:rsidRPr="00BA4D94">
        <w:rPr>
          <w:rFonts w:ascii="Arial" w:hAnsi="Arial" w:cs="Arial"/>
          <w:b/>
          <w:bCs/>
          <w:color w:val="000000" w:themeColor="text1"/>
          <w:sz w:val="20"/>
          <w:szCs w:val="20"/>
        </w:rPr>
        <w:t xml:space="preserve"> 2021</w:t>
      </w:r>
      <w:r w:rsidRPr="00BA4D94">
        <w:rPr>
          <w:rFonts w:ascii="Arial" w:hAnsi="Arial" w:cs="Arial"/>
          <w:b/>
          <w:bCs/>
          <w:color w:val="000000" w:themeColor="text1"/>
          <w:sz w:val="20"/>
          <w:szCs w:val="20"/>
        </w:rPr>
        <w:t>)</w:t>
      </w:r>
      <w:r w:rsidRPr="00625F88">
        <w:rPr>
          <w:rFonts w:ascii="Arial" w:hAnsi="Arial" w:cs="Arial"/>
          <w:color w:val="0E101A"/>
          <w:sz w:val="20"/>
          <w:szCs w:val="20"/>
        </w:rPr>
        <w:t xml:space="preserve">, lesser weed population (Chauhan </w:t>
      </w:r>
      <w:r w:rsidRPr="00625F88">
        <w:rPr>
          <w:rStyle w:val="Emphasis"/>
          <w:rFonts w:ascii="Arial" w:hAnsi="Arial" w:cs="Arial"/>
          <w:i w:val="0"/>
          <w:color w:val="0E101A"/>
          <w:sz w:val="20"/>
          <w:szCs w:val="20"/>
        </w:rPr>
        <w:t>et al</w:t>
      </w:r>
      <w:r w:rsidRPr="00625F88">
        <w:rPr>
          <w:rFonts w:ascii="Arial" w:hAnsi="Arial" w:cs="Arial"/>
          <w:i/>
          <w:color w:val="0E101A"/>
          <w:sz w:val="20"/>
          <w:szCs w:val="20"/>
        </w:rPr>
        <w:t>.,</w:t>
      </w:r>
      <w:r w:rsidRPr="00625F88">
        <w:rPr>
          <w:rFonts w:ascii="Arial" w:hAnsi="Arial" w:cs="Arial"/>
          <w:color w:val="0E101A"/>
          <w:sz w:val="20"/>
          <w:szCs w:val="20"/>
        </w:rPr>
        <w:t xml:space="preserve"> 2007), improved soil physical health, better water regimes and improved nutrient use efficiency compared to CT (</w:t>
      </w:r>
      <w:proofErr w:type="spellStart"/>
      <w:r w:rsidRPr="00625F88">
        <w:rPr>
          <w:rFonts w:ascii="Arial" w:hAnsi="Arial" w:cs="Arial"/>
          <w:color w:val="0E101A"/>
          <w:sz w:val="20"/>
          <w:szCs w:val="20"/>
        </w:rPr>
        <w:t>Jat</w:t>
      </w:r>
      <w:proofErr w:type="spellEnd"/>
      <w:r w:rsidRPr="00625F88">
        <w:rPr>
          <w:rFonts w:ascii="Arial" w:hAnsi="Arial" w:cs="Arial"/>
          <w:color w:val="0E101A"/>
          <w:sz w:val="20"/>
          <w:szCs w:val="20"/>
        </w:rPr>
        <w:t xml:space="preserve"> </w:t>
      </w:r>
      <w:r w:rsidRPr="00625F88">
        <w:rPr>
          <w:rStyle w:val="Emphasis"/>
          <w:rFonts w:ascii="Arial" w:hAnsi="Arial" w:cs="Arial"/>
          <w:i w:val="0"/>
          <w:color w:val="0E101A"/>
          <w:sz w:val="20"/>
          <w:szCs w:val="20"/>
        </w:rPr>
        <w:t>et al</w:t>
      </w:r>
      <w:r w:rsidRPr="00625F88">
        <w:rPr>
          <w:rFonts w:ascii="Arial" w:hAnsi="Arial" w:cs="Arial"/>
          <w:i/>
          <w:color w:val="0E101A"/>
          <w:sz w:val="20"/>
          <w:szCs w:val="20"/>
        </w:rPr>
        <w:t>.,</w:t>
      </w:r>
      <w:r w:rsidRPr="00625F88">
        <w:rPr>
          <w:rFonts w:ascii="Arial" w:hAnsi="Arial" w:cs="Arial"/>
          <w:color w:val="0E101A"/>
          <w:sz w:val="20"/>
          <w:szCs w:val="20"/>
        </w:rPr>
        <w:t xml:space="preserve"> 2013; Singh </w:t>
      </w:r>
      <w:r w:rsidRPr="00625F88">
        <w:rPr>
          <w:rStyle w:val="Emphasis"/>
          <w:rFonts w:ascii="Arial" w:hAnsi="Arial" w:cs="Arial"/>
          <w:i w:val="0"/>
          <w:color w:val="0E101A"/>
          <w:sz w:val="20"/>
          <w:szCs w:val="20"/>
        </w:rPr>
        <w:t>et al</w:t>
      </w:r>
      <w:r w:rsidRPr="00625F88">
        <w:rPr>
          <w:rFonts w:ascii="Arial" w:hAnsi="Arial" w:cs="Arial"/>
          <w:i/>
          <w:color w:val="0E101A"/>
          <w:sz w:val="20"/>
          <w:szCs w:val="20"/>
        </w:rPr>
        <w:t>.,</w:t>
      </w:r>
      <w:r w:rsidRPr="00625F88">
        <w:rPr>
          <w:rFonts w:ascii="Arial" w:hAnsi="Arial" w:cs="Arial"/>
          <w:color w:val="0E101A"/>
          <w:sz w:val="20"/>
          <w:szCs w:val="20"/>
        </w:rPr>
        <w:t xml:space="preserve"> 2016). In the case of residue addition (R</w:t>
      </w:r>
      <w:r w:rsidRPr="0057264E">
        <w:rPr>
          <w:rFonts w:ascii="Arial" w:hAnsi="Arial" w:cs="Arial"/>
          <w:color w:val="0E101A"/>
          <w:sz w:val="20"/>
          <w:szCs w:val="20"/>
        </w:rPr>
        <w:t>1</w:t>
      </w:r>
      <w:r w:rsidRPr="00625F88">
        <w:rPr>
          <w:rFonts w:ascii="Arial" w:hAnsi="Arial" w:cs="Arial"/>
          <w:color w:val="0E101A"/>
          <w:sz w:val="20"/>
          <w:szCs w:val="20"/>
        </w:rPr>
        <w:t>), there was no variation in grain yield relative to no residue addition (R</w:t>
      </w:r>
      <w:r w:rsidRPr="0057264E">
        <w:rPr>
          <w:rFonts w:ascii="Arial" w:hAnsi="Arial" w:cs="Arial"/>
          <w:color w:val="0E101A"/>
          <w:sz w:val="20"/>
          <w:szCs w:val="20"/>
        </w:rPr>
        <w:t>0</w:t>
      </w:r>
      <w:r w:rsidRPr="00625F88">
        <w:rPr>
          <w:rFonts w:ascii="Arial" w:hAnsi="Arial" w:cs="Arial"/>
          <w:color w:val="0E101A"/>
          <w:sz w:val="20"/>
          <w:szCs w:val="20"/>
        </w:rPr>
        <w:t xml:space="preserve">). Continuous biofertilizer </w:t>
      </w:r>
      <w:r w:rsidRPr="00625F88">
        <w:rPr>
          <w:rFonts w:ascii="Arial" w:hAnsi="Arial" w:cs="Arial"/>
          <w:color w:val="0E101A"/>
          <w:sz w:val="20"/>
          <w:szCs w:val="20"/>
        </w:rPr>
        <w:lastRenderedPageBreak/>
        <w:t>inoculation (B</w:t>
      </w:r>
      <w:r w:rsidRPr="0057264E">
        <w:rPr>
          <w:rFonts w:ascii="Arial" w:hAnsi="Arial" w:cs="Arial"/>
          <w:color w:val="0E101A"/>
          <w:sz w:val="20"/>
          <w:szCs w:val="20"/>
        </w:rPr>
        <w:t>1</w:t>
      </w:r>
      <w:r w:rsidRPr="00625F88">
        <w:rPr>
          <w:rFonts w:ascii="Arial" w:hAnsi="Arial" w:cs="Arial"/>
          <w:color w:val="0E101A"/>
          <w:sz w:val="20"/>
          <w:szCs w:val="20"/>
        </w:rPr>
        <w:t>) significantly increased the grain yield over no biofertilizer inoculation (B</w:t>
      </w:r>
      <w:r w:rsidRPr="0057264E">
        <w:rPr>
          <w:rFonts w:ascii="Arial" w:hAnsi="Arial" w:cs="Arial"/>
          <w:color w:val="0E101A"/>
          <w:sz w:val="20"/>
          <w:szCs w:val="20"/>
        </w:rPr>
        <w:t>0</w:t>
      </w:r>
      <w:r w:rsidRPr="00625F88">
        <w:rPr>
          <w:rFonts w:ascii="Arial" w:hAnsi="Arial" w:cs="Arial"/>
          <w:color w:val="0E101A"/>
          <w:sz w:val="20"/>
          <w:szCs w:val="20"/>
        </w:rPr>
        <w:t>). The grain yield in B</w:t>
      </w:r>
      <w:r w:rsidRPr="0057264E">
        <w:rPr>
          <w:rFonts w:ascii="Arial" w:hAnsi="Arial" w:cs="Arial"/>
          <w:color w:val="0E101A"/>
          <w:sz w:val="20"/>
          <w:szCs w:val="20"/>
        </w:rPr>
        <w:t xml:space="preserve">1 </w:t>
      </w:r>
      <w:r w:rsidRPr="00625F88">
        <w:rPr>
          <w:rFonts w:ascii="Arial" w:hAnsi="Arial" w:cs="Arial"/>
          <w:color w:val="0E101A"/>
          <w:sz w:val="20"/>
          <w:szCs w:val="20"/>
        </w:rPr>
        <w:t>and B</w:t>
      </w:r>
      <w:r w:rsidRPr="0057264E">
        <w:rPr>
          <w:rFonts w:ascii="Arial" w:hAnsi="Arial" w:cs="Arial"/>
          <w:color w:val="0E101A"/>
          <w:sz w:val="20"/>
          <w:szCs w:val="20"/>
        </w:rPr>
        <w:t>0</w:t>
      </w:r>
      <w:r w:rsidRPr="00625F88">
        <w:rPr>
          <w:rFonts w:ascii="Arial" w:hAnsi="Arial" w:cs="Arial"/>
          <w:color w:val="0E101A"/>
          <w:sz w:val="20"/>
          <w:szCs w:val="20"/>
        </w:rPr>
        <w:t xml:space="preserve"> was 3.66 t ha</w:t>
      </w:r>
      <w:r w:rsidRPr="00625F88">
        <w:rPr>
          <w:rFonts w:ascii="Arial" w:hAnsi="Arial" w:cs="Arial"/>
          <w:color w:val="0E101A"/>
          <w:sz w:val="20"/>
          <w:szCs w:val="20"/>
          <w:vertAlign w:val="superscript"/>
        </w:rPr>
        <w:t>-1</w:t>
      </w:r>
      <w:r w:rsidRPr="00625F88">
        <w:rPr>
          <w:rFonts w:ascii="Arial" w:hAnsi="Arial" w:cs="Arial"/>
          <w:color w:val="0E101A"/>
          <w:sz w:val="20"/>
          <w:szCs w:val="20"/>
        </w:rPr>
        <w:t xml:space="preserve"> and 3.30 t ha</w:t>
      </w:r>
      <w:r w:rsidRPr="00625F88">
        <w:rPr>
          <w:rFonts w:ascii="Arial" w:hAnsi="Arial" w:cs="Arial"/>
          <w:color w:val="0E101A"/>
          <w:sz w:val="20"/>
          <w:szCs w:val="20"/>
          <w:vertAlign w:val="superscript"/>
        </w:rPr>
        <w:t>-1</w:t>
      </w:r>
      <w:r w:rsidRPr="00625F88">
        <w:rPr>
          <w:rFonts w:ascii="Arial" w:hAnsi="Arial" w:cs="Arial"/>
          <w:color w:val="0E101A"/>
          <w:sz w:val="20"/>
          <w:szCs w:val="20"/>
        </w:rPr>
        <w:t>, respectively.</w:t>
      </w:r>
    </w:p>
    <w:p w14:paraId="641D7BEF" w14:textId="77777777" w:rsidR="00A12B55" w:rsidRPr="00625F88" w:rsidRDefault="0073651B" w:rsidP="009440EC">
      <w:pPr>
        <w:pStyle w:val="NoSpacing"/>
        <w:spacing w:before="120" w:after="120" w:line="360" w:lineRule="auto"/>
        <w:ind w:right="-23" w:firstLine="720"/>
        <w:jc w:val="both"/>
        <w:rPr>
          <w:rFonts w:ascii="Arial" w:hAnsi="Arial" w:cs="Arial"/>
          <w:sz w:val="20"/>
          <w:szCs w:val="20"/>
        </w:rPr>
      </w:pPr>
      <w:r w:rsidRPr="00625F88">
        <w:rPr>
          <w:rFonts w:ascii="Arial" w:hAnsi="Arial" w:cs="Arial"/>
          <w:color w:val="0E101A"/>
          <w:sz w:val="20"/>
          <w:szCs w:val="20"/>
        </w:rPr>
        <w:t xml:space="preserve">The combined effect of tillage and residue addition did not show a positive result on grain yield, and the interaction effect of residue addition and biofertilizer inoculation, as well as tillage and biofertilizer </w:t>
      </w:r>
      <w:r w:rsidR="00A12B55" w:rsidRPr="00625F88">
        <w:rPr>
          <w:rFonts w:ascii="Arial" w:hAnsi="Arial" w:cs="Arial"/>
          <w:color w:val="0E101A"/>
          <w:sz w:val="20"/>
          <w:szCs w:val="20"/>
        </w:rPr>
        <w:t>inoculants</w:t>
      </w:r>
      <w:r w:rsidRPr="00625F88">
        <w:rPr>
          <w:rFonts w:ascii="Arial" w:hAnsi="Arial" w:cs="Arial"/>
          <w:color w:val="0E101A"/>
          <w:sz w:val="20"/>
          <w:szCs w:val="20"/>
        </w:rPr>
        <w:t>, showed a positive result on wheat yield. In the case of residue addition and biofertilizer inoculation, the highest grain yield was recorded in the R</w:t>
      </w:r>
      <w:r w:rsidRPr="0057264E">
        <w:rPr>
          <w:rFonts w:ascii="Arial" w:hAnsi="Arial" w:cs="Arial"/>
          <w:color w:val="0E101A"/>
          <w:sz w:val="20"/>
          <w:szCs w:val="20"/>
        </w:rPr>
        <w:t>0</w:t>
      </w:r>
      <w:r w:rsidRPr="00625F88">
        <w:rPr>
          <w:rFonts w:ascii="Arial" w:hAnsi="Arial" w:cs="Arial"/>
          <w:color w:val="0E101A"/>
          <w:sz w:val="20"/>
          <w:szCs w:val="20"/>
        </w:rPr>
        <w:t>B</w:t>
      </w:r>
      <w:r w:rsidRPr="0057264E">
        <w:rPr>
          <w:rFonts w:ascii="Arial" w:hAnsi="Arial" w:cs="Arial"/>
          <w:color w:val="0E101A"/>
          <w:sz w:val="20"/>
          <w:szCs w:val="20"/>
        </w:rPr>
        <w:t>0</w:t>
      </w:r>
      <w:r w:rsidRPr="00625F88">
        <w:rPr>
          <w:rFonts w:ascii="Arial" w:hAnsi="Arial" w:cs="Arial"/>
          <w:color w:val="0E101A"/>
          <w:sz w:val="20"/>
          <w:szCs w:val="20"/>
        </w:rPr>
        <w:t>, followed by R</w:t>
      </w:r>
      <w:r w:rsidRPr="0057264E">
        <w:rPr>
          <w:rFonts w:ascii="Arial" w:hAnsi="Arial" w:cs="Arial"/>
          <w:color w:val="0E101A"/>
          <w:sz w:val="20"/>
          <w:szCs w:val="20"/>
        </w:rPr>
        <w:t>1</w:t>
      </w:r>
      <w:r w:rsidRPr="00625F88">
        <w:rPr>
          <w:rFonts w:ascii="Arial" w:hAnsi="Arial" w:cs="Arial"/>
          <w:color w:val="0E101A"/>
          <w:sz w:val="20"/>
          <w:szCs w:val="20"/>
        </w:rPr>
        <w:t>B</w:t>
      </w:r>
      <w:r w:rsidRPr="0057264E">
        <w:rPr>
          <w:rFonts w:ascii="Arial" w:hAnsi="Arial" w:cs="Arial"/>
          <w:color w:val="0E101A"/>
          <w:sz w:val="20"/>
          <w:szCs w:val="20"/>
        </w:rPr>
        <w:t>0</w:t>
      </w:r>
      <w:r w:rsidRPr="00625F88">
        <w:rPr>
          <w:rFonts w:ascii="Arial" w:hAnsi="Arial" w:cs="Arial"/>
          <w:color w:val="0E101A"/>
          <w:sz w:val="20"/>
          <w:szCs w:val="20"/>
        </w:rPr>
        <w:t>, R</w:t>
      </w:r>
      <w:r w:rsidRPr="0057264E">
        <w:rPr>
          <w:rFonts w:ascii="Arial" w:hAnsi="Arial" w:cs="Arial"/>
          <w:color w:val="0E101A"/>
          <w:sz w:val="20"/>
          <w:szCs w:val="20"/>
        </w:rPr>
        <w:t>1</w:t>
      </w:r>
      <w:r w:rsidRPr="00625F88">
        <w:rPr>
          <w:rFonts w:ascii="Arial" w:hAnsi="Arial" w:cs="Arial"/>
          <w:color w:val="0E101A"/>
          <w:sz w:val="20"/>
          <w:szCs w:val="20"/>
        </w:rPr>
        <w:t>B</w:t>
      </w:r>
      <w:r w:rsidRPr="0057264E">
        <w:rPr>
          <w:rFonts w:ascii="Arial" w:hAnsi="Arial" w:cs="Arial"/>
          <w:color w:val="0E101A"/>
          <w:sz w:val="20"/>
          <w:szCs w:val="20"/>
        </w:rPr>
        <w:t>1</w:t>
      </w:r>
      <w:r w:rsidRPr="00625F88">
        <w:rPr>
          <w:rFonts w:ascii="Arial" w:hAnsi="Arial" w:cs="Arial"/>
          <w:color w:val="0E101A"/>
          <w:sz w:val="20"/>
          <w:szCs w:val="20"/>
        </w:rPr>
        <w:t>, and the lowest in R0B1. The yield trend was varying from the previous year’s data due to weather abnormalities and heavy rainfall that affected the wheat yield during this study. Due to the interactive effect of tillage and biofertilizer inoculation, the highest grain yield was in the ZTR</w:t>
      </w:r>
      <w:r w:rsidRPr="0057264E">
        <w:rPr>
          <w:rFonts w:ascii="Arial" w:hAnsi="Arial" w:cs="Arial"/>
          <w:color w:val="0E101A"/>
          <w:sz w:val="20"/>
          <w:szCs w:val="20"/>
        </w:rPr>
        <w:t>0</w:t>
      </w:r>
      <w:r w:rsidRPr="00625F88">
        <w:rPr>
          <w:rFonts w:ascii="Arial" w:hAnsi="Arial" w:cs="Arial"/>
          <w:color w:val="0E101A"/>
          <w:sz w:val="20"/>
          <w:szCs w:val="20"/>
        </w:rPr>
        <w:t>, followed by CTB</w:t>
      </w:r>
      <w:r w:rsidRPr="0057264E">
        <w:rPr>
          <w:rFonts w:ascii="Arial" w:hAnsi="Arial" w:cs="Arial"/>
          <w:color w:val="0E101A"/>
          <w:sz w:val="20"/>
          <w:szCs w:val="20"/>
        </w:rPr>
        <w:t>0</w:t>
      </w:r>
      <w:r w:rsidRPr="00625F88">
        <w:rPr>
          <w:rFonts w:ascii="Arial" w:hAnsi="Arial" w:cs="Arial"/>
          <w:color w:val="0E101A"/>
          <w:sz w:val="20"/>
          <w:szCs w:val="20"/>
        </w:rPr>
        <w:t>, CTB</w:t>
      </w:r>
      <w:r w:rsidRPr="0057264E">
        <w:rPr>
          <w:rFonts w:ascii="Arial" w:hAnsi="Arial" w:cs="Arial"/>
          <w:color w:val="0E101A"/>
          <w:sz w:val="20"/>
          <w:szCs w:val="20"/>
        </w:rPr>
        <w:t>1</w:t>
      </w:r>
      <w:r w:rsidRPr="00625F88">
        <w:rPr>
          <w:rFonts w:ascii="Arial" w:hAnsi="Arial" w:cs="Arial"/>
          <w:color w:val="0E101A"/>
          <w:sz w:val="20"/>
          <w:szCs w:val="20"/>
        </w:rPr>
        <w:t xml:space="preserve"> and the lowest in ZTB</w:t>
      </w:r>
      <w:r w:rsidRPr="0057264E">
        <w:rPr>
          <w:rFonts w:ascii="Arial" w:hAnsi="Arial" w:cs="Arial"/>
          <w:color w:val="0E101A"/>
          <w:sz w:val="20"/>
          <w:szCs w:val="20"/>
        </w:rPr>
        <w:t>1</w:t>
      </w:r>
      <w:r w:rsidRPr="00625F88">
        <w:rPr>
          <w:rFonts w:ascii="Arial" w:hAnsi="Arial" w:cs="Arial"/>
          <w:color w:val="0E101A"/>
          <w:sz w:val="20"/>
          <w:szCs w:val="20"/>
        </w:rPr>
        <w:t xml:space="preserve"> (Table 1). Three-way interaction of tillage, residue management and biofertilizer inoculation did not show a significant variation in grain yield</w:t>
      </w:r>
      <w:r w:rsidR="00A12B55" w:rsidRPr="00625F88">
        <w:rPr>
          <w:rFonts w:ascii="Arial" w:hAnsi="Arial" w:cs="Arial"/>
          <w:color w:val="0E101A"/>
          <w:sz w:val="20"/>
          <w:szCs w:val="20"/>
        </w:rPr>
        <w:t xml:space="preserve"> </w:t>
      </w:r>
    </w:p>
    <w:p w14:paraId="5A286A72" w14:textId="77777777" w:rsidR="00D959D6" w:rsidRPr="00EE2C61" w:rsidRDefault="00725128" w:rsidP="009440EC">
      <w:pPr>
        <w:spacing w:before="120" w:after="120" w:line="360" w:lineRule="auto"/>
        <w:ind w:right="-23"/>
        <w:jc w:val="both"/>
        <w:rPr>
          <w:rFonts w:ascii="Times New Roman" w:hAnsi="Times New Roman" w:cs="Times New Roman"/>
          <w:b/>
          <w:sz w:val="24"/>
          <w:szCs w:val="24"/>
          <w:lang w:val="en-US"/>
        </w:rPr>
      </w:pPr>
      <w:r w:rsidRPr="00EE2C61">
        <w:rPr>
          <w:rFonts w:ascii="Times New Roman" w:hAnsi="Times New Roman" w:cs="Times New Roman"/>
          <w:b/>
          <w:sz w:val="24"/>
          <w:szCs w:val="24"/>
          <w:lang w:val="en-US"/>
        </w:rPr>
        <w:t>Table 1</w:t>
      </w:r>
      <w:r w:rsidR="00D959D6" w:rsidRPr="00EE2C61">
        <w:rPr>
          <w:rFonts w:ascii="Times New Roman" w:hAnsi="Times New Roman" w:cs="Times New Roman"/>
          <w:b/>
          <w:sz w:val="24"/>
          <w:szCs w:val="24"/>
          <w:lang w:val="en-US"/>
        </w:rPr>
        <w:t>: Effect of tillage, residue addition, and biofertilizer inoculation on wheat yield (t ha</w:t>
      </w:r>
      <w:r w:rsidR="00D959D6" w:rsidRPr="00EE2C61">
        <w:rPr>
          <w:rFonts w:ascii="Times New Roman" w:hAnsi="Times New Roman" w:cs="Times New Roman"/>
          <w:b/>
          <w:sz w:val="24"/>
          <w:szCs w:val="24"/>
          <w:vertAlign w:val="superscript"/>
          <w:lang w:val="en-US"/>
        </w:rPr>
        <w:t>-1</w:t>
      </w:r>
      <w:r w:rsidR="00D959D6" w:rsidRPr="00EE2C61">
        <w:rPr>
          <w:rFonts w:ascii="Times New Roman" w:hAnsi="Times New Roman" w:cs="Times New Roman"/>
          <w:b/>
          <w:sz w:val="24"/>
          <w:szCs w:val="24"/>
          <w:lang w:val="en-US"/>
        </w:rPr>
        <w:t>) after the 15</w:t>
      </w:r>
      <w:r w:rsidR="00D959D6" w:rsidRPr="00EE2C61">
        <w:rPr>
          <w:rFonts w:ascii="Times New Roman" w:hAnsi="Times New Roman" w:cs="Times New Roman"/>
          <w:b/>
          <w:sz w:val="24"/>
          <w:szCs w:val="24"/>
          <w:vertAlign w:val="superscript"/>
          <w:lang w:val="en-US"/>
        </w:rPr>
        <w:t>th</w:t>
      </w:r>
      <w:r w:rsidR="00D959D6" w:rsidRPr="00EE2C61">
        <w:rPr>
          <w:rFonts w:ascii="Times New Roman" w:hAnsi="Times New Roman" w:cs="Times New Roman"/>
          <w:b/>
          <w:sz w:val="24"/>
          <w:szCs w:val="24"/>
          <w:lang w:val="en-US"/>
        </w:rPr>
        <w:t xml:space="preserve"> crop cycle</w:t>
      </w:r>
      <w:r w:rsidR="002C2D92" w:rsidRPr="00EE2C61">
        <w:rPr>
          <w:rFonts w:ascii="Times New Roman" w:hAnsi="Times New Roman" w:cs="Times New Roman"/>
          <w:b/>
          <w:sz w:val="24"/>
          <w:szCs w:val="24"/>
          <w:lang w:val="en-US"/>
        </w:rPr>
        <w:t xml:space="preserve"> (ZT-Zero-tillage, CT-Conventional tillage, R-Residue (1-with and 0-without), B-Biofertilizer inoculation (1-with and 0-without), NS-Non-significant)</w:t>
      </w:r>
    </w:p>
    <w:tbl>
      <w:tblPr>
        <w:tblW w:w="5000" w:type="pct"/>
        <w:jc w:val="center"/>
        <w:tblBorders>
          <w:top w:val="single" w:sz="4" w:space="0" w:color="auto"/>
          <w:left w:val="single" w:sz="4" w:space="0" w:color="auto"/>
          <w:bottom w:val="single" w:sz="4" w:space="0" w:color="auto"/>
          <w:right w:val="single" w:sz="4" w:space="0" w:color="auto"/>
        </w:tblBorders>
        <w:tblLook w:val="0600" w:firstRow="0" w:lastRow="0" w:firstColumn="0" w:lastColumn="0" w:noHBand="1" w:noVBand="1"/>
      </w:tblPr>
      <w:tblGrid>
        <w:gridCol w:w="1360"/>
        <w:gridCol w:w="1721"/>
        <w:gridCol w:w="1360"/>
        <w:gridCol w:w="1721"/>
        <w:gridCol w:w="1360"/>
        <w:gridCol w:w="1720"/>
      </w:tblGrid>
      <w:tr w:rsidR="002C2D92" w:rsidRPr="00EE2C61" w14:paraId="3AEBF94F" w14:textId="77777777" w:rsidTr="00EE2C61">
        <w:trPr>
          <w:trHeight w:val="300"/>
          <w:jc w:val="center"/>
        </w:trPr>
        <w:tc>
          <w:tcPr>
            <w:tcW w:w="721" w:type="pct"/>
            <w:shd w:val="clear" w:color="auto" w:fill="auto"/>
            <w:noWrap/>
            <w:vAlign w:val="bottom"/>
            <w:hideMark/>
          </w:tcPr>
          <w:p w14:paraId="5B888376" w14:textId="77777777" w:rsidR="00A12B55" w:rsidRPr="00EE2C61" w:rsidRDefault="00A12B55" w:rsidP="009440EC">
            <w:pPr>
              <w:spacing w:after="0" w:line="240" w:lineRule="auto"/>
              <w:ind w:right="-23"/>
              <w:jc w:val="center"/>
              <w:rPr>
                <w:rFonts w:ascii="Times New Roman" w:eastAsia="Times New Roman" w:hAnsi="Times New Roman" w:cs="Times New Roman"/>
                <w:b/>
                <w:bCs/>
                <w:sz w:val="24"/>
                <w:szCs w:val="24"/>
                <w:lang w:eastAsia="en-IN"/>
              </w:rPr>
            </w:pPr>
            <w:r w:rsidRPr="00EE2C61">
              <w:rPr>
                <w:rFonts w:ascii="Times New Roman" w:eastAsia="Times New Roman" w:hAnsi="Times New Roman" w:cs="Times New Roman"/>
                <w:b/>
                <w:bCs/>
                <w:sz w:val="24"/>
                <w:szCs w:val="24"/>
                <w:lang w:eastAsia="en-IN"/>
              </w:rPr>
              <w:t>Main effect</w:t>
            </w:r>
          </w:p>
        </w:tc>
        <w:tc>
          <w:tcPr>
            <w:tcW w:w="946" w:type="pct"/>
            <w:shd w:val="clear" w:color="auto" w:fill="auto"/>
            <w:noWrap/>
            <w:vAlign w:val="bottom"/>
            <w:hideMark/>
          </w:tcPr>
          <w:p w14:paraId="1F281CDC" w14:textId="77777777" w:rsidR="00A12B55" w:rsidRPr="00EE2C61" w:rsidRDefault="00A12B55" w:rsidP="009440EC">
            <w:pPr>
              <w:spacing w:after="0" w:line="240" w:lineRule="auto"/>
              <w:ind w:right="-23"/>
              <w:jc w:val="center"/>
              <w:rPr>
                <w:rFonts w:ascii="Times New Roman" w:hAnsi="Times New Roman" w:cs="Times New Roman"/>
                <w:b/>
                <w:bCs/>
                <w:kern w:val="24"/>
                <w:sz w:val="24"/>
                <w:szCs w:val="24"/>
              </w:rPr>
            </w:pPr>
            <w:r w:rsidRPr="00EE2C61">
              <w:rPr>
                <w:rFonts w:ascii="Times New Roman" w:hAnsi="Times New Roman" w:cs="Times New Roman"/>
                <w:b/>
                <w:bCs/>
                <w:kern w:val="24"/>
                <w:sz w:val="24"/>
                <w:szCs w:val="24"/>
              </w:rPr>
              <w:t xml:space="preserve">Wheat yield </w:t>
            </w:r>
          </w:p>
          <w:p w14:paraId="60E7F957" w14:textId="77777777" w:rsidR="00A12B55" w:rsidRPr="00EE2C61" w:rsidRDefault="00A12B55" w:rsidP="009440EC">
            <w:pPr>
              <w:spacing w:after="0" w:line="240" w:lineRule="auto"/>
              <w:ind w:right="-23"/>
              <w:jc w:val="center"/>
              <w:rPr>
                <w:rFonts w:ascii="Times New Roman" w:hAnsi="Times New Roman" w:cs="Times New Roman"/>
                <w:b/>
                <w:bCs/>
                <w:kern w:val="24"/>
                <w:sz w:val="24"/>
                <w:szCs w:val="24"/>
              </w:rPr>
            </w:pPr>
            <w:r w:rsidRPr="00EE2C61">
              <w:rPr>
                <w:rFonts w:ascii="Times New Roman" w:hAnsi="Times New Roman" w:cs="Times New Roman"/>
                <w:b/>
                <w:bCs/>
                <w:kern w:val="24"/>
                <w:sz w:val="24"/>
                <w:szCs w:val="24"/>
              </w:rPr>
              <w:t>(t ha</w:t>
            </w:r>
            <w:r w:rsidRPr="00EE2C61">
              <w:rPr>
                <w:rFonts w:ascii="Times New Roman" w:hAnsi="Times New Roman" w:cs="Times New Roman"/>
                <w:b/>
                <w:bCs/>
                <w:kern w:val="24"/>
                <w:sz w:val="24"/>
                <w:szCs w:val="24"/>
                <w:vertAlign w:val="superscript"/>
              </w:rPr>
              <w:t>-1</w:t>
            </w:r>
            <w:r w:rsidRPr="00EE2C61">
              <w:rPr>
                <w:rFonts w:ascii="Times New Roman" w:hAnsi="Times New Roman" w:cs="Times New Roman"/>
                <w:b/>
                <w:bCs/>
                <w:kern w:val="24"/>
                <w:sz w:val="24"/>
                <w:szCs w:val="24"/>
              </w:rPr>
              <w:t>)</w:t>
            </w:r>
          </w:p>
        </w:tc>
        <w:tc>
          <w:tcPr>
            <w:tcW w:w="721" w:type="pct"/>
            <w:shd w:val="clear" w:color="auto" w:fill="auto"/>
            <w:noWrap/>
            <w:vAlign w:val="bottom"/>
            <w:hideMark/>
          </w:tcPr>
          <w:p w14:paraId="3E555B24" w14:textId="77777777" w:rsidR="00A12B55" w:rsidRPr="00EE2C61" w:rsidRDefault="00A12B55" w:rsidP="009440EC">
            <w:pPr>
              <w:spacing w:after="0" w:line="240" w:lineRule="auto"/>
              <w:ind w:right="-23"/>
              <w:jc w:val="center"/>
              <w:rPr>
                <w:rFonts w:ascii="Times New Roman" w:eastAsia="Times New Roman" w:hAnsi="Times New Roman" w:cs="Times New Roman"/>
                <w:b/>
                <w:bCs/>
                <w:sz w:val="24"/>
                <w:szCs w:val="24"/>
                <w:lang w:eastAsia="en-IN"/>
              </w:rPr>
            </w:pPr>
            <w:r w:rsidRPr="00EE2C61">
              <w:rPr>
                <w:rFonts w:ascii="Times New Roman" w:eastAsia="Times New Roman" w:hAnsi="Times New Roman" w:cs="Times New Roman"/>
                <w:b/>
                <w:bCs/>
                <w:sz w:val="24"/>
                <w:szCs w:val="24"/>
                <w:lang w:eastAsia="en-IN"/>
              </w:rPr>
              <w:t>Main effect</w:t>
            </w:r>
          </w:p>
        </w:tc>
        <w:tc>
          <w:tcPr>
            <w:tcW w:w="946" w:type="pct"/>
            <w:shd w:val="clear" w:color="auto" w:fill="auto"/>
            <w:noWrap/>
            <w:vAlign w:val="bottom"/>
            <w:hideMark/>
          </w:tcPr>
          <w:p w14:paraId="6B965A6E" w14:textId="77777777" w:rsidR="00A12B55" w:rsidRPr="00EE2C61" w:rsidRDefault="00A12B55" w:rsidP="009440EC">
            <w:pPr>
              <w:spacing w:after="0" w:line="240" w:lineRule="auto"/>
              <w:ind w:right="-23"/>
              <w:jc w:val="center"/>
              <w:rPr>
                <w:rFonts w:ascii="Times New Roman" w:hAnsi="Times New Roman" w:cs="Times New Roman"/>
                <w:b/>
                <w:bCs/>
                <w:kern w:val="24"/>
                <w:sz w:val="24"/>
                <w:szCs w:val="24"/>
              </w:rPr>
            </w:pPr>
            <w:r w:rsidRPr="00EE2C61">
              <w:rPr>
                <w:rFonts w:ascii="Times New Roman" w:hAnsi="Times New Roman" w:cs="Times New Roman"/>
                <w:b/>
                <w:bCs/>
                <w:kern w:val="24"/>
                <w:sz w:val="24"/>
                <w:szCs w:val="24"/>
              </w:rPr>
              <w:t>Wheat yield</w:t>
            </w:r>
          </w:p>
          <w:p w14:paraId="02180C73" w14:textId="77777777" w:rsidR="00A12B55" w:rsidRPr="00EE2C61" w:rsidRDefault="00A12B55" w:rsidP="009440EC">
            <w:pPr>
              <w:spacing w:after="0" w:line="240" w:lineRule="auto"/>
              <w:ind w:right="-23"/>
              <w:jc w:val="center"/>
              <w:rPr>
                <w:rFonts w:ascii="Times New Roman" w:hAnsi="Times New Roman" w:cs="Times New Roman"/>
                <w:b/>
                <w:bCs/>
                <w:kern w:val="24"/>
                <w:sz w:val="24"/>
                <w:szCs w:val="24"/>
              </w:rPr>
            </w:pPr>
            <w:r w:rsidRPr="00EE2C61">
              <w:rPr>
                <w:rFonts w:ascii="Times New Roman" w:hAnsi="Times New Roman" w:cs="Times New Roman"/>
                <w:b/>
                <w:bCs/>
                <w:kern w:val="24"/>
                <w:sz w:val="24"/>
                <w:szCs w:val="24"/>
              </w:rPr>
              <w:t xml:space="preserve"> (t ha</w:t>
            </w:r>
            <w:r w:rsidRPr="00EE2C61">
              <w:rPr>
                <w:rFonts w:ascii="Times New Roman" w:hAnsi="Times New Roman" w:cs="Times New Roman"/>
                <w:b/>
                <w:bCs/>
                <w:kern w:val="24"/>
                <w:sz w:val="24"/>
                <w:szCs w:val="24"/>
                <w:vertAlign w:val="superscript"/>
              </w:rPr>
              <w:t>-1</w:t>
            </w:r>
            <w:r w:rsidRPr="00EE2C61">
              <w:rPr>
                <w:rFonts w:ascii="Times New Roman" w:hAnsi="Times New Roman" w:cs="Times New Roman"/>
                <w:b/>
                <w:bCs/>
                <w:kern w:val="24"/>
                <w:sz w:val="24"/>
                <w:szCs w:val="24"/>
              </w:rPr>
              <w:t>)</w:t>
            </w:r>
          </w:p>
        </w:tc>
        <w:tc>
          <w:tcPr>
            <w:tcW w:w="721" w:type="pct"/>
            <w:shd w:val="clear" w:color="auto" w:fill="auto"/>
            <w:noWrap/>
            <w:vAlign w:val="bottom"/>
            <w:hideMark/>
          </w:tcPr>
          <w:p w14:paraId="6FA24D33" w14:textId="77777777" w:rsidR="00A12B55" w:rsidRPr="00EE2C61" w:rsidRDefault="00A12B55" w:rsidP="009440EC">
            <w:pPr>
              <w:spacing w:after="0" w:line="240" w:lineRule="auto"/>
              <w:ind w:right="-23"/>
              <w:jc w:val="center"/>
              <w:rPr>
                <w:rFonts w:ascii="Times New Roman" w:eastAsia="Times New Roman" w:hAnsi="Times New Roman" w:cs="Times New Roman"/>
                <w:b/>
                <w:bCs/>
                <w:sz w:val="24"/>
                <w:szCs w:val="24"/>
                <w:lang w:eastAsia="en-IN"/>
              </w:rPr>
            </w:pPr>
            <w:r w:rsidRPr="00EE2C61">
              <w:rPr>
                <w:rFonts w:ascii="Times New Roman" w:eastAsia="Times New Roman" w:hAnsi="Times New Roman" w:cs="Times New Roman"/>
                <w:b/>
                <w:bCs/>
                <w:sz w:val="24"/>
                <w:szCs w:val="24"/>
                <w:lang w:eastAsia="en-IN"/>
              </w:rPr>
              <w:t>Main effect</w:t>
            </w:r>
          </w:p>
        </w:tc>
        <w:tc>
          <w:tcPr>
            <w:tcW w:w="947" w:type="pct"/>
            <w:shd w:val="clear" w:color="auto" w:fill="auto"/>
            <w:noWrap/>
            <w:vAlign w:val="bottom"/>
            <w:hideMark/>
          </w:tcPr>
          <w:p w14:paraId="40788AED" w14:textId="77777777" w:rsidR="00A12B55" w:rsidRPr="00EE2C61" w:rsidRDefault="00A12B55" w:rsidP="009440EC">
            <w:pPr>
              <w:spacing w:after="0" w:line="240" w:lineRule="auto"/>
              <w:ind w:right="-23"/>
              <w:jc w:val="center"/>
              <w:rPr>
                <w:rFonts w:ascii="Times New Roman" w:hAnsi="Times New Roman" w:cs="Times New Roman"/>
                <w:b/>
                <w:bCs/>
                <w:kern w:val="24"/>
                <w:sz w:val="24"/>
                <w:szCs w:val="24"/>
              </w:rPr>
            </w:pPr>
            <w:r w:rsidRPr="00EE2C61">
              <w:rPr>
                <w:rFonts w:ascii="Times New Roman" w:hAnsi="Times New Roman" w:cs="Times New Roman"/>
                <w:b/>
                <w:bCs/>
                <w:kern w:val="24"/>
                <w:sz w:val="24"/>
                <w:szCs w:val="24"/>
              </w:rPr>
              <w:t>Wheat yield</w:t>
            </w:r>
          </w:p>
          <w:p w14:paraId="6B767824" w14:textId="77777777" w:rsidR="00A12B55" w:rsidRPr="00EE2C61" w:rsidRDefault="00A12B55" w:rsidP="009440EC">
            <w:pPr>
              <w:spacing w:after="0" w:line="240" w:lineRule="auto"/>
              <w:ind w:right="-23"/>
              <w:jc w:val="center"/>
              <w:rPr>
                <w:rFonts w:ascii="Times New Roman" w:hAnsi="Times New Roman" w:cs="Times New Roman"/>
                <w:b/>
                <w:bCs/>
                <w:kern w:val="24"/>
                <w:sz w:val="24"/>
                <w:szCs w:val="24"/>
              </w:rPr>
            </w:pPr>
            <w:r w:rsidRPr="00EE2C61">
              <w:rPr>
                <w:rFonts w:ascii="Times New Roman" w:hAnsi="Times New Roman" w:cs="Times New Roman"/>
                <w:b/>
                <w:bCs/>
                <w:kern w:val="24"/>
                <w:sz w:val="24"/>
                <w:szCs w:val="24"/>
              </w:rPr>
              <w:t xml:space="preserve"> (t ha</w:t>
            </w:r>
            <w:r w:rsidRPr="00EE2C61">
              <w:rPr>
                <w:rFonts w:ascii="Times New Roman" w:hAnsi="Times New Roman" w:cs="Times New Roman"/>
                <w:b/>
                <w:bCs/>
                <w:kern w:val="24"/>
                <w:sz w:val="24"/>
                <w:szCs w:val="24"/>
                <w:vertAlign w:val="superscript"/>
              </w:rPr>
              <w:t>-1</w:t>
            </w:r>
            <w:r w:rsidRPr="00EE2C61">
              <w:rPr>
                <w:rFonts w:ascii="Times New Roman" w:hAnsi="Times New Roman" w:cs="Times New Roman"/>
                <w:b/>
                <w:bCs/>
                <w:kern w:val="24"/>
                <w:sz w:val="24"/>
                <w:szCs w:val="24"/>
              </w:rPr>
              <w:t>)</w:t>
            </w:r>
          </w:p>
        </w:tc>
      </w:tr>
      <w:tr w:rsidR="002C2D92" w:rsidRPr="00DA233C" w14:paraId="1A5FDFB3" w14:textId="77777777" w:rsidTr="00EE2C61">
        <w:trPr>
          <w:trHeight w:val="300"/>
          <w:jc w:val="center"/>
        </w:trPr>
        <w:tc>
          <w:tcPr>
            <w:tcW w:w="721" w:type="pct"/>
            <w:shd w:val="clear" w:color="auto" w:fill="auto"/>
            <w:noWrap/>
            <w:vAlign w:val="bottom"/>
            <w:hideMark/>
          </w:tcPr>
          <w:p w14:paraId="09C82BD6"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ZT</w:t>
            </w:r>
          </w:p>
        </w:tc>
        <w:tc>
          <w:tcPr>
            <w:tcW w:w="946" w:type="pct"/>
            <w:shd w:val="clear" w:color="auto" w:fill="auto"/>
            <w:noWrap/>
            <w:vAlign w:val="bottom"/>
            <w:hideMark/>
          </w:tcPr>
          <w:p w14:paraId="5F4665F1"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kern w:val="24"/>
                <w:sz w:val="24"/>
                <w:szCs w:val="24"/>
              </w:rPr>
              <w:t>3.55</w:t>
            </w:r>
          </w:p>
        </w:tc>
        <w:tc>
          <w:tcPr>
            <w:tcW w:w="721" w:type="pct"/>
            <w:shd w:val="clear" w:color="auto" w:fill="auto"/>
            <w:noWrap/>
            <w:vAlign w:val="bottom"/>
            <w:hideMark/>
          </w:tcPr>
          <w:p w14:paraId="2AC1A70B"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R</w:t>
            </w:r>
            <w:r w:rsidRPr="0057264E">
              <w:rPr>
                <w:rFonts w:ascii="Times New Roman" w:eastAsia="Times New Roman" w:hAnsi="Times New Roman" w:cs="Times New Roman"/>
                <w:sz w:val="24"/>
                <w:szCs w:val="24"/>
                <w:lang w:eastAsia="en-IN"/>
              </w:rPr>
              <w:t>0</w:t>
            </w:r>
          </w:p>
        </w:tc>
        <w:tc>
          <w:tcPr>
            <w:tcW w:w="946" w:type="pct"/>
            <w:shd w:val="clear" w:color="auto" w:fill="auto"/>
            <w:noWrap/>
            <w:vAlign w:val="bottom"/>
            <w:hideMark/>
          </w:tcPr>
          <w:p w14:paraId="62321853"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kern w:val="24"/>
                <w:sz w:val="24"/>
                <w:szCs w:val="24"/>
              </w:rPr>
              <w:t>3.48</w:t>
            </w:r>
          </w:p>
        </w:tc>
        <w:tc>
          <w:tcPr>
            <w:tcW w:w="721" w:type="pct"/>
            <w:shd w:val="clear" w:color="auto" w:fill="auto"/>
            <w:noWrap/>
            <w:vAlign w:val="bottom"/>
            <w:hideMark/>
          </w:tcPr>
          <w:p w14:paraId="36DC255C"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B</w:t>
            </w:r>
            <w:r w:rsidRPr="0057264E">
              <w:rPr>
                <w:rFonts w:ascii="Times New Roman" w:eastAsia="Times New Roman" w:hAnsi="Times New Roman" w:cs="Times New Roman"/>
                <w:sz w:val="24"/>
                <w:szCs w:val="24"/>
                <w:lang w:eastAsia="en-IN"/>
              </w:rPr>
              <w:t>0</w:t>
            </w:r>
          </w:p>
        </w:tc>
        <w:tc>
          <w:tcPr>
            <w:tcW w:w="947" w:type="pct"/>
            <w:shd w:val="clear" w:color="auto" w:fill="auto"/>
            <w:noWrap/>
            <w:vAlign w:val="bottom"/>
            <w:hideMark/>
          </w:tcPr>
          <w:p w14:paraId="369201E8"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kern w:val="24"/>
                <w:sz w:val="24"/>
                <w:szCs w:val="24"/>
              </w:rPr>
              <w:t>3.30</w:t>
            </w:r>
          </w:p>
        </w:tc>
      </w:tr>
      <w:tr w:rsidR="00A12B55" w:rsidRPr="00DA233C" w14:paraId="5F05F576" w14:textId="77777777" w:rsidTr="00EE2C61">
        <w:trPr>
          <w:trHeight w:val="300"/>
          <w:jc w:val="center"/>
        </w:trPr>
        <w:tc>
          <w:tcPr>
            <w:tcW w:w="721" w:type="pct"/>
            <w:tcBorders>
              <w:bottom w:val="single" w:sz="4" w:space="0" w:color="auto"/>
            </w:tcBorders>
            <w:shd w:val="clear" w:color="auto" w:fill="auto"/>
            <w:noWrap/>
            <w:vAlign w:val="bottom"/>
            <w:hideMark/>
          </w:tcPr>
          <w:p w14:paraId="6B159544"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CT</w:t>
            </w:r>
          </w:p>
        </w:tc>
        <w:tc>
          <w:tcPr>
            <w:tcW w:w="946" w:type="pct"/>
            <w:tcBorders>
              <w:bottom w:val="single" w:sz="4" w:space="0" w:color="auto"/>
            </w:tcBorders>
            <w:shd w:val="clear" w:color="auto" w:fill="auto"/>
            <w:noWrap/>
            <w:vAlign w:val="bottom"/>
            <w:hideMark/>
          </w:tcPr>
          <w:p w14:paraId="360C373B"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kern w:val="24"/>
                <w:sz w:val="24"/>
                <w:szCs w:val="24"/>
              </w:rPr>
              <w:t>3.41</w:t>
            </w:r>
          </w:p>
        </w:tc>
        <w:tc>
          <w:tcPr>
            <w:tcW w:w="721" w:type="pct"/>
            <w:tcBorders>
              <w:bottom w:val="single" w:sz="4" w:space="0" w:color="auto"/>
            </w:tcBorders>
            <w:shd w:val="clear" w:color="auto" w:fill="auto"/>
            <w:noWrap/>
            <w:vAlign w:val="bottom"/>
            <w:hideMark/>
          </w:tcPr>
          <w:p w14:paraId="0DAFB112"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R</w:t>
            </w:r>
            <w:r w:rsidRPr="0057264E">
              <w:rPr>
                <w:rFonts w:ascii="Times New Roman" w:eastAsia="Times New Roman" w:hAnsi="Times New Roman" w:cs="Times New Roman"/>
                <w:sz w:val="24"/>
                <w:szCs w:val="24"/>
                <w:lang w:eastAsia="en-IN"/>
              </w:rPr>
              <w:t>1</w:t>
            </w:r>
          </w:p>
        </w:tc>
        <w:tc>
          <w:tcPr>
            <w:tcW w:w="946" w:type="pct"/>
            <w:tcBorders>
              <w:bottom w:val="single" w:sz="4" w:space="0" w:color="auto"/>
            </w:tcBorders>
            <w:shd w:val="clear" w:color="auto" w:fill="auto"/>
            <w:noWrap/>
            <w:vAlign w:val="bottom"/>
            <w:hideMark/>
          </w:tcPr>
          <w:p w14:paraId="2828C2D4"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kern w:val="24"/>
                <w:sz w:val="24"/>
                <w:szCs w:val="24"/>
              </w:rPr>
              <w:t>3.47</w:t>
            </w:r>
          </w:p>
        </w:tc>
        <w:tc>
          <w:tcPr>
            <w:tcW w:w="721" w:type="pct"/>
            <w:tcBorders>
              <w:bottom w:val="single" w:sz="4" w:space="0" w:color="auto"/>
            </w:tcBorders>
            <w:shd w:val="clear" w:color="auto" w:fill="auto"/>
            <w:noWrap/>
            <w:vAlign w:val="bottom"/>
            <w:hideMark/>
          </w:tcPr>
          <w:p w14:paraId="3EC6F6D6"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B</w:t>
            </w:r>
            <w:r w:rsidRPr="0057264E">
              <w:rPr>
                <w:rFonts w:ascii="Times New Roman" w:eastAsia="Times New Roman" w:hAnsi="Times New Roman" w:cs="Times New Roman"/>
                <w:sz w:val="24"/>
                <w:szCs w:val="24"/>
                <w:lang w:eastAsia="en-IN"/>
              </w:rPr>
              <w:t>1</w:t>
            </w:r>
          </w:p>
        </w:tc>
        <w:tc>
          <w:tcPr>
            <w:tcW w:w="947" w:type="pct"/>
            <w:tcBorders>
              <w:bottom w:val="single" w:sz="4" w:space="0" w:color="auto"/>
            </w:tcBorders>
            <w:shd w:val="clear" w:color="auto" w:fill="auto"/>
            <w:noWrap/>
            <w:vAlign w:val="bottom"/>
            <w:hideMark/>
          </w:tcPr>
          <w:p w14:paraId="71F855F1"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kern w:val="24"/>
                <w:sz w:val="24"/>
                <w:szCs w:val="24"/>
              </w:rPr>
              <w:t>3.66</w:t>
            </w:r>
          </w:p>
        </w:tc>
      </w:tr>
      <w:tr w:rsidR="00A12B55" w:rsidRPr="00DA233C" w14:paraId="5C8CCE2D" w14:textId="77777777" w:rsidTr="00EE2C61">
        <w:trPr>
          <w:trHeight w:val="300"/>
          <w:jc w:val="center"/>
        </w:trPr>
        <w:tc>
          <w:tcPr>
            <w:tcW w:w="721" w:type="pct"/>
            <w:tcBorders>
              <w:top w:val="single" w:sz="4" w:space="0" w:color="auto"/>
              <w:bottom w:val="single" w:sz="4" w:space="0" w:color="auto"/>
            </w:tcBorders>
            <w:shd w:val="clear" w:color="auto" w:fill="auto"/>
            <w:noWrap/>
            <w:vAlign w:val="bottom"/>
            <w:hideMark/>
          </w:tcPr>
          <w:p w14:paraId="02A693E7"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SE (m)</w:t>
            </w:r>
          </w:p>
        </w:tc>
        <w:tc>
          <w:tcPr>
            <w:tcW w:w="946" w:type="pct"/>
            <w:tcBorders>
              <w:top w:val="single" w:sz="4" w:space="0" w:color="auto"/>
              <w:bottom w:val="single" w:sz="4" w:space="0" w:color="auto"/>
            </w:tcBorders>
            <w:shd w:val="clear" w:color="auto" w:fill="auto"/>
            <w:noWrap/>
            <w:hideMark/>
          </w:tcPr>
          <w:p w14:paraId="4B84A4D6"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0.04</w:t>
            </w:r>
          </w:p>
        </w:tc>
        <w:tc>
          <w:tcPr>
            <w:tcW w:w="721" w:type="pct"/>
            <w:tcBorders>
              <w:top w:val="single" w:sz="4" w:space="0" w:color="auto"/>
              <w:bottom w:val="single" w:sz="4" w:space="0" w:color="auto"/>
            </w:tcBorders>
            <w:shd w:val="clear" w:color="auto" w:fill="auto"/>
            <w:noWrap/>
            <w:vAlign w:val="bottom"/>
            <w:hideMark/>
          </w:tcPr>
          <w:p w14:paraId="3AB48E1F"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SE (m)</w:t>
            </w:r>
          </w:p>
        </w:tc>
        <w:tc>
          <w:tcPr>
            <w:tcW w:w="946" w:type="pct"/>
            <w:tcBorders>
              <w:top w:val="single" w:sz="4" w:space="0" w:color="auto"/>
              <w:bottom w:val="single" w:sz="4" w:space="0" w:color="auto"/>
            </w:tcBorders>
            <w:shd w:val="clear" w:color="auto" w:fill="auto"/>
            <w:noWrap/>
            <w:hideMark/>
          </w:tcPr>
          <w:p w14:paraId="3BBD06B7"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0.04</w:t>
            </w:r>
          </w:p>
        </w:tc>
        <w:tc>
          <w:tcPr>
            <w:tcW w:w="721" w:type="pct"/>
            <w:tcBorders>
              <w:top w:val="single" w:sz="4" w:space="0" w:color="auto"/>
              <w:bottom w:val="single" w:sz="4" w:space="0" w:color="auto"/>
            </w:tcBorders>
            <w:shd w:val="clear" w:color="auto" w:fill="auto"/>
            <w:noWrap/>
            <w:vAlign w:val="bottom"/>
            <w:hideMark/>
          </w:tcPr>
          <w:p w14:paraId="5DB770F2"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SE (m)</w:t>
            </w:r>
          </w:p>
        </w:tc>
        <w:tc>
          <w:tcPr>
            <w:tcW w:w="947" w:type="pct"/>
            <w:tcBorders>
              <w:top w:val="single" w:sz="4" w:space="0" w:color="auto"/>
              <w:bottom w:val="single" w:sz="4" w:space="0" w:color="auto"/>
            </w:tcBorders>
            <w:shd w:val="clear" w:color="auto" w:fill="auto"/>
            <w:noWrap/>
            <w:hideMark/>
          </w:tcPr>
          <w:p w14:paraId="6174E547"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0.04</w:t>
            </w:r>
          </w:p>
        </w:tc>
      </w:tr>
      <w:tr w:rsidR="00A12B55" w:rsidRPr="00DA233C" w14:paraId="10DEED81" w14:textId="77777777" w:rsidTr="00EE2C61">
        <w:trPr>
          <w:trHeight w:val="300"/>
          <w:jc w:val="center"/>
        </w:trPr>
        <w:tc>
          <w:tcPr>
            <w:tcW w:w="721" w:type="pct"/>
            <w:tcBorders>
              <w:top w:val="single" w:sz="4" w:space="0" w:color="auto"/>
              <w:bottom w:val="single" w:sz="4" w:space="0" w:color="auto"/>
            </w:tcBorders>
            <w:shd w:val="clear" w:color="auto" w:fill="auto"/>
            <w:noWrap/>
            <w:vAlign w:val="bottom"/>
            <w:hideMark/>
          </w:tcPr>
          <w:p w14:paraId="20CE7814"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LSD (0.05)</w:t>
            </w:r>
          </w:p>
        </w:tc>
        <w:tc>
          <w:tcPr>
            <w:tcW w:w="946" w:type="pct"/>
            <w:tcBorders>
              <w:top w:val="single" w:sz="4" w:space="0" w:color="auto"/>
              <w:bottom w:val="single" w:sz="4" w:space="0" w:color="auto"/>
            </w:tcBorders>
            <w:shd w:val="clear" w:color="auto" w:fill="auto"/>
            <w:noWrap/>
            <w:hideMark/>
          </w:tcPr>
          <w:p w14:paraId="2BE1680A"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0.11</w:t>
            </w:r>
          </w:p>
        </w:tc>
        <w:tc>
          <w:tcPr>
            <w:tcW w:w="721" w:type="pct"/>
            <w:tcBorders>
              <w:top w:val="single" w:sz="4" w:space="0" w:color="auto"/>
              <w:bottom w:val="single" w:sz="4" w:space="0" w:color="auto"/>
            </w:tcBorders>
            <w:shd w:val="clear" w:color="auto" w:fill="auto"/>
            <w:noWrap/>
            <w:vAlign w:val="bottom"/>
            <w:hideMark/>
          </w:tcPr>
          <w:p w14:paraId="01611A22"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LSD (0.05)</w:t>
            </w:r>
          </w:p>
        </w:tc>
        <w:tc>
          <w:tcPr>
            <w:tcW w:w="946" w:type="pct"/>
            <w:tcBorders>
              <w:top w:val="single" w:sz="4" w:space="0" w:color="auto"/>
              <w:bottom w:val="single" w:sz="4" w:space="0" w:color="auto"/>
            </w:tcBorders>
            <w:shd w:val="clear" w:color="auto" w:fill="auto"/>
            <w:noWrap/>
            <w:hideMark/>
          </w:tcPr>
          <w:p w14:paraId="05343D4F"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NS</w:t>
            </w:r>
          </w:p>
        </w:tc>
        <w:tc>
          <w:tcPr>
            <w:tcW w:w="721" w:type="pct"/>
            <w:tcBorders>
              <w:top w:val="single" w:sz="4" w:space="0" w:color="auto"/>
              <w:bottom w:val="single" w:sz="4" w:space="0" w:color="auto"/>
            </w:tcBorders>
            <w:shd w:val="clear" w:color="auto" w:fill="auto"/>
            <w:noWrap/>
            <w:vAlign w:val="bottom"/>
            <w:hideMark/>
          </w:tcPr>
          <w:p w14:paraId="4020A098"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LSD (0.05)</w:t>
            </w:r>
          </w:p>
        </w:tc>
        <w:tc>
          <w:tcPr>
            <w:tcW w:w="947" w:type="pct"/>
            <w:tcBorders>
              <w:top w:val="single" w:sz="4" w:space="0" w:color="auto"/>
              <w:bottom w:val="single" w:sz="4" w:space="0" w:color="auto"/>
            </w:tcBorders>
            <w:shd w:val="clear" w:color="auto" w:fill="auto"/>
            <w:noWrap/>
            <w:hideMark/>
          </w:tcPr>
          <w:p w14:paraId="3EBDC297"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0.11</w:t>
            </w:r>
          </w:p>
        </w:tc>
      </w:tr>
      <w:tr w:rsidR="00A12B55" w:rsidRPr="00DA233C" w14:paraId="3EDC5564" w14:textId="77777777" w:rsidTr="00EE2C61">
        <w:trPr>
          <w:trHeight w:val="300"/>
          <w:jc w:val="center"/>
        </w:trPr>
        <w:tc>
          <w:tcPr>
            <w:tcW w:w="721" w:type="pct"/>
            <w:tcBorders>
              <w:top w:val="single" w:sz="4" w:space="0" w:color="auto"/>
              <w:bottom w:val="single" w:sz="4" w:space="0" w:color="auto"/>
            </w:tcBorders>
            <w:shd w:val="clear" w:color="auto" w:fill="auto"/>
            <w:noWrap/>
            <w:vAlign w:val="bottom"/>
            <w:hideMark/>
          </w:tcPr>
          <w:p w14:paraId="534A2EC0"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Interaction</w:t>
            </w:r>
          </w:p>
        </w:tc>
        <w:tc>
          <w:tcPr>
            <w:tcW w:w="946" w:type="pct"/>
            <w:tcBorders>
              <w:top w:val="single" w:sz="4" w:space="0" w:color="auto"/>
              <w:bottom w:val="single" w:sz="4" w:space="0" w:color="auto"/>
            </w:tcBorders>
            <w:shd w:val="clear" w:color="auto" w:fill="auto"/>
            <w:noWrap/>
            <w:hideMark/>
          </w:tcPr>
          <w:p w14:paraId="5FF06120" w14:textId="77777777" w:rsidR="00A12B55" w:rsidRPr="00DA233C" w:rsidRDefault="00A12B55" w:rsidP="009440EC">
            <w:pPr>
              <w:spacing w:after="0" w:line="240" w:lineRule="auto"/>
              <w:ind w:right="-23"/>
              <w:jc w:val="center"/>
              <w:rPr>
                <w:rFonts w:ascii="Times New Roman" w:hAnsi="Times New Roman" w:cs="Times New Roman"/>
                <w:bCs/>
                <w:kern w:val="24"/>
                <w:sz w:val="24"/>
                <w:szCs w:val="24"/>
                <w:lang w:val="en-US"/>
              </w:rPr>
            </w:pPr>
          </w:p>
        </w:tc>
        <w:tc>
          <w:tcPr>
            <w:tcW w:w="721" w:type="pct"/>
            <w:tcBorders>
              <w:top w:val="single" w:sz="4" w:space="0" w:color="auto"/>
              <w:bottom w:val="single" w:sz="4" w:space="0" w:color="auto"/>
            </w:tcBorders>
            <w:shd w:val="clear" w:color="auto" w:fill="auto"/>
            <w:noWrap/>
            <w:vAlign w:val="bottom"/>
            <w:hideMark/>
          </w:tcPr>
          <w:p w14:paraId="23CAFF9D"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Interaction</w:t>
            </w:r>
          </w:p>
        </w:tc>
        <w:tc>
          <w:tcPr>
            <w:tcW w:w="946" w:type="pct"/>
            <w:tcBorders>
              <w:top w:val="single" w:sz="4" w:space="0" w:color="auto"/>
              <w:bottom w:val="single" w:sz="4" w:space="0" w:color="auto"/>
            </w:tcBorders>
            <w:shd w:val="clear" w:color="auto" w:fill="auto"/>
            <w:noWrap/>
            <w:hideMark/>
          </w:tcPr>
          <w:p w14:paraId="3DBCEE98" w14:textId="77777777" w:rsidR="00A12B55" w:rsidRPr="00DA233C" w:rsidRDefault="00A12B55" w:rsidP="009440EC">
            <w:pPr>
              <w:spacing w:after="0" w:line="240" w:lineRule="auto"/>
              <w:ind w:right="-23"/>
              <w:jc w:val="center"/>
              <w:rPr>
                <w:rFonts w:ascii="Times New Roman" w:hAnsi="Times New Roman" w:cs="Times New Roman"/>
                <w:bCs/>
                <w:kern w:val="24"/>
                <w:sz w:val="24"/>
                <w:szCs w:val="24"/>
                <w:lang w:val="en-US"/>
              </w:rPr>
            </w:pPr>
          </w:p>
        </w:tc>
        <w:tc>
          <w:tcPr>
            <w:tcW w:w="721" w:type="pct"/>
            <w:tcBorders>
              <w:top w:val="single" w:sz="4" w:space="0" w:color="auto"/>
              <w:bottom w:val="single" w:sz="4" w:space="0" w:color="auto"/>
            </w:tcBorders>
            <w:shd w:val="clear" w:color="auto" w:fill="auto"/>
            <w:noWrap/>
            <w:vAlign w:val="bottom"/>
            <w:hideMark/>
          </w:tcPr>
          <w:p w14:paraId="141A1EC7"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Interaction</w:t>
            </w:r>
          </w:p>
        </w:tc>
        <w:tc>
          <w:tcPr>
            <w:tcW w:w="947" w:type="pct"/>
            <w:tcBorders>
              <w:top w:val="single" w:sz="4" w:space="0" w:color="auto"/>
              <w:bottom w:val="single" w:sz="4" w:space="0" w:color="auto"/>
            </w:tcBorders>
            <w:shd w:val="clear" w:color="auto" w:fill="auto"/>
            <w:noWrap/>
            <w:hideMark/>
          </w:tcPr>
          <w:p w14:paraId="491B7ECD" w14:textId="77777777" w:rsidR="00A12B55" w:rsidRPr="00DA233C" w:rsidRDefault="00A12B55" w:rsidP="009440EC">
            <w:pPr>
              <w:spacing w:after="0" w:line="240" w:lineRule="auto"/>
              <w:ind w:right="-23"/>
              <w:jc w:val="center"/>
              <w:rPr>
                <w:rFonts w:ascii="Times New Roman" w:hAnsi="Times New Roman" w:cs="Times New Roman"/>
                <w:bCs/>
                <w:kern w:val="24"/>
                <w:sz w:val="24"/>
                <w:szCs w:val="24"/>
                <w:lang w:val="en-US"/>
              </w:rPr>
            </w:pPr>
          </w:p>
        </w:tc>
      </w:tr>
      <w:tr w:rsidR="002C2D92" w:rsidRPr="00DA233C" w14:paraId="09E0C3F9" w14:textId="77777777" w:rsidTr="00EE2C61">
        <w:trPr>
          <w:trHeight w:val="300"/>
          <w:jc w:val="center"/>
        </w:trPr>
        <w:tc>
          <w:tcPr>
            <w:tcW w:w="721" w:type="pct"/>
            <w:tcBorders>
              <w:top w:val="single" w:sz="4" w:space="0" w:color="auto"/>
            </w:tcBorders>
            <w:shd w:val="clear" w:color="auto" w:fill="auto"/>
            <w:noWrap/>
            <w:vAlign w:val="bottom"/>
            <w:hideMark/>
          </w:tcPr>
          <w:p w14:paraId="25C4ABC8"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ZTR</w:t>
            </w:r>
            <w:r w:rsidRPr="0057264E">
              <w:rPr>
                <w:rFonts w:ascii="Times New Roman" w:eastAsia="Times New Roman" w:hAnsi="Times New Roman" w:cs="Times New Roman"/>
                <w:sz w:val="24"/>
                <w:szCs w:val="24"/>
                <w:lang w:eastAsia="en-IN"/>
              </w:rPr>
              <w:t>0</w:t>
            </w:r>
          </w:p>
        </w:tc>
        <w:tc>
          <w:tcPr>
            <w:tcW w:w="946" w:type="pct"/>
            <w:tcBorders>
              <w:top w:val="single" w:sz="4" w:space="0" w:color="auto"/>
            </w:tcBorders>
            <w:shd w:val="clear" w:color="auto" w:fill="auto"/>
            <w:noWrap/>
            <w:vAlign w:val="center"/>
            <w:hideMark/>
          </w:tcPr>
          <w:p w14:paraId="04FED1F4"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3.54</w:t>
            </w:r>
          </w:p>
        </w:tc>
        <w:tc>
          <w:tcPr>
            <w:tcW w:w="721" w:type="pct"/>
            <w:tcBorders>
              <w:top w:val="single" w:sz="4" w:space="0" w:color="auto"/>
            </w:tcBorders>
            <w:shd w:val="clear" w:color="auto" w:fill="auto"/>
            <w:noWrap/>
            <w:vAlign w:val="bottom"/>
            <w:hideMark/>
          </w:tcPr>
          <w:p w14:paraId="3EC93D41"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R</w:t>
            </w:r>
            <w:r w:rsidRPr="0057264E">
              <w:rPr>
                <w:rFonts w:ascii="Times New Roman" w:eastAsia="Times New Roman" w:hAnsi="Times New Roman" w:cs="Times New Roman"/>
                <w:sz w:val="24"/>
                <w:szCs w:val="24"/>
                <w:lang w:eastAsia="en-IN"/>
              </w:rPr>
              <w:t>0</w:t>
            </w:r>
            <w:r w:rsidRPr="00DA233C">
              <w:rPr>
                <w:rFonts w:ascii="Times New Roman" w:eastAsia="Times New Roman" w:hAnsi="Times New Roman" w:cs="Times New Roman"/>
                <w:sz w:val="24"/>
                <w:szCs w:val="24"/>
                <w:lang w:eastAsia="en-IN"/>
              </w:rPr>
              <w:t>B</w:t>
            </w:r>
            <w:r w:rsidRPr="0057264E">
              <w:rPr>
                <w:rFonts w:ascii="Times New Roman" w:eastAsia="Times New Roman" w:hAnsi="Times New Roman" w:cs="Times New Roman"/>
                <w:sz w:val="24"/>
                <w:szCs w:val="24"/>
                <w:lang w:eastAsia="en-IN"/>
              </w:rPr>
              <w:t>0</w:t>
            </w:r>
          </w:p>
        </w:tc>
        <w:tc>
          <w:tcPr>
            <w:tcW w:w="946" w:type="pct"/>
            <w:tcBorders>
              <w:top w:val="single" w:sz="4" w:space="0" w:color="auto"/>
            </w:tcBorders>
            <w:shd w:val="clear" w:color="auto" w:fill="auto"/>
            <w:noWrap/>
            <w:hideMark/>
          </w:tcPr>
          <w:p w14:paraId="493FC89F"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3.77</w:t>
            </w:r>
          </w:p>
        </w:tc>
        <w:tc>
          <w:tcPr>
            <w:tcW w:w="721" w:type="pct"/>
            <w:tcBorders>
              <w:top w:val="single" w:sz="4" w:space="0" w:color="auto"/>
            </w:tcBorders>
            <w:shd w:val="clear" w:color="auto" w:fill="auto"/>
            <w:noWrap/>
            <w:vAlign w:val="bottom"/>
            <w:hideMark/>
          </w:tcPr>
          <w:p w14:paraId="2F0045B8"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ZTB</w:t>
            </w:r>
            <w:r w:rsidRPr="0057264E">
              <w:rPr>
                <w:rFonts w:ascii="Times New Roman" w:eastAsia="Times New Roman" w:hAnsi="Times New Roman" w:cs="Times New Roman"/>
                <w:sz w:val="24"/>
                <w:szCs w:val="24"/>
                <w:lang w:eastAsia="en-IN"/>
              </w:rPr>
              <w:t>0</w:t>
            </w:r>
          </w:p>
        </w:tc>
        <w:tc>
          <w:tcPr>
            <w:tcW w:w="947" w:type="pct"/>
            <w:tcBorders>
              <w:top w:val="single" w:sz="4" w:space="0" w:color="auto"/>
            </w:tcBorders>
            <w:shd w:val="clear" w:color="auto" w:fill="auto"/>
            <w:noWrap/>
            <w:hideMark/>
          </w:tcPr>
          <w:p w14:paraId="387F6209"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3.82</w:t>
            </w:r>
          </w:p>
        </w:tc>
      </w:tr>
      <w:tr w:rsidR="002C2D92" w:rsidRPr="00DA233C" w14:paraId="3B7AA5FA" w14:textId="77777777" w:rsidTr="00EE2C61">
        <w:trPr>
          <w:trHeight w:val="300"/>
          <w:jc w:val="center"/>
        </w:trPr>
        <w:tc>
          <w:tcPr>
            <w:tcW w:w="721" w:type="pct"/>
            <w:shd w:val="clear" w:color="auto" w:fill="auto"/>
            <w:noWrap/>
            <w:vAlign w:val="bottom"/>
            <w:hideMark/>
          </w:tcPr>
          <w:p w14:paraId="0ECACCA0"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ZTR</w:t>
            </w:r>
            <w:r w:rsidRPr="0057264E">
              <w:rPr>
                <w:rFonts w:ascii="Times New Roman" w:eastAsia="Times New Roman" w:hAnsi="Times New Roman" w:cs="Times New Roman"/>
                <w:sz w:val="24"/>
                <w:szCs w:val="24"/>
                <w:lang w:eastAsia="en-IN"/>
              </w:rPr>
              <w:t>1</w:t>
            </w:r>
          </w:p>
        </w:tc>
        <w:tc>
          <w:tcPr>
            <w:tcW w:w="946" w:type="pct"/>
            <w:shd w:val="clear" w:color="auto" w:fill="auto"/>
            <w:noWrap/>
            <w:vAlign w:val="center"/>
            <w:hideMark/>
          </w:tcPr>
          <w:p w14:paraId="1518CD33"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3.56</w:t>
            </w:r>
          </w:p>
        </w:tc>
        <w:tc>
          <w:tcPr>
            <w:tcW w:w="721" w:type="pct"/>
            <w:shd w:val="clear" w:color="auto" w:fill="auto"/>
            <w:noWrap/>
            <w:vAlign w:val="bottom"/>
            <w:hideMark/>
          </w:tcPr>
          <w:p w14:paraId="7384E468"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R</w:t>
            </w:r>
            <w:r w:rsidRPr="0057264E">
              <w:rPr>
                <w:rFonts w:ascii="Times New Roman" w:eastAsia="Times New Roman" w:hAnsi="Times New Roman" w:cs="Times New Roman"/>
                <w:sz w:val="24"/>
                <w:szCs w:val="24"/>
                <w:lang w:eastAsia="en-IN"/>
              </w:rPr>
              <w:t>0</w:t>
            </w:r>
            <w:r w:rsidRPr="00DA233C">
              <w:rPr>
                <w:rFonts w:ascii="Times New Roman" w:eastAsia="Times New Roman" w:hAnsi="Times New Roman" w:cs="Times New Roman"/>
                <w:sz w:val="24"/>
                <w:szCs w:val="24"/>
                <w:lang w:eastAsia="en-IN"/>
              </w:rPr>
              <w:t>B</w:t>
            </w:r>
            <w:r w:rsidRPr="0057264E">
              <w:rPr>
                <w:rFonts w:ascii="Times New Roman" w:eastAsia="Times New Roman" w:hAnsi="Times New Roman" w:cs="Times New Roman"/>
                <w:sz w:val="24"/>
                <w:szCs w:val="24"/>
                <w:lang w:eastAsia="en-IN"/>
              </w:rPr>
              <w:t>1</w:t>
            </w:r>
          </w:p>
        </w:tc>
        <w:tc>
          <w:tcPr>
            <w:tcW w:w="946" w:type="pct"/>
            <w:shd w:val="clear" w:color="auto" w:fill="auto"/>
            <w:noWrap/>
            <w:hideMark/>
          </w:tcPr>
          <w:p w14:paraId="4C3B638A"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3.20</w:t>
            </w:r>
          </w:p>
        </w:tc>
        <w:tc>
          <w:tcPr>
            <w:tcW w:w="721" w:type="pct"/>
            <w:shd w:val="clear" w:color="auto" w:fill="auto"/>
            <w:noWrap/>
            <w:vAlign w:val="bottom"/>
            <w:hideMark/>
          </w:tcPr>
          <w:p w14:paraId="1D66856B"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ZTB</w:t>
            </w:r>
            <w:r w:rsidRPr="0057264E">
              <w:rPr>
                <w:rFonts w:ascii="Times New Roman" w:eastAsia="Times New Roman" w:hAnsi="Times New Roman" w:cs="Times New Roman"/>
                <w:sz w:val="24"/>
                <w:szCs w:val="24"/>
                <w:lang w:eastAsia="en-IN"/>
              </w:rPr>
              <w:t>1</w:t>
            </w:r>
          </w:p>
        </w:tc>
        <w:tc>
          <w:tcPr>
            <w:tcW w:w="947" w:type="pct"/>
            <w:shd w:val="clear" w:color="auto" w:fill="auto"/>
            <w:noWrap/>
            <w:hideMark/>
          </w:tcPr>
          <w:p w14:paraId="01191D03"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3.28</w:t>
            </w:r>
          </w:p>
        </w:tc>
      </w:tr>
      <w:tr w:rsidR="002C2D92" w:rsidRPr="00DA233C" w14:paraId="633A686F" w14:textId="77777777" w:rsidTr="00EE2C61">
        <w:trPr>
          <w:trHeight w:val="300"/>
          <w:jc w:val="center"/>
        </w:trPr>
        <w:tc>
          <w:tcPr>
            <w:tcW w:w="721" w:type="pct"/>
            <w:shd w:val="clear" w:color="auto" w:fill="auto"/>
            <w:noWrap/>
            <w:vAlign w:val="bottom"/>
            <w:hideMark/>
          </w:tcPr>
          <w:p w14:paraId="6B3E2FE6"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CTR</w:t>
            </w:r>
            <w:r w:rsidRPr="0057264E">
              <w:rPr>
                <w:rFonts w:ascii="Times New Roman" w:eastAsia="Times New Roman" w:hAnsi="Times New Roman" w:cs="Times New Roman"/>
                <w:sz w:val="24"/>
                <w:szCs w:val="24"/>
                <w:lang w:eastAsia="en-IN"/>
              </w:rPr>
              <w:t>0</w:t>
            </w:r>
          </w:p>
        </w:tc>
        <w:tc>
          <w:tcPr>
            <w:tcW w:w="946" w:type="pct"/>
            <w:shd w:val="clear" w:color="auto" w:fill="auto"/>
            <w:noWrap/>
            <w:vAlign w:val="center"/>
            <w:hideMark/>
          </w:tcPr>
          <w:p w14:paraId="4BC08C2E"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3.43</w:t>
            </w:r>
          </w:p>
        </w:tc>
        <w:tc>
          <w:tcPr>
            <w:tcW w:w="721" w:type="pct"/>
            <w:shd w:val="clear" w:color="auto" w:fill="auto"/>
            <w:noWrap/>
            <w:vAlign w:val="bottom"/>
            <w:hideMark/>
          </w:tcPr>
          <w:p w14:paraId="34CEA3D8"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R</w:t>
            </w:r>
            <w:r w:rsidRPr="0057264E">
              <w:rPr>
                <w:rFonts w:ascii="Times New Roman" w:eastAsia="Times New Roman" w:hAnsi="Times New Roman" w:cs="Times New Roman"/>
                <w:sz w:val="24"/>
                <w:szCs w:val="24"/>
                <w:lang w:eastAsia="en-IN"/>
              </w:rPr>
              <w:t>1</w:t>
            </w:r>
            <w:r w:rsidRPr="00DA233C">
              <w:rPr>
                <w:rFonts w:ascii="Times New Roman" w:eastAsia="Times New Roman" w:hAnsi="Times New Roman" w:cs="Times New Roman"/>
                <w:sz w:val="24"/>
                <w:szCs w:val="24"/>
                <w:lang w:eastAsia="en-IN"/>
              </w:rPr>
              <w:t>B</w:t>
            </w:r>
            <w:r w:rsidRPr="0057264E">
              <w:rPr>
                <w:rFonts w:ascii="Times New Roman" w:eastAsia="Times New Roman" w:hAnsi="Times New Roman" w:cs="Times New Roman"/>
                <w:sz w:val="24"/>
                <w:szCs w:val="24"/>
                <w:lang w:eastAsia="en-IN"/>
              </w:rPr>
              <w:t>0</w:t>
            </w:r>
          </w:p>
        </w:tc>
        <w:tc>
          <w:tcPr>
            <w:tcW w:w="946" w:type="pct"/>
            <w:shd w:val="clear" w:color="auto" w:fill="auto"/>
            <w:noWrap/>
            <w:hideMark/>
          </w:tcPr>
          <w:p w14:paraId="767054DB"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3.56</w:t>
            </w:r>
          </w:p>
        </w:tc>
        <w:tc>
          <w:tcPr>
            <w:tcW w:w="721" w:type="pct"/>
            <w:shd w:val="clear" w:color="auto" w:fill="auto"/>
            <w:noWrap/>
            <w:vAlign w:val="bottom"/>
            <w:hideMark/>
          </w:tcPr>
          <w:p w14:paraId="4E744906"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CTB</w:t>
            </w:r>
            <w:r w:rsidRPr="0057264E">
              <w:rPr>
                <w:rFonts w:ascii="Times New Roman" w:eastAsia="Times New Roman" w:hAnsi="Times New Roman" w:cs="Times New Roman"/>
                <w:sz w:val="24"/>
                <w:szCs w:val="24"/>
                <w:lang w:eastAsia="en-IN"/>
              </w:rPr>
              <w:t>0</w:t>
            </w:r>
          </w:p>
        </w:tc>
        <w:tc>
          <w:tcPr>
            <w:tcW w:w="947" w:type="pct"/>
            <w:shd w:val="clear" w:color="auto" w:fill="auto"/>
            <w:noWrap/>
            <w:hideMark/>
          </w:tcPr>
          <w:p w14:paraId="5E224192"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3.51</w:t>
            </w:r>
          </w:p>
        </w:tc>
      </w:tr>
      <w:tr w:rsidR="002C2D92" w:rsidRPr="00DA233C" w14:paraId="482C6A25" w14:textId="77777777" w:rsidTr="00EE2C61">
        <w:trPr>
          <w:trHeight w:val="300"/>
          <w:jc w:val="center"/>
        </w:trPr>
        <w:tc>
          <w:tcPr>
            <w:tcW w:w="721" w:type="pct"/>
            <w:tcBorders>
              <w:bottom w:val="single" w:sz="4" w:space="0" w:color="auto"/>
            </w:tcBorders>
            <w:shd w:val="clear" w:color="auto" w:fill="auto"/>
            <w:noWrap/>
            <w:vAlign w:val="bottom"/>
            <w:hideMark/>
          </w:tcPr>
          <w:p w14:paraId="52C567D4"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CTR</w:t>
            </w:r>
            <w:r w:rsidRPr="0057264E">
              <w:rPr>
                <w:rFonts w:ascii="Times New Roman" w:eastAsia="Times New Roman" w:hAnsi="Times New Roman" w:cs="Times New Roman"/>
                <w:sz w:val="24"/>
                <w:szCs w:val="24"/>
                <w:lang w:eastAsia="en-IN"/>
              </w:rPr>
              <w:t>1</w:t>
            </w:r>
          </w:p>
        </w:tc>
        <w:tc>
          <w:tcPr>
            <w:tcW w:w="946" w:type="pct"/>
            <w:tcBorders>
              <w:bottom w:val="single" w:sz="4" w:space="0" w:color="auto"/>
            </w:tcBorders>
            <w:shd w:val="clear" w:color="auto" w:fill="auto"/>
            <w:noWrap/>
            <w:vAlign w:val="center"/>
            <w:hideMark/>
          </w:tcPr>
          <w:p w14:paraId="7A2D135E"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3.39</w:t>
            </w:r>
          </w:p>
        </w:tc>
        <w:tc>
          <w:tcPr>
            <w:tcW w:w="721" w:type="pct"/>
            <w:tcBorders>
              <w:bottom w:val="single" w:sz="4" w:space="0" w:color="auto"/>
            </w:tcBorders>
            <w:shd w:val="clear" w:color="auto" w:fill="auto"/>
            <w:noWrap/>
            <w:vAlign w:val="bottom"/>
            <w:hideMark/>
          </w:tcPr>
          <w:p w14:paraId="2E4CF7CF"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R</w:t>
            </w:r>
            <w:r w:rsidRPr="0057264E">
              <w:rPr>
                <w:rFonts w:ascii="Times New Roman" w:eastAsia="Times New Roman" w:hAnsi="Times New Roman" w:cs="Times New Roman"/>
                <w:sz w:val="24"/>
                <w:szCs w:val="24"/>
                <w:lang w:eastAsia="en-IN"/>
              </w:rPr>
              <w:t>1</w:t>
            </w:r>
            <w:r w:rsidRPr="00DA233C">
              <w:rPr>
                <w:rFonts w:ascii="Times New Roman" w:eastAsia="Times New Roman" w:hAnsi="Times New Roman" w:cs="Times New Roman"/>
                <w:sz w:val="24"/>
                <w:szCs w:val="24"/>
                <w:lang w:eastAsia="en-IN"/>
              </w:rPr>
              <w:t>B</w:t>
            </w:r>
            <w:r w:rsidRPr="0057264E">
              <w:rPr>
                <w:rFonts w:ascii="Times New Roman" w:eastAsia="Times New Roman" w:hAnsi="Times New Roman" w:cs="Times New Roman"/>
                <w:sz w:val="24"/>
                <w:szCs w:val="24"/>
                <w:lang w:eastAsia="en-IN"/>
              </w:rPr>
              <w:t>1</w:t>
            </w:r>
          </w:p>
        </w:tc>
        <w:tc>
          <w:tcPr>
            <w:tcW w:w="946" w:type="pct"/>
            <w:tcBorders>
              <w:bottom w:val="single" w:sz="4" w:space="0" w:color="auto"/>
            </w:tcBorders>
            <w:shd w:val="clear" w:color="auto" w:fill="auto"/>
            <w:noWrap/>
            <w:hideMark/>
          </w:tcPr>
          <w:p w14:paraId="59CB8103"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3.39</w:t>
            </w:r>
          </w:p>
        </w:tc>
        <w:tc>
          <w:tcPr>
            <w:tcW w:w="721" w:type="pct"/>
            <w:tcBorders>
              <w:bottom w:val="single" w:sz="4" w:space="0" w:color="auto"/>
            </w:tcBorders>
            <w:shd w:val="clear" w:color="auto" w:fill="auto"/>
            <w:noWrap/>
            <w:vAlign w:val="bottom"/>
            <w:hideMark/>
          </w:tcPr>
          <w:p w14:paraId="6F212E7F"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CTB</w:t>
            </w:r>
            <w:r w:rsidRPr="0057264E">
              <w:rPr>
                <w:rFonts w:ascii="Times New Roman" w:eastAsia="Times New Roman" w:hAnsi="Times New Roman" w:cs="Times New Roman"/>
                <w:sz w:val="24"/>
                <w:szCs w:val="24"/>
                <w:lang w:eastAsia="en-IN"/>
              </w:rPr>
              <w:t>1</w:t>
            </w:r>
          </w:p>
        </w:tc>
        <w:tc>
          <w:tcPr>
            <w:tcW w:w="947" w:type="pct"/>
            <w:tcBorders>
              <w:bottom w:val="single" w:sz="4" w:space="0" w:color="auto"/>
            </w:tcBorders>
            <w:shd w:val="clear" w:color="auto" w:fill="auto"/>
            <w:noWrap/>
            <w:hideMark/>
          </w:tcPr>
          <w:p w14:paraId="6701B93E"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3.31</w:t>
            </w:r>
          </w:p>
        </w:tc>
      </w:tr>
      <w:tr w:rsidR="00A12B55" w:rsidRPr="00DA233C" w14:paraId="3CFF5B2E" w14:textId="77777777" w:rsidTr="00EE2C61">
        <w:trPr>
          <w:trHeight w:val="300"/>
          <w:jc w:val="center"/>
        </w:trPr>
        <w:tc>
          <w:tcPr>
            <w:tcW w:w="721" w:type="pct"/>
            <w:tcBorders>
              <w:top w:val="single" w:sz="4" w:space="0" w:color="auto"/>
              <w:bottom w:val="single" w:sz="4" w:space="0" w:color="auto"/>
            </w:tcBorders>
            <w:shd w:val="clear" w:color="auto" w:fill="auto"/>
            <w:noWrap/>
            <w:vAlign w:val="bottom"/>
            <w:hideMark/>
          </w:tcPr>
          <w:p w14:paraId="6AF0F97C"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SE (m)</w:t>
            </w:r>
          </w:p>
        </w:tc>
        <w:tc>
          <w:tcPr>
            <w:tcW w:w="946" w:type="pct"/>
            <w:tcBorders>
              <w:top w:val="single" w:sz="4" w:space="0" w:color="auto"/>
              <w:bottom w:val="single" w:sz="4" w:space="0" w:color="auto"/>
            </w:tcBorders>
            <w:shd w:val="clear" w:color="auto" w:fill="auto"/>
            <w:noWrap/>
            <w:vAlign w:val="bottom"/>
            <w:hideMark/>
          </w:tcPr>
          <w:p w14:paraId="39A00767"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0.05</w:t>
            </w:r>
          </w:p>
        </w:tc>
        <w:tc>
          <w:tcPr>
            <w:tcW w:w="721" w:type="pct"/>
            <w:tcBorders>
              <w:top w:val="single" w:sz="4" w:space="0" w:color="auto"/>
              <w:bottom w:val="single" w:sz="4" w:space="0" w:color="auto"/>
            </w:tcBorders>
            <w:shd w:val="clear" w:color="auto" w:fill="auto"/>
            <w:noWrap/>
            <w:vAlign w:val="bottom"/>
            <w:hideMark/>
          </w:tcPr>
          <w:p w14:paraId="4B48CFE9"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SE (m)</w:t>
            </w:r>
          </w:p>
        </w:tc>
        <w:tc>
          <w:tcPr>
            <w:tcW w:w="946" w:type="pct"/>
            <w:tcBorders>
              <w:top w:val="single" w:sz="4" w:space="0" w:color="auto"/>
              <w:bottom w:val="single" w:sz="4" w:space="0" w:color="auto"/>
            </w:tcBorders>
            <w:shd w:val="clear" w:color="auto" w:fill="auto"/>
            <w:noWrap/>
            <w:vAlign w:val="bottom"/>
            <w:hideMark/>
          </w:tcPr>
          <w:p w14:paraId="435D0126"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0.06</w:t>
            </w:r>
          </w:p>
        </w:tc>
        <w:tc>
          <w:tcPr>
            <w:tcW w:w="721" w:type="pct"/>
            <w:tcBorders>
              <w:top w:val="single" w:sz="4" w:space="0" w:color="auto"/>
              <w:bottom w:val="single" w:sz="4" w:space="0" w:color="auto"/>
            </w:tcBorders>
            <w:shd w:val="clear" w:color="auto" w:fill="auto"/>
            <w:noWrap/>
            <w:vAlign w:val="bottom"/>
            <w:hideMark/>
          </w:tcPr>
          <w:p w14:paraId="6201F109"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SE (m)</w:t>
            </w:r>
          </w:p>
        </w:tc>
        <w:tc>
          <w:tcPr>
            <w:tcW w:w="947" w:type="pct"/>
            <w:tcBorders>
              <w:top w:val="single" w:sz="4" w:space="0" w:color="auto"/>
              <w:bottom w:val="single" w:sz="4" w:space="0" w:color="auto"/>
            </w:tcBorders>
            <w:shd w:val="clear" w:color="auto" w:fill="auto"/>
            <w:noWrap/>
            <w:vAlign w:val="bottom"/>
            <w:hideMark/>
          </w:tcPr>
          <w:p w14:paraId="7F88C520"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0.06</w:t>
            </w:r>
          </w:p>
        </w:tc>
      </w:tr>
      <w:tr w:rsidR="00A12B55" w:rsidRPr="00DA233C" w14:paraId="0E442626" w14:textId="77777777" w:rsidTr="00EE2C61">
        <w:trPr>
          <w:trHeight w:val="207"/>
          <w:jc w:val="center"/>
        </w:trPr>
        <w:tc>
          <w:tcPr>
            <w:tcW w:w="721" w:type="pct"/>
            <w:tcBorders>
              <w:top w:val="single" w:sz="4" w:space="0" w:color="auto"/>
              <w:bottom w:val="single" w:sz="4" w:space="0" w:color="auto"/>
            </w:tcBorders>
            <w:shd w:val="clear" w:color="auto" w:fill="auto"/>
            <w:noWrap/>
            <w:vAlign w:val="bottom"/>
            <w:hideMark/>
          </w:tcPr>
          <w:p w14:paraId="2B59C59C"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LSD (0.05)</w:t>
            </w:r>
          </w:p>
        </w:tc>
        <w:tc>
          <w:tcPr>
            <w:tcW w:w="946" w:type="pct"/>
            <w:tcBorders>
              <w:top w:val="single" w:sz="4" w:space="0" w:color="auto"/>
              <w:bottom w:val="single" w:sz="4" w:space="0" w:color="auto"/>
            </w:tcBorders>
            <w:shd w:val="clear" w:color="auto" w:fill="auto"/>
            <w:noWrap/>
            <w:vAlign w:val="bottom"/>
            <w:hideMark/>
          </w:tcPr>
          <w:p w14:paraId="2DFEB99B"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NS</w:t>
            </w:r>
          </w:p>
        </w:tc>
        <w:tc>
          <w:tcPr>
            <w:tcW w:w="721" w:type="pct"/>
            <w:tcBorders>
              <w:top w:val="single" w:sz="4" w:space="0" w:color="auto"/>
              <w:bottom w:val="single" w:sz="4" w:space="0" w:color="auto"/>
            </w:tcBorders>
            <w:shd w:val="clear" w:color="auto" w:fill="auto"/>
            <w:noWrap/>
            <w:vAlign w:val="bottom"/>
            <w:hideMark/>
          </w:tcPr>
          <w:p w14:paraId="2023312C"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LSD (0.05)</w:t>
            </w:r>
          </w:p>
        </w:tc>
        <w:tc>
          <w:tcPr>
            <w:tcW w:w="946" w:type="pct"/>
            <w:tcBorders>
              <w:top w:val="single" w:sz="4" w:space="0" w:color="auto"/>
              <w:bottom w:val="single" w:sz="4" w:space="0" w:color="auto"/>
            </w:tcBorders>
            <w:shd w:val="clear" w:color="auto" w:fill="auto"/>
            <w:noWrap/>
            <w:vAlign w:val="bottom"/>
            <w:hideMark/>
          </w:tcPr>
          <w:p w14:paraId="012231DD"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0.15</w:t>
            </w:r>
          </w:p>
        </w:tc>
        <w:tc>
          <w:tcPr>
            <w:tcW w:w="721" w:type="pct"/>
            <w:tcBorders>
              <w:top w:val="single" w:sz="4" w:space="0" w:color="auto"/>
              <w:bottom w:val="single" w:sz="4" w:space="0" w:color="auto"/>
            </w:tcBorders>
            <w:shd w:val="clear" w:color="auto" w:fill="auto"/>
            <w:noWrap/>
            <w:vAlign w:val="bottom"/>
            <w:hideMark/>
          </w:tcPr>
          <w:p w14:paraId="17DFACB3"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LSD (0.05)</w:t>
            </w:r>
          </w:p>
        </w:tc>
        <w:tc>
          <w:tcPr>
            <w:tcW w:w="947" w:type="pct"/>
            <w:tcBorders>
              <w:top w:val="single" w:sz="4" w:space="0" w:color="auto"/>
              <w:bottom w:val="single" w:sz="4" w:space="0" w:color="auto"/>
            </w:tcBorders>
            <w:shd w:val="clear" w:color="auto" w:fill="auto"/>
            <w:noWrap/>
            <w:vAlign w:val="bottom"/>
            <w:hideMark/>
          </w:tcPr>
          <w:p w14:paraId="7AF11874"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0.15</w:t>
            </w:r>
          </w:p>
        </w:tc>
      </w:tr>
      <w:tr w:rsidR="00A12B55" w:rsidRPr="00DA233C" w14:paraId="157B7618" w14:textId="77777777" w:rsidTr="00EE2C61">
        <w:trPr>
          <w:gridAfter w:val="4"/>
          <w:wAfter w:w="3334" w:type="pct"/>
          <w:trHeight w:val="300"/>
          <w:jc w:val="center"/>
        </w:trPr>
        <w:tc>
          <w:tcPr>
            <w:tcW w:w="721" w:type="pct"/>
            <w:tcBorders>
              <w:top w:val="single" w:sz="4" w:space="0" w:color="auto"/>
              <w:bottom w:val="single" w:sz="4" w:space="0" w:color="auto"/>
            </w:tcBorders>
          </w:tcPr>
          <w:p w14:paraId="67782F62" w14:textId="77777777" w:rsidR="00A12B55" w:rsidRPr="00DA233C" w:rsidRDefault="00A12B55" w:rsidP="009440EC">
            <w:pPr>
              <w:spacing w:after="0" w:line="240" w:lineRule="auto"/>
              <w:ind w:right="-23"/>
              <w:jc w:val="both"/>
              <w:rPr>
                <w:rFonts w:ascii="Times New Roman" w:hAnsi="Times New Roman" w:cs="Times New Roman"/>
                <w:kern w:val="24"/>
                <w:sz w:val="24"/>
                <w:szCs w:val="24"/>
              </w:rPr>
            </w:pPr>
            <w:r w:rsidRPr="00DA233C">
              <w:rPr>
                <w:rFonts w:ascii="Times New Roman" w:eastAsia="Times New Roman" w:hAnsi="Times New Roman" w:cs="Times New Roman"/>
                <w:sz w:val="24"/>
                <w:szCs w:val="24"/>
                <w:lang w:eastAsia="en-IN"/>
              </w:rPr>
              <w:t>Interaction</w:t>
            </w:r>
          </w:p>
        </w:tc>
        <w:tc>
          <w:tcPr>
            <w:tcW w:w="946" w:type="pct"/>
            <w:tcBorders>
              <w:top w:val="single" w:sz="4" w:space="0" w:color="auto"/>
              <w:bottom w:val="single" w:sz="4" w:space="0" w:color="auto"/>
            </w:tcBorders>
            <w:vAlign w:val="bottom"/>
          </w:tcPr>
          <w:p w14:paraId="08BEA98F" w14:textId="77777777" w:rsidR="00A12B55" w:rsidRPr="00DA233C" w:rsidRDefault="00A12B55" w:rsidP="009440EC">
            <w:pPr>
              <w:spacing w:after="0" w:line="240" w:lineRule="auto"/>
              <w:ind w:right="-23"/>
              <w:jc w:val="both"/>
              <w:rPr>
                <w:rFonts w:ascii="Times New Roman" w:hAnsi="Times New Roman" w:cs="Times New Roman"/>
                <w:kern w:val="24"/>
                <w:sz w:val="24"/>
                <w:szCs w:val="24"/>
              </w:rPr>
            </w:pPr>
          </w:p>
        </w:tc>
      </w:tr>
      <w:tr w:rsidR="00A12B55" w:rsidRPr="00DA233C" w14:paraId="5B76B786" w14:textId="77777777" w:rsidTr="00EE2C61">
        <w:trPr>
          <w:gridAfter w:val="4"/>
          <w:wAfter w:w="3334" w:type="pct"/>
          <w:trHeight w:val="300"/>
          <w:jc w:val="center"/>
        </w:trPr>
        <w:tc>
          <w:tcPr>
            <w:tcW w:w="721" w:type="pct"/>
            <w:tcBorders>
              <w:top w:val="single" w:sz="4" w:space="0" w:color="auto"/>
            </w:tcBorders>
          </w:tcPr>
          <w:p w14:paraId="3C6E3177" w14:textId="77777777" w:rsidR="00A12B55" w:rsidRPr="00DA233C" w:rsidRDefault="00A12B55" w:rsidP="009440EC">
            <w:pPr>
              <w:spacing w:after="0" w:line="240" w:lineRule="auto"/>
              <w:ind w:right="-23"/>
              <w:jc w:val="both"/>
              <w:rPr>
                <w:rFonts w:ascii="Times New Roman" w:hAnsi="Times New Roman" w:cs="Times New Roman"/>
                <w:kern w:val="24"/>
                <w:sz w:val="24"/>
                <w:szCs w:val="24"/>
              </w:rPr>
            </w:pPr>
            <w:r w:rsidRPr="00DA233C">
              <w:rPr>
                <w:rFonts w:ascii="Times New Roman" w:hAnsi="Times New Roman" w:cs="Times New Roman"/>
                <w:kern w:val="24"/>
                <w:sz w:val="24"/>
                <w:szCs w:val="24"/>
              </w:rPr>
              <w:t>ZTR</w:t>
            </w:r>
            <w:r w:rsidRPr="008D03AE">
              <w:rPr>
                <w:rFonts w:ascii="Times New Roman" w:hAnsi="Times New Roman" w:cs="Times New Roman"/>
                <w:kern w:val="24"/>
                <w:sz w:val="24"/>
                <w:szCs w:val="24"/>
              </w:rPr>
              <w:t>0</w:t>
            </w:r>
            <w:r w:rsidRPr="00DA233C">
              <w:rPr>
                <w:rFonts w:ascii="Times New Roman" w:hAnsi="Times New Roman" w:cs="Times New Roman"/>
                <w:kern w:val="24"/>
                <w:sz w:val="24"/>
                <w:szCs w:val="24"/>
              </w:rPr>
              <w:t>B</w:t>
            </w:r>
            <w:r w:rsidRPr="008D03AE">
              <w:rPr>
                <w:rFonts w:ascii="Times New Roman" w:hAnsi="Times New Roman" w:cs="Times New Roman"/>
                <w:kern w:val="24"/>
                <w:sz w:val="24"/>
                <w:szCs w:val="24"/>
              </w:rPr>
              <w:t>0</w:t>
            </w:r>
          </w:p>
        </w:tc>
        <w:tc>
          <w:tcPr>
            <w:tcW w:w="946" w:type="pct"/>
            <w:tcBorders>
              <w:top w:val="single" w:sz="4" w:space="0" w:color="auto"/>
            </w:tcBorders>
            <w:vAlign w:val="bottom"/>
          </w:tcPr>
          <w:p w14:paraId="6A6C654A" w14:textId="77777777" w:rsidR="00A12B55" w:rsidRPr="00DA233C" w:rsidRDefault="00A12B55" w:rsidP="009440EC">
            <w:pPr>
              <w:spacing w:after="0" w:line="240" w:lineRule="auto"/>
              <w:ind w:right="-23"/>
              <w:jc w:val="both"/>
              <w:rPr>
                <w:rFonts w:ascii="Times New Roman" w:hAnsi="Times New Roman" w:cs="Times New Roman"/>
                <w:kern w:val="24"/>
                <w:sz w:val="24"/>
                <w:szCs w:val="24"/>
              </w:rPr>
            </w:pPr>
            <w:r w:rsidRPr="00DA233C">
              <w:rPr>
                <w:rFonts w:ascii="Times New Roman" w:hAnsi="Times New Roman" w:cs="Times New Roman"/>
                <w:kern w:val="24"/>
                <w:sz w:val="24"/>
                <w:szCs w:val="24"/>
              </w:rPr>
              <w:t>3.15</w:t>
            </w:r>
          </w:p>
        </w:tc>
      </w:tr>
      <w:tr w:rsidR="00A12B55" w:rsidRPr="00DA233C" w14:paraId="05111739" w14:textId="77777777" w:rsidTr="00EE2C61">
        <w:trPr>
          <w:gridAfter w:val="4"/>
          <w:wAfter w:w="3334" w:type="pct"/>
          <w:trHeight w:val="300"/>
          <w:jc w:val="center"/>
        </w:trPr>
        <w:tc>
          <w:tcPr>
            <w:tcW w:w="721" w:type="pct"/>
          </w:tcPr>
          <w:p w14:paraId="746B823E" w14:textId="77777777" w:rsidR="00A12B55" w:rsidRPr="00DA233C" w:rsidRDefault="00A12B55" w:rsidP="009440EC">
            <w:pPr>
              <w:spacing w:after="0" w:line="240" w:lineRule="auto"/>
              <w:ind w:right="-23"/>
              <w:jc w:val="both"/>
              <w:rPr>
                <w:rFonts w:ascii="Times New Roman" w:hAnsi="Times New Roman" w:cs="Times New Roman"/>
                <w:kern w:val="24"/>
                <w:sz w:val="24"/>
                <w:szCs w:val="24"/>
              </w:rPr>
            </w:pPr>
            <w:r w:rsidRPr="00DA233C">
              <w:rPr>
                <w:rFonts w:ascii="Times New Roman" w:hAnsi="Times New Roman" w:cs="Times New Roman"/>
                <w:kern w:val="24"/>
                <w:sz w:val="24"/>
                <w:szCs w:val="24"/>
              </w:rPr>
              <w:t>ZTR</w:t>
            </w:r>
            <w:r w:rsidRPr="008D03AE">
              <w:rPr>
                <w:rFonts w:ascii="Times New Roman" w:hAnsi="Times New Roman" w:cs="Times New Roman"/>
                <w:kern w:val="24"/>
                <w:sz w:val="24"/>
                <w:szCs w:val="24"/>
              </w:rPr>
              <w:t>0</w:t>
            </w:r>
            <w:r w:rsidRPr="00DA233C">
              <w:rPr>
                <w:rFonts w:ascii="Times New Roman" w:hAnsi="Times New Roman" w:cs="Times New Roman"/>
                <w:kern w:val="24"/>
                <w:sz w:val="24"/>
                <w:szCs w:val="24"/>
              </w:rPr>
              <w:t>B</w:t>
            </w:r>
            <w:r w:rsidRPr="008D03AE">
              <w:rPr>
                <w:rFonts w:ascii="Times New Roman" w:hAnsi="Times New Roman" w:cs="Times New Roman"/>
                <w:kern w:val="24"/>
                <w:sz w:val="24"/>
                <w:szCs w:val="24"/>
              </w:rPr>
              <w:t>1</w:t>
            </w:r>
          </w:p>
        </w:tc>
        <w:tc>
          <w:tcPr>
            <w:tcW w:w="946" w:type="pct"/>
            <w:vAlign w:val="bottom"/>
          </w:tcPr>
          <w:p w14:paraId="5B707A4F" w14:textId="77777777" w:rsidR="00A12B55" w:rsidRPr="00DA233C" w:rsidRDefault="00A12B55" w:rsidP="009440EC">
            <w:pPr>
              <w:spacing w:after="0" w:line="240" w:lineRule="auto"/>
              <w:ind w:right="-23"/>
              <w:jc w:val="both"/>
              <w:rPr>
                <w:rFonts w:ascii="Times New Roman" w:hAnsi="Times New Roman" w:cs="Times New Roman"/>
                <w:kern w:val="24"/>
                <w:sz w:val="24"/>
                <w:szCs w:val="24"/>
              </w:rPr>
            </w:pPr>
            <w:r w:rsidRPr="00DA233C">
              <w:rPr>
                <w:rFonts w:ascii="Times New Roman" w:hAnsi="Times New Roman" w:cs="Times New Roman"/>
                <w:kern w:val="24"/>
                <w:sz w:val="24"/>
                <w:szCs w:val="24"/>
              </w:rPr>
              <w:t>3.93</w:t>
            </w:r>
          </w:p>
        </w:tc>
      </w:tr>
      <w:tr w:rsidR="00A12B55" w:rsidRPr="00DA233C" w14:paraId="57829055" w14:textId="77777777" w:rsidTr="00EE2C61">
        <w:trPr>
          <w:gridAfter w:val="4"/>
          <w:wAfter w:w="3334" w:type="pct"/>
          <w:trHeight w:val="300"/>
          <w:jc w:val="center"/>
        </w:trPr>
        <w:tc>
          <w:tcPr>
            <w:tcW w:w="721" w:type="pct"/>
          </w:tcPr>
          <w:p w14:paraId="7BB4961B" w14:textId="77777777" w:rsidR="00A12B55" w:rsidRPr="00DA233C" w:rsidRDefault="00A12B55" w:rsidP="009440EC">
            <w:pPr>
              <w:spacing w:after="0" w:line="240" w:lineRule="auto"/>
              <w:ind w:right="-23"/>
              <w:jc w:val="both"/>
              <w:rPr>
                <w:rFonts w:ascii="Times New Roman" w:hAnsi="Times New Roman" w:cs="Times New Roman"/>
                <w:bCs/>
                <w:kern w:val="24"/>
                <w:sz w:val="24"/>
                <w:szCs w:val="24"/>
                <w:lang w:val="en-US"/>
              </w:rPr>
            </w:pPr>
            <w:r w:rsidRPr="00DA233C">
              <w:rPr>
                <w:rFonts w:ascii="Times New Roman" w:hAnsi="Times New Roman" w:cs="Times New Roman"/>
                <w:kern w:val="24"/>
                <w:sz w:val="24"/>
                <w:szCs w:val="24"/>
              </w:rPr>
              <w:t>ZTR</w:t>
            </w:r>
            <w:r w:rsidRPr="008D03AE">
              <w:rPr>
                <w:rFonts w:ascii="Times New Roman" w:hAnsi="Times New Roman" w:cs="Times New Roman"/>
                <w:kern w:val="24"/>
                <w:sz w:val="24"/>
                <w:szCs w:val="24"/>
              </w:rPr>
              <w:t>1</w:t>
            </w:r>
            <w:r w:rsidRPr="00DA233C">
              <w:rPr>
                <w:rFonts w:ascii="Times New Roman" w:hAnsi="Times New Roman" w:cs="Times New Roman"/>
                <w:kern w:val="24"/>
                <w:sz w:val="24"/>
                <w:szCs w:val="24"/>
              </w:rPr>
              <w:t>B</w:t>
            </w:r>
            <w:r w:rsidRPr="008D03AE">
              <w:rPr>
                <w:rFonts w:ascii="Times New Roman" w:hAnsi="Times New Roman" w:cs="Times New Roman"/>
                <w:kern w:val="24"/>
                <w:sz w:val="24"/>
                <w:szCs w:val="24"/>
              </w:rPr>
              <w:t>0</w:t>
            </w:r>
          </w:p>
        </w:tc>
        <w:tc>
          <w:tcPr>
            <w:tcW w:w="946" w:type="pct"/>
            <w:vAlign w:val="bottom"/>
          </w:tcPr>
          <w:p w14:paraId="59EF970C" w14:textId="77777777" w:rsidR="00A12B55" w:rsidRPr="00DA233C" w:rsidRDefault="00A12B55" w:rsidP="009440EC">
            <w:pPr>
              <w:spacing w:after="0" w:line="240" w:lineRule="auto"/>
              <w:ind w:right="-23"/>
              <w:jc w:val="both"/>
              <w:rPr>
                <w:rFonts w:ascii="Times New Roman" w:hAnsi="Times New Roman" w:cs="Times New Roman"/>
                <w:bCs/>
                <w:kern w:val="24"/>
                <w:sz w:val="24"/>
                <w:szCs w:val="24"/>
                <w:lang w:val="en-US"/>
              </w:rPr>
            </w:pPr>
            <w:r w:rsidRPr="00DA233C">
              <w:rPr>
                <w:rFonts w:ascii="Times New Roman" w:hAnsi="Times New Roman" w:cs="Times New Roman"/>
                <w:kern w:val="24"/>
                <w:sz w:val="24"/>
                <w:szCs w:val="24"/>
              </w:rPr>
              <w:t>3.41</w:t>
            </w:r>
          </w:p>
        </w:tc>
      </w:tr>
      <w:tr w:rsidR="00A12B55" w:rsidRPr="00DA233C" w14:paraId="7BE9E28D" w14:textId="77777777" w:rsidTr="00EE2C61">
        <w:trPr>
          <w:gridAfter w:val="4"/>
          <w:wAfter w:w="3334" w:type="pct"/>
          <w:trHeight w:val="300"/>
          <w:jc w:val="center"/>
        </w:trPr>
        <w:tc>
          <w:tcPr>
            <w:tcW w:w="721" w:type="pct"/>
          </w:tcPr>
          <w:p w14:paraId="46E7F913" w14:textId="77777777" w:rsidR="00A12B55" w:rsidRPr="00DA233C" w:rsidRDefault="00A12B55" w:rsidP="009440EC">
            <w:pPr>
              <w:spacing w:after="0" w:line="240" w:lineRule="auto"/>
              <w:ind w:right="-23"/>
              <w:jc w:val="both"/>
              <w:rPr>
                <w:rFonts w:ascii="Times New Roman" w:hAnsi="Times New Roman" w:cs="Times New Roman"/>
                <w:bCs/>
                <w:kern w:val="24"/>
                <w:sz w:val="24"/>
                <w:szCs w:val="24"/>
                <w:lang w:val="en-US"/>
              </w:rPr>
            </w:pPr>
            <w:r w:rsidRPr="00DA233C">
              <w:rPr>
                <w:rFonts w:ascii="Times New Roman" w:hAnsi="Times New Roman" w:cs="Times New Roman"/>
                <w:kern w:val="24"/>
                <w:sz w:val="24"/>
                <w:szCs w:val="24"/>
              </w:rPr>
              <w:t>ZTR</w:t>
            </w:r>
            <w:r w:rsidRPr="008D03AE">
              <w:rPr>
                <w:rFonts w:ascii="Times New Roman" w:hAnsi="Times New Roman" w:cs="Times New Roman"/>
                <w:kern w:val="24"/>
                <w:sz w:val="24"/>
                <w:szCs w:val="24"/>
              </w:rPr>
              <w:t>1</w:t>
            </w:r>
            <w:r w:rsidRPr="00DA233C">
              <w:rPr>
                <w:rFonts w:ascii="Times New Roman" w:hAnsi="Times New Roman" w:cs="Times New Roman"/>
                <w:kern w:val="24"/>
                <w:sz w:val="24"/>
                <w:szCs w:val="24"/>
              </w:rPr>
              <w:t>B</w:t>
            </w:r>
            <w:r w:rsidRPr="008D03AE">
              <w:rPr>
                <w:rFonts w:ascii="Times New Roman" w:hAnsi="Times New Roman" w:cs="Times New Roman"/>
                <w:kern w:val="24"/>
                <w:sz w:val="24"/>
                <w:szCs w:val="24"/>
              </w:rPr>
              <w:t>1</w:t>
            </w:r>
          </w:p>
        </w:tc>
        <w:tc>
          <w:tcPr>
            <w:tcW w:w="946" w:type="pct"/>
            <w:vAlign w:val="bottom"/>
          </w:tcPr>
          <w:p w14:paraId="4C4B32D5" w14:textId="77777777" w:rsidR="00A12B55" w:rsidRPr="00DA233C" w:rsidRDefault="00A12B55" w:rsidP="009440EC">
            <w:pPr>
              <w:spacing w:after="0" w:line="240" w:lineRule="auto"/>
              <w:ind w:right="-23"/>
              <w:jc w:val="both"/>
              <w:rPr>
                <w:rFonts w:ascii="Times New Roman" w:hAnsi="Times New Roman" w:cs="Times New Roman"/>
                <w:bCs/>
                <w:kern w:val="24"/>
                <w:sz w:val="24"/>
                <w:szCs w:val="24"/>
                <w:lang w:val="en-US"/>
              </w:rPr>
            </w:pPr>
            <w:r w:rsidRPr="00DA233C">
              <w:rPr>
                <w:rFonts w:ascii="Times New Roman" w:hAnsi="Times New Roman" w:cs="Times New Roman"/>
                <w:kern w:val="24"/>
                <w:sz w:val="24"/>
                <w:szCs w:val="24"/>
              </w:rPr>
              <w:t>3.71</w:t>
            </w:r>
          </w:p>
        </w:tc>
      </w:tr>
      <w:tr w:rsidR="00A12B55" w:rsidRPr="00DA233C" w14:paraId="226C954D" w14:textId="77777777" w:rsidTr="00EE2C61">
        <w:trPr>
          <w:gridAfter w:val="4"/>
          <w:wAfter w:w="3334" w:type="pct"/>
          <w:trHeight w:val="300"/>
          <w:jc w:val="center"/>
        </w:trPr>
        <w:tc>
          <w:tcPr>
            <w:tcW w:w="721" w:type="pct"/>
          </w:tcPr>
          <w:p w14:paraId="56A53EDF" w14:textId="77777777" w:rsidR="00A12B55" w:rsidRPr="00DA233C" w:rsidRDefault="00A12B55" w:rsidP="009440EC">
            <w:pPr>
              <w:spacing w:after="0" w:line="240" w:lineRule="auto"/>
              <w:ind w:right="-23"/>
              <w:jc w:val="both"/>
              <w:rPr>
                <w:rFonts w:ascii="Times New Roman" w:eastAsia="Calibri" w:hAnsi="Times New Roman" w:cs="Times New Roman"/>
                <w:kern w:val="24"/>
                <w:sz w:val="24"/>
                <w:szCs w:val="24"/>
              </w:rPr>
            </w:pPr>
            <w:r w:rsidRPr="00DA233C">
              <w:rPr>
                <w:rFonts w:ascii="Times New Roman" w:hAnsi="Times New Roman" w:cs="Times New Roman"/>
                <w:kern w:val="24"/>
                <w:sz w:val="24"/>
                <w:szCs w:val="24"/>
              </w:rPr>
              <w:t>CTR</w:t>
            </w:r>
            <w:r w:rsidRPr="008D03AE">
              <w:rPr>
                <w:rFonts w:ascii="Times New Roman" w:hAnsi="Times New Roman" w:cs="Times New Roman"/>
                <w:kern w:val="24"/>
                <w:sz w:val="24"/>
                <w:szCs w:val="24"/>
              </w:rPr>
              <w:t>0</w:t>
            </w:r>
            <w:r w:rsidRPr="00DA233C">
              <w:rPr>
                <w:rFonts w:ascii="Times New Roman" w:hAnsi="Times New Roman" w:cs="Times New Roman"/>
                <w:kern w:val="24"/>
                <w:sz w:val="24"/>
                <w:szCs w:val="24"/>
              </w:rPr>
              <w:t>B</w:t>
            </w:r>
            <w:r w:rsidRPr="008D03AE">
              <w:rPr>
                <w:rFonts w:ascii="Times New Roman" w:hAnsi="Times New Roman" w:cs="Times New Roman"/>
                <w:kern w:val="24"/>
                <w:sz w:val="24"/>
                <w:szCs w:val="24"/>
              </w:rPr>
              <w:t>0</w:t>
            </w:r>
          </w:p>
        </w:tc>
        <w:tc>
          <w:tcPr>
            <w:tcW w:w="946" w:type="pct"/>
            <w:vAlign w:val="bottom"/>
          </w:tcPr>
          <w:p w14:paraId="1C69D066" w14:textId="77777777" w:rsidR="00A12B55" w:rsidRPr="00DA233C" w:rsidRDefault="00A12B55" w:rsidP="009440EC">
            <w:pPr>
              <w:spacing w:after="0" w:line="240" w:lineRule="auto"/>
              <w:ind w:right="-23"/>
              <w:jc w:val="both"/>
              <w:rPr>
                <w:rFonts w:ascii="Times New Roman" w:eastAsia="Calibri" w:hAnsi="Times New Roman" w:cs="Times New Roman"/>
                <w:kern w:val="24"/>
                <w:sz w:val="24"/>
                <w:szCs w:val="24"/>
              </w:rPr>
            </w:pPr>
            <w:r w:rsidRPr="00DA233C">
              <w:rPr>
                <w:rFonts w:ascii="Times New Roman" w:hAnsi="Times New Roman" w:cs="Times New Roman"/>
                <w:kern w:val="24"/>
                <w:sz w:val="24"/>
                <w:szCs w:val="24"/>
              </w:rPr>
              <w:t>3.25</w:t>
            </w:r>
          </w:p>
        </w:tc>
      </w:tr>
      <w:tr w:rsidR="00A12B55" w:rsidRPr="00DA233C" w14:paraId="060EE1FC" w14:textId="77777777" w:rsidTr="00EE2C61">
        <w:trPr>
          <w:gridAfter w:val="4"/>
          <w:wAfter w:w="3334" w:type="pct"/>
          <w:trHeight w:val="300"/>
          <w:jc w:val="center"/>
        </w:trPr>
        <w:tc>
          <w:tcPr>
            <w:tcW w:w="721" w:type="pct"/>
          </w:tcPr>
          <w:p w14:paraId="3AA85FF3" w14:textId="77777777" w:rsidR="00A12B55" w:rsidRPr="00DA233C" w:rsidRDefault="00A12B55" w:rsidP="009440EC">
            <w:pPr>
              <w:spacing w:after="0" w:line="240" w:lineRule="auto"/>
              <w:ind w:right="-23"/>
              <w:jc w:val="both"/>
              <w:rPr>
                <w:rFonts w:ascii="Times New Roman" w:eastAsia="Calibri" w:hAnsi="Times New Roman" w:cs="Times New Roman"/>
                <w:kern w:val="24"/>
                <w:sz w:val="24"/>
                <w:szCs w:val="24"/>
              </w:rPr>
            </w:pPr>
            <w:r w:rsidRPr="00DA233C">
              <w:rPr>
                <w:rFonts w:ascii="Times New Roman" w:hAnsi="Times New Roman" w:cs="Times New Roman"/>
                <w:kern w:val="24"/>
                <w:sz w:val="24"/>
                <w:szCs w:val="24"/>
              </w:rPr>
              <w:t>CTR</w:t>
            </w:r>
            <w:r w:rsidRPr="008D03AE">
              <w:rPr>
                <w:rFonts w:ascii="Times New Roman" w:hAnsi="Times New Roman" w:cs="Times New Roman"/>
                <w:kern w:val="24"/>
                <w:sz w:val="24"/>
                <w:szCs w:val="24"/>
              </w:rPr>
              <w:t>0</w:t>
            </w:r>
            <w:r w:rsidRPr="00DA233C">
              <w:rPr>
                <w:rFonts w:ascii="Times New Roman" w:hAnsi="Times New Roman" w:cs="Times New Roman"/>
                <w:kern w:val="24"/>
                <w:sz w:val="24"/>
                <w:szCs w:val="24"/>
              </w:rPr>
              <w:t>B</w:t>
            </w:r>
            <w:r w:rsidRPr="008D03AE">
              <w:rPr>
                <w:rFonts w:ascii="Times New Roman" w:hAnsi="Times New Roman" w:cs="Times New Roman"/>
                <w:kern w:val="24"/>
                <w:sz w:val="24"/>
                <w:szCs w:val="24"/>
              </w:rPr>
              <w:t>1</w:t>
            </w:r>
          </w:p>
        </w:tc>
        <w:tc>
          <w:tcPr>
            <w:tcW w:w="946" w:type="pct"/>
            <w:vAlign w:val="bottom"/>
          </w:tcPr>
          <w:p w14:paraId="6875B0DC" w14:textId="77777777" w:rsidR="00A12B55" w:rsidRPr="00DA233C" w:rsidRDefault="00A12B55" w:rsidP="009440EC">
            <w:pPr>
              <w:spacing w:after="0" w:line="240" w:lineRule="auto"/>
              <w:ind w:right="-23"/>
              <w:jc w:val="both"/>
              <w:rPr>
                <w:rFonts w:ascii="Times New Roman" w:eastAsia="Calibri" w:hAnsi="Times New Roman" w:cs="Times New Roman"/>
                <w:kern w:val="24"/>
                <w:sz w:val="24"/>
                <w:szCs w:val="24"/>
              </w:rPr>
            </w:pPr>
            <w:r w:rsidRPr="00DA233C">
              <w:rPr>
                <w:rFonts w:ascii="Times New Roman" w:hAnsi="Times New Roman" w:cs="Times New Roman"/>
                <w:kern w:val="24"/>
                <w:sz w:val="24"/>
                <w:szCs w:val="24"/>
              </w:rPr>
              <w:t>3.60</w:t>
            </w:r>
          </w:p>
        </w:tc>
      </w:tr>
      <w:tr w:rsidR="00A12B55" w:rsidRPr="00DA233C" w14:paraId="5DBF1399" w14:textId="77777777" w:rsidTr="00EE2C61">
        <w:trPr>
          <w:gridAfter w:val="4"/>
          <w:wAfter w:w="3334" w:type="pct"/>
          <w:trHeight w:val="300"/>
          <w:jc w:val="center"/>
        </w:trPr>
        <w:tc>
          <w:tcPr>
            <w:tcW w:w="721" w:type="pct"/>
          </w:tcPr>
          <w:p w14:paraId="04002FE8" w14:textId="77777777" w:rsidR="00A12B55" w:rsidRPr="00DA233C" w:rsidRDefault="00A12B55" w:rsidP="009440EC">
            <w:pPr>
              <w:spacing w:after="0" w:line="240" w:lineRule="auto"/>
              <w:ind w:right="-23"/>
              <w:jc w:val="both"/>
              <w:rPr>
                <w:rFonts w:ascii="Times New Roman" w:eastAsia="Calibri" w:hAnsi="Times New Roman" w:cs="Times New Roman"/>
                <w:kern w:val="24"/>
                <w:sz w:val="24"/>
                <w:szCs w:val="24"/>
              </w:rPr>
            </w:pPr>
            <w:r w:rsidRPr="00DA233C">
              <w:rPr>
                <w:rFonts w:ascii="Times New Roman" w:hAnsi="Times New Roman" w:cs="Times New Roman"/>
                <w:kern w:val="24"/>
                <w:sz w:val="24"/>
                <w:szCs w:val="24"/>
              </w:rPr>
              <w:t>CTR</w:t>
            </w:r>
            <w:r w:rsidRPr="008D03AE">
              <w:rPr>
                <w:rFonts w:ascii="Times New Roman" w:hAnsi="Times New Roman" w:cs="Times New Roman"/>
                <w:kern w:val="24"/>
                <w:sz w:val="24"/>
                <w:szCs w:val="24"/>
              </w:rPr>
              <w:t>1</w:t>
            </w:r>
            <w:r w:rsidRPr="00DA233C">
              <w:rPr>
                <w:rFonts w:ascii="Times New Roman" w:hAnsi="Times New Roman" w:cs="Times New Roman"/>
                <w:kern w:val="24"/>
                <w:sz w:val="24"/>
                <w:szCs w:val="24"/>
              </w:rPr>
              <w:t>B</w:t>
            </w:r>
            <w:r w:rsidRPr="008D03AE">
              <w:rPr>
                <w:rFonts w:ascii="Times New Roman" w:hAnsi="Times New Roman" w:cs="Times New Roman"/>
                <w:kern w:val="24"/>
                <w:sz w:val="24"/>
                <w:szCs w:val="24"/>
              </w:rPr>
              <w:t>0</w:t>
            </w:r>
          </w:p>
        </w:tc>
        <w:tc>
          <w:tcPr>
            <w:tcW w:w="946" w:type="pct"/>
            <w:vAlign w:val="bottom"/>
          </w:tcPr>
          <w:p w14:paraId="163A82F8" w14:textId="77777777" w:rsidR="00A12B55" w:rsidRPr="00DA233C" w:rsidRDefault="00A12B55" w:rsidP="009440EC">
            <w:pPr>
              <w:spacing w:after="0" w:line="240" w:lineRule="auto"/>
              <w:ind w:right="-23"/>
              <w:jc w:val="both"/>
              <w:rPr>
                <w:rFonts w:ascii="Times New Roman" w:eastAsia="Calibri" w:hAnsi="Times New Roman" w:cs="Times New Roman"/>
                <w:kern w:val="24"/>
                <w:sz w:val="24"/>
                <w:szCs w:val="24"/>
              </w:rPr>
            </w:pPr>
            <w:r w:rsidRPr="00DA233C">
              <w:rPr>
                <w:rFonts w:ascii="Times New Roman" w:hAnsi="Times New Roman" w:cs="Times New Roman"/>
                <w:kern w:val="24"/>
                <w:sz w:val="24"/>
                <w:szCs w:val="24"/>
              </w:rPr>
              <w:t>3.37</w:t>
            </w:r>
          </w:p>
        </w:tc>
      </w:tr>
      <w:tr w:rsidR="00A12B55" w:rsidRPr="00DA233C" w14:paraId="0BDC26B5" w14:textId="77777777" w:rsidTr="00EE2C61">
        <w:trPr>
          <w:gridAfter w:val="4"/>
          <w:wAfter w:w="3334" w:type="pct"/>
          <w:trHeight w:val="300"/>
          <w:jc w:val="center"/>
        </w:trPr>
        <w:tc>
          <w:tcPr>
            <w:tcW w:w="721" w:type="pct"/>
            <w:tcBorders>
              <w:bottom w:val="single" w:sz="4" w:space="0" w:color="auto"/>
            </w:tcBorders>
          </w:tcPr>
          <w:p w14:paraId="065FB492" w14:textId="77777777" w:rsidR="00A12B55" w:rsidRPr="00DA233C" w:rsidRDefault="00A12B55" w:rsidP="009440EC">
            <w:pPr>
              <w:spacing w:after="0" w:line="240" w:lineRule="auto"/>
              <w:ind w:right="-23"/>
              <w:jc w:val="both"/>
              <w:rPr>
                <w:rFonts w:ascii="Times New Roman" w:eastAsia="Calibri" w:hAnsi="Times New Roman" w:cs="Times New Roman"/>
                <w:kern w:val="24"/>
                <w:sz w:val="24"/>
                <w:szCs w:val="24"/>
              </w:rPr>
            </w:pPr>
            <w:r w:rsidRPr="00DA233C">
              <w:rPr>
                <w:rFonts w:ascii="Times New Roman" w:hAnsi="Times New Roman" w:cs="Times New Roman"/>
                <w:kern w:val="24"/>
                <w:sz w:val="24"/>
                <w:szCs w:val="24"/>
              </w:rPr>
              <w:t>CTR</w:t>
            </w:r>
            <w:r w:rsidRPr="008D03AE">
              <w:rPr>
                <w:rFonts w:ascii="Times New Roman" w:hAnsi="Times New Roman" w:cs="Times New Roman"/>
                <w:kern w:val="24"/>
                <w:sz w:val="24"/>
                <w:szCs w:val="24"/>
              </w:rPr>
              <w:t>1</w:t>
            </w:r>
            <w:r w:rsidRPr="00DA233C">
              <w:rPr>
                <w:rFonts w:ascii="Times New Roman" w:hAnsi="Times New Roman" w:cs="Times New Roman"/>
                <w:kern w:val="24"/>
                <w:sz w:val="24"/>
                <w:szCs w:val="24"/>
              </w:rPr>
              <w:t>B</w:t>
            </w:r>
            <w:r w:rsidRPr="008D03AE">
              <w:rPr>
                <w:rFonts w:ascii="Times New Roman" w:hAnsi="Times New Roman" w:cs="Times New Roman"/>
                <w:kern w:val="24"/>
                <w:sz w:val="24"/>
                <w:szCs w:val="24"/>
              </w:rPr>
              <w:t>1</w:t>
            </w:r>
          </w:p>
        </w:tc>
        <w:tc>
          <w:tcPr>
            <w:tcW w:w="946" w:type="pct"/>
            <w:tcBorders>
              <w:bottom w:val="single" w:sz="4" w:space="0" w:color="auto"/>
            </w:tcBorders>
            <w:vAlign w:val="bottom"/>
          </w:tcPr>
          <w:p w14:paraId="209EEC4E" w14:textId="77777777" w:rsidR="00A12B55" w:rsidRPr="00DA233C" w:rsidRDefault="00A12B55" w:rsidP="009440EC">
            <w:pPr>
              <w:spacing w:after="0" w:line="240" w:lineRule="auto"/>
              <w:ind w:right="-23"/>
              <w:jc w:val="both"/>
              <w:rPr>
                <w:rFonts w:ascii="Times New Roman" w:eastAsia="Calibri" w:hAnsi="Times New Roman" w:cs="Times New Roman"/>
                <w:kern w:val="24"/>
                <w:sz w:val="24"/>
                <w:szCs w:val="24"/>
              </w:rPr>
            </w:pPr>
            <w:r w:rsidRPr="00DA233C">
              <w:rPr>
                <w:rFonts w:ascii="Times New Roman" w:hAnsi="Times New Roman" w:cs="Times New Roman"/>
                <w:kern w:val="24"/>
                <w:sz w:val="24"/>
                <w:szCs w:val="24"/>
              </w:rPr>
              <w:t>3.41</w:t>
            </w:r>
          </w:p>
        </w:tc>
      </w:tr>
      <w:tr w:rsidR="00A12B55" w:rsidRPr="00DA233C" w14:paraId="32312D51" w14:textId="77777777" w:rsidTr="00EE2C61">
        <w:trPr>
          <w:gridAfter w:val="4"/>
          <w:wAfter w:w="3334" w:type="pct"/>
          <w:trHeight w:val="300"/>
          <w:jc w:val="center"/>
        </w:trPr>
        <w:tc>
          <w:tcPr>
            <w:tcW w:w="721" w:type="pct"/>
            <w:tcBorders>
              <w:top w:val="single" w:sz="4" w:space="0" w:color="auto"/>
              <w:bottom w:val="single" w:sz="4" w:space="0" w:color="auto"/>
            </w:tcBorders>
          </w:tcPr>
          <w:p w14:paraId="17C5B457" w14:textId="77777777" w:rsidR="00A12B55" w:rsidRPr="00DA233C" w:rsidRDefault="00A12B55" w:rsidP="009440EC">
            <w:pPr>
              <w:spacing w:after="0" w:line="240" w:lineRule="auto"/>
              <w:ind w:right="-23"/>
              <w:jc w:val="both"/>
              <w:rPr>
                <w:rFonts w:ascii="Times New Roman" w:hAnsi="Times New Roman" w:cs="Times New Roman"/>
                <w:bCs/>
                <w:kern w:val="24"/>
                <w:sz w:val="24"/>
                <w:szCs w:val="24"/>
                <w:lang w:val="en-US"/>
              </w:rPr>
            </w:pPr>
            <w:r w:rsidRPr="00DA233C">
              <w:rPr>
                <w:rFonts w:ascii="Times New Roman" w:hAnsi="Times New Roman" w:cs="Times New Roman"/>
                <w:bCs/>
                <w:kern w:val="24"/>
                <w:sz w:val="24"/>
                <w:szCs w:val="24"/>
              </w:rPr>
              <w:t>SE (m)</w:t>
            </w:r>
          </w:p>
        </w:tc>
        <w:tc>
          <w:tcPr>
            <w:tcW w:w="946" w:type="pct"/>
            <w:tcBorders>
              <w:top w:val="single" w:sz="4" w:space="0" w:color="auto"/>
              <w:bottom w:val="single" w:sz="4" w:space="0" w:color="auto"/>
            </w:tcBorders>
            <w:vAlign w:val="bottom"/>
          </w:tcPr>
          <w:p w14:paraId="16A42521" w14:textId="77777777" w:rsidR="00A12B55" w:rsidRPr="00DA233C" w:rsidRDefault="00A12B55" w:rsidP="009440EC">
            <w:pPr>
              <w:spacing w:after="0" w:line="240" w:lineRule="auto"/>
              <w:ind w:right="-23"/>
              <w:jc w:val="both"/>
              <w:rPr>
                <w:rFonts w:ascii="Times New Roman" w:hAnsi="Times New Roman" w:cs="Times New Roman"/>
                <w:bCs/>
                <w:kern w:val="24"/>
                <w:sz w:val="24"/>
                <w:szCs w:val="24"/>
                <w:lang w:val="en-US"/>
              </w:rPr>
            </w:pPr>
            <w:r w:rsidRPr="00DA233C">
              <w:rPr>
                <w:rFonts w:ascii="Times New Roman" w:hAnsi="Times New Roman" w:cs="Times New Roman"/>
                <w:bCs/>
                <w:kern w:val="24"/>
                <w:sz w:val="24"/>
                <w:szCs w:val="24"/>
                <w:lang w:val="en-US"/>
              </w:rPr>
              <w:t>0.09</w:t>
            </w:r>
          </w:p>
        </w:tc>
      </w:tr>
      <w:tr w:rsidR="00A12B55" w:rsidRPr="00DA233C" w14:paraId="30B031C5" w14:textId="77777777" w:rsidTr="00EE2C61">
        <w:trPr>
          <w:gridAfter w:val="4"/>
          <w:wAfter w:w="3334" w:type="pct"/>
          <w:trHeight w:val="300"/>
          <w:jc w:val="center"/>
        </w:trPr>
        <w:tc>
          <w:tcPr>
            <w:tcW w:w="721" w:type="pct"/>
            <w:tcBorders>
              <w:top w:val="single" w:sz="4" w:space="0" w:color="auto"/>
              <w:bottom w:val="single" w:sz="4" w:space="0" w:color="auto"/>
            </w:tcBorders>
          </w:tcPr>
          <w:p w14:paraId="23A45D76" w14:textId="77777777" w:rsidR="00A12B55" w:rsidRPr="00DA233C" w:rsidRDefault="00A12B55" w:rsidP="009440EC">
            <w:pPr>
              <w:spacing w:after="0" w:line="240" w:lineRule="auto"/>
              <w:ind w:right="-23"/>
              <w:jc w:val="both"/>
              <w:rPr>
                <w:rFonts w:ascii="Times New Roman" w:hAnsi="Times New Roman" w:cs="Times New Roman"/>
                <w:bCs/>
                <w:kern w:val="24"/>
                <w:sz w:val="24"/>
                <w:szCs w:val="24"/>
                <w:lang w:val="en-US"/>
              </w:rPr>
            </w:pPr>
            <w:r w:rsidRPr="00DA233C">
              <w:rPr>
                <w:rFonts w:ascii="Times New Roman" w:hAnsi="Times New Roman" w:cs="Times New Roman"/>
                <w:bCs/>
                <w:kern w:val="24"/>
                <w:sz w:val="24"/>
                <w:szCs w:val="24"/>
              </w:rPr>
              <w:t>LSD (0.05)</w:t>
            </w:r>
          </w:p>
        </w:tc>
        <w:tc>
          <w:tcPr>
            <w:tcW w:w="946" w:type="pct"/>
            <w:tcBorders>
              <w:top w:val="single" w:sz="4" w:space="0" w:color="auto"/>
              <w:bottom w:val="single" w:sz="4" w:space="0" w:color="auto"/>
            </w:tcBorders>
            <w:vAlign w:val="bottom"/>
          </w:tcPr>
          <w:p w14:paraId="73A233F5" w14:textId="77777777" w:rsidR="00A12B55" w:rsidRPr="00DA233C" w:rsidRDefault="00A12B55" w:rsidP="009440EC">
            <w:pPr>
              <w:spacing w:after="0" w:line="240" w:lineRule="auto"/>
              <w:ind w:right="-23"/>
              <w:jc w:val="both"/>
              <w:rPr>
                <w:rFonts w:ascii="Times New Roman" w:hAnsi="Times New Roman" w:cs="Times New Roman"/>
                <w:bCs/>
                <w:kern w:val="24"/>
                <w:sz w:val="24"/>
                <w:szCs w:val="24"/>
                <w:lang w:val="en-US"/>
              </w:rPr>
            </w:pPr>
            <w:r w:rsidRPr="00DA233C">
              <w:rPr>
                <w:rFonts w:ascii="Times New Roman" w:hAnsi="Times New Roman" w:cs="Times New Roman"/>
                <w:bCs/>
                <w:kern w:val="24"/>
                <w:sz w:val="24"/>
                <w:szCs w:val="24"/>
                <w:lang w:val="en-US"/>
              </w:rPr>
              <w:t>NS</w:t>
            </w:r>
          </w:p>
        </w:tc>
      </w:tr>
    </w:tbl>
    <w:p w14:paraId="7C4C9E7B" w14:textId="77777777" w:rsidR="00B2630B" w:rsidRDefault="00B2630B" w:rsidP="009440EC">
      <w:pPr>
        <w:pStyle w:val="NoSpacing"/>
        <w:spacing w:before="120" w:after="120" w:line="360" w:lineRule="auto"/>
        <w:ind w:right="-23"/>
        <w:jc w:val="both"/>
        <w:rPr>
          <w:rFonts w:ascii="Arial" w:hAnsi="Arial" w:cs="Arial"/>
          <w:b/>
          <w:bCs/>
        </w:rPr>
      </w:pPr>
    </w:p>
    <w:p w14:paraId="2C6826DE" w14:textId="77777777" w:rsidR="00B2630B" w:rsidRDefault="00B2630B" w:rsidP="009440EC">
      <w:pPr>
        <w:pStyle w:val="NoSpacing"/>
        <w:spacing w:before="120" w:after="120" w:line="360" w:lineRule="auto"/>
        <w:ind w:right="-23"/>
        <w:jc w:val="both"/>
        <w:rPr>
          <w:rFonts w:ascii="Arial" w:hAnsi="Arial" w:cs="Arial"/>
          <w:b/>
          <w:bCs/>
        </w:rPr>
      </w:pPr>
    </w:p>
    <w:p w14:paraId="1F07BB83" w14:textId="2268E00D" w:rsidR="002C2D92" w:rsidRPr="005449AB" w:rsidRDefault="005449AB" w:rsidP="009440EC">
      <w:pPr>
        <w:pStyle w:val="NoSpacing"/>
        <w:spacing w:before="120" w:after="120" w:line="360" w:lineRule="auto"/>
        <w:ind w:right="-23"/>
        <w:jc w:val="both"/>
        <w:rPr>
          <w:rFonts w:ascii="Arial" w:hAnsi="Arial" w:cs="Arial"/>
          <w:b/>
          <w:bCs/>
        </w:rPr>
      </w:pPr>
      <w:r w:rsidRPr="005449AB">
        <w:rPr>
          <w:rFonts w:ascii="Arial" w:hAnsi="Arial" w:cs="Arial"/>
          <w:b/>
          <w:bCs/>
        </w:rPr>
        <w:lastRenderedPageBreak/>
        <w:t>4. CONCLUSION</w:t>
      </w:r>
    </w:p>
    <w:p w14:paraId="06B142DF" w14:textId="698D7C75" w:rsidR="002C2D92" w:rsidRDefault="002C2D92" w:rsidP="009440EC">
      <w:pPr>
        <w:pStyle w:val="NoSpacing"/>
        <w:spacing w:before="120" w:after="120" w:line="360" w:lineRule="auto"/>
        <w:ind w:right="-23"/>
        <w:jc w:val="both"/>
        <w:rPr>
          <w:rFonts w:ascii="Arial" w:hAnsi="Arial" w:cs="Arial"/>
          <w:bCs/>
          <w:sz w:val="20"/>
          <w:szCs w:val="20"/>
        </w:rPr>
      </w:pPr>
      <w:r w:rsidRPr="00625F88">
        <w:rPr>
          <w:rFonts w:ascii="Arial" w:hAnsi="Arial" w:cs="Arial"/>
          <w:bCs/>
          <w:sz w:val="20"/>
          <w:szCs w:val="20"/>
        </w:rPr>
        <w:t>The study highlights the influence of tillage, crop residue addition, and biofertilizer on soil properties and wheat yield. Zero tillage treatments, particularly with residue addition and biofertilizer (ZTR</w:t>
      </w:r>
      <w:r w:rsidRPr="00693196">
        <w:rPr>
          <w:rFonts w:ascii="Arial" w:hAnsi="Arial" w:cs="Arial"/>
          <w:bCs/>
          <w:sz w:val="20"/>
          <w:szCs w:val="20"/>
        </w:rPr>
        <w:t>1</w:t>
      </w:r>
      <w:r w:rsidRPr="00625F88">
        <w:rPr>
          <w:rFonts w:ascii="Arial" w:hAnsi="Arial" w:cs="Arial"/>
          <w:bCs/>
          <w:sz w:val="20"/>
          <w:szCs w:val="20"/>
        </w:rPr>
        <w:t>B</w:t>
      </w:r>
      <w:r w:rsidRPr="00693196">
        <w:rPr>
          <w:rFonts w:ascii="Arial" w:hAnsi="Arial" w:cs="Arial"/>
          <w:bCs/>
          <w:sz w:val="20"/>
          <w:szCs w:val="20"/>
        </w:rPr>
        <w:t>1</w:t>
      </w:r>
      <w:r w:rsidRPr="00625F88">
        <w:rPr>
          <w:rFonts w:ascii="Arial" w:hAnsi="Arial" w:cs="Arial"/>
          <w:bCs/>
          <w:sz w:val="20"/>
          <w:szCs w:val="20"/>
        </w:rPr>
        <w:t>), improved soil pH and organic carbon in the surface layer compared to conventional tillage. Wheat yield was higher under zero tillage, with significant interactions observed between residue addition, biofertilizer inoculation, and tillage methods. These findings underscore the potential of sustainable practices like zero tillage and residue management to enhance soil health and crop productivity.</w:t>
      </w:r>
    </w:p>
    <w:p w14:paraId="236E6120" w14:textId="77777777" w:rsidR="00665079" w:rsidRPr="006A4A27" w:rsidRDefault="00665079" w:rsidP="00665079">
      <w:pPr>
        <w:rPr>
          <w:rFonts w:ascii="Calibri" w:eastAsia="Calibri" w:hAnsi="Calibri" w:cs="Times New Roman"/>
          <w:b/>
          <w:kern w:val="2"/>
          <w:highlight w:val="yellow"/>
          <w:lang w:val="en-US"/>
        </w:rPr>
      </w:pPr>
      <w:bookmarkStart w:id="1" w:name="_Hlk180402183"/>
      <w:r w:rsidRPr="006A4A27">
        <w:rPr>
          <w:rFonts w:ascii="Calibri" w:eastAsia="Calibri" w:hAnsi="Calibri" w:cs="Times New Roman"/>
          <w:b/>
          <w:kern w:val="2"/>
          <w:highlight w:val="yellow"/>
          <w:lang w:val="en-US"/>
        </w:rPr>
        <w:t>Disclaimer (Artificial intelligence)</w:t>
      </w:r>
    </w:p>
    <w:p w14:paraId="5C90C9E3" w14:textId="77777777" w:rsidR="00665079" w:rsidRPr="009C5487" w:rsidRDefault="00665079" w:rsidP="00665079">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bookmarkEnd w:id="1"/>
    <w:p w14:paraId="73EC8AAA" w14:textId="307C8F7D" w:rsidR="00665079" w:rsidRPr="00625F88" w:rsidRDefault="006A4A27" w:rsidP="009440EC">
      <w:pPr>
        <w:pStyle w:val="NoSpacing"/>
        <w:spacing w:before="120" w:after="120" w:line="360" w:lineRule="auto"/>
        <w:ind w:right="-23"/>
        <w:jc w:val="both"/>
        <w:rPr>
          <w:rFonts w:ascii="Arial" w:hAnsi="Arial" w:cs="Arial"/>
          <w:b/>
          <w:bCs/>
          <w:sz w:val="20"/>
          <w:szCs w:val="20"/>
        </w:rPr>
      </w:pPr>
      <w:r w:rsidRPr="006A4A27">
        <w:rPr>
          <w:rFonts w:ascii="Calibri" w:eastAsia="Calibri" w:hAnsi="Calibri"/>
          <w:kern w:val="2"/>
        </w:rPr>
        <w:t>Author(s) hereby declare that NO generative AI technologies such as Large Language Models (</w:t>
      </w:r>
      <w:proofErr w:type="spellStart"/>
      <w:r w:rsidRPr="006A4A27">
        <w:rPr>
          <w:rFonts w:ascii="Calibri" w:eastAsia="Calibri" w:hAnsi="Calibri"/>
          <w:kern w:val="2"/>
        </w:rPr>
        <w:t>ChatGPT</w:t>
      </w:r>
      <w:proofErr w:type="spellEnd"/>
      <w:r w:rsidRPr="006A4A27">
        <w:rPr>
          <w:rFonts w:ascii="Calibri" w:eastAsia="Calibri" w:hAnsi="Calibri"/>
          <w:kern w:val="2"/>
        </w:rPr>
        <w:t>, COPILOT, etc.) and text-to-image generators have been used during the writing or editing of this manuscript.</w:t>
      </w:r>
    </w:p>
    <w:p w14:paraId="64F5791B" w14:textId="1F9A677A" w:rsidR="008B02E9" w:rsidRPr="00BA5A3F" w:rsidRDefault="005449AB" w:rsidP="00BA5A3F">
      <w:pPr>
        <w:pStyle w:val="NoSpacing"/>
        <w:spacing w:before="120" w:after="120" w:line="360" w:lineRule="auto"/>
        <w:ind w:right="-23"/>
        <w:jc w:val="both"/>
        <w:rPr>
          <w:rFonts w:ascii="Arial" w:hAnsi="Arial" w:cs="Arial"/>
          <w:b/>
          <w:bCs/>
        </w:rPr>
      </w:pPr>
      <w:r w:rsidRPr="005449AB">
        <w:rPr>
          <w:rFonts w:ascii="Arial" w:hAnsi="Arial" w:cs="Arial"/>
          <w:b/>
          <w:bCs/>
        </w:rPr>
        <w:t>REFERENCES</w:t>
      </w:r>
      <w:r w:rsidR="00DC1AA9">
        <w:rPr>
          <w:rFonts w:ascii="Arial" w:hAnsi="Arial" w:cs="Arial"/>
          <w:b/>
          <w:bCs/>
        </w:rPr>
        <w:t xml:space="preserve"> </w:t>
      </w:r>
    </w:p>
    <w:p w14:paraId="3833DD59" w14:textId="77777777" w:rsidR="008B02E9" w:rsidRPr="008B02E9" w:rsidRDefault="008B02E9" w:rsidP="008B02E9">
      <w:pPr>
        <w:tabs>
          <w:tab w:val="left" w:pos="851"/>
        </w:tabs>
        <w:spacing w:before="120" w:after="120" w:line="360" w:lineRule="auto"/>
        <w:ind w:left="1134" w:right="-23" w:hanging="1134"/>
        <w:jc w:val="both"/>
        <w:rPr>
          <w:rFonts w:ascii="Times New Roman" w:hAnsi="Times New Roman" w:cs="Times New Roman"/>
          <w:color w:val="222222"/>
          <w:sz w:val="24"/>
          <w:szCs w:val="24"/>
          <w:shd w:val="clear" w:color="auto" w:fill="FFFFFF"/>
        </w:rPr>
      </w:pPr>
      <w:r w:rsidRPr="008B02E9">
        <w:rPr>
          <w:rFonts w:ascii="Times New Roman" w:hAnsi="Times New Roman" w:cs="Times New Roman"/>
          <w:color w:val="222222"/>
          <w:sz w:val="24"/>
          <w:szCs w:val="24"/>
          <w:shd w:val="clear" w:color="auto" w:fill="FFFFFF"/>
        </w:rPr>
        <w:t>Bhatt, R., Singh, P., Hossain, A. </w:t>
      </w:r>
      <w:r w:rsidRPr="008B02E9">
        <w:rPr>
          <w:rFonts w:ascii="Times New Roman" w:hAnsi="Times New Roman" w:cs="Times New Roman"/>
          <w:iCs/>
          <w:color w:val="222222"/>
          <w:sz w:val="24"/>
          <w:szCs w:val="24"/>
          <w:shd w:val="clear" w:color="auto" w:fill="FFFFFF"/>
        </w:rPr>
        <w:t>et al.</w:t>
      </w:r>
      <w:r w:rsidRPr="008B02E9">
        <w:rPr>
          <w:rFonts w:ascii="Times New Roman" w:hAnsi="Times New Roman" w:cs="Times New Roman"/>
          <w:color w:val="222222"/>
          <w:sz w:val="24"/>
          <w:szCs w:val="24"/>
          <w:shd w:val="clear" w:color="auto" w:fill="FFFFFF"/>
        </w:rPr>
        <w:t> (2021). Rice–wheat system in the northwest Indo-Gangetic plains of South Asia: issues and technological interventions for increasing productivity and sustainability. </w:t>
      </w:r>
      <w:r w:rsidRPr="008B02E9">
        <w:rPr>
          <w:rFonts w:ascii="Times New Roman" w:hAnsi="Times New Roman" w:cs="Times New Roman"/>
          <w:i/>
          <w:iCs/>
          <w:color w:val="222222"/>
          <w:sz w:val="24"/>
          <w:szCs w:val="24"/>
          <w:shd w:val="clear" w:color="auto" w:fill="FFFFFF"/>
        </w:rPr>
        <w:t>Paddy Water Environ</w:t>
      </w:r>
      <w:r w:rsidRPr="008B02E9">
        <w:rPr>
          <w:rFonts w:ascii="Times New Roman" w:hAnsi="Times New Roman" w:cs="Times New Roman"/>
          <w:color w:val="222222"/>
          <w:sz w:val="24"/>
          <w:szCs w:val="24"/>
          <w:shd w:val="clear" w:color="auto" w:fill="FFFFFF"/>
        </w:rPr>
        <w:t> </w:t>
      </w:r>
      <w:r w:rsidRPr="008B02E9">
        <w:rPr>
          <w:rFonts w:ascii="Times New Roman" w:hAnsi="Times New Roman" w:cs="Times New Roman"/>
          <w:b/>
          <w:bCs/>
          <w:color w:val="222222"/>
          <w:sz w:val="24"/>
          <w:szCs w:val="24"/>
          <w:shd w:val="clear" w:color="auto" w:fill="FFFFFF"/>
        </w:rPr>
        <w:t>19</w:t>
      </w:r>
      <w:r w:rsidRPr="008B02E9">
        <w:rPr>
          <w:rFonts w:ascii="Times New Roman" w:hAnsi="Times New Roman" w:cs="Times New Roman"/>
          <w:color w:val="222222"/>
          <w:sz w:val="24"/>
          <w:szCs w:val="24"/>
          <w:shd w:val="clear" w:color="auto" w:fill="FFFFFF"/>
        </w:rPr>
        <w:t>: 345–365.</w:t>
      </w:r>
    </w:p>
    <w:p w14:paraId="38BF5F52" w14:textId="77777777" w:rsidR="008B02E9" w:rsidRPr="008B02E9" w:rsidRDefault="008B02E9" w:rsidP="008B02E9">
      <w:pPr>
        <w:tabs>
          <w:tab w:val="left" w:pos="851"/>
        </w:tabs>
        <w:spacing w:before="120" w:after="120" w:line="360" w:lineRule="auto"/>
        <w:ind w:left="1134" w:right="-23" w:hanging="1134"/>
        <w:jc w:val="both"/>
        <w:rPr>
          <w:rFonts w:ascii="Times New Roman" w:hAnsi="Times New Roman" w:cs="Times New Roman"/>
          <w:sz w:val="24"/>
          <w:szCs w:val="24"/>
        </w:rPr>
      </w:pPr>
      <w:r w:rsidRPr="008B02E9">
        <w:rPr>
          <w:rFonts w:ascii="Times New Roman" w:hAnsi="Times New Roman" w:cs="Times New Roman"/>
          <w:sz w:val="24"/>
          <w:szCs w:val="24"/>
        </w:rPr>
        <w:t xml:space="preserve">Chauhan, B. S., Gill, G. </w:t>
      </w:r>
      <w:proofErr w:type="spellStart"/>
      <w:r w:rsidRPr="008B02E9">
        <w:rPr>
          <w:rFonts w:ascii="Times New Roman" w:hAnsi="Times New Roman" w:cs="Times New Roman"/>
          <w:sz w:val="24"/>
          <w:szCs w:val="24"/>
        </w:rPr>
        <w:t>S.and</w:t>
      </w:r>
      <w:proofErr w:type="spellEnd"/>
      <w:r w:rsidRPr="008B02E9">
        <w:rPr>
          <w:rFonts w:ascii="Times New Roman" w:hAnsi="Times New Roman" w:cs="Times New Roman"/>
          <w:sz w:val="24"/>
          <w:szCs w:val="24"/>
        </w:rPr>
        <w:t xml:space="preserve"> Preston, C. (2007). Effect of seeding systems and dinitroaniline herbicides on emergence and control of rigid ryegrass (</w:t>
      </w:r>
      <w:proofErr w:type="spellStart"/>
      <w:r w:rsidRPr="008B02E9">
        <w:rPr>
          <w:rFonts w:ascii="Times New Roman" w:hAnsi="Times New Roman" w:cs="Times New Roman"/>
          <w:sz w:val="24"/>
          <w:szCs w:val="24"/>
        </w:rPr>
        <w:t>Lolium</w:t>
      </w:r>
      <w:proofErr w:type="spellEnd"/>
      <w:r w:rsidRPr="008B02E9">
        <w:rPr>
          <w:rFonts w:ascii="Times New Roman" w:hAnsi="Times New Roman" w:cs="Times New Roman"/>
          <w:sz w:val="24"/>
          <w:szCs w:val="24"/>
        </w:rPr>
        <w:t xml:space="preserve"> </w:t>
      </w:r>
      <w:proofErr w:type="spellStart"/>
      <w:r w:rsidRPr="008B02E9">
        <w:rPr>
          <w:rFonts w:ascii="Times New Roman" w:hAnsi="Times New Roman" w:cs="Times New Roman"/>
          <w:sz w:val="24"/>
          <w:szCs w:val="24"/>
        </w:rPr>
        <w:t>rigidum</w:t>
      </w:r>
      <w:proofErr w:type="spellEnd"/>
      <w:r w:rsidRPr="008B02E9">
        <w:rPr>
          <w:rFonts w:ascii="Times New Roman" w:hAnsi="Times New Roman" w:cs="Times New Roman"/>
          <w:sz w:val="24"/>
          <w:szCs w:val="24"/>
        </w:rPr>
        <w:t xml:space="preserve">) in wheat. </w:t>
      </w:r>
      <w:r w:rsidRPr="008B02E9">
        <w:rPr>
          <w:rFonts w:ascii="Times New Roman" w:hAnsi="Times New Roman" w:cs="Times New Roman"/>
          <w:i/>
          <w:iCs/>
          <w:sz w:val="24"/>
          <w:szCs w:val="24"/>
        </w:rPr>
        <w:t>Weed Technology</w:t>
      </w:r>
      <w:r w:rsidRPr="008B02E9">
        <w:rPr>
          <w:rFonts w:ascii="Times New Roman" w:hAnsi="Times New Roman" w:cs="Times New Roman"/>
          <w:sz w:val="24"/>
          <w:szCs w:val="24"/>
        </w:rPr>
        <w:t>,</w:t>
      </w:r>
      <w:r w:rsidRPr="008B02E9">
        <w:rPr>
          <w:rFonts w:ascii="Times New Roman" w:hAnsi="Times New Roman" w:cs="Times New Roman"/>
          <w:b/>
          <w:bCs/>
          <w:sz w:val="24"/>
          <w:szCs w:val="24"/>
        </w:rPr>
        <w:t xml:space="preserve"> 21</w:t>
      </w:r>
      <w:r w:rsidRPr="008B02E9">
        <w:rPr>
          <w:rFonts w:ascii="Times New Roman" w:hAnsi="Times New Roman" w:cs="Times New Roman"/>
          <w:sz w:val="24"/>
          <w:szCs w:val="24"/>
        </w:rPr>
        <w:t>: 53–8.</w:t>
      </w:r>
    </w:p>
    <w:p w14:paraId="20B8AB47" w14:textId="77777777" w:rsidR="008B02E9" w:rsidRPr="008B02E9" w:rsidRDefault="008B02E9" w:rsidP="008B02E9">
      <w:pPr>
        <w:tabs>
          <w:tab w:val="left" w:pos="851"/>
        </w:tabs>
        <w:spacing w:before="120" w:after="120" w:line="360" w:lineRule="auto"/>
        <w:ind w:left="1134" w:right="-23" w:hanging="1134"/>
        <w:jc w:val="both"/>
        <w:rPr>
          <w:rFonts w:ascii="Times New Roman" w:hAnsi="Times New Roman" w:cs="Times New Roman"/>
          <w:sz w:val="24"/>
          <w:szCs w:val="24"/>
        </w:rPr>
      </w:pPr>
      <w:r w:rsidRPr="008B02E9">
        <w:rPr>
          <w:rFonts w:ascii="Times New Roman" w:hAnsi="Times New Roman" w:cs="Times New Roman"/>
          <w:sz w:val="24"/>
          <w:szCs w:val="24"/>
        </w:rPr>
        <w:t xml:space="preserve">Dixit, A.K., Agrawal, R.K., Das, S.K., Sahay, C.S., Choudhary, M., Rai, A.K., </w:t>
      </w:r>
      <w:proofErr w:type="spellStart"/>
      <w:r w:rsidRPr="008B02E9">
        <w:rPr>
          <w:rFonts w:ascii="Times New Roman" w:hAnsi="Times New Roman" w:cs="Times New Roman"/>
          <w:sz w:val="24"/>
          <w:szCs w:val="24"/>
        </w:rPr>
        <w:t>Kantwa</w:t>
      </w:r>
      <w:proofErr w:type="spellEnd"/>
      <w:r w:rsidRPr="008B02E9">
        <w:rPr>
          <w:rFonts w:ascii="Times New Roman" w:hAnsi="Times New Roman" w:cs="Times New Roman"/>
          <w:sz w:val="24"/>
          <w:szCs w:val="24"/>
        </w:rPr>
        <w:t xml:space="preserve">, S.R. and </w:t>
      </w:r>
      <w:proofErr w:type="spellStart"/>
      <w:r w:rsidRPr="008B02E9">
        <w:rPr>
          <w:rFonts w:ascii="Times New Roman" w:hAnsi="Times New Roman" w:cs="Times New Roman"/>
          <w:sz w:val="24"/>
          <w:szCs w:val="24"/>
        </w:rPr>
        <w:t>Palsaniya</w:t>
      </w:r>
      <w:proofErr w:type="spellEnd"/>
      <w:r w:rsidRPr="008B02E9">
        <w:rPr>
          <w:rFonts w:ascii="Times New Roman" w:hAnsi="Times New Roman" w:cs="Times New Roman"/>
          <w:sz w:val="24"/>
          <w:szCs w:val="24"/>
        </w:rPr>
        <w:t xml:space="preserve">, D.R. (2018). Soil properties, crop productivity and energetics under different tillage practices in fodder sorghum + cowpea – wheat cropping system. </w:t>
      </w:r>
      <w:r w:rsidRPr="008B02E9">
        <w:rPr>
          <w:rFonts w:ascii="Times New Roman" w:hAnsi="Times New Roman" w:cs="Times New Roman"/>
          <w:i/>
          <w:iCs/>
          <w:sz w:val="24"/>
          <w:szCs w:val="24"/>
        </w:rPr>
        <w:t xml:space="preserve">Archives of Agronomy and Soil. </w:t>
      </w:r>
      <w:r w:rsidRPr="008B02E9">
        <w:rPr>
          <w:rFonts w:ascii="Times New Roman" w:hAnsi="Times New Roman" w:cs="Times New Roman"/>
          <w:sz w:val="24"/>
          <w:szCs w:val="24"/>
        </w:rPr>
        <w:t>Pp.1-16.DOI: 10.1080/03650340.2018.1507024.</w:t>
      </w:r>
    </w:p>
    <w:p w14:paraId="678F7824" w14:textId="2E98CF2C" w:rsidR="008B02E9" w:rsidRPr="008B02E9" w:rsidRDefault="008B02E9" w:rsidP="008B02E9">
      <w:pPr>
        <w:tabs>
          <w:tab w:val="left" w:pos="851"/>
        </w:tabs>
        <w:spacing w:before="120" w:after="120" w:line="360" w:lineRule="auto"/>
        <w:ind w:left="1134" w:right="-23" w:hanging="1134"/>
        <w:jc w:val="both"/>
        <w:rPr>
          <w:rFonts w:ascii="Times New Roman" w:hAnsi="Times New Roman" w:cs="Times New Roman"/>
          <w:sz w:val="24"/>
          <w:szCs w:val="24"/>
        </w:rPr>
      </w:pPr>
      <w:r w:rsidRPr="008B02E9">
        <w:rPr>
          <w:rFonts w:ascii="Times New Roman" w:hAnsi="Times New Roman" w:cs="Times New Roman"/>
          <w:sz w:val="24"/>
          <w:szCs w:val="24"/>
        </w:rPr>
        <w:t xml:space="preserve">Duiker, S. W., and Beegle, D. B. (2006). Soil fertility distributions in long term no-till, chisel/disk and mouldboard plough/disk systems. </w:t>
      </w:r>
      <w:r w:rsidRPr="008B02E9">
        <w:rPr>
          <w:rFonts w:ascii="Times New Roman" w:hAnsi="Times New Roman" w:cs="Times New Roman"/>
          <w:i/>
          <w:iCs/>
          <w:sz w:val="24"/>
          <w:szCs w:val="24"/>
        </w:rPr>
        <w:t>Soil &amp; Tillage Research</w:t>
      </w:r>
      <w:r w:rsidRPr="008B02E9">
        <w:rPr>
          <w:rFonts w:ascii="Times New Roman" w:hAnsi="Times New Roman" w:cs="Times New Roman"/>
          <w:sz w:val="24"/>
          <w:szCs w:val="24"/>
        </w:rPr>
        <w:t xml:space="preserve">, </w:t>
      </w:r>
      <w:r w:rsidRPr="008B02E9">
        <w:rPr>
          <w:rFonts w:ascii="Times New Roman" w:hAnsi="Times New Roman" w:cs="Times New Roman"/>
          <w:b/>
          <w:bCs/>
          <w:sz w:val="24"/>
          <w:szCs w:val="24"/>
        </w:rPr>
        <w:t>88</w:t>
      </w:r>
      <w:r w:rsidRPr="008B02E9">
        <w:rPr>
          <w:rFonts w:ascii="Times New Roman" w:hAnsi="Times New Roman" w:cs="Times New Roman"/>
          <w:sz w:val="24"/>
          <w:szCs w:val="24"/>
        </w:rPr>
        <w:t>:</w:t>
      </w:r>
      <w:r w:rsidR="00BA5A3F">
        <w:rPr>
          <w:rFonts w:ascii="Times New Roman" w:hAnsi="Times New Roman" w:cs="Times New Roman"/>
          <w:sz w:val="24"/>
          <w:szCs w:val="24"/>
        </w:rPr>
        <w:t xml:space="preserve"> </w:t>
      </w:r>
      <w:r w:rsidRPr="008B02E9">
        <w:rPr>
          <w:rFonts w:ascii="Times New Roman" w:hAnsi="Times New Roman" w:cs="Times New Roman"/>
          <w:sz w:val="24"/>
          <w:szCs w:val="24"/>
        </w:rPr>
        <w:t xml:space="preserve">30-41. </w:t>
      </w:r>
    </w:p>
    <w:p w14:paraId="0600E382" w14:textId="77777777" w:rsidR="008B02E9" w:rsidRPr="008B02E9" w:rsidRDefault="008B02E9" w:rsidP="008B02E9">
      <w:pPr>
        <w:tabs>
          <w:tab w:val="left" w:pos="851"/>
        </w:tabs>
        <w:spacing w:before="120" w:after="120" w:line="360" w:lineRule="auto"/>
        <w:ind w:left="1134" w:right="-23" w:hanging="1134"/>
        <w:jc w:val="both"/>
        <w:rPr>
          <w:rFonts w:ascii="Times New Roman" w:hAnsi="Times New Roman" w:cs="Times New Roman"/>
          <w:sz w:val="24"/>
          <w:szCs w:val="24"/>
        </w:rPr>
      </w:pPr>
      <w:r w:rsidRPr="008B02E9">
        <w:rPr>
          <w:rFonts w:ascii="Times New Roman" w:hAnsi="Times New Roman" w:cs="Times New Roman"/>
          <w:sz w:val="24"/>
          <w:szCs w:val="24"/>
        </w:rPr>
        <w:t>Jackson, M.L. (1973). Soil Chemical Analysis, Prentice Hall of India. New Delhi. pp. 498.</w:t>
      </w:r>
    </w:p>
    <w:p w14:paraId="6B24B150" w14:textId="77777777" w:rsidR="008B02E9" w:rsidRPr="008B02E9" w:rsidRDefault="008B02E9" w:rsidP="008B02E9">
      <w:pPr>
        <w:tabs>
          <w:tab w:val="left" w:pos="851"/>
        </w:tabs>
        <w:spacing w:before="120" w:after="120" w:line="360" w:lineRule="auto"/>
        <w:ind w:left="1134" w:right="-23" w:hanging="1134"/>
        <w:jc w:val="both"/>
        <w:rPr>
          <w:rFonts w:ascii="Times New Roman" w:hAnsi="Times New Roman" w:cs="Times New Roman"/>
          <w:sz w:val="24"/>
          <w:szCs w:val="24"/>
        </w:rPr>
      </w:pPr>
      <w:proofErr w:type="spellStart"/>
      <w:r w:rsidRPr="008B02E9">
        <w:rPr>
          <w:rFonts w:ascii="Times New Roman" w:hAnsi="Times New Roman" w:cs="Times New Roman"/>
          <w:sz w:val="24"/>
          <w:szCs w:val="24"/>
        </w:rPr>
        <w:t>Jat</w:t>
      </w:r>
      <w:proofErr w:type="spellEnd"/>
      <w:r w:rsidRPr="008B02E9">
        <w:rPr>
          <w:rFonts w:ascii="Times New Roman" w:hAnsi="Times New Roman" w:cs="Times New Roman"/>
          <w:sz w:val="24"/>
          <w:szCs w:val="24"/>
        </w:rPr>
        <w:t xml:space="preserve">, M. L., </w:t>
      </w:r>
      <w:proofErr w:type="spellStart"/>
      <w:r w:rsidRPr="008B02E9">
        <w:rPr>
          <w:rFonts w:ascii="Times New Roman" w:hAnsi="Times New Roman" w:cs="Times New Roman"/>
          <w:sz w:val="24"/>
          <w:szCs w:val="24"/>
        </w:rPr>
        <w:t>Gathala</w:t>
      </w:r>
      <w:proofErr w:type="spellEnd"/>
      <w:r w:rsidRPr="008B02E9">
        <w:rPr>
          <w:rFonts w:ascii="Times New Roman" w:hAnsi="Times New Roman" w:cs="Times New Roman"/>
          <w:sz w:val="24"/>
          <w:szCs w:val="24"/>
        </w:rPr>
        <w:t xml:space="preserve">, M. K., </w:t>
      </w:r>
      <w:proofErr w:type="spellStart"/>
      <w:r w:rsidRPr="008B02E9">
        <w:rPr>
          <w:rFonts w:ascii="Times New Roman" w:hAnsi="Times New Roman" w:cs="Times New Roman"/>
          <w:sz w:val="24"/>
          <w:szCs w:val="24"/>
        </w:rPr>
        <w:t>Saharawat</w:t>
      </w:r>
      <w:proofErr w:type="spellEnd"/>
      <w:r w:rsidRPr="008B02E9">
        <w:rPr>
          <w:rFonts w:ascii="Times New Roman" w:hAnsi="Times New Roman" w:cs="Times New Roman"/>
          <w:sz w:val="24"/>
          <w:szCs w:val="24"/>
        </w:rPr>
        <w:t xml:space="preserve">, Y. S., </w:t>
      </w:r>
      <w:proofErr w:type="spellStart"/>
      <w:r w:rsidRPr="008B02E9">
        <w:rPr>
          <w:rFonts w:ascii="Times New Roman" w:hAnsi="Times New Roman" w:cs="Times New Roman"/>
          <w:sz w:val="24"/>
          <w:szCs w:val="24"/>
        </w:rPr>
        <w:t>Tetarwal</w:t>
      </w:r>
      <w:proofErr w:type="spellEnd"/>
      <w:r w:rsidRPr="008B02E9">
        <w:rPr>
          <w:rFonts w:ascii="Times New Roman" w:hAnsi="Times New Roman" w:cs="Times New Roman"/>
          <w:sz w:val="24"/>
          <w:szCs w:val="24"/>
        </w:rPr>
        <w:t>, J. P., Gupta Raj and Singh-</w:t>
      </w:r>
      <w:proofErr w:type="spellStart"/>
      <w:r w:rsidRPr="008B02E9">
        <w:rPr>
          <w:rFonts w:ascii="Times New Roman" w:hAnsi="Times New Roman" w:cs="Times New Roman"/>
          <w:sz w:val="24"/>
          <w:szCs w:val="24"/>
        </w:rPr>
        <w:t>Yadvinder</w:t>
      </w:r>
      <w:proofErr w:type="spellEnd"/>
      <w:r w:rsidRPr="008B02E9">
        <w:rPr>
          <w:rFonts w:ascii="Times New Roman" w:hAnsi="Times New Roman" w:cs="Times New Roman"/>
          <w:sz w:val="24"/>
          <w:szCs w:val="24"/>
        </w:rPr>
        <w:t xml:space="preserve">. (2013). Double no-till and permanent raised beds in maize–wheat rotation of north-western Indo-Gangetic plains of India: effects on crop yields, </w:t>
      </w:r>
      <w:proofErr w:type="spellStart"/>
      <w:r w:rsidRPr="008B02E9">
        <w:rPr>
          <w:rFonts w:ascii="Times New Roman" w:hAnsi="Times New Roman" w:cs="Times New Roman"/>
          <w:sz w:val="24"/>
          <w:szCs w:val="24"/>
        </w:rPr>
        <w:lastRenderedPageBreak/>
        <w:t>waterproductivity</w:t>
      </w:r>
      <w:proofErr w:type="spellEnd"/>
      <w:r w:rsidRPr="008B02E9">
        <w:rPr>
          <w:rFonts w:ascii="Times New Roman" w:hAnsi="Times New Roman" w:cs="Times New Roman"/>
          <w:sz w:val="24"/>
          <w:szCs w:val="24"/>
        </w:rPr>
        <w:t xml:space="preserve">, </w:t>
      </w:r>
      <w:proofErr w:type="spellStart"/>
      <w:r w:rsidRPr="008B02E9">
        <w:rPr>
          <w:rFonts w:ascii="Times New Roman" w:hAnsi="Times New Roman" w:cs="Times New Roman"/>
          <w:sz w:val="24"/>
          <w:szCs w:val="24"/>
        </w:rPr>
        <w:t>proûtability</w:t>
      </w:r>
      <w:proofErr w:type="spellEnd"/>
      <w:r w:rsidRPr="008B02E9">
        <w:rPr>
          <w:rFonts w:ascii="Times New Roman" w:hAnsi="Times New Roman" w:cs="Times New Roman"/>
          <w:sz w:val="24"/>
          <w:szCs w:val="24"/>
        </w:rPr>
        <w:t xml:space="preserve"> and soil physical properties. </w:t>
      </w:r>
      <w:r w:rsidRPr="008B02E9">
        <w:rPr>
          <w:rFonts w:ascii="Times New Roman" w:hAnsi="Times New Roman" w:cs="Times New Roman"/>
          <w:i/>
          <w:iCs/>
          <w:sz w:val="24"/>
          <w:szCs w:val="24"/>
        </w:rPr>
        <w:t>Field Crops Research</w:t>
      </w:r>
      <w:r w:rsidRPr="008B02E9">
        <w:rPr>
          <w:rFonts w:ascii="Times New Roman" w:hAnsi="Times New Roman" w:cs="Times New Roman"/>
          <w:sz w:val="24"/>
          <w:szCs w:val="24"/>
        </w:rPr>
        <w:t xml:space="preserve">, </w:t>
      </w:r>
      <w:r w:rsidRPr="008B02E9">
        <w:rPr>
          <w:rFonts w:ascii="Times New Roman" w:hAnsi="Times New Roman" w:cs="Times New Roman"/>
          <w:b/>
          <w:bCs/>
          <w:sz w:val="24"/>
          <w:szCs w:val="24"/>
        </w:rPr>
        <w:t>149</w:t>
      </w:r>
      <w:r w:rsidRPr="008B02E9">
        <w:rPr>
          <w:rFonts w:ascii="Times New Roman" w:hAnsi="Times New Roman" w:cs="Times New Roman"/>
          <w:sz w:val="24"/>
          <w:szCs w:val="24"/>
        </w:rPr>
        <w:t>: 291–99.</w:t>
      </w:r>
    </w:p>
    <w:p w14:paraId="79B34804" w14:textId="6F0E6A3E" w:rsidR="008B02E9" w:rsidRPr="008B02E9" w:rsidRDefault="008B02E9" w:rsidP="008B02E9">
      <w:pPr>
        <w:tabs>
          <w:tab w:val="left" w:pos="851"/>
        </w:tabs>
        <w:spacing w:before="120" w:after="120" w:line="360" w:lineRule="auto"/>
        <w:ind w:left="1134" w:right="-23" w:hanging="1134"/>
        <w:jc w:val="both"/>
        <w:rPr>
          <w:rFonts w:ascii="Times New Roman" w:hAnsi="Times New Roman" w:cs="Times New Roman"/>
          <w:sz w:val="24"/>
          <w:szCs w:val="24"/>
        </w:rPr>
      </w:pPr>
      <w:proofErr w:type="spellStart"/>
      <w:proofErr w:type="gramStart"/>
      <w:r w:rsidRPr="008B02E9">
        <w:rPr>
          <w:rFonts w:ascii="Times New Roman" w:hAnsi="Times New Roman" w:cs="Times New Roman"/>
          <w:sz w:val="24"/>
          <w:szCs w:val="24"/>
        </w:rPr>
        <w:t>Kaschuk</w:t>
      </w:r>
      <w:proofErr w:type="spellEnd"/>
      <w:r w:rsidRPr="008B02E9">
        <w:rPr>
          <w:rFonts w:ascii="Times New Roman" w:hAnsi="Times New Roman" w:cs="Times New Roman"/>
          <w:sz w:val="24"/>
          <w:szCs w:val="24"/>
        </w:rPr>
        <w:t xml:space="preserve"> ,</w:t>
      </w:r>
      <w:proofErr w:type="gramEnd"/>
      <w:r w:rsidR="00B2630B">
        <w:rPr>
          <w:rFonts w:ascii="Times New Roman" w:hAnsi="Times New Roman" w:cs="Times New Roman"/>
          <w:sz w:val="24"/>
          <w:szCs w:val="24"/>
        </w:rPr>
        <w:t>G., Alberton ,O</w:t>
      </w:r>
      <w:r w:rsidRPr="008B02E9">
        <w:rPr>
          <w:rFonts w:ascii="Times New Roman" w:hAnsi="Times New Roman" w:cs="Times New Roman"/>
          <w:sz w:val="24"/>
          <w:szCs w:val="24"/>
        </w:rPr>
        <w:t xml:space="preserve"> and </w:t>
      </w:r>
      <w:proofErr w:type="spellStart"/>
      <w:r w:rsidRPr="008B02E9">
        <w:rPr>
          <w:rFonts w:ascii="Times New Roman" w:hAnsi="Times New Roman" w:cs="Times New Roman"/>
          <w:sz w:val="24"/>
          <w:szCs w:val="24"/>
        </w:rPr>
        <w:t>Hungria</w:t>
      </w:r>
      <w:proofErr w:type="spellEnd"/>
      <w:r w:rsidRPr="008B02E9">
        <w:rPr>
          <w:rFonts w:ascii="Times New Roman" w:hAnsi="Times New Roman" w:cs="Times New Roman"/>
          <w:sz w:val="24"/>
          <w:szCs w:val="24"/>
        </w:rPr>
        <w:t xml:space="preserve">, M.( 2010). Three decades of soil microbial biomass studies in Brazilian ecosystems: lessons learned about soil quality and indications for improving sustainability. </w:t>
      </w:r>
      <w:r w:rsidRPr="008B02E9">
        <w:rPr>
          <w:rFonts w:ascii="Times New Roman" w:hAnsi="Times New Roman" w:cs="Times New Roman"/>
          <w:i/>
          <w:iCs/>
          <w:sz w:val="24"/>
          <w:szCs w:val="24"/>
        </w:rPr>
        <w:t>Soil Biology and Biochemistry</w:t>
      </w:r>
      <w:r w:rsidRPr="008B02E9">
        <w:rPr>
          <w:rFonts w:ascii="Times New Roman" w:hAnsi="Times New Roman" w:cs="Times New Roman"/>
          <w:sz w:val="24"/>
          <w:szCs w:val="24"/>
        </w:rPr>
        <w:t>,</w:t>
      </w:r>
      <w:r w:rsidRPr="008B02E9">
        <w:rPr>
          <w:rFonts w:ascii="Times New Roman" w:hAnsi="Times New Roman" w:cs="Times New Roman"/>
          <w:b/>
          <w:bCs/>
          <w:sz w:val="24"/>
          <w:szCs w:val="24"/>
        </w:rPr>
        <w:t xml:space="preserve"> 42</w:t>
      </w:r>
      <w:r w:rsidRPr="008B02E9">
        <w:rPr>
          <w:rFonts w:ascii="Times New Roman" w:hAnsi="Times New Roman" w:cs="Times New Roman"/>
          <w:sz w:val="24"/>
          <w:szCs w:val="24"/>
        </w:rPr>
        <w:t>:</w:t>
      </w:r>
      <w:r w:rsidR="00BA5A3F">
        <w:rPr>
          <w:rFonts w:ascii="Times New Roman" w:hAnsi="Times New Roman" w:cs="Times New Roman"/>
          <w:sz w:val="24"/>
          <w:szCs w:val="24"/>
        </w:rPr>
        <w:t xml:space="preserve"> </w:t>
      </w:r>
      <w:r w:rsidRPr="008B02E9">
        <w:rPr>
          <w:rFonts w:ascii="Times New Roman" w:hAnsi="Times New Roman" w:cs="Times New Roman"/>
          <w:sz w:val="24"/>
          <w:szCs w:val="24"/>
        </w:rPr>
        <w:t>1–13.</w:t>
      </w:r>
    </w:p>
    <w:p w14:paraId="40F2F3E5" w14:textId="770127A9" w:rsidR="00BA5A3F" w:rsidRDefault="008B02E9" w:rsidP="00BA5A3F">
      <w:pPr>
        <w:tabs>
          <w:tab w:val="left" w:pos="851"/>
        </w:tabs>
        <w:spacing w:before="120" w:after="120" w:line="360" w:lineRule="auto"/>
        <w:ind w:left="1134" w:right="-23" w:hanging="1134"/>
        <w:jc w:val="both"/>
        <w:rPr>
          <w:rFonts w:ascii="Times New Roman" w:hAnsi="Times New Roman" w:cs="Times New Roman"/>
          <w:sz w:val="24"/>
          <w:szCs w:val="24"/>
        </w:rPr>
      </w:pPr>
      <w:r w:rsidRPr="008B02E9">
        <w:rPr>
          <w:rFonts w:ascii="Times New Roman" w:hAnsi="Times New Roman" w:cs="Times New Roman"/>
          <w:sz w:val="24"/>
          <w:szCs w:val="24"/>
        </w:rPr>
        <w:t xml:space="preserve">Kaur, R., Kaur, S., </w:t>
      </w:r>
      <w:proofErr w:type="spellStart"/>
      <w:r w:rsidRPr="008B02E9">
        <w:rPr>
          <w:rFonts w:ascii="Times New Roman" w:hAnsi="Times New Roman" w:cs="Times New Roman"/>
          <w:sz w:val="24"/>
          <w:szCs w:val="24"/>
        </w:rPr>
        <w:t>Deol</w:t>
      </w:r>
      <w:proofErr w:type="spellEnd"/>
      <w:r w:rsidRPr="008B02E9">
        <w:rPr>
          <w:rFonts w:ascii="Times New Roman" w:hAnsi="Times New Roman" w:cs="Times New Roman"/>
          <w:sz w:val="24"/>
          <w:szCs w:val="24"/>
        </w:rPr>
        <w:t xml:space="preserve">, J.S., Sharma, R., Kaur, T., Brar, A.S., Choudhary, O. P.  (2021). Soil Properties and Weed Dynamics in Wheat as Affected by Rice Residue Management in the Rice-Wheat Cropping System in South Asia: A Review. </w:t>
      </w:r>
      <w:r w:rsidRPr="008B02E9">
        <w:rPr>
          <w:rFonts w:ascii="Times New Roman" w:hAnsi="Times New Roman" w:cs="Times New Roman"/>
          <w:i/>
          <w:sz w:val="24"/>
          <w:szCs w:val="24"/>
        </w:rPr>
        <w:t>Plants (Basel)</w:t>
      </w:r>
      <w:r w:rsidR="000236A2">
        <w:rPr>
          <w:rFonts w:ascii="Times New Roman" w:hAnsi="Times New Roman" w:cs="Times New Roman"/>
          <w:sz w:val="24"/>
          <w:szCs w:val="24"/>
        </w:rPr>
        <w:t>,</w:t>
      </w:r>
      <w:r w:rsidRPr="008B02E9">
        <w:rPr>
          <w:rFonts w:ascii="Times New Roman" w:hAnsi="Times New Roman" w:cs="Times New Roman"/>
          <w:sz w:val="24"/>
          <w:szCs w:val="24"/>
        </w:rPr>
        <w:t xml:space="preserve"> </w:t>
      </w:r>
      <w:r w:rsidRPr="000236A2">
        <w:rPr>
          <w:rFonts w:ascii="Times New Roman" w:hAnsi="Times New Roman" w:cs="Times New Roman"/>
          <w:b/>
          <w:bCs/>
          <w:sz w:val="24"/>
          <w:szCs w:val="24"/>
        </w:rPr>
        <w:t>10</w:t>
      </w:r>
      <w:r w:rsidRPr="008B02E9">
        <w:rPr>
          <w:rFonts w:ascii="Times New Roman" w:hAnsi="Times New Roman" w:cs="Times New Roman"/>
          <w:sz w:val="24"/>
          <w:szCs w:val="24"/>
        </w:rPr>
        <w:t>(5):</w:t>
      </w:r>
      <w:r w:rsidR="000236A2">
        <w:rPr>
          <w:rFonts w:ascii="Times New Roman" w:hAnsi="Times New Roman" w:cs="Times New Roman"/>
          <w:sz w:val="24"/>
          <w:szCs w:val="24"/>
        </w:rPr>
        <w:t xml:space="preserve"> </w:t>
      </w:r>
      <w:r w:rsidRPr="008B02E9">
        <w:rPr>
          <w:rFonts w:ascii="Times New Roman" w:hAnsi="Times New Roman" w:cs="Times New Roman"/>
          <w:sz w:val="24"/>
          <w:szCs w:val="24"/>
        </w:rPr>
        <w:t xml:space="preserve">953. </w:t>
      </w:r>
    </w:p>
    <w:p w14:paraId="11EC877E" w14:textId="2A19F5AF" w:rsidR="008B02E9" w:rsidRPr="008B02E9" w:rsidRDefault="008B02E9" w:rsidP="00BA5A3F">
      <w:pPr>
        <w:tabs>
          <w:tab w:val="left" w:pos="851"/>
        </w:tabs>
        <w:spacing w:before="120" w:after="120" w:line="360" w:lineRule="auto"/>
        <w:ind w:left="1134" w:right="-23" w:hanging="1134"/>
        <w:jc w:val="both"/>
        <w:rPr>
          <w:rFonts w:ascii="Times New Roman" w:hAnsi="Times New Roman" w:cs="Times New Roman"/>
          <w:sz w:val="24"/>
          <w:szCs w:val="24"/>
        </w:rPr>
      </w:pPr>
      <w:proofErr w:type="spellStart"/>
      <w:r w:rsidRPr="008B02E9">
        <w:rPr>
          <w:rFonts w:ascii="Times New Roman" w:hAnsi="Times New Roman" w:cs="Times New Roman"/>
          <w:sz w:val="24"/>
          <w:szCs w:val="24"/>
          <w:lang w:bidi="te-IN"/>
        </w:rPr>
        <w:t>Ligowe</w:t>
      </w:r>
      <w:proofErr w:type="spellEnd"/>
      <w:r w:rsidRPr="008B02E9">
        <w:rPr>
          <w:rFonts w:ascii="Times New Roman" w:hAnsi="Times New Roman" w:cs="Times New Roman"/>
          <w:sz w:val="24"/>
          <w:szCs w:val="24"/>
          <w:lang w:bidi="te-IN"/>
        </w:rPr>
        <w:t>, S.I.</w:t>
      </w:r>
      <w:proofErr w:type="gramStart"/>
      <w:r w:rsidRPr="008B02E9">
        <w:rPr>
          <w:rFonts w:ascii="Times New Roman" w:hAnsi="Times New Roman" w:cs="Times New Roman"/>
          <w:sz w:val="24"/>
          <w:szCs w:val="24"/>
          <w:lang w:bidi="te-IN"/>
        </w:rPr>
        <w:t xml:space="preserve">,  </w:t>
      </w:r>
      <w:proofErr w:type="spellStart"/>
      <w:r w:rsidRPr="008B02E9">
        <w:rPr>
          <w:rFonts w:ascii="Times New Roman" w:hAnsi="Times New Roman" w:cs="Times New Roman"/>
          <w:sz w:val="24"/>
          <w:szCs w:val="24"/>
          <w:lang w:bidi="te-IN"/>
        </w:rPr>
        <w:t>Nalivata</w:t>
      </w:r>
      <w:proofErr w:type="spellEnd"/>
      <w:proofErr w:type="gramEnd"/>
      <w:r w:rsidRPr="008B02E9">
        <w:rPr>
          <w:rFonts w:ascii="Times New Roman" w:hAnsi="Times New Roman" w:cs="Times New Roman"/>
          <w:sz w:val="24"/>
          <w:szCs w:val="24"/>
          <w:lang w:bidi="te-IN"/>
        </w:rPr>
        <w:t xml:space="preserve">, C.P.,  </w:t>
      </w:r>
      <w:proofErr w:type="spellStart"/>
      <w:r w:rsidRPr="008B02E9">
        <w:rPr>
          <w:rFonts w:ascii="Times New Roman" w:hAnsi="Times New Roman" w:cs="Times New Roman"/>
          <w:sz w:val="24"/>
          <w:szCs w:val="24"/>
          <w:lang w:bidi="te-IN"/>
        </w:rPr>
        <w:t>Njoloma</w:t>
      </w:r>
      <w:proofErr w:type="spellEnd"/>
      <w:r w:rsidRPr="008B02E9">
        <w:rPr>
          <w:rFonts w:ascii="Times New Roman" w:hAnsi="Times New Roman" w:cs="Times New Roman"/>
          <w:sz w:val="24"/>
          <w:szCs w:val="24"/>
          <w:lang w:bidi="te-IN"/>
        </w:rPr>
        <w:t xml:space="preserve">, J.,  </w:t>
      </w:r>
      <w:proofErr w:type="spellStart"/>
      <w:r w:rsidRPr="008B02E9">
        <w:rPr>
          <w:rFonts w:ascii="Times New Roman" w:hAnsi="Times New Roman" w:cs="Times New Roman"/>
          <w:sz w:val="24"/>
          <w:szCs w:val="24"/>
          <w:lang w:bidi="te-IN"/>
        </w:rPr>
        <w:t>Makumba,W</w:t>
      </w:r>
      <w:proofErr w:type="spellEnd"/>
      <w:r w:rsidRPr="008B02E9">
        <w:rPr>
          <w:rFonts w:ascii="Times New Roman" w:hAnsi="Times New Roman" w:cs="Times New Roman"/>
          <w:sz w:val="24"/>
          <w:szCs w:val="24"/>
          <w:lang w:bidi="te-IN"/>
        </w:rPr>
        <w:t xml:space="preserve">.,  </w:t>
      </w:r>
      <w:proofErr w:type="spellStart"/>
      <w:r w:rsidRPr="008B02E9">
        <w:rPr>
          <w:rFonts w:ascii="Times New Roman" w:hAnsi="Times New Roman" w:cs="Times New Roman"/>
          <w:sz w:val="24"/>
          <w:szCs w:val="24"/>
          <w:lang w:bidi="te-IN"/>
        </w:rPr>
        <w:t>Thierfelder</w:t>
      </w:r>
      <w:proofErr w:type="spellEnd"/>
      <w:r w:rsidRPr="008B02E9">
        <w:rPr>
          <w:rFonts w:ascii="Times New Roman" w:hAnsi="Times New Roman" w:cs="Times New Roman"/>
          <w:sz w:val="24"/>
          <w:szCs w:val="24"/>
          <w:lang w:bidi="te-IN"/>
        </w:rPr>
        <w:t>, C.</w:t>
      </w:r>
      <w:r w:rsidRPr="008B02E9">
        <w:rPr>
          <w:rFonts w:ascii="Times New Roman" w:hAnsi="Times New Roman" w:cs="Times New Roman"/>
          <w:b/>
          <w:bCs/>
          <w:sz w:val="24"/>
          <w:szCs w:val="24"/>
          <w:lang w:bidi="te-IN"/>
        </w:rPr>
        <w:t xml:space="preserve"> </w:t>
      </w:r>
      <w:r w:rsidRPr="008B02E9">
        <w:rPr>
          <w:rFonts w:ascii="Times New Roman" w:hAnsi="Times New Roman" w:cs="Times New Roman"/>
          <w:sz w:val="24"/>
          <w:szCs w:val="24"/>
          <w:lang w:bidi="te-IN"/>
        </w:rPr>
        <w:t>(2017).</w:t>
      </w:r>
      <w:r w:rsidRPr="008B02E9">
        <w:rPr>
          <w:rFonts w:ascii="Times New Roman" w:hAnsi="Times New Roman" w:cs="Times New Roman"/>
          <w:b/>
          <w:bCs/>
          <w:sz w:val="24"/>
          <w:szCs w:val="24"/>
          <w:lang w:bidi="te-IN"/>
        </w:rPr>
        <w:t xml:space="preserve"> </w:t>
      </w:r>
      <w:r w:rsidRPr="008B02E9">
        <w:rPr>
          <w:rFonts w:ascii="Times New Roman" w:hAnsi="Times New Roman" w:cs="Times New Roman"/>
          <w:sz w:val="24"/>
          <w:szCs w:val="24"/>
          <w:lang w:bidi="te-IN"/>
        </w:rPr>
        <w:t xml:space="preserve"> Medium-term effects of conservation agriculture on soil quality. </w:t>
      </w:r>
      <w:r w:rsidRPr="008B02E9">
        <w:rPr>
          <w:rFonts w:ascii="Times New Roman" w:hAnsi="Times New Roman" w:cs="Times New Roman"/>
          <w:i/>
          <w:iCs/>
          <w:sz w:val="24"/>
          <w:szCs w:val="24"/>
          <w:lang w:bidi="te-IN"/>
        </w:rPr>
        <w:t>African journal of agricultural research</w:t>
      </w:r>
      <w:r w:rsidRPr="008B02E9">
        <w:rPr>
          <w:rFonts w:ascii="Times New Roman" w:hAnsi="Times New Roman" w:cs="Times New Roman"/>
          <w:sz w:val="24"/>
          <w:szCs w:val="24"/>
          <w:lang w:bidi="te-IN"/>
        </w:rPr>
        <w:t xml:space="preserve">, </w:t>
      </w:r>
      <w:r w:rsidRPr="008B02E9">
        <w:rPr>
          <w:rFonts w:ascii="Times New Roman" w:hAnsi="Times New Roman" w:cs="Times New Roman"/>
          <w:b/>
          <w:bCs/>
          <w:sz w:val="24"/>
          <w:szCs w:val="24"/>
          <w:lang w:bidi="te-IN"/>
        </w:rPr>
        <w:t>12</w:t>
      </w:r>
      <w:r w:rsidRPr="008B02E9">
        <w:rPr>
          <w:rFonts w:ascii="Times New Roman" w:hAnsi="Times New Roman" w:cs="Times New Roman"/>
          <w:sz w:val="24"/>
          <w:szCs w:val="24"/>
          <w:lang w:bidi="te-IN"/>
        </w:rPr>
        <w:t>: 2412–2420.</w:t>
      </w:r>
    </w:p>
    <w:p w14:paraId="3A16B2AF" w14:textId="77777777" w:rsidR="008B02E9" w:rsidRPr="008B02E9" w:rsidRDefault="008B02E9" w:rsidP="008B02E9">
      <w:pPr>
        <w:spacing w:before="120" w:after="120" w:line="360" w:lineRule="auto"/>
        <w:ind w:left="1134" w:right="-23" w:hanging="1134"/>
        <w:jc w:val="both"/>
        <w:rPr>
          <w:rFonts w:ascii="Times New Roman" w:hAnsi="Times New Roman" w:cs="Times New Roman"/>
          <w:sz w:val="24"/>
          <w:szCs w:val="24"/>
        </w:rPr>
      </w:pPr>
      <w:r w:rsidRPr="008B02E9">
        <w:rPr>
          <w:rFonts w:ascii="Times New Roman" w:hAnsi="Times New Roman" w:cs="Times New Roman"/>
          <w:sz w:val="24"/>
          <w:szCs w:val="24"/>
        </w:rPr>
        <w:t xml:space="preserve">Majumdar, K., </w:t>
      </w:r>
      <w:proofErr w:type="spellStart"/>
      <w:proofErr w:type="gramStart"/>
      <w:r w:rsidRPr="008B02E9">
        <w:rPr>
          <w:rFonts w:ascii="Times New Roman" w:hAnsi="Times New Roman" w:cs="Times New Roman"/>
          <w:sz w:val="24"/>
          <w:szCs w:val="24"/>
        </w:rPr>
        <w:t>Sanyal,S.K</w:t>
      </w:r>
      <w:proofErr w:type="spellEnd"/>
      <w:r w:rsidRPr="008B02E9">
        <w:rPr>
          <w:rFonts w:ascii="Times New Roman" w:hAnsi="Times New Roman" w:cs="Times New Roman"/>
          <w:sz w:val="24"/>
          <w:szCs w:val="24"/>
        </w:rPr>
        <w:t>.</w:t>
      </w:r>
      <w:proofErr w:type="gramEnd"/>
      <w:r w:rsidRPr="008B02E9">
        <w:rPr>
          <w:rFonts w:ascii="Times New Roman" w:hAnsi="Times New Roman" w:cs="Times New Roman"/>
          <w:sz w:val="24"/>
          <w:szCs w:val="24"/>
        </w:rPr>
        <w:t xml:space="preserve">, </w:t>
      </w:r>
      <w:proofErr w:type="spellStart"/>
      <w:r w:rsidRPr="008B02E9">
        <w:rPr>
          <w:rFonts w:ascii="Times New Roman" w:hAnsi="Times New Roman" w:cs="Times New Roman"/>
          <w:sz w:val="24"/>
          <w:szCs w:val="24"/>
        </w:rPr>
        <w:t>Dutta,S.K</w:t>
      </w:r>
      <w:proofErr w:type="spellEnd"/>
      <w:r w:rsidRPr="008B02E9">
        <w:rPr>
          <w:rFonts w:ascii="Times New Roman" w:hAnsi="Times New Roman" w:cs="Times New Roman"/>
          <w:sz w:val="24"/>
          <w:szCs w:val="24"/>
        </w:rPr>
        <w:t xml:space="preserve">., </w:t>
      </w:r>
      <w:proofErr w:type="spellStart"/>
      <w:r w:rsidRPr="008B02E9">
        <w:rPr>
          <w:rFonts w:ascii="Times New Roman" w:hAnsi="Times New Roman" w:cs="Times New Roman"/>
          <w:sz w:val="24"/>
          <w:szCs w:val="24"/>
        </w:rPr>
        <w:t>Satyanarayana,T</w:t>
      </w:r>
      <w:proofErr w:type="spellEnd"/>
      <w:r w:rsidRPr="008B02E9">
        <w:rPr>
          <w:rFonts w:ascii="Times New Roman" w:hAnsi="Times New Roman" w:cs="Times New Roman"/>
          <w:sz w:val="24"/>
          <w:szCs w:val="24"/>
        </w:rPr>
        <w:t xml:space="preserve">. and </w:t>
      </w:r>
      <w:proofErr w:type="spellStart"/>
      <w:r w:rsidRPr="008B02E9">
        <w:rPr>
          <w:rFonts w:ascii="Times New Roman" w:hAnsi="Times New Roman" w:cs="Times New Roman"/>
          <w:sz w:val="24"/>
          <w:szCs w:val="24"/>
        </w:rPr>
        <w:t>Singh,V.K</w:t>
      </w:r>
      <w:proofErr w:type="spellEnd"/>
      <w:r w:rsidRPr="008B02E9">
        <w:rPr>
          <w:rFonts w:ascii="Times New Roman" w:hAnsi="Times New Roman" w:cs="Times New Roman"/>
          <w:sz w:val="24"/>
          <w:szCs w:val="24"/>
        </w:rPr>
        <w:t xml:space="preserve">.(2016). Nutrient Mining: Addressing the Challenges to Soil Resources and Food Security. </w:t>
      </w:r>
      <w:r w:rsidRPr="008B02E9">
        <w:rPr>
          <w:rFonts w:ascii="Times New Roman" w:hAnsi="Times New Roman" w:cs="Times New Roman"/>
          <w:i/>
          <w:iCs/>
          <w:sz w:val="24"/>
          <w:szCs w:val="24"/>
        </w:rPr>
        <w:t>Springer India</w:t>
      </w:r>
      <w:r w:rsidRPr="008B02E9">
        <w:rPr>
          <w:rFonts w:ascii="Times New Roman" w:hAnsi="Times New Roman" w:cs="Times New Roman"/>
          <w:sz w:val="24"/>
          <w:szCs w:val="24"/>
        </w:rPr>
        <w:t>, pp.177-198.</w:t>
      </w:r>
    </w:p>
    <w:p w14:paraId="13D1A91C" w14:textId="77777777" w:rsidR="008B02E9" w:rsidRPr="008B02E9" w:rsidRDefault="008B02E9" w:rsidP="008B02E9">
      <w:pPr>
        <w:spacing w:before="120" w:after="120" w:line="360" w:lineRule="auto"/>
        <w:ind w:left="1134" w:right="-23" w:hanging="1134"/>
        <w:jc w:val="both"/>
        <w:rPr>
          <w:rFonts w:ascii="Times New Roman" w:hAnsi="Times New Roman" w:cs="Times New Roman"/>
          <w:sz w:val="24"/>
          <w:szCs w:val="24"/>
        </w:rPr>
      </w:pPr>
      <w:proofErr w:type="spellStart"/>
      <w:r w:rsidRPr="008B02E9">
        <w:rPr>
          <w:rFonts w:ascii="Times New Roman" w:hAnsi="Times New Roman" w:cs="Times New Roman"/>
          <w:sz w:val="24"/>
          <w:szCs w:val="24"/>
        </w:rPr>
        <w:t>Padbhushan</w:t>
      </w:r>
      <w:proofErr w:type="spellEnd"/>
      <w:r w:rsidRPr="008B02E9">
        <w:rPr>
          <w:rFonts w:ascii="Times New Roman" w:hAnsi="Times New Roman" w:cs="Times New Roman"/>
          <w:sz w:val="24"/>
          <w:szCs w:val="24"/>
        </w:rPr>
        <w:t xml:space="preserve">, R., Sinha, A. K., Kumar, U., Bhattacharya, P. M., &amp; Poddar, P. (2023). Plant Growth-Promoting Bacteria and Crop Residue in Rice–Wheat System Cultivated with </w:t>
      </w:r>
      <w:proofErr w:type="spellStart"/>
      <w:r w:rsidRPr="008B02E9">
        <w:rPr>
          <w:rFonts w:ascii="Times New Roman" w:hAnsi="Times New Roman" w:cs="Times New Roman"/>
          <w:sz w:val="24"/>
          <w:szCs w:val="24"/>
        </w:rPr>
        <w:t>Favorable</w:t>
      </w:r>
      <w:proofErr w:type="spellEnd"/>
      <w:r w:rsidRPr="008B02E9">
        <w:rPr>
          <w:rFonts w:ascii="Times New Roman" w:hAnsi="Times New Roman" w:cs="Times New Roman"/>
          <w:sz w:val="24"/>
          <w:szCs w:val="24"/>
        </w:rPr>
        <w:t xml:space="preserve"> Tillage Influence Crop Productivity, Nutrient Uptake, Soil Quality, and Profitability in the </w:t>
      </w:r>
      <w:proofErr w:type="spellStart"/>
      <w:r w:rsidRPr="008B02E9">
        <w:rPr>
          <w:rFonts w:ascii="Times New Roman" w:hAnsi="Times New Roman" w:cs="Times New Roman"/>
          <w:sz w:val="24"/>
          <w:szCs w:val="24"/>
        </w:rPr>
        <w:t>Terai</w:t>
      </w:r>
      <w:proofErr w:type="spellEnd"/>
      <w:r w:rsidRPr="008B02E9">
        <w:rPr>
          <w:rFonts w:ascii="Times New Roman" w:hAnsi="Times New Roman" w:cs="Times New Roman"/>
          <w:sz w:val="24"/>
          <w:szCs w:val="24"/>
        </w:rPr>
        <w:t xml:space="preserve"> </w:t>
      </w:r>
      <w:proofErr w:type="spellStart"/>
      <w:r w:rsidRPr="008B02E9">
        <w:rPr>
          <w:rFonts w:ascii="Times New Roman" w:hAnsi="Times New Roman" w:cs="Times New Roman"/>
          <w:sz w:val="24"/>
          <w:szCs w:val="24"/>
        </w:rPr>
        <w:t>Agro</w:t>
      </w:r>
      <w:proofErr w:type="spellEnd"/>
      <w:r w:rsidRPr="008B02E9">
        <w:rPr>
          <w:rFonts w:ascii="Times New Roman" w:hAnsi="Times New Roman" w:cs="Times New Roman"/>
          <w:sz w:val="24"/>
          <w:szCs w:val="24"/>
        </w:rPr>
        <w:t>-Ecological Zone of West Bengal, India. Agronomy, 13(10), 2454. https://doi.org/10.3390/agronomy13102454.</w:t>
      </w:r>
    </w:p>
    <w:p w14:paraId="6D516039" w14:textId="77777777" w:rsidR="008B02E9" w:rsidRPr="008B02E9" w:rsidRDefault="008B02E9" w:rsidP="008B02E9">
      <w:pPr>
        <w:tabs>
          <w:tab w:val="left" w:pos="851"/>
        </w:tabs>
        <w:spacing w:before="120" w:after="120" w:line="360" w:lineRule="auto"/>
        <w:ind w:left="1134" w:right="-23" w:hanging="1134"/>
        <w:jc w:val="both"/>
        <w:rPr>
          <w:rFonts w:ascii="Times New Roman" w:hAnsi="Times New Roman" w:cs="Times New Roman"/>
          <w:sz w:val="24"/>
          <w:szCs w:val="24"/>
        </w:rPr>
      </w:pPr>
      <w:proofErr w:type="spellStart"/>
      <w:r w:rsidRPr="008B02E9">
        <w:rPr>
          <w:rFonts w:ascii="Times New Roman" w:hAnsi="Times New Roman" w:cs="Times New Roman"/>
          <w:sz w:val="24"/>
          <w:szCs w:val="24"/>
        </w:rPr>
        <w:t>Sanyal</w:t>
      </w:r>
      <w:proofErr w:type="spellEnd"/>
      <w:r w:rsidRPr="008B02E9">
        <w:rPr>
          <w:rFonts w:ascii="Times New Roman" w:hAnsi="Times New Roman" w:cs="Times New Roman"/>
          <w:sz w:val="24"/>
          <w:szCs w:val="24"/>
        </w:rPr>
        <w:t>, S.K. and Majumder, K. (2001). Kinetics of potassium release and fixation in soils. Potassium in Indian Agriculture. Potash Research Institute of India, Gurgaon, India and International Potash Institute, Switzerland. pp. 9-31.</w:t>
      </w:r>
    </w:p>
    <w:p w14:paraId="65E56EBB" w14:textId="025B83FF" w:rsidR="008B02E9" w:rsidRPr="008B02E9" w:rsidRDefault="008B02E9" w:rsidP="008B02E9">
      <w:pPr>
        <w:spacing w:before="120" w:after="120" w:line="360" w:lineRule="auto"/>
        <w:ind w:left="1134" w:right="-23" w:hanging="1134"/>
        <w:jc w:val="both"/>
        <w:rPr>
          <w:rFonts w:ascii="Times New Roman" w:hAnsi="Times New Roman" w:cs="Times New Roman"/>
          <w:sz w:val="24"/>
          <w:szCs w:val="24"/>
        </w:rPr>
      </w:pPr>
      <w:r w:rsidRPr="008B02E9">
        <w:rPr>
          <w:rFonts w:ascii="Times New Roman" w:hAnsi="Times New Roman" w:cs="Times New Roman"/>
          <w:sz w:val="24"/>
          <w:szCs w:val="24"/>
        </w:rPr>
        <w:t xml:space="preserve">Sarkar, G.K., Debnath, A., Chattopadhyay, A.P. </w:t>
      </w:r>
      <w:proofErr w:type="gramStart"/>
      <w:r w:rsidRPr="008B02E9">
        <w:rPr>
          <w:rFonts w:ascii="Times New Roman" w:hAnsi="Times New Roman" w:cs="Times New Roman"/>
          <w:sz w:val="24"/>
          <w:szCs w:val="24"/>
        </w:rPr>
        <w:t xml:space="preserve">and  </w:t>
      </w:r>
      <w:proofErr w:type="spellStart"/>
      <w:r w:rsidRPr="008B02E9">
        <w:rPr>
          <w:rFonts w:ascii="Times New Roman" w:hAnsi="Times New Roman" w:cs="Times New Roman"/>
          <w:sz w:val="24"/>
          <w:szCs w:val="24"/>
        </w:rPr>
        <w:t>Sanyal</w:t>
      </w:r>
      <w:proofErr w:type="spellEnd"/>
      <w:proofErr w:type="gramEnd"/>
      <w:r w:rsidRPr="008B02E9">
        <w:rPr>
          <w:rFonts w:ascii="Times New Roman" w:hAnsi="Times New Roman" w:cs="Times New Roman"/>
          <w:sz w:val="24"/>
          <w:szCs w:val="24"/>
        </w:rPr>
        <w:t xml:space="preserve">, S.K. (2014). Depletion of soil potassium under exhaustive cropping in </w:t>
      </w:r>
      <w:proofErr w:type="spellStart"/>
      <w:r w:rsidRPr="008B02E9">
        <w:rPr>
          <w:rFonts w:ascii="Times New Roman" w:hAnsi="Times New Roman" w:cs="Times New Roman"/>
          <w:sz w:val="24"/>
          <w:szCs w:val="24"/>
        </w:rPr>
        <w:t>Inceptisol</w:t>
      </w:r>
      <w:proofErr w:type="spellEnd"/>
      <w:r w:rsidRPr="008B02E9">
        <w:rPr>
          <w:rFonts w:ascii="Times New Roman" w:hAnsi="Times New Roman" w:cs="Times New Roman"/>
          <w:sz w:val="24"/>
          <w:szCs w:val="24"/>
        </w:rPr>
        <w:t xml:space="preserve"> and </w:t>
      </w:r>
      <w:proofErr w:type="spellStart"/>
      <w:r w:rsidRPr="008B02E9">
        <w:rPr>
          <w:rFonts w:ascii="Times New Roman" w:hAnsi="Times New Roman" w:cs="Times New Roman"/>
          <w:sz w:val="24"/>
          <w:szCs w:val="24"/>
        </w:rPr>
        <w:t>Alfisols</w:t>
      </w:r>
      <w:proofErr w:type="spellEnd"/>
      <w:r w:rsidRPr="008B02E9">
        <w:rPr>
          <w:rFonts w:ascii="Times New Roman" w:hAnsi="Times New Roman" w:cs="Times New Roman"/>
          <w:sz w:val="24"/>
          <w:szCs w:val="24"/>
        </w:rPr>
        <w:t xml:space="preserve">. </w:t>
      </w:r>
      <w:r w:rsidRPr="008B02E9">
        <w:rPr>
          <w:rFonts w:ascii="Times New Roman" w:hAnsi="Times New Roman" w:cs="Times New Roman"/>
          <w:i/>
          <w:iCs/>
          <w:sz w:val="24"/>
          <w:szCs w:val="24"/>
        </w:rPr>
        <w:t>Communication in Soil Science and Plant Analysis</w:t>
      </w:r>
      <w:r w:rsidRPr="008B02E9">
        <w:rPr>
          <w:rFonts w:ascii="Times New Roman" w:hAnsi="Times New Roman" w:cs="Times New Roman"/>
          <w:sz w:val="24"/>
          <w:szCs w:val="24"/>
        </w:rPr>
        <w:t>,</w:t>
      </w:r>
      <w:r w:rsidRPr="008B02E9">
        <w:rPr>
          <w:rFonts w:ascii="Times New Roman" w:hAnsi="Times New Roman" w:cs="Times New Roman"/>
          <w:b/>
          <w:bCs/>
          <w:sz w:val="24"/>
          <w:szCs w:val="24"/>
        </w:rPr>
        <w:t xml:space="preserve"> 45</w:t>
      </w:r>
      <w:r w:rsidRPr="008B02E9">
        <w:rPr>
          <w:rFonts w:ascii="Times New Roman" w:hAnsi="Times New Roman" w:cs="Times New Roman"/>
          <w:sz w:val="24"/>
          <w:szCs w:val="24"/>
        </w:rPr>
        <w:t>:</w:t>
      </w:r>
      <w:r w:rsidR="000236A2">
        <w:rPr>
          <w:rFonts w:ascii="Times New Roman" w:hAnsi="Times New Roman" w:cs="Times New Roman"/>
          <w:sz w:val="24"/>
          <w:szCs w:val="24"/>
        </w:rPr>
        <w:t xml:space="preserve"> </w:t>
      </w:r>
      <w:r w:rsidRPr="008B02E9">
        <w:rPr>
          <w:rFonts w:ascii="Times New Roman" w:hAnsi="Times New Roman" w:cs="Times New Roman"/>
          <w:sz w:val="24"/>
          <w:szCs w:val="24"/>
        </w:rPr>
        <w:t>61–72</w:t>
      </w:r>
    </w:p>
    <w:p w14:paraId="69918117" w14:textId="77777777" w:rsidR="00BA5A3F" w:rsidRDefault="008B02E9" w:rsidP="00BA5A3F">
      <w:pPr>
        <w:tabs>
          <w:tab w:val="left" w:pos="851"/>
        </w:tabs>
        <w:spacing w:before="120" w:after="120" w:line="360" w:lineRule="auto"/>
        <w:ind w:left="1134" w:right="-23" w:hanging="1134"/>
        <w:jc w:val="both"/>
        <w:rPr>
          <w:rFonts w:ascii="Times New Roman" w:hAnsi="Times New Roman" w:cs="Times New Roman"/>
          <w:sz w:val="24"/>
          <w:szCs w:val="24"/>
        </w:rPr>
      </w:pPr>
      <w:r w:rsidRPr="008B02E9">
        <w:rPr>
          <w:rFonts w:ascii="Times New Roman" w:hAnsi="Times New Roman" w:cs="Times New Roman"/>
          <w:sz w:val="24"/>
          <w:szCs w:val="24"/>
        </w:rPr>
        <w:t>Singh, Y. V</w:t>
      </w:r>
      <w:r w:rsidRPr="008B02E9">
        <w:rPr>
          <w:rFonts w:ascii="Times New Roman" w:hAnsi="Times New Roman" w:cs="Times New Roman"/>
          <w:i/>
          <w:iCs/>
          <w:sz w:val="24"/>
          <w:szCs w:val="24"/>
        </w:rPr>
        <w:t xml:space="preserve">., </w:t>
      </w:r>
      <w:r w:rsidRPr="008B02E9">
        <w:rPr>
          <w:rFonts w:ascii="Times New Roman" w:hAnsi="Times New Roman" w:cs="Times New Roman"/>
          <w:sz w:val="24"/>
          <w:szCs w:val="24"/>
        </w:rPr>
        <w:t>Dey, P., Meena, R. and Varma, S. K</w:t>
      </w:r>
      <w:r w:rsidRPr="008B02E9">
        <w:rPr>
          <w:rFonts w:ascii="Times New Roman" w:hAnsi="Times New Roman" w:cs="Times New Roman"/>
          <w:i/>
          <w:iCs/>
          <w:sz w:val="24"/>
          <w:szCs w:val="24"/>
        </w:rPr>
        <w:t xml:space="preserve">. (2016). </w:t>
      </w:r>
      <w:r w:rsidRPr="008B02E9">
        <w:rPr>
          <w:rFonts w:ascii="Times New Roman" w:hAnsi="Times New Roman" w:cs="Times New Roman"/>
          <w:sz w:val="24"/>
          <w:szCs w:val="24"/>
        </w:rPr>
        <w:t xml:space="preserve">Effect of soil </w:t>
      </w:r>
      <w:proofErr w:type="gramStart"/>
      <w:r w:rsidRPr="008B02E9">
        <w:rPr>
          <w:rFonts w:ascii="Times New Roman" w:hAnsi="Times New Roman" w:cs="Times New Roman"/>
          <w:sz w:val="24"/>
          <w:szCs w:val="24"/>
        </w:rPr>
        <w:t>test based</w:t>
      </w:r>
      <w:proofErr w:type="gramEnd"/>
      <w:r w:rsidRPr="008B02E9">
        <w:rPr>
          <w:rFonts w:ascii="Times New Roman" w:hAnsi="Times New Roman" w:cs="Times New Roman"/>
          <w:sz w:val="24"/>
          <w:szCs w:val="24"/>
        </w:rPr>
        <w:t xml:space="preserve"> application on yield and economics of chickpea in </w:t>
      </w:r>
      <w:proofErr w:type="spellStart"/>
      <w:r w:rsidRPr="008B02E9">
        <w:rPr>
          <w:rFonts w:ascii="Times New Roman" w:hAnsi="Times New Roman" w:cs="Times New Roman"/>
          <w:sz w:val="24"/>
          <w:szCs w:val="24"/>
        </w:rPr>
        <w:t>inceptisol</w:t>
      </w:r>
      <w:proofErr w:type="spellEnd"/>
      <w:r w:rsidRPr="008B02E9">
        <w:rPr>
          <w:rFonts w:ascii="Times New Roman" w:hAnsi="Times New Roman" w:cs="Times New Roman"/>
          <w:i/>
          <w:iCs/>
          <w:sz w:val="24"/>
          <w:szCs w:val="24"/>
        </w:rPr>
        <w:t xml:space="preserve">. Annals of Plant and Soil Research, </w:t>
      </w:r>
      <w:r w:rsidRPr="008B02E9">
        <w:rPr>
          <w:rFonts w:ascii="Times New Roman" w:hAnsi="Times New Roman" w:cs="Times New Roman"/>
          <w:b/>
          <w:bCs/>
          <w:sz w:val="24"/>
          <w:szCs w:val="24"/>
        </w:rPr>
        <w:t>18</w:t>
      </w:r>
      <w:r w:rsidRPr="008B02E9">
        <w:rPr>
          <w:rFonts w:ascii="Times New Roman" w:hAnsi="Times New Roman" w:cs="Times New Roman"/>
          <w:i/>
          <w:iCs/>
          <w:sz w:val="24"/>
          <w:szCs w:val="24"/>
        </w:rPr>
        <w:t xml:space="preserve">: </w:t>
      </w:r>
      <w:r w:rsidRPr="008B02E9">
        <w:rPr>
          <w:rFonts w:ascii="Times New Roman" w:hAnsi="Times New Roman" w:cs="Times New Roman"/>
          <w:sz w:val="24"/>
          <w:szCs w:val="24"/>
        </w:rPr>
        <w:t>409-412.</w:t>
      </w:r>
    </w:p>
    <w:p w14:paraId="7FC75AFA" w14:textId="36DD79AC" w:rsidR="008B02E9" w:rsidRPr="008B02E9" w:rsidRDefault="008B02E9" w:rsidP="00BA5A3F">
      <w:pPr>
        <w:tabs>
          <w:tab w:val="left" w:pos="851"/>
        </w:tabs>
        <w:spacing w:before="120" w:after="120" w:line="360" w:lineRule="auto"/>
        <w:ind w:left="1134" w:right="-23" w:hanging="1134"/>
        <w:jc w:val="both"/>
        <w:rPr>
          <w:rFonts w:ascii="Times New Roman" w:hAnsi="Times New Roman" w:cs="Times New Roman"/>
          <w:sz w:val="24"/>
          <w:szCs w:val="24"/>
        </w:rPr>
      </w:pPr>
      <w:proofErr w:type="spellStart"/>
      <w:r w:rsidRPr="008B02E9">
        <w:rPr>
          <w:rFonts w:ascii="Times New Roman" w:hAnsi="Times New Roman" w:cs="Times New Roman"/>
          <w:sz w:val="24"/>
          <w:szCs w:val="24"/>
          <w:lang w:bidi="te-IN"/>
        </w:rPr>
        <w:lastRenderedPageBreak/>
        <w:t>Timalsina</w:t>
      </w:r>
      <w:proofErr w:type="spellEnd"/>
      <w:r w:rsidRPr="008B02E9">
        <w:rPr>
          <w:rFonts w:ascii="Times New Roman" w:hAnsi="Times New Roman" w:cs="Times New Roman"/>
          <w:sz w:val="24"/>
          <w:szCs w:val="24"/>
          <w:lang w:bidi="te-IN"/>
        </w:rPr>
        <w:t>, H.P.</w:t>
      </w:r>
      <w:proofErr w:type="gramStart"/>
      <w:r w:rsidRPr="008B02E9">
        <w:rPr>
          <w:rFonts w:ascii="Times New Roman" w:hAnsi="Times New Roman" w:cs="Times New Roman"/>
          <w:sz w:val="24"/>
          <w:szCs w:val="24"/>
          <w:lang w:bidi="te-IN"/>
        </w:rPr>
        <w:t xml:space="preserve">,  </w:t>
      </w:r>
      <w:proofErr w:type="spellStart"/>
      <w:r w:rsidRPr="008B02E9">
        <w:rPr>
          <w:rFonts w:ascii="Times New Roman" w:hAnsi="Times New Roman" w:cs="Times New Roman"/>
          <w:sz w:val="24"/>
          <w:szCs w:val="24"/>
          <w:lang w:bidi="te-IN"/>
        </w:rPr>
        <w:t>Marahatta</w:t>
      </w:r>
      <w:proofErr w:type="spellEnd"/>
      <w:proofErr w:type="gramEnd"/>
      <w:r w:rsidRPr="008B02E9">
        <w:rPr>
          <w:rFonts w:ascii="Times New Roman" w:hAnsi="Times New Roman" w:cs="Times New Roman"/>
          <w:sz w:val="24"/>
          <w:szCs w:val="24"/>
          <w:lang w:bidi="te-IN"/>
        </w:rPr>
        <w:t xml:space="preserve">, S.,  </w:t>
      </w:r>
      <w:proofErr w:type="spellStart"/>
      <w:r w:rsidRPr="008B02E9">
        <w:rPr>
          <w:rFonts w:ascii="Times New Roman" w:hAnsi="Times New Roman" w:cs="Times New Roman"/>
          <w:sz w:val="24"/>
          <w:szCs w:val="24"/>
          <w:lang w:bidi="te-IN"/>
        </w:rPr>
        <w:t>Sah</w:t>
      </w:r>
      <w:proofErr w:type="spellEnd"/>
      <w:r w:rsidRPr="008B02E9">
        <w:rPr>
          <w:rFonts w:ascii="Times New Roman" w:hAnsi="Times New Roman" w:cs="Times New Roman"/>
          <w:sz w:val="24"/>
          <w:szCs w:val="24"/>
          <w:lang w:bidi="te-IN"/>
        </w:rPr>
        <w:t xml:space="preserve">, S.K.,  Gautam, A.K. (2021).  Effect of tillage method, crop residue and nutrient management on growth and yield of wheat in rice-wheat cropping system at </w:t>
      </w:r>
      <w:proofErr w:type="spellStart"/>
      <w:r w:rsidRPr="008B02E9">
        <w:rPr>
          <w:rFonts w:ascii="Times New Roman" w:hAnsi="Times New Roman" w:cs="Times New Roman"/>
          <w:sz w:val="24"/>
          <w:szCs w:val="24"/>
          <w:lang w:bidi="te-IN"/>
        </w:rPr>
        <w:t>Bhairahawa</w:t>
      </w:r>
      <w:proofErr w:type="spellEnd"/>
      <w:r w:rsidRPr="008B02E9">
        <w:rPr>
          <w:rFonts w:ascii="Times New Roman" w:hAnsi="Times New Roman" w:cs="Times New Roman"/>
          <w:sz w:val="24"/>
          <w:szCs w:val="24"/>
          <w:lang w:bidi="te-IN"/>
        </w:rPr>
        <w:t xml:space="preserve"> condition. Agronomy journal of </w:t>
      </w:r>
      <w:proofErr w:type="spellStart"/>
      <w:r w:rsidRPr="008B02E9">
        <w:rPr>
          <w:rFonts w:ascii="Times New Roman" w:hAnsi="Times New Roman" w:cs="Times New Roman"/>
          <w:sz w:val="24"/>
          <w:szCs w:val="24"/>
          <w:lang w:bidi="te-IN"/>
        </w:rPr>
        <w:t>nepal</w:t>
      </w:r>
      <w:proofErr w:type="spellEnd"/>
      <w:r w:rsidRPr="008B02E9">
        <w:rPr>
          <w:rFonts w:ascii="Times New Roman" w:hAnsi="Times New Roman" w:cs="Times New Roman"/>
          <w:sz w:val="24"/>
          <w:szCs w:val="24"/>
          <w:lang w:bidi="te-IN"/>
        </w:rPr>
        <w:t xml:space="preserve">, </w:t>
      </w:r>
      <w:r w:rsidRPr="008B02E9">
        <w:rPr>
          <w:rFonts w:ascii="Times New Roman" w:hAnsi="Times New Roman" w:cs="Times New Roman"/>
          <w:b/>
          <w:bCs/>
          <w:sz w:val="24"/>
          <w:szCs w:val="24"/>
          <w:lang w:bidi="te-IN"/>
        </w:rPr>
        <w:t>5</w:t>
      </w:r>
      <w:r w:rsidRPr="008B02E9">
        <w:rPr>
          <w:rFonts w:ascii="Times New Roman" w:hAnsi="Times New Roman" w:cs="Times New Roman"/>
          <w:sz w:val="24"/>
          <w:szCs w:val="24"/>
          <w:lang w:bidi="te-IN"/>
        </w:rPr>
        <w:t>: 52–62.</w:t>
      </w:r>
    </w:p>
    <w:p w14:paraId="1DFA2847" w14:textId="77777777" w:rsidR="008B02E9" w:rsidRPr="008B02E9" w:rsidRDefault="008B02E9" w:rsidP="008B02E9">
      <w:pPr>
        <w:tabs>
          <w:tab w:val="left" w:pos="851"/>
        </w:tabs>
        <w:spacing w:before="120" w:after="120" w:line="360" w:lineRule="auto"/>
        <w:ind w:left="1134" w:right="-23" w:hanging="1134"/>
        <w:jc w:val="both"/>
        <w:rPr>
          <w:rStyle w:val="Hyperlink"/>
          <w:rFonts w:ascii="Times New Roman" w:hAnsi="Times New Roman" w:cs="Times New Roman"/>
          <w:color w:val="auto"/>
          <w:sz w:val="24"/>
          <w:szCs w:val="24"/>
        </w:rPr>
      </w:pPr>
      <w:r w:rsidRPr="008B02E9">
        <w:rPr>
          <w:rFonts w:ascii="Times New Roman" w:hAnsi="Times New Roman" w:cs="Times New Roman"/>
          <w:sz w:val="24"/>
          <w:szCs w:val="24"/>
        </w:rPr>
        <w:t xml:space="preserve">Umar, B. B., </w:t>
      </w:r>
      <w:proofErr w:type="spellStart"/>
      <w:r w:rsidRPr="008B02E9">
        <w:rPr>
          <w:rFonts w:ascii="Times New Roman" w:hAnsi="Times New Roman" w:cs="Times New Roman"/>
          <w:sz w:val="24"/>
          <w:szCs w:val="24"/>
        </w:rPr>
        <w:t>Aune</w:t>
      </w:r>
      <w:proofErr w:type="spellEnd"/>
      <w:r w:rsidRPr="008B02E9">
        <w:rPr>
          <w:rFonts w:ascii="Times New Roman" w:hAnsi="Times New Roman" w:cs="Times New Roman"/>
          <w:sz w:val="24"/>
          <w:szCs w:val="24"/>
        </w:rPr>
        <w:t xml:space="preserve">, B. J., Johnsen, H. F. and Lungu, I. O. (2011). Options for improving smallholder conservation agriculture in Zambia. </w:t>
      </w:r>
      <w:r w:rsidRPr="008B02E9">
        <w:rPr>
          <w:rFonts w:ascii="Times New Roman" w:hAnsi="Times New Roman" w:cs="Times New Roman"/>
          <w:i/>
          <w:iCs/>
          <w:sz w:val="24"/>
          <w:szCs w:val="24"/>
        </w:rPr>
        <w:t>Journal of Agricultural Science</w:t>
      </w:r>
      <w:r w:rsidRPr="008B02E9">
        <w:rPr>
          <w:rFonts w:ascii="Times New Roman" w:hAnsi="Times New Roman" w:cs="Times New Roman"/>
          <w:sz w:val="24"/>
          <w:szCs w:val="24"/>
        </w:rPr>
        <w:t xml:space="preserve">, </w:t>
      </w:r>
      <w:r w:rsidRPr="008B02E9">
        <w:rPr>
          <w:rFonts w:ascii="Times New Roman" w:hAnsi="Times New Roman" w:cs="Times New Roman"/>
          <w:b/>
          <w:bCs/>
          <w:sz w:val="24"/>
          <w:szCs w:val="24"/>
        </w:rPr>
        <w:t>3</w:t>
      </w:r>
      <w:r w:rsidRPr="008B02E9">
        <w:rPr>
          <w:rFonts w:ascii="Times New Roman" w:hAnsi="Times New Roman" w:cs="Times New Roman"/>
          <w:sz w:val="24"/>
          <w:szCs w:val="24"/>
        </w:rPr>
        <w:t xml:space="preserve">(3): 50-62. </w:t>
      </w:r>
      <w:hyperlink r:id="rId10" w:history="1">
        <w:r w:rsidRPr="008B02E9">
          <w:rPr>
            <w:rStyle w:val="Hyperlink"/>
            <w:rFonts w:ascii="Times New Roman" w:hAnsi="Times New Roman" w:cs="Times New Roman"/>
            <w:color w:val="auto"/>
            <w:sz w:val="24"/>
            <w:szCs w:val="24"/>
          </w:rPr>
          <w:t>http://dx.doi.org/10.5539/jas.v3n3p50</w:t>
        </w:r>
      </w:hyperlink>
    </w:p>
    <w:p w14:paraId="20E7DE39" w14:textId="77777777" w:rsidR="008B02E9" w:rsidRPr="008B02E9" w:rsidRDefault="008B02E9" w:rsidP="008B02E9">
      <w:pPr>
        <w:tabs>
          <w:tab w:val="left" w:pos="851"/>
        </w:tabs>
        <w:spacing w:before="120" w:after="120" w:line="360" w:lineRule="auto"/>
        <w:ind w:left="1418" w:right="-23" w:hanging="1134"/>
        <w:jc w:val="both"/>
        <w:rPr>
          <w:rFonts w:ascii="Times New Roman" w:hAnsi="Times New Roman" w:cs="Times New Roman"/>
          <w:sz w:val="24"/>
          <w:szCs w:val="24"/>
        </w:rPr>
      </w:pPr>
      <w:r w:rsidRPr="008B02E9">
        <w:rPr>
          <w:rFonts w:ascii="Times New Roman" w:hAnsi="Times New Roman" w:cs="Times New Roman"/>
          <w:sz w:val="24"/>
          <w:szCs w:val="24"/>
        </w:rPr>
        <w:t xml:space="preserve">Walkley, A. and Black, C.A. (1934). An estimation of Design off method for determining soil organic matter and proposed modification of chromic acid titration method. </w:t>
      </w:r>
      <w:r w:rsidRPr="008B02E9">
        <w:rPr>
          <w:rFonts w:ascii="Times New Roman" w:hAnsi="Times New Roman" w:cs="Times New Roman"/>
          <w:i/>
          <w:iCs/>
          <w:sz w:val="24"/>
          <w:szCs w:val="24"/>
        </w:rPr>
        <w:t>Soil Science</w:t>
      </w:r>
      <w:r w:rsidRPr="008B02E9">
        <w:rPr>
          <w:rFonts w:ascii="Times New Roman" w:hAnsi="Times New Roman" w:cs="Times New Roman"/>
          <w:sz w:val="24"/>
          <w:szCs w:val="24"/>
        </w:rPr>
        <w:t>,</w:t>
      </w:r>
      <w:r w:rsidRPr="008B02E9">
        <w:rPr>
          <w:rFonts w:ascii="Times New Roman" w:hAnsi="Times New Roman" w:cs="Times New Roman"/>
          <w:b/>
          <w:bCs/>
          <w:sz w:val="24"/>
          <w:szCs w:val="24"/>
        </w:rPr>
        <w:t xml:space="preserve"> 37</w:t>
      </w:r>
      <w:r w:rsidRPr="008B02E9">
        <w:rPr>
          <w:rFonts w:ascii="Times New Roman" w:hAnsi="Times New Roman" w:cs="Times New Roman"/>
          <w:sz w:val="24"/>
          <w:szCs w:val="24"/>
        </w:rPr>
        <w:t>(1): 29-34.</w:t>
      </w:r>
    </w:p>
    <w:sectPr w:rsidR="008B02E9" w:rsidRPr="008B02E9" w:rsidSect="00DF465C">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E4A13" w14:textId="77777777" w:rsidR="00441501" w:rsidRDefault="00441501" w:rsidP="002C2D92">
      <w:pPr>
        <w:spacing w:after="0" w:line="240" w:lineRule="auto"/>
      </w:pPr>
      <w:r>
        <w:separator/>
      </w:r>
    </w:p>
  </w:endnote>
  <w:endnote w:type="continuationSeparator" w:id="0">
    <w:p w14:paraId="4E44796E" w14:textId="77777777" w:rsidR="00441501" w:rsidRDefault="00441501" w:rsidP="002C2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FA570" w14:textId="77777777" w:rsidR="003E1A05" w:rsidRDefault="003E1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6F7F7" w14:textId="77777777" w:rsidR="002C2D92" w:rsidRDefault="002C2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445B7" w14:textId="77777777" w:rsidR="003E1A05" w:rsidRDefault="003E1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244AE" w14:textId="77777777" w:rsidR="00441501" w:rsidRDefault="00441501" w:rsidP="002C2D92">
      <w:pPr>
        <w:spacing w:after="0" w:line="240" w:lineRule="auto"/>
      </w:pPr>
      <w:r>
        <w:separator/>
      </w:r>
    </w:p>
  </w:footnote>
  <w:footnote w:type="continuationSeparator" w:id="0">
    <w:p w14:paraId="27F33A5C" w14:textId="77777777" w:rsidR="00441501" w:rsidRDefault="00441501" w:rsidP="002C2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B89CB" w14:textId="2E7346AF" w:rsidR="003E1A05" w:rsidRDefault="00441501">
    <w:pPr>
      <w:pStyle w:val="Header"/>
    </w:pPr>
    <w:r>
      <w:rPr>
        <w:noProof/>
      </w:rPr>
      <w:pict w14:anchorId="1C6374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43520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816A0" w14:textId="6CDE90B0" w:rsidR="003E1A05" w:rsidRDefault="00441501">
    <w:pPr>
      <w:pStyle w:val="Header"/>
    </w:pPr>
    <w:r>
      <w:rPr>
        <w:noProof/>
      </w:rPr>
      <w:pict w14:anchorId="09A07C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43520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D7AD9" w14:textId="69C390A9" w:rsidR="003E1A05" w:rsidRDefault="00441501">
    <w:pPr>
      <w:pStyle w:val="Header"/>
    </w:pPr>
    <w:r>
      <w:rPr>
        <w:noProof/>
      </w:rPr>
      <w:pict w14:anchorId="46F96C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43520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54300"/>
    <w:multiLevelType w:val="hybridMultilevel"/>
    <w:tmpl w:val="9174771A"/>
    <w:lvl w:ilvl="0" w:tplc="9A66BDB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1A0D"/>
    <w:rsid w:val="00011353"/>
    <w:rsid w:val="00016152"/>
    <w:rsid w:val="000236A2"/>
    <w:rsid w:val="0006313F"/>
    <w:rsid w:val="0007318E"/>
    <w:rsid w:val="000B35ED"/>
    <w:rsid w:val="000B6EA7"/>
    <w:rsid w:val="000C333A"/>
    <w:rsid w:val="000C5197"/>
    <w:rsid w:val="001010FB"/>
    <w:rsid w:val="00110829"/>
    <w:rsid w:val="00113089"/>
    <w:rsid w:val="0014162B"/>
    <w:rsid w:val="00190E34"/>
    <w:rsid w:val="00195BBD"/>
    <w:rsid w:val="001A19E3"/>
    <w:rsid w:val="001B4D89"/>
    <w:rsid w:val="00207330"/>
    <w:rsid w:val="00210D72"/>
    <w:rsid w:val="002276CB"/>
    <w:rsid w:val="00242B3F"/>
    <w:rsid w:val="002715DE"/>
    <w:rsid w:val="00276095"/>
    <w:rsid w:val="00291EE6"/>
    <w:rsid w:val="002937DB"/>
    <w:rsid w:val="002C2D92"/>
    <w:rsid w:val="002F0012"/>
    <w:rsid w:val="00312FAF"/>
    <w:rsid w:val="00327A18"/>
    <w:rsid w:val="00334171"/>
    <w:rsid w:val="00351A0D"/>
    <w:rsid w:val="0037174F"/>
    <w:rsid w:val="00375337"/>
    <w:rsid w:val="003E13B8"/>
    <w:rsid w:val="003E1A05"/>
    <w:rsid w:val="00417853"/>
    <w:rsid w:val="00420D56"/>
    <w:rsid w:val="00441018"/>
    <w:rsid w:val="00441501"/>
    <w:rsid w:val="00443E2F"/>
    <w:rsid w:val="00467329"/>
    <w:rsid w:val="004954D0"/>
    <w:rsid w:val="004A19B5"/>
    <w:rsid w:val="004E4C92"/>
    <w:rsid w:val="00513931"/>
    <w:rsid w:val="00525FA8"/>
    <w:rsid w:val="005449AB"/>
    <w:rsid w:val="0057264E"/>
    <w:rsid w:val="00625F88"/>
    <w:rsid w:val="00626206"/>
    <w:rsid w:val="0064300A"/>
    <w:rsid w:val="00652D74"/>
    <w:rsid w:val="00665079"/>
    <w:rsid w:val="00693196"/>
    <w:rsid w:val="00695960"/>
    <w:rsid w:val="006A4A27"/>
    <w:rsid w:val="006B254F"/>
    <w:rsid w:val="006C6CA8"/>
    <w:rsid w:val="006F3688"/>
    <w:rsid w:val="00725128"/>
    <w:rsid w:val="00731DDB"/>
    <w:rsid w:val="0073651B"/>
    <w:rsid w:val="00774437"/>
    <w:rsid w:val="007D3998"/>
    <w:rsid w:val="007E44E7"/>
    <w:rsid w:val="007F23E6"/>
    <w:rsid w:val="00834531"/>
    <w:rsid w:val="008872A2"/>
    <w:rsid w:val="008B02E9"/>
    <w:rsid w:val="008B404C"/>
    <w:rsid w:val="008D03AE"/>
    <w:rsid w:val="008E2734"/>
    <w:rsid w:val="009204AA"/>
    <w:rsid w:val="009243C6"/>
    <w:rsid w:val="00926586"/>
    <w:rsid w:val="009323CF"/>
    <w:rsid w:val="009440EC"/>
    <w:rsid w:val="00952995"/>
    <w:rsid w:val="009C396E"/>
    <w:rsid w:val="009C7A38"/>
    <w:rsid w:val="009D517E"/>
    <w:rsid w:val="00A00D6B"/>
    <w:rsid w:val="00A12B55"/>
    <w:rsid w:val="00A40B3F"/>
    <w:rsid w:val="00A612E8"/>
    <w:rsid w:val="00A97771"/>
    <w:rsid w:val="00AC2A67"/>
    <w:rsid w:val="00AD7B88"/>
    <w:rsid w:val="00B2630B"/>
    <w:rsid w:val="00B37AC1"/>
    <w:rsid w:val="00B51773"/>
    <w:rsid w:val="00B60C1B"/>
    <w:rsid w:val="00B655A1"/>
    <w:rsid w:val="00B724A7"/>
    <w:rsid w:val="00B845A4"/>
    <w:rsid w:val="00BA4D94"/>
    <w:rsid w:val="00BA5A3F"/>
    <w:rsid w:val="00BC7CD6"/>
    <w:rsid w:val="00BE069C"/>
    <w:rsid w:val="00BE294C"/>
    <w:rsid w:val="00C03CC6"/>
    <w:rsid w:val="00C10577"/>
    <w:rsid w:val="00C20211"/>
    <w:rsid w:val="00C20FF2"/>
    <w:rsid w:val="00C45B0C"/>
    <w:rsid w:val="00C54834"/>
    <w:rsid w:val="00C5497B"/>
    <w:rsid w:val="00C56729"/>
    <w:rsid w:val="00C76D93"/>
    <w:rsid w:val="00C90A54"/>
    <w:rsid w:val="00C94269"/>
    <w:rsid w:val="00CA1B7A"/>
    <w:rsid w:val="00CA70D1"/>
    <w:rsid w:val="00CC7934"/>
    <w:rsid w:val="00CE0F8F"/>
    <w:rsid w:val="00D10D42"/>
    <w:rsid w:val="00D31073"/>
    <w:rsid w:val="00D959D6"/>
    <w:rsid w:val="00D977DA"/>
    <w:rsid w:val="00DA153D"/>
    <w:rsid w:val="00DA233C"/>
    <w:rsid w:val="00DC1AA9"/>
    <w:rsid w:val="00DE1CD6"/>
    <w:rsid w:val="00DE2600"/>
    <w:rsid w:val="00DF465C"/>
    <w:rsid w:val="00E14108"/>
    <w:rsid w:val="00E32E13"/>
    <w:rsid w:val="00E67D32"/>
    <w:rsid w:val="00E728DD"/>
    <w:rsid w:val="00E75E66"/>
    <w:rsid w:val="00E83C93"/>
    <w:rsid w:val="00E95794"/>
    <w:rsid w:val="00EE2C61"/>
    <w:rsid w:val="00EE54EB"/>
    <w:rsid w:val="00EF07B6"/>
    <w:rsid w:val="00F05D6F"/>
    <w:rsid w:val="00F06F5F"/>
    <w:rsid w:val="00F271C2"/>
    <w:rsid w:val="00F72880"/>
    <w:rsid w:val="00F75B4B"/>
    <w:rsid w:val="00F777B9"/>
    <w:rsid w:val="00F90AB5"/>
    <w:rsid w:val="00F927CA"/>
    <w:rsid w:val="00F94400"/>
    <w:rsid w:val="00FC4BBB"/>
    <w:rsid w:val="00FE0840"/>
    <w:rsid w:val="00FE6FB1"/>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04B50A"/>
  <w15:docId w15:val="{69F8C7CD-F650-4240-93D5-36A2A585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D93"/>
  </w:style>
  <w:style w:type="paragraph" w:styleId="Heading1">
    <w:name w:val="heading 1"/>
    <w:basedOn w:val="Normal"/>
    <w:next w:val="Normal"/>
    <w:link w:val="Heading1Char"/>
    <w:uiPriority w:val="9"/>
    <w:qFormat/>
    <w:rsid w:val="00AD7B88"/>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0FF2"/>
    <w:pPr>
      <w:autoSpaceDE w:val="0"/>
      <w:autoSpaceDN w:val="0"/>
      <w:adjustRightInd w:val="0"/>
      <w:spacing w:after="0" w:line="240" w:lineRule="auto"/>
    </w:pPr>
    <w:rPr>
      <w:rFonts w:ascii="Times New Roman" w:hAnsi="Times New Roman" w:cs="Times New Roman"/>
      <w:color w:val="000000"/>
      <w:sz w:val="24"/>
      <w:szCs w:val="24"/>
      <w:lang w:bidi="te-IN"/>
    </w:rPr>
  </w:style>
  <w:style w:type="table" w:styleId="TableGrid">
    <w:name w:val="Table Grid"/>
    <w:basedOn w:val="TableNormal"/>
    <w:uiPriority w:val="59"/>
    <w:rsid w:val="00073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59D6"/>
    <w:pPr>
      <w:widowControl w:val="0"/>
      <w:autoSpaceDE w:val="0"/>
      <w:autoSpaceDN w:val="0"/>
      <w:spacing w:after="0" w:line="240" w:lineRule="auto"/>
    </w:pPr>
    <w:rPr>
      <w:rFonts w:ascii="Times New Roman" w:eastAsia="Times New Roman" w:hAnsi="Times New Roman" w:cs="Times New Roman"/>
      <w:lang w:val="en-US"/>
    </w:rPr>
  </w:style>
  <w:style w:type="character" w:styleId="Hyperlink">
    <w:name w:val="Hyperlink"/>
    <w:basedOn w:val="DefaultParagraphFont"/>
    <w:uiPriority w:val="99"/>
    <w:unhideWhenUsed/>
    <w:rsid w:val="000C5197"/>
    <w:rPr>
      <w:color w:val="0563C1" w:themeColor="hyperlink"/>
      <w:u w:val="single"/>
    </w:rPr>
  </w:style>
  <w:style w:type="paragraph" w:styleId="BodyText">
    <w:name w:val="Body Text"/>
    <w:basedOn w:val="Normal"/>
    <w:link w:val="BodyTextChar"/>
    <w:uiPriority w:val="1"/>
    <w:qFormat/>
    <w:rsid w:val="00207330"/>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207330"/>
    <w:rPr>
      <w:rFonts w:ascii="Times New Roman" w:eastAsia="Times New Roman" w:hAnsi="Times New Roman" w:cs="Times New Roman"/>
      <w:sz w:val="24"/>
      <w:szCs w:val="24"/>
      <w:lang w:val="en-US"/>
    </w:rPr>
  </w:style>
  <w:style w:type="table" w:customStyle="1" w:styleId="TableGridLight1">
    <w:name w:val="Table Grid Light1"/>
    <w:basedOn w:val="TableNormal"/>
    <w:uiPriority w:val="40"/>
    <w:rsid w:val="007D39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03CC6"/>
    <w:pPr>
      <w:spacing w:before="100" w:beforeAutospacing="1" w:after="100" w:afterAutospacing="1" w:line="240" w:lineRule="auto"/>
    </w:pPr>
    <w:rPr>
      <w:rFonts w:ascii="Times New Roman" w:eastAsia="Times New Roman" w:hAnsi="Times New Roman" w:cs="Times New Roman"/>
      <w:sz w:val="24"/>
      <w:szCs w:val="24"/>
      <w:lang w:eastAsia="en-IN" w:bidi="te-IN"/>
    </w:rPr>
  </w:style>
  <w:style w:type="paragraph" w:styleId="ListParagraph">
    <w:name w:val="List Paragraph"/>
    <w:basedOn w:val="Normal"/>
    <w:uiPriority w:val="34"/>
    <w:qFormat/>
    <w:rsid w:val="00190E34"/>
    <w:pPr>
      <w:ind w:left="720"/>
      <w:contextualSpacing/>
    </w:pPr>
  </w:style>
  <w:style w:type="paragraph" w:styleId="BalloonText">
    <w:name w:val="Balloon Text"/>
    <w:basedOn w:val="Normal"/>
    <w:link w:val="BalloonTextChar"/>
    <w:uiPriority w:val="99"/>
    <w:semiHidden/>
    <w:unhideWhenUsed/>
    <w:rsid w:val="00C54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834"/>
    <w:rPr>
      <w:rFonts w:ascii="Tahoma" w:hAnsi="Tahoma" w:cs="Tahoma"/>
      <w:sz w:val="16"/>
      <w:szCs w:val="16"/>
    </w:rPr>
  </w:style>
  <w:style w:type="character" w:styleId="Emphasis">
    <w:name w:val="Emphasis"/>
    <w:basedOn w:val="DefaultParagraphFont"/>
    <w:uiPriority w:val="20"/>
    <w:qFormat/>
    <w:rsid w:val="0073651B"/>
    <w:rPr>
      <w:i/>
      <w:iCs/>
    </w:rPr>
  </w:style>
  <w:style w:type="paragraph" w:styleId="Header">
    <w:name w:val="header"/>
    <w:basedOn w:val="Normal"/>
    <w:link w:val="HeaderChar"/>
    <w:uiPriority w:val="99"/>
    <w:unhideWhenUsed/>
    <w:rsid w:val="002C2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D92"/>
  </w:style>
  <w:style w:type="paragraph" w:styleId="Footer">
    <w:name w:val="footer"/>
    <w:basedOn w:val="Normal"/>
    <w:link w:val="FooterChar"/>
    <w:uiPriority w:val="99"/>
    <w:unhideWhenUsed/>
    <w:rsid w:val="002C2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D92"/>
  </w:style>
  <w:style w:type="character" w:styleId="LineNumber">
    <w:name w:val="line number"/>
    <w:basedOn w:val="DefaultParagraphFont"/>
    <w:uiPriority w:val="99"/>
    <w:semiHidden/>
    <w:unhideWhenUsed/>
    <w:rsid w:val="002C2D92"/>
  </w:style>
  <w:style w:type="character" w:customStyle="1" w:styleId="UnresolvedMention1">
    <w:name w:val="Unresolved Mention1"/>
    <w:basedOn w:val="DefaultParagraphFont"/>
    <w:uiPriority w:val="99"/>
    <w:semiHidden/>
    <w:unhideWhenUsed/>
    <w:rsid w:val="00FE0840"/>
    <w:rPr>
      <w:color w:val="605E5C"/>
      <w:shd w:val="clear" w:color="auto" w:fill="E1DFDD"/>
    </w:rPr>
  </w:style>
  <w:style w:type="character" w:customStyle="1" w:styleId="Heading1Char">
    <w:name w:val="Heading 1 Char"/>
    <w:basedOn w:val="DefaultParagraphFont"/>
    <w:link w:val="Heading1"/>
    <w:uiPriority w:val="9"/>
    <w:rsid w:val="00AD7B88"/>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131253">
      <w:bodyDiv w:val="1"/>
      <w:marLeft w:val="0"/>
      <w:marRight w:val="0"/>
      <w:marTop w:val="0"/>
      <w:marBottom w:val="0"/>
      <w:divBdr>
        <w:top w:val="none" w:sz="0" w:space="0" w:color="auto"/>
        <w:left w:val="none" w:sz="0" w:space="0" w:color="auto"/>
        <w:bottom w:val="none" w:sz="0" w:space="0" w:color="auto"/>
        <w:right w:val="none" w:sz="0" w:space="0" w:color="auto"/>
      </w:divBdr>
    </w:div>
    <w:div w:id="738945890">
      <w:bodyDiv w:val="1"/>
      <w:marLeft w:val="0"/>
      <w:marRight w:val="0"/>
      <w:marTop w:val="0"/>
      <w:marBottom w:val="0"/>
      <w:divBdr>
        <w:top w:val="none" w:sz="0" w:space="0" w:color="auto"/>
        <w:left w:val="none" w:sz="0" w:space="0" w:color="auto"/>
        <w:bottom w:val="none" w:sz="0" w:space="0" w:color="auto"/>
        <w:right w:val="none" w:sz="0" w:space="0" w:color="auto"/>
      </w:divBdr>
    </w:div>
    <w:div w:id="1222323842">
      <w:bodyDiv w:val="1"/>
      <w:marLeft w:val="0"/>
      <w:marRight w:val="0"/>
      <w:marTop w:val="0"/>
      <w:marBottom w:val="0"/>
      <w:divBdr>
        <w:top w:val="none" w:sz="0" w:space="0" w:color="auto"/>
        <w:left w:val="none" w:sz="0" w:space="0" w:color="auto"/>
        <w:bottom w:val="none" w:sz="0" w:space="0" w:color="auto"/>
        <w:right w:val="none" w:sz="0" w:space="0" w:color="auto"/>
      </w:divBdr>
    </w:div>
    <w:div w:id="152922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dx.doi.org/10.5539/jas.v3n3p50"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Sheet11!$C$11</c:f>
              <c:strCache>
                <c:ptCount val="1"/>
                <c:pt idx="0">
                  <c:v>0-10 cm</c:v>
                </c:pt>
              </c:strCache>
            </c:strRef>
          </c:tx>
          <c:spPr>
            <a:solidFill>
              <a:schemeClr val="accent1"/>
            </a:solidFill>
            <a:ln>
              <a:solidFill>
                <a:sysClr val="windowText" lastClr="000000"/>
              </a:solid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Sheet11!$B$12:$B$19</c:f>
              <c:strCache>
                <c:ptCount val="8"/>
                <c:pt idx="0">
                  <c:v>ZTR0B0</c:v>
                </c:pt>
                <c:pt idx="1">
                  <c:v>ZTR0B1</c:v>
                </c:pt>
                <c:pt idx="2">
                  <c:v>ZTR1B0</c:v>
                </c:pt>
                <c:pt idx="3">
                  <c:v>ZTR1B1</c:v>
                </c:pt>
                <c:pt idx="4">
                  <c:v>CTR0B0</c:v>
                </c:pt>
                <c:pt idx="5">
                  <c:v>CTR0B1</c:v>
                </c:pt>
                <c:pt idx="6">
                  <c:v>CTR1B0</c:v>
                </c:pt>
                <c:pt idx="7">
                  <c:v>CTR1B1</c:v>
                </c:pt>
              </c:strCache>
            </c:strRef>
          </c:cat>
          <c:val>
            <c:numRef>
              <c:f>Sheet11!$C$12:$C$19</c:f>
              <c:numCache>
                <c:formatCode>General</c:formatCode>
                <c:ptCount val="8"/>
                <c:pt idx="0">
                  <c:v>5.81</c:v>
                </c:pt>
                <c:pt idx="1">
                  <c:v>5.75</c:v>
                </c:pt>
                <c:pt idx="2">
                  <c:v>6.05</c:v>
                </c:pt>
                <c:pt idx="3">
                  <c:v>6.38</c:v>
                </c:pt>
                <c:pt idx="4">
                  <c:v>5.64</c:v>
                </c:pt>
                <c:pt idx="5">
                  <c:v>5.72</c:v>
                </c:pt>
                <c:pt idx="6">
                  <c:v>5.24</c:v>
                </c:pt>
                <c:pt idx="7">
                  <c:v>5.67</c:v>
                </c:pt>
              </c:numCache>
            </c:numRef>
          </c:val>
          <c:extLst>
            <c:ext xmlns:c16="http://schemas.microsoft.com/office/drawing/2014/chart" uri="{C3380CC4-5D6E-409C-BE32-E72D297353CC}">
              <c16:uniqueId val="{00000000-82C7-4DAC-B600-5A9306193F8D}"/>
            </c:ext>
          </c:extLst>
        </c:ser>
        <c:ser>
          <c:idx val="1"/>
          <c:order val="1"/>
          <c:tx>
            <c:strRef>
              <c:f>Sheet11!$C$21</c:f>
              <c:strCache>
                <c:ptCount val="1"/>
                <c:pt idx="0">
                  <c:v>10-20 cm</c:v>
                </c:pt>
              </c:strCache>
            </c:strRef>
          </c:tx>
          <c:spPr>
            <a:solidFill>
              <a:schemeClr val="accent2"/>
            </a:solidFill>
            <a:ln>
              <a:solidFill>
                <a:sysClr val="windowText" lastClr="000000"/>
              </a:solid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Sheet11!$B$12:$B$19</c:f>
              <c:strCache>
                <c:ptCount val="8"/>
                <c:pt idx="0">
                  <c:v>ZTR0B0</c:v>
                </c:pt>
                <c:pt idx="1">
                  <c:v>ZTR0B1</c:v>
                </c:pt>
                <c:pt idx="2">
                  <c:v>ZTR1B0</c:v>
                </c:pt>
                <c:pt idx="3">
                  <c:v>ZTR1B1</c:v>
                </c:pt>
                <c:pt idx="4">
                  <c:v>CTR0B0</c:v>
                </c:pt>
                <c:pt idx="5">
                  <c:v>CTR0B1</c:v>
                </c:pt>
                <c:pt idx="6">
                  <c:v>CTR1B0</c:v>
                </c:pt>
                <c:pt idx="7">
                  <c:v>CTR1B1</c:v>
                </c:pt>
              </c:strCache>
            </c:strRef>
          </c:cat>
          <c:val>
            <c:numRef>
              <c:f>Sheet11!$C$22:$C$29</c:f>
              <c:numCache>
                <c:formatCode>General</c:formatCode>
                <c:ptCount val="8"/>
                <c:pt idx="0">
                  <c:v>6.3599999999999994</c:v>
                </c:pt>
                <c:pt idx="1">
                  <c:v>6.23</c:v>
                </c:pt>
                <c:pt idx="2">
                  <c:v>6.39</c:v>
                </c:pt>
                <c:pt idx="3">
                  <c:v>6.89</c:v>
                </c:pt>
                <c:pt idx="4">
                  <c:v>5.81</c:v>
                </c:pt>
                <c:pt idx="5">
                  <c:v>6.31</c:v>
                </c:pt>
                <c:pt idx="6">
                  <c:v>6.1499999999999995</c:v>
                </c:pt>
                <c:pt idx="7">
                  <c:v>6.07</c:v>
                </c:pt>
              </c:numCache>
            </c:numRef>
          </c:val>
          <c:extLst>
            <c:ext xmlns:c16="http://schemas.microsoft.com/office/drawing/2014/chart" uri="{C3380CC4-5D6E-409C-BE32-E72D297353CC}">
              <c16:uniqueId val="{00000001-82C7-4DAC-B600-5A9306193F8D}"/>
            </c:ext>
          </c:extLst>
        </c:ser>
        <c:ser>
          <c:idx val="2"/>
          <c:order val="2"/>
          <c:tx>
            <c:strRef>
              <c:f>Sheet11!$C$31</c:f>
              <c:strCache>
                <c:ptCount val="1"/>
                <c:pt idx="0">
                  <c:v>20-40 cm</c:v>
                </c:pt>
              </c:strCache>
            </c:strRef>
          </c:tx>
          <c:spPr>
            <a:solidFill>
              <a:schemeClr val="accent3"/>
            </a:solidFill>
            <a:ln>
              <a:solidFill>
                <a:sysClr val="windowText" lastClr="000000"/>
              </a:solid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Sheet11!$B$12:$B$19</c:f>
              <c:strCache>
                <c:ptCount val="8"/>
                <c:pt idx="0">
                  <c:v>ZTR0B0</c:v>
                </c:pt>
                <c:pt idx="1">
                  <c:v>ZTR0B1</c:v>
                </c:pt>
                <c:pt idx="2">
                  <c:v>ZTR1B0</c:v>
                </c:pt>
                <c:pt idx="3">
                  <c:v>ZTR1B1</c:v>
                </c:pt>
                <c:pt idx="4">
                  <c:v>CTR0B0</c:v>
                </c:pt>
                <c:pt idx="5">
                  <c:v>CTR0B1</c:v>
                </c:pt>
                <c:pt idx="6">
                  <c:v>CTR1B0</c:v>
                </c:pt>
                <c:pt idx="7">
                  <c:v>CTR1B1</c:v>
                </c:pt>
              </c:strCache>
            </c:strRef>
          </c:cat>
          <c:val>
            <c:numRef>
              <c:f>Sheet11!$C$32:$C$39</c:f>
              <c:numCache>
                <c:formatCode>General</c:formatCode>
                <c:ptCount val="8"/>
                <c:pt idx="0">
                  <c:v>6.6099999999999994</c:v>
                </c:pt>
                <c:pt idx="1">
                  <c:v>6.59</c:v>
                </c:pt>
                <c:pt idx="2">
                  <c:v>6.58</c:v>
                </c:pt>
                <c:pt idx="3">
                  <c:v>6.8599999999999994</c:v>
                </c:pt>
                <c:pt idx="4">
                  <c:v>6.2</c:v>
                </c:pt>
                <c:pt idx="5">
                  <c:v>6.48</c:v>
                </c:pt>
                <c:pt idx="6">
                  <c:v>6.41</c:v>
                </c:pt>
                <c:pt idx="7">
                  <c:v>6.6199999999999992</c:v>
                </c:pt>
              </c:numCache>
            </c:numRef>
          </c:val>
          <c:extLst>
            <c:ext xmlns:c16="http://schemas.microsoft.com/office/drawing/2014/chart" uri="{C3380CC4-5D6E-409C-BE32-E72D297353CC}">
              <c16:uniqueId val="{00000002-82C7-4DAC-B600-5A9306193F8D}"/>
            </c:ext>
          </c:extLst>
        </c:ser>
        <c:dLbls>
          <c:showLegendKey val="0"/>
          <c:showVal val="0"/>
          <c:showCatName val="0"/>
          <c:showSerName val="0"/>
          <c:showPercent val="0"/>
          <c:showBubbleSize val="0"/>
        </c:dLbls>
        <c:gapWidth val="219"/>
        <c:overlap val="-27"/>
        <c:axId val="84959232"/>
        <c:axId val="84961536"/>
      </c:barChart>
      <c:catAx>
        <c:axId val="84959232"/>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r>
                  <a:rPr lang="en-IN" b="1">
                    <a:latin typeface="Arial" panose="020B0604020202020204" pitchFamily="34" charset="0"/>
                    <a:cs typeface="Arial" panose="020B0604020202020204" pitchFamily="34" charset="0"/>
                  </a:rPr>
                  <a:t>Treatments combination</a:t>
                </a:r>
              </a:p>
            </c:rich>
          </c:tx>
          <c:overlay val="0"/>
          <c:spPr>
            <a:noFill/>
            <a:ln>
              <a:noFill/>
            </a:ln>
            <a:effectLst/>
          </c:sp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84961536"/>
        <c:crosses val="autoZero"/>
        <c:auto val="1"/>
        <c:lblAlgn val="ctr"/>
        <c:lblOffset val="100"/>
        <c:noMultiLvlLbl val="0"/>
      </c:catAx>
      <c:valAx>
        <c:axId val="84961536"/>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r>
                  <a:rPr lang="en-IN" b="1">
                    <a:latin typeface="Arial" panose="020B0604020202020204" pitchFamily="34" charset="0"/>
                    <a:cs typeface="Arial" panose="020B0604020202020204" pitchFamily="34" charset="0"/>
                  </a:rPr>
                  <a:t>Soil pH</a:t>
                </a:r>
              </a:p>
            </c:rich>
          </c:tx>
          <c:layout>
            <c:manualLayout>
              <c:xMode val="edge"/>
              <c:yMode val="edge"/>
              <c:x val="0"/>
              <c:y val="0.33750808847579788"/>
            </c:manualLayout>
          </c:layout>
          <c:overlay val="0"/>
          <c:spPr>
            <a:noFill/>
            <a:ln>
              <a:noFill/>
            </a:ln>
            <a:effectLst/>
          </c:spPr>
        </c:title>
        <c:numFmt formatCode="General" sourceLinked="1"/>
        <c:majorTickMark val="out"/>
        <c:minorTickMark val="none"/>
        <c:tickLblPos val="nextTo"/>
        <c:spPr>
          <a:noFill/>
          <a:ln>
            <a:solidFill>
              <a:sysClr val="windowText" lastClr="000000"/>
            </a:solid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84959232"/>
        <c:crosses val="autoZero"/>
        <c:crossBetween val="between"/>
        <c:majorUnit val="1"/>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Sheet11!$C$21</c:f>
              <c:strCache>
                <c:ptCount val="1"/>
                <c:pt idx="0">
                  <c:v>0-10 cm</c:v>
                </c:pt>
              </c:strCache>
            </c:strRef>
          </c:tx>
          <c:spPr>
            <a:solidFill>
              <a:schemeClr val="accent1"/>
            </a:solidFill>
            <a:ln>
              <a:solidFill>
                <a:schemeClr val="tx1"/>
              </a:solid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Sheet11!$B$22:$B$29</c:f>
              <c:strCache>
                <c:ptCount val="8"/>
                <c:pt idx="0">
                  <c:v>ZTR0B0</c:v>
                </c:pt>
                <c:pt idx="1">
                  <c:v>ZTR0B1</c:v>
                </c:pt>
                <c:pt idx="2">
                  <c:v>ZTR1B0</c:v>
                </c:pt>
                <c:pt idx="3">
                  <c:v>ZTR1B1</c:v>
                </c:pt>
                <c:pt idx="4">
                  <c:v>CTR0B0</c:v>
                </c:pt>
                <c:pt idx="5">
                  <c:v>CTR0B1</c:v>
                </c:pt>
                <c:pt idx="6">
                  <c:v>CTR1B0</c:v>
                </c:pt>
                <c:pt idx="7">
                  <c:v>CTR1B1</c:v>
                </c:pt>
              </c:strCache>
            </c:strRef>
          </c:cat>
          <c:val>
            <c:numRef>
              <c:f>Sheet11!$D$32:$D$39</c:f>
              <c:numCache>
                <c:formatCode>General</c:formatCode>
                <c:ptCount val="8"/>
                <c:pt idx="0">
                  <c:v>0.89</c:v>
                </c:pt>
                <c:pt idx="1">
                  <c:v>0.87000000000000011</c:v>
                </c:pt>
                <c:pt idx="2">
                  <c:v>0.98</c:v>
                </c:pt>
                <c:pt idx="3">
                  <c:v>0.92</c:v>
                </c:pt>
                <c:pt idx="4">
                  <c:v>0.83000000000000007</c:v>
                </c:pt>
                <c:pt idx="5">
                  <c:v>0.87000000000000011</c:v>
                </c:pt>
                <c:pt idx="6">
                  <c:v>0.9</c:v>
                </c:pt>
                <c:pt idx="7">
                  <c:v>0.83000000000000007</c:v>
                </c:pt>
              </c:numCache>
            </c:numRef>
          </c:val>
          <c:extLst>
            <c:ext xmlns:c16="http://schemas.microsoft.com/office/drawing/2014/chart" uri="{C3380CC4-5D6E-409C-BE32-E72D297353CC}">
              <c16:uniqueId val="{00000000-7A96-4F8C-B2DB-2EE4FC3C6DD9}"/>
            </c:ext>
          </c:extLst>
        </c:ser>
        <c:ser>
          <c:idx val="1"/>
          <c:order val="1"/>
          <c:tx>
            <c:strRef>
              <c:f>Sheet11!$D$21</c:f>
              <c:strCache>
                <c:ptCount val="1"/>
                <c:pt idx="0">
                  <c:v>10-20 cm</c:v>
                </c:pt>
              </c:strCache>
            </c:strRef>
          </c:tx>
          <c:spPr>
            <a:solidFill>
              <a:schemeClr val="accent2"/>
            </a:solidFill>
            <a:ln>
              <a:solidFill>
                <a:schemeClr val="tx1"/>
              </a:solid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Sheet11!$B$22:$B$29</c:f>
              <c:strCache>
                <c:ptCount val="8"/>
                <c:pt idx="0">
                  <c:v>ZTR0B0</c:v>
                </c:pt>
                <c:pt idx="1">
                  <c:v>ZTR0B1</c:v>
                </c:pt>
                <c:pt idx="2">
                  <c:v>ZTR1B0</c:v>
                </c:pt>
                <c:pt idx="3">
                  <c:v>ZTR1B1</c:v>
                </c:pt>
                <c:pt idx="4">
                  <c:v>CTR0B0</c:v>
                </c:pt>
                <c:pt idx="5">
                  <c:v>CTR0B1</c:v>
                </c:pt>
                <c:pt idx="6">
                  <c:v>CTR1B0</c:v>
                </c:pt>
                <c:pt idx="7">
                  <c:v>CTR1B1</c:v>
                </c:pt>
              </c:strCache>
            </c:strRef>
          </c:cat>
          <c:val>
            <c:numRef>
              <c:f>Sheet11!$D$41:$D$48</c:f>
              <c:numCache>
                <c:formatCode>General</c:formatCode>
                <c:ptCount val="8"/>
                <c:pt idx="0">
                  <c:v>0.78</c:v>
                </c:pt>
                <c:pt idx="1">
                  <c:v>0.72000000000000008</c:v>
                </c:pt>
                <c:pt idx="2">
                  <c:v>0.7400000000000001</c:v>
                </c:pt>
                <c:pt idx="3">
                  <c:v>0.7400000000000001</c:v>
                </c:pt>
                <c:pt idx="4">
                  <c:v>0.7400000000000001</c:v>
                </c:pt>
                <c:pt idx="5">
                  <c:v>0.72000000000000008</c:v>
                </c:pt>
                <c:pt idx="6">
                  <c:v>0.8</c:v>
                </c:pt>
                <c:pt idx="7">
                  <c:v>0.78</c:v>
                </c:pt>
              </c:numCache>
            </c:numRef>
          </c:val>
          <c:extLst>
            <c:ext xmlns:c16="http://schemas.microsoft.com/office/drawing/2014/chart" uri="{C3380CC4-5D6E-409C-BE32-E72D297353CC}">
              <c16:uniqueId val="{00000001-7A96-4F8C-B2DB-2EE4FC3C6DD9}"/>
            </c:ext>
          </c:extLst>
        </c:ser>
        <c:ser>
          <c:idx val="2"/>
          <c:order val="2"/>
          <c:tx>
            <c:strRef>
              <c:f>Sheet11!$E$21</c:f>
              <c:strCache>
                <c:ptCount val="1"/>
                <c:pt idx="0">
                  <c:v>20-40 cm</c:v>
                </c:pt>
              </c:strCache>
            </c:strRef>
          </c:tx>
          <c:spPr>
            <a:solidFill>
              <a:schemeClr val="accent3"/>
            </a:solidFill>
            <a:ln>
              <a:solidFill>
                <a:schemeClr val="tx1"/>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Sheet11!$B$22:$B$29</c:f>
              <c:strCache>
                <c:ptCount val="8"/>
                <c:pt idx="0">
                  <c:v>ZTR0B0</c:v>
                </c:pt>
                <c:pt idx="1">
                  <c:v>ZTR0B1</c:v>
                </c:pt>
                <c:pt idx="2">
                  <c:v>ZTR1B0</c:v>
                </c:pt>
                <c:pt idx="3">
                  <c:v>ZTR1B1</c:v>
                </c:pt>
                <c:pt idx="4">
                  <c:v>CTR0B0</c:v>
                </c:pt>
                <c:pt idx="5">
                  <c:v>CTR0B1</c:v>
                </c:pt>
                <c:pt idx="6">
                  <c:v>CTR1B0</c:v>
                </c:pt>
                <c:pt idx="7">
                  <c:v>CTR1B1</c:v>
                </c:pt>
              </c:strCache>
            </c:strRef>
          </c:cat>
          <c:val>
            <c:numRef>
              <c:f>Sheet11!$D$50:$D$57</c:f>
              <c:numCache>
                <c:formatCode>General</c:formatCode>
                <c:ptCount val="8"/>
                <c:pt idx="0">
                  <c:v>0.18000000000000002</c:v>
                </c:pt>
                <c:pt idx="1">
                  <c:v>0.17</c:v>
                </c:pt>
                <c:pt idx="2">
                  <c:v>0.23</c:v>
                </c:pt>
                <c:pt idx="3">
                  <c:v>0.27</c:v>
                </c:pt>
                <c:pt idx="4">
                  <c:v>0.30000000000000004</c:v>
                </c:pt>
                <c:pt idx="5">
                  <c:v>0.29000000000000004</c:v>
                </c:pt>
                <c:pt idx="6">
                  <c:v>0.36000000000000004</c:v>
                </c:pt>
                <c:pt idx="7">
                  <c:v>0.33000000000000007</c:v>
                </c:pt>
              </c:numCache>
            </c:numRef>
          </c:val>
          <c:extLst>
            <c:ext xmlns:c16="http://schemas.microsoft.com/office/drawing/2014/chart" uri="{C3380CC4-5D6E-409C-BE32-E72D297353CC}">
              <c16:uniqueId val="{00000002-7A96-4F8C-B2DB-2EE4FC3C6DD9}"/>
            </c:ext>
          </c:extLst>
        </c:ser>
        <c:dLbls>
          <c:showLegendKey val="0"/>
          <c:showVal val="0"/>
          <c:showCatName val="0"/>
          <c:showSerName val="0"/>
          <c:showPercent val="0"/>
          <c:showBubbleSize val="0"/>
        </c:dLbls>
        <c:gapWidth val="219"/>
        <c:overlap val="-27"/>
        <c:axId val="114912640"/>
        <c:axId val="114919680"/>
      </c:barChart>
      <c:catAx>
        <c:axId val="114912640"/>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b="1"/>
                  <a:t>Treatments combination</a:t>
                </a:r>
              </a:p>
            </c:rich>
          </c:tx>
          <c:overlay val="0"/>
          <c:spPr>
            <a:noFill/>
            <a:ln>
              <a:noFill/>
            </a:ln>
            <a:effectLst/>
          </c:sp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14919680"/>
        <c:crosses val="autoZero"/>
        <c:auto val="1"/>
        <c:lblAlgn val="ctr"/>
        <c:lblOffset val="100"/>
        <c:noMultiLvlLbl val="0"/>
      </c:catAx>
      <c:valAx>
        <c:axId val="114919680"/>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b="1"/>
                  <a:t>OC (%)</a:t>
                </a:r>
              </a:p>
            </c:rich>
          </c:tx>
          <c:overlay val="0"/>
          <c:spPr>
            <a:noFill/>
            <a:ln>
              <a:noFill/>
            </a:ln>
            <a:effectLst/>
          </c:spPr>
        </c:title>
        <c:numFmt formatCode="General" sourceLinked="1"/>
        <c:majorTickMark val="out"/>
        <c:minorTickMark val="none"/>
        <c:tickLblPos val="nextTo"/>
        <c:spPr>
          <a:noFill/>
          <a:ln>
            <a:solidFill>
              <a:sysClr val="windowText" lastClr="000000"/>
            </a:solid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149126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B3D0D-BD13-4ED4-98D6-748253794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8</Pages>
  <Words>2626</Words>
  <Characters>14973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p.anusha</dc:creator>
  <cp:keywords/>
  <dc:description/>
  <cp:lastModifiedBy>Editor-14</cp:lastModifiedBy>
  <cp:revision>60</cp:revision>
  <dcterms:created xsi:type="dcterms:W3CDTF">2024-12-28T06:56:00Z</dcterms:created>
  <dcterms:modified xsi:type="dcterms:W3CDTF">2025-02-21T06:36:00Z</dcterms:modified>
</cp:coreProperties>
</file>