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3CB" w:rsidRDefault="000F63CB">
      <w:pPr>
        <w:pStyle w:val="Title"/>
        <w:spacing w:after="0"/>
        <w:jc w:val="both"/>
        <w:rPr>
          <w:rFonts w:ascii="Arial" w:hAnsi="Arial" w:cs="Arial"/>
        </w:rPr>
      </w:pPr>
    </w:p>
    <w:p w:rsidR="000F63CB" w:rsidRDefault="00834ADD" w:rsidP="00782DB6">
      <w:pPr>
        <w:jc w:val="right"/>
        <w:rPr>
          <w:rFonts w:ascii="Arial" w:hAnsi="Arial" w:cs="Arial"/>
          <w:b/>
          <w:sz w:val="36"/>
          <w:szCs w:val="36"/>
        </w:rPr>
      </w:pPr>
      <w:r>
        <w:rPr>
          <w:rFonts w:ascii="Arial" w:hAnsi="Arial" w:cs="Arial"/>
          <w:b/>
          <w:sz w:val="36"/>
          <w:szCs w:val="36"/>
        </w:rPr>
        <w:t xml:space="preserve">Influence of Intra-Household Gender Dynamics on Household </w:t>
      </w:r>
      <w:r w:rsidRPr="00BB3E78">
        <w:rPr>
          <w:rFonts w:ascii="Arial" w:hAnsi="Arial" w:cs="Arial"/>
          <w:b/>
          <w:sz w:val="36"/>
          <w:szCs w:val="36"/>
          <w:highlight w:val="yellow"/>
        </w:rPr>
        <w:t xml:space="preserve">Vulnerability to Climate Change: Empirical </w:t>
      </w:r>
      <w:r w:rsidR="00217E59" w:rsidRPr="00BB3E78">
        <w:rPr>
          <w:rFonts w:ascii="Arial" w:hAnsi="Arial" w:cs="Arial"/>
          <w:b/>
          <w:sz w:val="36"/>
          <w:szCs w:val="36"/>
          <w:highlight w:val="yellow"/>
        </w:rPr>
        <w:t xml:space="preserve">Evidence </w:t>
      </w:r>
      <w:r w:rsidRPr="00BB3E78">
        <w:rPr>
          <w:rFonts w:ascii="Arial" w:hAnsi="Arial" w:cs="Arial"/>
          <w:b/>
          <w:sz w:val="36"/>
          <w:szCs w:val="36"/>
          <w:highlight w:val="yellow"/>
        </w:rPr>
        <w:t xml:space="preserve">from Tripura </w:t>
      </w:r>
      <w:r w:rsidR="00197279" w:rsidRPr="00BB3E78">
        <w:rPr>
          <w:rFonts w:ascii="Arial" w:hAnsi="Arial" w:cs="Arial"/>
          <w:b/>
          <w:sz w:val="36"/>
          <w:szCs w:val="36"/>
          <w:highlight w:val="yellow"/>
        </w:rPr>
        <w:t xml:space="preserve">State </w:t>
      </w:r>
      <w:r w:rsidRPr="00BB3E78">
        <w:rPr>
          <w:rFonts w:ascii="Arial" w:hAnsi="Arial" w:cs="Arial"/>
          <w:b/>
          <w:sz w:val="36"/>
          <w:szCs w:val="36"/>
          <w:highlight w:val="yellow"/>
        </w:rPr>
        <w:t>of North</w:t>
      </w:r>
      <w:r>
        <w:rPr>
          <w:rFonts w:ascii="Arial" w:hAnsi="Arial" w:cs="Arial"/>
          <w:b/>
          <w:sz w:val="36"/>
          <w:szCs w:val="36"/>
        </w:rPr>
        <w:t>-East India</w:t>
      </w:r>
    </w:p>
    <w:p w:rsidR="000F63CB" w:rsidRDefault="000F63CB" w:rsidP="00BB3E78">
      <w:pPr>
        <w:pStyle w:val="Author"/>
        <w:spacing w:line="240" w:lineRule="auto"/>
        <w:rPr>
          <w:rFonts w:ascii="Arial" w:hAnsi="Arial" w:cs="Arial"/>
          <w:sz w:val="36"/>
        </w:rPr>
      </w:pPr>
    </w:p>
    <w:p w:rsidR="000F63CB" w:rsidRDefault="000F63CB">
      <w:pPr>
        <w:pStyle w:val="Affiliation"/>
        <w:spacing w:after="0" w:line="240" w:lineRule="auto"/>
        <w:jc w:val="both"/>
        <w:rPr>
          <w:rFonts w:ascii="Arial" w:hAnsi="Arial" w:cs="Arial"/>
        </w:rPr>
      </w:pPr>
    </w:p>
    <w:p w:rsidR="000F63CB" w:rsidRDefault="008C0331">
      <w:pPr>
        <w:pStyle w:val="Copyright"/>
        <w:spacing w:after="0" w:line="240" w:lineRule="auto"/>
        <w:jc w:val="both"/>
        <w:rPr>
          <w:rFonts w:ascii="Arial" w:hAnsi="Arial" w:cs="Arial"/>
        </w:rPr>
      </w:pPr>
      <w:r>
        <w:rPr>
          <w:rFonts w:ascii="Arial" w:hAnsi="Arial" w:cs="Arial"/>
        </w:rPr>
        <w:pict>
          <v:shapetype id="_x0000_m1027" coordsize="21600,21600" o:spt="32" o:oned="t" path="m,l21600,21600e" filled="t">
            <v:path arrowok="t" fillok="f" o:connecttype="none"/>
            <o:lock v:ext="edit" shapetype="t"/>
          </v:shapetype>
        </w:pict>
      </w:r>
      <w:r>
        <w:rPr>
          <w:rFonts w:ascii="Arial" w:hAnsi="Arial" w:cs="Arial"/>
        </w:rPr>
      </w:r>
      <w:r>
        <w:rPr>
          <w:rFonts w:ascii="Arial" w:hAnsi="Arial" w:cs="Arial"/>
        </w:rPr>
        <w:pict>
          <v:shape id="1027" o:spid="_x0000_s1026" type="#_x0000_m1027" style="width:417.6pt;height:0;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anchorlock/>
          </v:shape>
        </w:pict>
      </w:r>
    </w:p>
    <w:p w:rsidR="000F63CB" w:rsidRDefault="000F63CB">
      <w:pPr>
        <w:pStyle w:val="Copyright"/>
        <w:spacing w:after="0" w:line="240" w:lineRule="auto"/>
        <w:jc w:val="both"/>
        <w:rPr>
          <w:rFonts w:ascii="Arial" w:hAnsi="Arial" w:cs="Arial"/>
        </w:rPr>
        <w:sectPr w:rsidR="000F63CB">
          <w:headerReference w:type="even" r:id="rId8"/>
          <w:headerReference w:type="default" r:id="rId9"/>
          <w:footerReference w:type="even" r:id="rId10"/>
          <w:footerReference w:type="default" r:id="rId11"/>
          <w:headerReference w:type="first" r:id="rId12"/>
          <w:pgSz w:w="12240" w:h="15840" w:code="1"/>
          <w:pgMar w:top="1440" w:right="2016" w:bottom="2016" w:left="2016" w:header="720" w:footer="1296" w:gutter="0"/>
          <w:cols w:space="720"/>
          <w:docGrid w:linePitch="272"/>
        </w:sectPr>
      </w:pPr>
    </w:p>
    <w:p w:rsidR="000F63CB" w:rsidRDefault="000F63CB">
      <w:pPr>
        <w:pStyle w:val="AbstHead"/>
        <w:spacing w:after="0"/>
        <w:jc w:val="both"/>
        <w:rPr>
          <w:rFonts w:ascii="Arial" w:hAnsi="Arial" w:cs="Arial"/>
        </w:rPr>
      </w:pPr>
    </w:p>
    <w:p w:rsidR="000F63CB" w:rsidRDefault="00834ADD">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F63CB">
        <w:tc>
          <w:tcPr>
            <w:tcW w:w="9576" w:type="dxa"/>
            <w:shd w:val="clear" w:color="auto" w:fill="F2F2F2"/>
          </w:tcPr>
          <w:p w:rsidR="000F63CB" w:rsidRPr="00BB3E78" w:rsidRDefault="00834ADD">
            <w:pPr>
              <w:pStyle w:val="Body"/>
              <w:spacing w:after="0"/>
              <w:rPr>
                <w:rFonts w:ascii="Arial" w:eastAsia="Calibri" w:hAnsi="Arial" w:cs="Arial"/>
                <w:szCs w:val="22"/>
                <w:highlight w:val="yellow"/>
              </w:rPr>
            </w:pPr>
            <w:r>
              <w:rPr>
                <w:rFonts w:ascii="Arial" w:eastAsia="Calibri" w:hAnsi="Arial" w:cs="Arial"/>
                <w:b/>
                <w:szCs w:val="22"/>
              </w:rPr>
              <w:t>Aim:</w:t>
            </w:r>
            <w:r>
              <w:rPr>
                <w:rFonts w:ascii="Arial" w:eastAsia="Calibri" w:hAnsi="Arial" w:cs="Arial"/>
                <w:szCs w:val="22"/>
              </w:rPr>
              <w:t xml:space="preserve"> The study </w:t>
            </w:r>
            <w:r w:rsidR="00217E59" w:rsidRPr="00BB3E78">
              <w:rPr>
                <w:rFonts w:ascii="Arial" w:eastAsia="Calibri" w:hAnsi="Arial" w:cs="Arial"/>
                <w:szCs w:val="22"/>
                <w:highlight w:val="yellow"/>
              </w:rPr>
              <w:t xml:space="preserve">aims to determine how intra-household gender dynamics affect women’s vulnerability to climate change at the </w:t>
            </w:r>
            <w:r w:rsidRPr="00BB3E78">
              <w:rPr>
                <w:rFonts w:ascii="Arial" w:eastAsia="Calibri" w:hAnsi="Arial" w:cs="Arial"/>
                <w:szCs w:val="22"/>
                <w:highlight w:val="yellow"/>
              </w:rPr>
              <w:t xml:space="preserve">household level in </w:t>
            </w:r>
            <w:r w:rsidR="00217E59" w:rsidRPr="00BB3E78">
              <w:rPr>
                <w:rFonts w:ascii="Arial" w:eastAsia="Calibri" w:hAnsi="Arial" w:cs="Arial"/>
                <w:szCs w:val="22"/>
                <w:highlight w:val="yellow"/>
              </w:rPr>
              <w:t xml:space="preserve">the </w:t>
            </w:r>
            <w:r w:rsidRPr="00BB3E78">
              <w:rPr>
                <w:rFonts w:ascii="Arial" w:eastAsia="Calibri" w:hAnsi="Arial" w:cs="Arial"/>
                <w:szCs w:val="22"/>
                <w:highlight w:val="yellow"/>
              </w:rPr>
              <w:t xml:space="preserve">West Tripura district. </w:t>
            </w:r>
          </w:p>
          <w:p w:rsidR="000F63CB" w:rsidRPr="00BB3E78" w:rsidRDefault="00834ADD">
            <w:pPr>
              <w:pStyle w:val="Body"/>
              <w:spacing w:after="0"/>
              <w:rPr>
                <w:rFonts w:ascii="Arial" w:eastAsia="Calibri" w:hAnsi="Arial" w:cs="Arial"/>
                <w:szCs w:val="22"/>
                <w:highlight w:val="yellow"/>
              </w:rPr>
            </w:pPr>
            <w:r>
              <w:rPr>
                <w:rFonts w:ascii="Arial" w:eastAsia="Calibri" w:hAnsi="Arial" w:cs="Arial"/>
                <w:b/>
                <w:szCs w:val="22"/>
              </w:rPr>
              <w:t>Study design:</w:t>
            </w:r>
            <w:r>
              <w:rPr>
                <w:rFonts w:ascii="Arial" w:eastAsia="Calibri" w:hAnsi="Arial" w:cs="Arial"/>
                <w:szCs w:val="22"/>
              </w:rPr>
              <w:t xml:space="preserve"> The study followed an ex-</w:t>
            </w:r>
            <w:r w:rsidRPr="00BB3E78">
              <w:rPr>
                <w:rFonts w:ascii="Arial" w:eastAsia="Calibri" w:hAnsi="Arial" w:cs="Arial"/>
                <w:szCs w:val="22"/>
                <w:highlight w:val="yellow"/>
              </w:rPr>
              <w:t>post facto research design</w:t>
            </w:r>
            <w:r w:rsidR="00217E59" w:rsidRPr="00BB3E78">
              <w:rPr>
                <w:rFonts w:ascii="Arial" w:eastAsia="Calibri" w:hAnsi="Arial" w:cs="Arial"/>
                <w:szCs w:val="22"/>
                <w:highlight w:val="yellow"/>
              </w:rPr>
              <w:t>, with data collected through a survey</w:t>
            </w:r>
            <w:r w:rsidRPr="00BB3E78">
              <w:rPr>
                <w:rFonts w:ascii="Arial" w:eastAsia="Calibri" w:hAnsi="Arial" w:cs="Arial"/>
                <w:szCs w:val="22"/>
                <w:highlight w:val="yellow"/>
              </w:rPr>
              <w:t xml:space="preserve"> and analyzed using descriptive and inferential statistics.</w:t>
            </w:r>
          </w:p>
          <w:p w:rsidR="000F63CB" w:rsidRPr="00BB3E78" w:rsidRDefault="00834ADD">
            <w:pPr>
              <w:pStyle w:val="Body"/>
              <w:spacing w:after="0"/>
              <w:rPr>
                <w:rFonts w:ascii="Arial" w:eastAsia="Calibri" w:hAnsi="Arial" w:cs="Arial"/>
                <w:szCs w:val="22"/>
                <w:highlight w:val="yellow"/>
              </w:rPr>
            </w:pPr>
            <w:r>
              <w:rPr>
                <w:rFonts w:ascii="Arial" w:eastAsia="Calibri" w:hAnsi="Arial" w:cs="Arial"/>
                <w:b/>
                <w:szCs w:val="22"/>
              </w:rPr>
              <w:t>Place and Duration of Study:</w:t>
            </w:r>
            <w:r>
              <w:rPr>
                <w:rFonts w:ascii="Arial" w:eastAsia="Calibri" w:hAnsi="Arial" w:cs="Arial"/>
                <w:szCs w:val="22"/>
              </w:rPr>
              <w:t xml:space="preserve"> The study was conducted in </w:t>
            </w:r>
            <w:r w:rsidR="00217E59">
              <w:rPr>
                <w:rFonts w:ascii="Arial" w:eastAsia="Calibri" w:hAnsi="Arial" w:cs="Arial"/>
                <w:szCs w:val="22"/>
              </w:rPr>
              <w:t xml:space="preserve">the </w:t>
            </w:r>
            <w:r>
              <w:rPr>
                <w:rFonts w:ascii="Arial" w:eastAsia="Calibri" w:hAnsi="Arial" w:cs="Arial"/>
                <w:szCs w:val="22"/>
              </w:rPr>
              <w:t xml:space="preserve">West Tripura district of Tripura which is the most vulnerable district to climate change. Primary data were collected </w:t>
            </w:r>
            <w:r w:rsidR="00217E59">
              <w:rPr>
                <w:rFonts w:ascii="Arial" w:eastAsia="Calibri" w:hAnsi="Arial" w:cs="Arial"/>
                <w:szCs w:val="22"/>
              </w:rPr>
              <w:t xml:space="preserve">from </w:t>
            </w:r>
            <w:r>
              <w:rPr>
                <w:rFonts w:ascii="Arial" w:eastAsia="Calibri" w:hAnsi="Arial" w:cs="Arial"/>
                <w:szCs w:val="22"/>
              </w:rPr>
              <w:t xml:space="preserve">April to June 2023. </w:t>
            </w:r>
          </w:p>
          <w:p w:rsidR="000F63CB" w:rsidRDefault="00834ADD">
            <w:pPr>
              <w:pStyle w:val="Body"/>
              <w:spacing w:after="0"/>
              <w:rPr>
                <w:rFonts w:ascii="Arial" w:eastAsia="Calibri" w:hAnsi="Arial" w:cs="Arial"/>
                <w:szCs w:val="22"/>
              </w:rPr>
            </w:pPr>
            <w:r w:rsidRPr="00BB3E78">
              <w:rPr>
                <w:rFonts w:ascii="Arial" w:eastAsia="Calibri" w:hAnsi="Arial" w:cs="Arial"/>
                <w:b/>
                <w:bCs/>
                <w:szCs w:val="22"/>
                <w:highlight w:val="yellow"/>
              </w:rPr>
              <w:t xml:space="preserve">Methodology: </w:t>
            </w:r>
            <w:r w:rsidRPr="00BB3E78">
              <w:rPr>
                <w:rFonts w:ascii="Arial" w:eastAsia="Calibri" w:hAnsi="Arial" w:cs="Arial"/>
                <w:bCs/>
                <w:szCs w:val="22"/>
                <w:highlight w:val="yellow"/>
              </w:rPr>
              <w:t>Through multistage sampling,</w:t>
            </w:r>
            <w:r w:rsidRPr="00BB3E78">
              <w:rPr>
                <w:rFonts w:ascii="Arial" w:eastAsia="Calibri" w:hAnsi="Arial" w:cs="Arial"/>
                <w:szCs w:val="22"/>
                <w:highlight w:val="yellow"/>
              </w:rPr>
              <w:t xml:space="preserve"> a total of 60 households were selected for the study of which 49 were </w:t>
            </w:r>
            <w:r w:rsidR="00217E59" w:rsidRPr="00BB3E78">
              <w:rPr>
                <w:rFonts w:ascii="Arial" w:eastAsia="Calibri" w:hAnsi="Arial" w:cs="Arial"/>
                <w:szCs w:val="22"/>
                <w:highlight w:val="yellow"/>
              </w:rPr>
              <w:t>male-headed</w:t>
            </w:r>
            <w:r w:rsidRPr="00BB3E78">
              <w:rPr>
                <w:rFonts w:ascii="Arial" w:eastAsia="Calibri" w:hAnsi="Arial" w:cs="Arial"/>
                <w:szCs w:val="22"/>
                <w:highlight w:val="yellow"/>
              </w:rPr>
              <w:t xml:space="preserve"> households and 11 female-headed. All </w:t>
            </w:r>
            <w:r w:rsidR="00217E59" w:rsidRPr="00BB3E78">
              <w:rPr>
                <w:rFonts w:ascii="Arial" w:eastAsia="Calibri" w:hAnsi="Arial" w:cs="Arial"/>
                <w:szCs w:val="22"/>
                <w:highlight w:val="yellow"/>
              </w:rPr>
              <w:t>male-headed</w:t>
            </w:r>
            <w:r w:rsidRPr="00BB3E78">
              <w:rPr>
                <w:rFonts w:ascii="Arial" w:eastAsia="Calibri" w:hAnsi="Arial" w:cs="Arial"/>
                <w:szCs w:val="22"/>
                <w:highlight w:val="yellow"/>
              </w:rPr>
              <w:t xml:space="preserve"> households had both a primary man and a primary woman member; whereas the </w:t>
            </w:r>
            <w:r w:rsidR="00217E59" w:rsidRPr="00BB3E78">
              <w:rPr>
                <w:rFonts w:ascii="Arial" w:eastAsia="Calibri" w:hAnsi="Arial" w:cs="Arial"/>
                <w:szCs w:val="22"/>
                <w:highlight w:val="yellow"/>
              </w:rPr>
              <w:t>female-headed</w:t>
            </w:r>
            <w:r w:rsidRPr="00BB3E78">
              <w:rPr>
                <w:rFonts w:ascii="Arial" w:eastAsia="Calibri" w:hAnsi="Arial" w:cs="Arial"/>
                <w:szCs w:val="22"/>
                <w:highlight w:val="yellow"/>
              </w:rPr>
              <w:t xml:space="preserve"> households had only a primary woman member. Therefore, a total of 49 primary men and 60 </w:t>
            </w:r>
            <w:r>
              <w:rPr>
                <w:rFonts w:ascii="Arial" w:eastAsia="Calibri" w:hAnsi="Arial" w:cs="Arial"/>
                <w:szCs w:val="22"/>
              </w:rPr>
              <w:t xml:space="preserve">primary women were selected which </w:t>
            </w:r>
            <w:r w:rsidR="00217E59">
              <w:rPr>
                <w:rFonts w:ascii="Arial" w:eastAsia="Calibri" w:hAnsi="Arial" w:cs="Arial"/>
                <w:szCs w:val="22"/>
              </w:rPr>
              <w:t xml:space="preserve">resulted in </w:t>
            </w:r>
            <w:r>
              <w:rPr>
                <w:rFonts w:ascii="Arial" w:eastAsia="Calibri" w:hAnsi="Arial" w:cs="Arial"/>
                <w:szCs w:val="22"/>
              </w:rPr>
              <w:t xml:space="preserve">a total number of 109 respondents for the present study. For calculating the vulnerability of individual </w:t>
            </w:r>
            <w:r w:rsidR="00217E59">
              <w:rPr>
                <w:rFonts w:ascii="Arial" w:eastAsia="Calibri" w:hAnsi="Arial" w:cs="Arial"/>
                <w:szCs w:val="22"/>
              </w:rPr>
              <w:t>households</w:t>
            </w:r>
            <w:r>
              <w:rPr>
                <w:rFonts w:ascii="Arial" w:eastAsia="Calibri" w:hAnsi="Arial" w:cs="Arial"/>
                <w:szCs w:val="22"/>
              </w:rPr>
              <w:t xml:space="preserve">, </w:t>
            </w:r>
            <w:r w:rsidR="00217E59">
              <w:rPr>
                <w:rFonts w:ascii="Arial" w:eastAsia="Calibri" w:hAnsi="Arial" w:cs="Arial"/>
                <w:szCs w:val="22"/>
              </w:rPr>
              <w:t xml:space="preserve">the </w:t>
            </w:r>
            <w:r>
              <w:rPr>
                <w:rFonts w:ascii="Arial" w:eastAsia="Calibri" w:hAnsi="Arial" w:cs="Arial"/>
                <w:szCs w:val="22"/>
              </w:rPr>
              <w:t>Livelihood Vulnerability Index (LVI) approach was used with necessary modifications to suit local context</w:t>
            </w:r>
            <w:r>
              <w:rPr>
                <w:rFonts w:ascii="Arial" w:eastAsia="Calibri" w:hAnsi="Arial" w:cs="Arial"/>
                <w:szCs w:val="22"/>
                <w:vertAlign w:val="superscript"/>
              </w:rPr>
              <w:t>15</w:t>
            </w:r>
            <w:r>
              <w:rPr>
                <w:rFonts w:ascii="Arial" w:eastAsia="Calibri" w:hAnsi="Arial" w:cs="Arial"/>
                <w:szCs w:val="22"/>
              </w:rPr>
              <w:t xml:space="preserve">. </w:t>
            </w:r>
          </w:p>
          <w:p w:rsidR="000F63CB" w:rsidRPr="00BB3E78" w:rsidRDefault="00834ADD">
            <w:pPr>
              <w:pStyle w:val="Body"/>
              <w:spacing w:after="0"/>
              <w:rPr>
                <w:rFonts w:ascii="Arial" w:hAnsi="Arial" w:cs="Arial"/>
                <w:highlight w:val="yellow"/>
              </w:rPr>
            </w:pPr>
            <w:r>
              <w:rPr>
                <w:rFonts w:ascii="Arial" w:eastAsia="Calibri" w:hAnsi="Arial" w:cs="Arial"/>
                <w:b/>
                <w:szCs w:val="22"/>
              </w:rPr>
              <w:t>Results:</w:t>
            </w:r>
            <w:r>
              <w:rPr>
                <w:rFonts w:ascii="Arial" w:eastAsia="Calibri" w:hAnsi="Arial" w:cs="Arial"/>
                <w:szCs w:val="22"/>
              </w:rPr>
              <w:t xml:space="preserve"> There was </w:t>
            </w:r>
            <w:r w:rsidR="00217E59">
              <w:rPr>
                <w:rFonts w:ascii="Arial" w:eastAsia="Calibri" w:hAnsi="Arial" w:cs="Arial"/>
                <w:szCs w:val="22"/>
              </w:rPr>
              <w:t xml:space="preserve">a greater </w:t>
            </w:r>
            <w:r>
              <w:rPr>
                <w:rFonts w:ascii="Arial" w:eastAsia="Calibri" w:hAnsi="Arial" w:cs="Arial"/>
                <w:szCs w:val="22"/>
              </w:rPr>
              <w:t xml:space="preserve">number of households where only the primary men had adequacy in the selected empowerment variables while there was </w:t>
            </w:r>
            <w:r w:rsidR="00217E59">
              <w:rPr>
                <w:rFonts w:ascii="Arial" w:eastAsia="Calibri" w:hAnsi="Arial" w:cs="Arial"/>
                <w:szCs w:val="22"/>
              </w:rPr>
              <w:t xml:space="preserve">a </w:t>
            </w:r>
            <w:r>
              <w:rPr>
                <w:rFonts w:ascii="Arial" w:eastAsia="Calibri" w:hAnsi="Arial" w:cs="Arial"/>
                <w:szCs w:val="22"/>
              </w:rPr>
              <w:t xml:space="preserve">comparatively lesser incidence of women achieving adequacy. </w:t>
            </w:r>
            <w:r>
              <w:rPr>
                <w:rFonts w:ascii="Arial" w:hAnsi="Arial" w:cs="Arial"/>
              </w:rPr>
              <w:t xml:space="preserve">Variables such as income of primary women, primary </w:t>
            </w:r>
            <w:r w:rsidR="00217E59">
              <w:rPr>
                <w:rFonts w:ascii="Arial" w:hAnsi="Arial" w:cs="Arial"/>
              </w:rPr>
              <w:t xml:space="preserve">women's </w:t>
            </w:r>
            <w:r>
              <w:rPr>
                <w:rFonts w:ascii="Arial" w:hAnsi="Arial" w:cs="Arial"/>
              </w:rPr>
              <w:t xml:space="preserve">contribution </w:t>
            </w:r>
            <w:r w:rsidR="00217E59" w:rsidRPr="00BB3E78">
              <w:rPr>
                <w:rFonts w:ascii="Arial" w:hAnsi="Arial" w:cs="Arial"/>
                <w:highlight w:val="yellow"/>
              </w:rPr>
              <w:t xml:space="preserve">to </w:t>
            </w:r>
            <w:r w:rsidRPr="00BB3E78">
              <w:rPr>
                <w:rFonts w:ascii="Arial" w:hAnsi="Arial" w:cs="Arial"/>
                <w:highlight w:val="yellow"/>
              </w:rPr>
              <w:t xml:space="preserve">household income, </w:t>
            </w:r>
            <w:r w:rsidR="00217E59" w:rsidRPr="00BB3E78">
              <w:rPr>
                <w:rFonts w:ascii="Arial" w:hAnsi="Arial" w:cs="Arial"/>
                <w:highlight w:val="yellow"/>
              </w:rPr>
              <w:t xml:space="preserve">and </w:t>
            </w:r>
            <w:r w:rsidRPr="00BB3E78">
              <w:rPr>
                <w:rFonts w:ascii="Arial" w:hAnsi="Arial" w:cs="Arial"/>
                <w:highlight w:val="yellow"/>
              </w:rPr>
              <w:t xml:space="preserve">household head had </w:t>
            </w:r>
            <w:r w:rsidR="00217E59" w:rsidRPr="00BB3E78">
              <w:rPr>
                <w:rFonts w:ascii="Arial" w:hAnsi="Arial" w:cs="Arial"/>
                <w:highlight w:val="yellow"/>
              </w:rPr>
              <w:t xml:space="preserve">a </w:t>
            </w:r>
            <w:r w:rsidRPr="00BB3E78">
              <w:rPr>
                <w:rFonts w:ascii="Arial" w:hAnsi="Arial" w:cs="Arial"/>
                <w:highlight w:val="yellow"/>
              </w:rPr>
              <w:t xml:space="preserve">positive and significant relationship with the LVI of households at </w:t>
            </w:r>
            <w:r w:rsidR="00217E59" w:rsidRPr="00BB3E78">
              <w:rPr>
                <w:rFonts w:ascii="Arial" w:hAnsi="Arial" w:cs="Arial"/>
                <w:highlight w:val="yellow"/>
              </w:rPr>
              <w:t xml:space="preserve">a </w:t>
            </w:r>
            <w:r w:rsidRPr="00BB3E78">
              <w:rPr>
                <w:rFonts w:ascii="Arial" w:hAnsi="Arial" w:cs="Arial"/>
                <w:highlight w:val="yellow"/>
              </w:rPr>
              <w:t>1 percent level of significance.</w:t>
            </w:r>
            <w:r w:rsidR="00217E59" w:rsidRPr="00BB3E78">
              <w:rPr>
                <w:rFonts w:ascii="Arial" w:hAnsi="Arial" w:cs="Arial"/>
                <w:highlight w:val="yellow"/>
              </w:rPr>
              <w:t xml:space="preserve"> </w:t>
            </w:r>
            <w:r w:rsidRPr="00BB3E78">
              <w:rPr>
                <w:rFonts w:ascii="Arial" w:hAnsi="Arial" w:cs="Arial"/>
                <w:highlight w:val="yellow"/>
              </w:rPr>
              <w:t xml:space="preserve">Women-headed </w:t>
            </w:r>
            <w:r w:rsidR="00217E59" w:rsidRPr="00BB3E78">
              <w:rPr>
                <w:rFonts w:ascii="Arial" w:hAnsi="Arial" w:cs="Arial"/>
                <w:highlight w:val="yellow"/>
              </w:rPr>
              <w:t xml:space="preserve">households </w:t>
            </w:r>
            <w:r w:rsidRPr="00BB3E78">
              <w:rPr>
                <w:rFonts w:ascii="Arial" w:hAnsi="Arial" w:cs="Arial"/>
                <w:highlight w:val="yellow"/>
              </w:rPr>
              <w:t xml:space="preserve">had significantly higher LVI than men-headed households across all the selected empowerment variables. </w:t>
            </w:r>
          </w:p>
          <w:p w:rsidR="000F63CB" w:rsidRDefault="00834ADD">
            <w:pPr>
              <w:pStyle w:val="Body"/>
              <w:spacing w:after="0"/>
              <w:rPr>
                <w:rFonts w:ascii="Arial" w:eastAsia="Calibri" w:hAnsi="Arial" w:cs="Arial"/>
                <w:b/>
                <w:bCs/>
                <w:szCs w:val="22"/>
              </w:rPr>
            </w:pPr>
            <w:r w:rsidRPr="00BB3E78">
              <w:rPr>
                <w:rFonts w:ascii="Arial" w:eastAsia="Calibri" w:hAnsi="Arial" w:cs="Arial"/>
                <w:b/>
                <w:szCs w:val="22"/>
                <w:highlight w:val="yellow"/>
              </w:rPr>
              <w:t xml:space="preserve">Conclusion: </w:t>
            </w:r>
            <w:r w:rsidRPr="00BB3E78">
              <w:rPr>
                <w:rFonts w:ascii="Arial" w:eastAsia="Calibri" w:hAnsi="Arial" w:cs="Arial"/>
                <w:szCs w:val="22"/>
                <w:highlight w:val="yellow"/>
              </w:rPr>
              <w:t>The findings revealed</w:t>
            </w:r>
            <w:r w:rsidRPr="00BB3E78">
              <w:rPr>
                <w:rFonts w:ascii="Arial" w:eastAsia="Calibri" w:hAnsi="Arial" w:cs="Arial"/>
                <w:bCs/>
                <w:szCs w:val="22"/>
                <w:highlight w:val="yellow"/>
              </w:rPr>
              <w:t xml:space="preserve"> </w:t>
            </w:r>
            <w:r w:rsidR="00217E59" w:rsidRPr="00BB3E78">
              <w:rPr>
                <w:rFonts w:ascii="Arial" w:eastAsia="Calibri" w:hAnsi="Arial" w:cs="Arial"/>
                <w:bCs/>
                <w:szCs w:val="22"/>
                <w:highlight w:val="yellow"/>
              </w:rPr>
              <w:t xml:space="preserve">a </w:t>
            </w:r>
            <w:r w:rsidRPr="00BB3E78">
              <w:rPr>
                <w:rFonts w:ascii="Arial" w:eastAsia="Calibri" w:hAnsi="Arial" w:cs="Arial"/>
                <w:bCs/>
                <w:szCs w:val="22"/>
                <w:highlight w:val="yellow"/>
              </w:rPr>
              <w:t xml:space="preserve">significant impact </w:t>
            </w:r>
            <w:r>
              <w:rPr>
                <w:rFonts w:ascii="Arial" w:eastAsia="Calibri" w:hAnsi="Arial" w:cs="Arial"/>
                <w:bCs/>
                <w:szCs w:val="22"/>
              </w:rPr>
              <w:t xml:space="preserve">of intra-household gender dynamics on households’ vulnerability to climate change, implying that any vulnerability reduction approaches such as gender-inclusive climate action should address this dimension in </w:t>
            </w:r>
            <w:r w:rsidR="00217E59">
              <w:rPr>
                <w:rFonts w:ascii="Arial" w:eastAsia="Calibri" w:hAnsi="Arial" w:cs="Arial"/>
                <w:bCs/>
                <w:szCs w:val="22"/>
              </w:rPr>
              <w:t xml:space="preserve">the </w:t>
            </w:r>
            <w:r>
              <w:rPr>
                <w:rFonts w:ascii="Arial" w:eastAsia="Calibri" w:hAnsi="Arial" w:cs="Arial"/>
                <w:bCs/>
                <w:szCs w:val="22"/>
              </w:rPr>
              <w:t xml:space="preserve">future. </w:t>
            </w:r>
          </w:p>
        </w:tc>
      </w:tr>
    </w:tbl>
    <w:p w:rsidR="000F63CB" w:rsidRDefault="000F63CB">
      <w:pPr>
        <w:pStyle w:val="Body"/>
        <w:spacing w:after="0"/>
        <w:rPr>
          <w:rFonts w:ascii="Arial" w:hAnsi="Arial" w:cs="Arial"/>
          <w:i/>
        </w:rPr>
      </w:pPr>
    </w:p>
    <w:p w:rsidR="000F63CB" w:rsidRDefault="00834ADD">
      <w:pPr>
        <w:pStyle w:val="Body"/>
        <w:rPr>
          <w:rFonts w:ascii="Arial" w:hAnsi="Arial" w:cs="Arial"/>
          <w:i/>
        </w:rPr>
      </w:pPr>
      <w:r w:rsidRPr="007D4CFF">
        <w:rPr>
          <w:rFonts w:ascii="Arial" w:hAnsi="Arial" w:cs="Arial"/>
          <w:b/>
          <w:i/>
        </w:rPr>
        <w:t>Keywords:</w:t>
      </w:r>
      <w:r>
        <w:rPr>
          <w:rFonts w:ascii="Arial" w:hAnsi="Arial" w:cs="Arial"/>
          <w:i/>
        </w:rPr>
        <w:t xml:space="preserve"> Climate change, Vulnerability, Gender dynamics, Intra-household</w:t>
      </w:r>
    </w:p>
    <w:p w:rsidR="000F63CB" w:rsidRDefault="00834ADD">
      <w:pPr>
        <w:pStyle w:val="AbstHead"/>
        <w:spacing w:after="0"/>
        <w:jc w:val="both"/>
        <w:rPr>
          <w:rFonts w:ascii="Arial" w:hAnsi="Arial" w:cs="Arial"/>
        </w:rPr>
      </w:pPr>
      <w:r>
        <w:rPr>
          <w:rFonts w:ascii="Arial" w:hAnsi="Arial" w:cs="Arial"/>
        </w:rPr>
        <w:t>1. INTRODUCTION</w:t>
      </w:r>
    </w:p>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People in every corner of the world are witnessing the harmful consequences of climate change and India is not an exception to this. India is the seventh-most vulnerable nation to climatic extremes worldwide </w:t>
      </w:r>
      <w:r>
        <w:rPr>
          <w:rFonts w:ascii="Arial" w:hAnsi="Arial" w:cs="Arial"/>
          <w:b/>
        </w:rPr>
        <w:t>[1].</w:t>
      </w:r>
      <w:r>
        <w:rPr>
          <w:rFonts w:ascii="Arial" w:hAnsi="Arial" w:cs="Arial"/>
        </w:rPr>
        <w:t xml:space="preserve"> Devastating floods, droughts</w:t>
      </w:r>
      <w:r w:rsidR="00217E59">
        <w:rPr>
          <w:rFonts w:ascii="Arial" w:hAnsi="Arial" w:cs="Arial"/>
        </w:rPr>
        <w:t>,</w:t>
      </w:r>
      <w:r>
        <w:rPr>
          <w:rFonts w:ascii="Arial" w:hAnsi="Arial" w:cs="Arial"/>
        </w:rPr>
        <w:t xml:space="preserve"> and cyclones are also occurring more frequently as a result of climate change which causes </w:t>
      </w:r>
      <w:r w:rsidR="00217E59">
        <w:rPr>
          <w:rFonts w:ascii="Arial" w:hAnsi="Arial" w:cs="Arial"/>
        </w:rPr>
        <w:t xml:space="preserve">the </w:t>
      </w:r>
      <w:r>
        <w:rPr>
          <w:rFonts w:ascii="Arial" w:hAnsi="Arial" w:cs="Arial"/>
        </w:rPr>
        <w:t>migration of millions of people prevents them access to essential amenities</w:t>
      </w:r>
      <w:r w:rsidR="00217E59">
        <w:rPr>
          <w:rFonts w:ascii="Arial" w:hAnsi="Arial" w:cs="Arial"/>
        </w:rPr>
        <w:t>,</w:t>
      </w:r>
      <w:r>
        <w:rPr>
          <w:rFonts w:ascii="Arial" w:hAnsi="Arial" w:cs="Arial"/>
        </w:rPr>
        <w:t xml:space="preserve"> and raises inequality between various categories of people </w:t>
      </w:r>
      <w:r>
        <w:rPr>
          <w:rFonts w:ascii="Arial" w:hAnsi="Arial" w:cs="Arial"/>
          <w:b/>
        </w:rPr>
        <w:t>[2].</w:t>
      </w:r>
      <w:r>
        <w:rPr>
          <w:rFonts w:ascii="Arial" w:hAnsi="Arial" w:cs="Arial"/>
        </w:rPr>
        <w:t xml:space="preserve"> The devastating impacts of climate change </w:t>
      </w:r>
      <w:r w:rsidR="00217E59">
        <w:rPr>
          <w:rFonts w:ascii="Arial" w:hAnsi="Arial" w:cs="Arial"/>
        </w:rPr>
        <w:t xml:space="preserve">are </w:t>
      </w:r>
      <w:r>
        <w:rPr>
          <w:rFonts w:ascii="Arial" w:hAnsi="Arial" w:cs="Arial"/>
        </w:rPr>
        <w:t xml:space="preserve">also witnessed in the agriculture sector of the </w:t>
      </w:r>
      <w:r w:rsidRPr="00BB3E78">
        <w:rPr>
          <w:rFonts w:ascii="Arial" w:hAnsi="Arial" w:cs="Arial"/>
          <w:highlight w:val="yellow"/>
        </w:rPr>
        <w:t xml:space="preserve">country which is the backbone of </w:t>
      </w:r>
      <w:r w:rsidR="00197279" w:rsidRPr="00BB3E78">
        <w:rPr>
          <w:rFonts w:ascii="Arial" w:hAnsi="Arial" w:cs="Arial"/>
          <w:highlight w:val="yellow"/>
        </w:rPr>
        <w:t xml:space="preserve">the </w:t>
      </w:r>
      <w:r w:rsidRPr="00BB3E78">
        <w:rPr>
          <w:rFonts w:ascii="Arial" w:hAnsi="Arial" w:cs="Arial"/>
          <w:highlight w:val="yellow"/>
        </w:rPr>
        <w:t xml:space="preserve">Indian </w:t>
      </w:r>
      <w:r w:rsidRPr="00BB3E78">
        <w:rPr>
          <w:rFonts w:ascii="Arial" w:hAnsi="Arial" w:cs="Arial"/>
          <w:highlight w:val="yellow"/>
        </w:rPr>
        <w:lastRenderedPageBreak/>
        <w:t xml:space="preserve">economy. With cultivable land of less than one hectare and inadequate coping mechanisms, </w:t>
      </w:r>
      <w:r w:rsidR="00197279" w:rsidRPr="00BB3E78">
        <w:rPr>
          <w:rFonts w:ascii="Arial" w:hAnsi="Arial" w:cs="Arial"/>
          <w:highlight w:val="yellow"/>
        </w:rPr>
        <w:t xml:space="preserve">the </w:t>
      </w:r>
      <w:r w:rsidRPr="00BB3E78">
        <w:rPr>
          <w:rFonts w:ascii="Arial" w:hAnsi="Arial" w:cs="Arial"/>
          <w:highlight w:val="yellow"/>
        </w:rPr>
        <w:t xml:space="preserve">majority of the </w:t>
      </w:r>
      <w:r w:rsidR="00197279" w:rsidRPr="00BB3E78">
        <w:rPr>
          <w:rFonts w:ascii="Arial" w:hAnsi="Arial" w:cs="Arial"/>
          <w:highlight w:val="yellow"/>
        </w:rPr>
        <w:t>farming households</w:t>
      </w:r>
      <w:r w:rsidRPr="00BB3E78">
        <w:rPr>
          <w:rFonts w:ascii="Arial" w:hAnsi="Arial" w:cs="Arial"/>
          <w:highlight w:val="yellow"/>
        </w:rPr>
        <w:t xml:space="preserve"> </w:t>
      </w:r>
      <w:r w:rsidR="00197279" w:rsidRPr="00BB3E78">
        <w:rPr>
          <w:rFonts w:ascii="Arial" w:hAnsi="Arial" w:cs="Arial"/>
          <w:highlight w:val="yellow"/>
        </w:rPr>
        <w:t xml:space="preserve">in </w:t>
      </w:r>
      <w:r w:rsidRPr="00BB3E78">
        <w:rPr>
          <w:rFonts w:ascii="Arial" w:hAnsi="Arial" w:cs="Arial"/>
          <w:highlight w:val="yellow"/>
        </w:rPr>
        <w:t xml:space="preserve">India are vulnerable to climate change. Climatic extremes have become more frequent in </w:t>
      </w:r>
      <w:r>
        <w:rPr>
          <w:rFonts w:ascii="Arial" w:hAnsi="Arial" w:cs="Arial"/>
        </w:rPr>
        <w:t xml:space="preserve">recent years, increasing the risk of significant losses in agricultural production </w:t>
      </w:r>
      <w:r>
        <w:rPr>
          <w:rFonts w:ascii="Arial" w:hAnsi="Arial" w:cs="Arial"/>
          <w:b/>
        </w:rPr>
        <w:t>[3].</w:t>
      </w:r>
      <w:r>
        <w:rPr>
          <w:rFonts w:ascii="Arial" w:hAnsi="Arial" w:cs="Arial"/>
        </w:rPr>
        <w:t xml:space="preserve"> The North-east region of India, comprising the states of </w:t>
      </w:r>
      <w:r w:rsidRPr="00BB3E78">
        <w:rPr>
          <w:rFonts w:ascii="Arial" w:hAnsi="Arial" w:cs="Arial"/>
          <w:highlight w:val="yellow"/>
        </w:rPr>
        <w:t>Assam, Arunachal Pradesh, Tripura, Nagaland, Manipur, Mizoram, Meghalaya</w:t>
      </w:r>
      <w:r w:rsidR="00197279" w:rsidRPr="00BB3E78">
        <w:rPr>
          <w:rFonts w:ascii="Arial" w:hAnsi="Arial" w:cs="Arial"/>
          <w:highlight w:val="yellow"/>
        </w:rPr>
        <w:t>,</w:t>
      </w:r>
      <w:r w:rsidRPr="00BB3E78">
        <w:rPr>
          <w:rFonts w:ascii="Arial" w:hAnsi="Arial" w:cs="Arial"/>
          <w:highlight w:val="yellow"/>
        </w:rPr>
        <w:t xml:space="preserve"> and Sikkim </w:t>
      </w:r>
      <w:r w:rsidR="00197279" w:rsidRPr="00BB3E78">
        <w:rPr>
          <w:rFonts w:ascii="Arial" w:hAnsi="Arial" w:cs="Arial"/>
          <w:highlight w:val="yellow"/>
        </w:rPr>
        <w:t xml:space="preserve">is </w:t>
      </w:r>
      <w:r w:rsidRPr="00BB3E78">
        <w:rPr>
          <w:rFonts w:ascii="Arial" w:hAnsi="Arial" w:cs="Arial"/>
          <w:highlight w:val="yellow"/>
        </w:rPr>
        <w:t>also facing negative impacts of climate change through substantial alternations in the m</w:t>
      </w:r>
      <w:r>
        <w:rPr>
          <w:rFonts w:ascii="Arial" w:hAnsi="Arial" w:cs="Arial"/>
        </w:rPr>
        <w:t>ajor climatic variables. Average temperature, summer maximum temperature, winter minimum temperature</w:t>
      </w:r>
      <w:r w:rsidR="00197279">
        <w:rPr>
          <w:rFonts w:ascii="Arial" w:hAnsi="Arial" w:cs="Arial"/>
        </w:rPr>
        <w:t>,</w:t>
      </w:r>
      <w:r>
        <w:rPr>
          <w:rFonts w:ascii="Arial" w:hAnsi="Arial" w:cs="Arial"/>
        </w:rPr>
        <w:t xml:space="preserve"> and rainfall are projected to rise in the 2030s in nearly all the districts </w:t>
      </w:r>
      <w:r w:rsidRPr="00BB3E78">
        <w:rPr>
          <w:rFonts w:ascii="Arial" w:hAnsi="Arial" w:cs="Arial"/>
          <w:highlight w:val="yellow"/>
        </w:rPr>
        <w:t xml:space="preserve">of this region compared to the historical period </w:t>
      </w:r>
      <w:r w:rsidRPr="00BB3E78">
        <w:rPr>
          <w:rFonts w:ascii="Arial" w:hAnsi="Arial" w:cs="Arial"/>
          <w:b/>
          <w:highlight w:val="yellow"/>
        </w:rPr>
        <w:t>[4].</w:t>
      </w:r>
      <w:r w:rsidRPr="00BB3E78">
        <w:rPr>
          <w:rFonts w:ascii="Arial" w:hAnsi="Arial" w:cs="Arial"/>
          <w:highlight w:val="yellow"/>
        </w:rPr>
        <w:t xml:space="preserve"> The Tripura state of this region is also not an exception to this as it is suffering from disastrous climate </w:t>
      </w:r>
      <w:r w:rsidR="00197279" w:rsidRPr="00BB3E78">
        <w:rPr>
          <w:rFonts w:ascii="Arial" w:hAnsi="Arial" w:cs="Arial"/>
          <w:highlight w:val="yellow"/>
        </w:rPr>
        <w:t>change-induced</w:t>
      </w:r>
      <w:r w:rsidRPr="00BB3E78">
        <w:rPr>
          <w:rFonts w:ascii="Arial" w:hAnsi="Arial" w:cs="Arial"/>
          <w:highlight w:val="yellow"/>
        </w:rPr>
        <w:t xml:space="preserve"> floods, cyclones, </w:t>
      </w:r>
      <w:r w:rsidR="00197279" w:rsidRPr="00BB3E78">
        <w:rPr>
          <w:rFonts w:ascii="Arial" w:hAnsi="Arial" w:cs="Arial"/>
          <w:highlight w:val="yellow"/>
        </w:rPr>
        <w:t xml:space="preserve">and </w:t>
      </w:r>
      <w:r w:rsidRPr="00BB3E78">
        <w:rPr>
          <w:rFonts w:ascii="Arial" w:hAnsi="Arial" w:cs="Arial"/>
          <w:highlight w:val="yellow"/>
        </w:rPr>
        <w:t xml:space="preserve">high temperatures which are causing </w:t>
      </w:r>
      <w:r w:rsidR="00197279" w:rsidRPr="00BB3E78">
        <w:rPr>
          <w:rFonts w:ascii="Arial" w:hAnsi="Arial" w:cs="Arial"/>
          <w:highlight w:val="yellow"/>
        </w:rPr>
        <w:t xml:space="preserve">damage </w:t>
      </w:r>
      <w:r w:rsidRPr="00BB3E78">
        <w:rPr>
          <w:rFonts w:ascii="Arial" w:hAnsi="Arial" w:cs="Arial"/>
          <w:highlight w:val="yellow"/>
        </w:rPr>
        <w:t>to the houses, infrastructures like power, roads, bridges</w:t>
      </w:r>
      <w:r w:rsidR="00197279" w:rsidRPr="00BB3E78">
        <w:rPr>
          <w:rFonts w:ascii="Arial" w:hAnsi="Arial" w:cs="Arial"/>
          <w:highlight w:val="yellow"/>
        </w:rPr>
        <w:t>,</w:t>
      </w:r>
      <w:r w:rsidRPr="00BB3E78">
        <w:rPr>
          <w:rFonts w:ascii="Arial" w:hAnsi="Arial" w:cs="Arial"/>
          <w:highlight w:val="yellow"/>
        </w:rPr>
        <w:t xml:space="preserve"> and other sectors like agriculture and forestry </w:t>
      </w:r>
      <w:r>
        <w:rPr>
          <w:rFonts w:ascii="Arial" w:hAnsi="Arial" w:cs="Arial"/>
          <w:b/>
        </w:rPr>
        <w:t>[5].</w:t>
      </w:r>
    </w:p>
    <w:p w:rsidR="000F63CB" w:rsidRDefault="000F63CB">
      <w:pPr>
        <w:pStyle w:val="Body"/>
        <w:spacing w:after="0"/>
        <w:rPr>
          <w:rFonts w:ascii="Arial" w:hAnsi="Arial" w:cs="Arial"/>
        </w:rPr>
      </w:pPr>
    </w:p>
    <w:p w:rsidR="000F63CB" w:rsidRDefault="00834ADD">
      <w:pPr>
        <w:pStyle w:val="Body"/>
        <w:spacing w:after="0"/>
        <w:rPr>
          <w:rFonts w:ascii="Arial" w:hAnsi="Arial" w:cs="Arial"/>
          <w:b/>
          <w:sz w:val="22"/>
          <w:szCs w:val="22"/>
        </w:rPr>
      </w:pPr>
      <w:r>
        <w:rPr>
          <w:rFonts w:ascii="Arial" w:hAnsi="Arial" w:cs="Arial"/>
          <w:b/>
          <w:sz w:val="22"/>
          <w:szCs w:val="22"/>
        </w:rPr>
        <w:t>1.1 Gender and Climate Change Vulnerability</w:t>
      </w:r>
    </w:p>
    <w:p w:rsidR="000F63CB" w:rsidRDefault="00834ADD">
      <w:pPr>
        <w:pStyle w:val="Body"/>
        <w:spacing w:after="0"/>
        <w:rPr>
          <w:rFonts w:ascii="Arial" w:hAnsi="Arial" w:cs="Arial"/>
        </w:rPr>
      </w:pPr>
      <w:r>
        <w:rPr>
          <w:rFonts w:ascii="Arial" w:hAnsi="Arial" w:cs="Arial"/>
        </w:rPr>
        <w:t xml:space="preserve">Vulnerability is the inclination or potential of any system to suffer adverse impacts from climate change. It is a function of the character, magnitude, and rate of climate variation to which a system is exposed as well as its sensitivity and adaptive capacity </w:t>
      </w:r>
      <w:r>
        <w:rPr>
          <w:rFonts w:ascii="Arial" w:hAnsi="Arial" w:cs="Arial"/>
          <w:b/>
        </w:rPr>
        <w:t>[6].</w:t>
      </w:r>
      <w:r>
        <w:rPr>
          <w:rFonts w:ascii="Arial" w:hAnsi="Arial" w:cs="Arial"/>
        </w:rPr>
        <w:t xml:space="preserve"> Men and women are affected by the environmental effects of climate change in various ways. Disasters reinforce, sustain</w:t>
      </w:r>
      <w:r w:rsidR="00197279">
        <w:rPr>
          <w:rFonts w:ascii="Arial" w:hAnsi="Arial" w:cs="Arial"/>
        </w:rPr>
        <w:t>,</w:t>
      </w:r>
      <w:r>
        <w:rPr>
          <w:rFonts w:ascii="Arial" w:hAnsi="Arial" w:cs="Arial"/>
        </w:rPr>
        <w:t xml:space="preserve"> and raise gender inequality, making bad situations scarier for women </w:t>
      </w:r>
      <w:r>
        <w:rPr>
          <w:rFonts w:ascii="Arial" w:hAnsi="Arial" w:cs="Arial"/>
          <w:b/>
        </w:rPr>
        <w:t>[7].</w:t>
      </w:r>
      <w:r>
        <w:rPr>
          <w:rFonts w:ascii="Arial" w:hAnsi="Arial" w:cs="Arial"/>
        </w:rPr>
        <w:t xml:space="preserve"> Women bear a disproportionate share of the burden of preparing food, water, and fuel in many countries and climate change acts as a threat multiplier for them and the effect is more in developing nations where agriculture is the most important job sector for women </w:t>
      </w:r>
      <w:r>
        <w:rPr>
          <w:rFonts w:ascii="Arial" w:hAnsi="Arial" w:cs="Arial"/>
          <w:b/>
        </w:rPr>
        <w:t>[8].</w:t>
      </w:r>
      <w:r>
        <w:rPr>
          <w:rFonts w:ascii="Arial" w:hAnsi="Arial" w:cs="Arial"/>
        </w:rPr>
        <w:t xml:space="preserve"> The socially constructed roles, identities, traditions, relationships, responsibilities</w:t>
      </w:r>
      <w:r w:rsidR="00197279">
        <w:rPr>
          <w:rFonts w:ascii="Arial" w:hAnsi="Arial" w:cs="Arial"/>
        </w:rPr>
        <w:t>,</w:t>
      </w:r>
      <w:r>
        <w:rPr>
          <w:rFonts w:ascii="Arial" w:hAnsi="Arial" w:cs="Arial"/>
        </w:rPr>
        <w:t xml:space="preserve"> and opportunities that come with being a man or woman in a particular society are referred to as gender. As it interacts with socioeconomic, institutional, and environmental factors to produce varying degrees of susceptibility for different groups of men and women, gender is an important factor in determining vulnerability to climate change </w:t>
      </w:r>
      <w:r>
        <w:rPr>
          <w:rFonts w:ascii="Arial" w:hAnsi="Arial" w:cs="Arial"/>
          <w:b/>
        </w:rPr>
        <w:t>[9].</w:t>
      </w:r>
      <w:r>
        <w:rPr>
          <w:rFonts w:ascii="Arial" w:hAnsi="Arial" w:cs="Arial"/>
        </w:rPr>
        <w:t xml:space="preserve"> The recent G20 New Delhi Leaders Declaration also highlighted the same fact that women and children are disproportionately affected by the negative consequences of climate change </w:t>
      </w:r>
      <w:r>
        <w:rPr>
          <w:rFonts w:ascii="Arial" w:hAnsi="Arial" w:cs="Arial"/>
          <w:b/>
        </w:rPr>
        <w:t>[10].</w:t>
      </w:r>
      <w:r>
        <w:rPr>
          <w:rFonts w:ascii="Arial" w:hAnsi="Arial" w:cs="Arial"/>
        </w:rPr>
        <w:t xml:space="preserve"> At </w:t>
      </w:r>
      <w:r w:rsidR="00197279">
        <w:rPr>
          <w:rFonts w:ascii="Arial" w:hAnsi="Arial" w:cs="Arial"/>
        </w:rPr>
        <w:t xml:space="preserve">the </w:t>
      </w:r>
      <w:r>
        <w:rPr>
          <w:rFonts w:ascii="Arial" w:hAnsi="Arial" w:cs="Arial"/>
        </w:rPr>
        <w:t>household level</w:t>
      </w:r>
      <w:r w:rsidR="00197279">
        <w:rPr>
          <w:rFonts w:ascii="Arial" w:hAnsi="Arial" w:cs="Arial"/>
        </w:rPr>
        <w:t>,</w:t>
      </w:r>
      <w:r>
        <w:rPr>
          <w:rFonts w:ascii="Arial" w:hAnsi="Arial" w:cs="Arial"/>
        </w:rPr>
        <w:t xml:space="preserve"> </w:t>
      </w:r>
      <w:r w:rsidRPr="00BB3E78">
        <w:rPr>
          <w:rFonts w:ascii="Arial" w:hAnsi="Arial" w:cs="Arial"/>
          <w:highlight w:val="yellow"/>
        </w:rPr>
        <w:t xml:space="preserve">these socio-cultural factors shape household relations which shape </w:t>
      </w:r>
      <w:r w:rsidR="00197279" w:rsidRPr="00BB3E78">
        <w:rPr>
          <w:rFonts w:ascii="Arial" w:hAnsi="Arial" w:cs="Arial"/>
          <w:highlight w:val="yellow"/>
        </w:rPr>
        <w:t>gender-specific</w:t>
      </w:r>
      <w:r w:rsidRPr="00BB3E78">
        <w:rPr>
          <w:rFonts w:ascii="Arial" w:hAnsi="Arial" w:cs="Arial"/>
          <w:highlight w:val="yellow"/>
        </w:rPr>
        <w:t xml:space="preserve"> vulnerability </w:t>
      </w:r>
      <w:r w:rsidRPr="00BB3E78">
        <w:rPr>
          <w:rFonts w:ascii="Arial" w:hAnsi="Arial" w:cs="Arial"/>
          <w:b/>
          <w:highlight w:val="yellow"/>
        </w:rPr>
        <w:t>[11].</w:t>
      </w:r>
      <w:r w:rsidRPr="00BB3E78">
        <w:rPr>
          <w:rFonts w:ascii="Arial" w:hAnsi="Arial" w:cs="Arial"/>
          <w:highlight w:val="yellow"/>
        </w:rPr>
        <w:t xml:space="preserve"> Women’s less access to resources, lower decision-making power</w:t>
      </w:r>
      <w:r w:rsidR="00197279" w:rsidRPr="00BB3E78">
        <w:rPr>
          <w:rFonts w:ascii="Arial" w:hAnsi="Arial" w:cs="Arial"/>
          <w:highlight w:val="yellow"/>
        </w:rPr>
        <w:t>,</w:t>
      </w:r>
      <w:r w:rsidRPr="00BB3E78">
        <w:rPr>
          <w:rFonts w:ascii="Arial" w:hAnsi="Arial" w:cs="Arial"/>
          <w:highlight w:val="yellow"/>
        </w:rPr>
        <w:t xml:space="preserve"> and </w:t>
      </w:r>
      <w:r>
        <w:rPr>
          <w:rFonts w:ascii="Arial" w:hAnsi="Arial" w:cs="Arial"/>
        </w:rPr>
        <w:t xml:space="preserve">significant domestic responsibilities also put them in a hazardous situation </w:t>
      </w:r>
      <w:r w:rsidRPr="00BB3E78">
        <w:rPr>
          <w:rFonts w:ascii="Arial" w:hAnsi="Arial" w:cs="Arial"/>
          <w:highlight w:val="yellow"/>
        </w:rPr>
        <w:t xml:space="preserve">during vulnerable events </w:t>
      </w:r>
      <w:r w:rsidRPr="00BB3E78">
        <w:rPr>
          <w:rFonts w:ascii="Arial" w:hAnsi="Arial" w:cs="Arial"/>
          <w:b/>
          <w:highlight w:val="yellow"/>
        </w:rPr>
        <w:t>[12].</w:t>
      </w:r>
      <w:r w:rsidRPr="00BB3E78">
        <w:rPr>
          <w:rFonts w:ascii="Arial" w:hAnsi="Arial" w:cs="Arial"/>
          <w:highlight w:val="yellow"/>
        </w:rPr>
        <w:t xml:space="preserve"> Vulnerability also differs across household heads; households with female heads are more vulnerable to climate change than households with male </w:t>
      </w:r>
      <w:r w:rsidR="00197279" w:rsidRPr="00BB3E78">
        <w:rPr>
          <w:rFonts w:ascii="Arial" w:hAnsi="Arial" w:cs="Arial"/>
          <w:highlight w:val="yellow"/>
        </w:rPr>
        <w:t xml:space="preserve">heads </w:t>
      </w:r>
      <w:r w:rsidRPr="00BB3E78">
        <w:rPr>
          <w:rFonts w:ascii="Arial" w:hAnsi="Arial" w:cs="Arial"/>
          <w:b/>
          <w:highlight w:val="yellow"/>
        </w:rPr>
        <w:t>[13</w:t>
      </w:r>
      <w:r>
        <w:rPr>
          <w:rFonts w:ascii="Arial" w:hAnsi="Arial" w:cs="Arial"/>
          <w:b/>
        </w:rPr>
        <w:t>]</w:t>
      </w:r>
      <w:r>
        <w:rPr>
          <w:rFonts w:ascii="Arial" w:hAnsi="Arial" w:cs="Arial"/>
          <w:b/>
          <w:iCs/>
        </w:rPr>
        <w:t>.</w:t>
      </w:r>
      <w:r>
        <w:rPr>
          <w:rFonts w:ascii="Arial" w:hAnsi="Arial" w:cs="Arial"/>
        </w:rPr>
        <w:t xml:space="preserve"> So it is clear that climate change vulnerabilities are gendered, yet most policy approaches fail to recognize this fact. The above information </w:t>
      </w:r>
      <w:r w:rsidR="00197279">
        <w:rPr>
          <w:rFonts w:ascii="Arial" w:hAnsi="Arial" w:cs="Arial"/>
        </w:rPr>
        <w:t xml:space="preserve">indicates </w:t>
      </w:r>
      <w:r>
        <w:rPr>
          <w:rFonts w:ascii="Arial" w:hAnsi="Arial" w:cs="Arial"/>
        </w:rPr>
        <w:t xml:space="preserve">unequivocally that gender is a </w:t>
      </w:r>
      <w:r w:rsidRPr="00BB3E78">
        <w:rPr>
          <w:rFonts w:ascii="Arial" w:hAnsi="Arial" w:cs="Arial"/>
          <w:highlight w:val="yellow"/>
        </w:rPr>
        <w:t xml:space="preserve">crucial factor in climate change vulnerability and different household </w:t>
      </w:r>
      <w:r w:rsidR="00197279" w:rsidRPr="00BB3E78">
        <w:rPr>
          <w:rFonts w:ascii="Arial" w:hAnsi="Arial" w:cs="Arial"/>
          <w:highlight w:val="yellow"/>
        </w:rPr>
        <w:t>gender dynamics</w:t>
      </w:r>
      <w:r w:rsidRPr="00BB3E78">
        <w:rPr>
          <w:rFonts w:ascii="Arial" w:hAnsi="Arial" w:cs="Arial"/>
          <w:highlight w:val="yellow"/>
        </w:rPr>
        <w:t xml:space="preserve"> </w:t>
      </w:r>
      <w:r w:rsidR="00197279" w:rsidRPr="00BB3E78">
        <w:rPr>
          <w:rFonts w:ascii="Arial" w:hAnsi="Arial" w:cs="Arial"/>
          <w:highlight w:val="yellow"/>
        </w:rPr>
        <w:t xml:space="preserve">play </w:t>
      </w:r>
      <w:r w:rsidRPr="00BB3E78">
        <w:rPr>
          <w:rFonts w:ascii="Arial" w:hAnsi="Arial" w:cs="Arial"/>
          <w:highlight w:val="yellow"/>
        </w:rPr>
        <w:t xml:space="preserve">an important role in shaping </w:t>
      </w:r>
      <w:r w:rsidR="00197279" w:rsidRPr="00BB3E78">
        <w:rPr>
          <w:rFonts w:ascii="Arial" w:hAnsi="Arial" w:cs="Arial"/>
          <w:highlight w:val="yellow"/>
        </w:rPr>
        <w:t xml:space="preserve">a </w:t>
      </w:r>
      <w:r w:rsidRPr="00BB3E78">
        <w:rPr>
          <w:rFonts w:ascii="Arial" w:hAnsi="Arial" w:cs="Arial"/>
          <w:highlight w:val="yellow"/>
        </w:rPr>
        <w:t xml:space="preserve">household’s vulnerability to climate change. Hence </w:t>
      </w:r>
      <w:r>
        <w:rPr>
          <w:rFonts w:ascii="Arial" w:hAnsi="Arial" w:cs="Arial"/>
        </w:rPr>
        <w:t xml:space="preserve">the following study was conducted in the state </w:t>
      </w:r>
      <w:r w:rsidR="00197279">
        <w:rPr>
          <w:rFonts w:ascii="Arial" w:hAnsi="Arial" w:cs="Arial"/>
        </w:rPr>
        <w:t xml:space="preserve">of </w:t>
      </w:r>
      <w:r>
        <w:rPr>
          <w:rFonts w:ascii="Arial" w:hAnsi="Arial" w:cs="Arial"/>
        </w:rPr>
        <w:t xml:space="preserve">Tripura to understand how the intra-household gender dynamics influence </w:t>
      </w:r>
      <w:r w:rsidR="00197279">
        <w:rPr>
          <w:rFonts w:ascii="Arial" w:hAnsi="Arial" w:cs="Arial"/>
        </w:rPr>
        <w:t xml:space="preserve">a </w:t>
      </w:r>
      <w:r>
        <w:rPr>
          <w:rFonts w:ascii="Arial" w:hAnsi="Arial" w:cs="Arial"/>
        </w:rPr>
        <w:t xml:space="preserve">household’s vulnerability to climate change. </w:t>
      </w:r>
    </w:p>
    <w:p w:rsidR="000F63CB" w:rsidRDefault="000F63CB">
      <w:pPr>
        <w:pStyle w:val="Body"/>
        <w:spacing w:after="0"/>
        <w:rPr>
          <w:rFonts w:ascii="Arial" w:hAnsi="Arial" w:cs="Arial"/>
        </w:rPr>
      </w:pPr>
    </w:p>
    <w:p w:rsidR="000F63CB" w:rsidRDefault="00834ADD">
      <w:pPr>
        <w:pStyle w:val="AbstHead"/>
        <w:spacing w:after="0"/>
        <w:jc w:val="both"/>
        <w:rPr>
          <w:rFonts w:ascii="Arial" w:hAnsi="Arial" w:cs="Arial"/>
        </w:rPr>
      </w:pPr>
      <w:r>
        <w:rPr>
          <w:rFonts w:ascii="Arial" w:hAnsi="Arial" w:cs="Arial"/>
        </w:rPr>
        <w:t>2. methodology</w:t>
      </w:r>
    </w:p>
    <w:p w:rsidR="000F63CB" w:rsidRDefault="000F63CB">
      <w:pPr>
        <w:pStyle w:val="AbstHead"/>
        <w:spacing w:after="0"/>
        <w:jc w:val="both"/>
        <w:rPr>
          <w:rFonts w:ascii="Arial" w:hAnsi="Arial" w:cs="Arial"/>
        </w:rPr>
      </w:pPr>
    </w:p>
    <w:p w:rsidR="000F63CB" w:rsidRDefault="00834ADD">
      <w:pPr>
        <w:pStyle w:val="Body"/>
        <w:spacing w:after="0"/>
        <w:rPr>
          <w:rFonts w:ascii="Arial" w:hAnsi="Arial" w:cs="Arial"/>
        </w:rPr>
      </w:pPr>
      <w:r>
        <w:rPr>
          <w:rFonts w:ascii="Arial" w:hAnsi="Arial" w:cs="Arial"/>
        </w:rPr>
        <w:t xml:space="preserve">The study was conducted in </w:t>
      </w:r>
      <w:r w:rsidR="00197279">
        <w:rPr>
          <w:rFonts w:ascii="Arial" w:hAnsi="Arial" w:cs="Arial"/>
        </w:rPr>
        <w:t xml:space="preserve">the </w:t>
      </w:r>
      <w:r>
        <w:rPr>
          <w:rFonts w:ascii="Arial" w:hAnsi="Arial" w:cs="Arial"/>
        </w:rPr>
        <w:t>West Tripura district of Tripura state which is the most vulnerable district to climate change according to CRIDA (</w:t>
      </w:r>
      <w:r w:rsidRPr="00BB3E78">
        <w:rPr>
          <w:rFonts w:ascii="Arial" w:hAnsi="Arial" w:cs="Arial"/>
          <w:highlight w:val="yellow"/>
        </w:rPr>
        <w:t xml:space="preserve">Central Research Institute for Dryland Agriculture) and it is also India’s seventh most </w:t>
      </w:r>
      <w:r w:rsidR="00197279" w:rsidRPr="00BB3E78">
        <w:rPr>
          <w:rFonts w:ascii="Arial" w:hAnsi="Arial" w:cs="Arial"/>
          <w:highlight w:val="yellow"/>
        </w:rPr>
        <w:t>flood-exposed</w:t>
      </w:r>
      <w:r w:rsidRPr="00BB3E78">
        <w:rPr>
          <w:rFonts w:ascii="Arial" w:hAnsi="Arial" w:cs="Arial"/>
          <w:highlight w:val="yellow"/>
        </w:rPr>
        <w:t xml:space="preserve"> district </w:t>
      </w:r>
      <w:r w:rsidRPr="00BB3E78">
        <w:rPr>
          <w:rFonts w:ascii="Arial" w:hAnsi="Arial" w:cs="Arial"/>
          <w:b/>
          <w:highlight w:val="yellow"/>
        </w:rPr>
        <w:t>[14].</w:t>
      </w:r>
      <w:r w:rsidRPr="00BB3E78">
        <w:rPr>
          <w:rFonts w:ascii="Arial" w:hAnsi="Arial" w:cs="Arial"/>
          <w:highlight w:val="yellow"/>
        </w:rPr>
        <w:t xml:space="preserve"> Based on SAPCC (State Action Plan on Climate Change) and Flood Management </w:t>
      </w:r>
      <w:r>
        <w:rPr>
          <w:rFonts w:ascii="Arial" w:hAnsi="Arial" w:cs="Arial"/>
        </w:rPr>
        <w:t>Plan data, two blocks viz., Jirania and Old Agartala were purposively selected from the said district. From each block</w:t>
      </w:r>
      <w:r w:rsidR="00197279">
        <w:rPr>
          <w:rFonts w:ascii="Arial" w:hAnsi="Arial" w:cs="Arial"/>
        </w:rPr>
        <w:t>,</w:t>
      </w:r>
      <w:r>
        <w:rPr>
          <w:rFonts w:ascii="Arial" w:hAnsi="Arial" w:cs="Arial"/>
        </w:rPr>
        <w:t xml:space="preserve"> 2 </w:t>
      </w:r>
      <w:r w:rsidRPr="00BB3E78">
        <w:rPr>
          <w:rFonts w:ascii="Arial" w:hAnsi="Arial" w:cs="Arial"/>
          <w:highlight w:val="yellow"/>
        </w:rPr>
        <w:t xml:space="preserve">villages were selected randomly followed by selecting 15 households randomly from each village. </w:t>
      </w:r>
      <w:r w:rsidR="00197279" w:rsidRPr="00BB3E78">
        <w:rPr>
          <w:rFonts w:ascii="Arial" w:hAnsi="Arial" w:cs="Arial"/>
          <w:highlight w:val="yellow"/>
        </w:rPr>
        <w:t xml:space="preserve">A conscious </w:t>
      </w:r>
      <w:r w:rsidRPr="00BB3E78">
        <w:rPr>
          <w:rFonts w:ascii="Arial" w:hAnsi="Arial" w:cs="Arial"/>
          <w:highlight w:val="yellow"/>
        </w:rPr>
        <w:t xml:space="preserve">effort was made to include at least a few </w:t>
      </w:r>
      <w:r w:rsidR="00197279" w:rsidRPr="00BB3E78">
        <w:rPr>
          <w:rFonts w:ascii="Arial" w:hAnsi="Arial" w:cs="Arial"/>
          <w:highlight w:val="yellow"/>
        </w:rPr>
        <w:t>female-headed</w:t>
      </w:r>
      <w:r w:rsidRPr="00BB3E78">
        <w:rPr>
          <w:rFonts w:ascii="Arial" w:hAnsi="Arial" w:cs="Arial"/>
          <w:highlight w:val="yellow"/>
        </w:rPr>
        <w:t xml:space="preserve"> households in the sample, though the number of </w:t>
      </w:r>
      <w:r w:rsidR="00197279" w:rsidRPr="00BB3E78">
        <w:rPr>
          <w:rFonts w:ascii="Arial" w:hAnsi="Arial" w:cs="Arial"/>
          <w:highlight w:val="yellow"/>
        </w:rPr>
        <w:t>female-headed</w:t>
      </w:r>
      <w:r w:rsidRPr="00BB3E78">
        <w:rPr>
          <w:rFonts w:ascii="Arial" w:hAnsi="Arial" w:cs="Arial"/>
          <w:highlight w:val="yellow"/>
        </w:rPr>
        <w:t xml:space="preserve"> households in </w:t>
      </w:r>
      <w:r>
        <w:rPr>
          <w:rFonts w:ascii="Arial" w:hAnsi="Arial" w:cs="Arial"/>
        </w:rPr>
        <w:t xml:space="preserve">the study area was negligible. </w:t>
      </w:r>
      <w:r w:rsidR="00EA476C">
        <w:rPr>
          <w:rFonts w:ascii="Arial" w:hAnsi="Arial" w:cs="Arial"/>
        </w:rPr>
        <w:t>Thus,</w:t>
      </w:r>
      <w:r>
        <w:rPr>
          <w:rFonts w:ascii="Arial" w:hAnsi="Arial" w:cs="Arial"/>
        </w:rPr>
        <w:t xml:space="preserve"> a total of 60 households were selected for the study of which 49 </w:t>
      </w:r>
      <w:r>
        <w:rPr>
          <w:rFonts w:ascii="Arial" w:hAnsi="Arial" w:cs="Arial"/>
        </w:rPr>
        <w:lastRenderedPageBreak/>
        <w:t xml:space="preserve">were </w:t>
      </w:r>
      <w:r w:rsidR="00197279">
        <w:rPr>
          <w:rFonts w:ascii="Arial" w:hAnsi="Arial" w:cs="Arial"/>
        </w:rPr>
        <w:t>male-headed</w:t>
      </w:r>
      <w:r>
        <w:rPr>
          <w:rFonts w:ascii="Arial" w:hAnsi="Arial" w:cs="Arial"/>
        </w:rPr>
        <w:t xml:space="preserve"> households and 11 female-headed. The primary men (head of male-headed household) and primary women (wife of </w:t>
      </w:r>
      <w:r w:rsidRPr="00BB3E78">
        <w:rPr>
          <w:rFonts w:ascii="Arial" w:hAnsi="Arial" w:cs="Arial"/>
          <w:highlight w:val="yellow"/>
        </w:rPr>
        <w:t xml:space="preserve">primary men in case of male-headed household or female head in case of </w:t>
      </w:r>
      <w:r w:rsidR="00197279" w:rsidRPr="00BB3E78">
        <w:rPr>
          <w:rFonts w:ascii="Arial" w:hAnsi="Arial" w:cs="Arial"/>
          <w:highlight w:val="yellow"/>
        </w:rPr>
        <w:t>female-headed</w:t>
      </w:r>
      <w:r w:rsidRPr="00BB3E78">
        <w:rPr>
          <w:rFonts w:ascii="Arial" w:hAnsi="Arial" w:cs="Arial"/>
          <w:highlight w:val="yellow"/>
        </w:rPr>
        <w:t xml:space="preserve"> household) members of the households were selected as respondents of the st</w:t>
      </w:r>
      <w:r>
        <w:rPr>
          <w:rFonts w:ascii="Arial" w:hAnsi="Arial" w:cs="Arial"/>
        </w:rPr>
        <w:t xml:space="preserve">udy. All </w:t>
      </w:r>
      <w:r w:rsidR="00197279">
        <w:rPr>
          <w:rFonts w:ascii="Arial" w:hAnsi="Arial" w:cs="Arial"/>
        </w:rPr>
        <w:t>male-headed</w:t>
      </w:r>
      <w:r>
        <w:rPr>
          <w:rFonts w:ascii="Arial" w:hAnsi="Arial" w:cs="Arial"/>
        </w:rPr>
        <w:t xml:space="preserve"> households </w:t>
      </w:r>
      <w:r w:rsidRPr="00BB3E78">
        <w:rPr>
          <w:rFonts w:ascii="Arial" w:hAnsi="Arial" w:cs="Arial"/>
          <w:highlight w:val="yellow"/>
        </w:rPr>
        <w:t xml:space="preserve">had both a primary man and a primary woman member; whereas the </w:t>
      </w:r>
      <w:r w:rsidR="00197279" w:rsidRPr="00BB3E78">
        <w:rPr>
          <w:rFonts w:ascii="Arial" w:hAnsi="Arial" w:cs="Arial"/>
          <w:highlight w:val="yellow"/>
        </w:rPr>
        <w:t>female-headed</w:t>
      </w:r>
      <w:r w:rsidRPr="00BB3E78">
        <w:rPr>
          <w:rFonts w:ascii="Arial" w:hAnsi="Arial" w:cs="Arial"/>
          <w:highlight w:val="yellow"/>
        </w:rPr>
        <w:t xml:space="preserve"> households had only a primary woman member. Therefore, a total of 49 primary men and 60 p</w:t>
      </w:r>
      <w:r>
        <w:rPr>
          <w:rFonts w:ascii="Arial" w:hAnsi="Arial" w:cs="Arial"/>
        </w:rPr>
        <w:t xml:space="preserve">rimary women were selected which </w:t>
      </w:r>
      <w:r w:rsidR="00197279">
        <w:rPr>
          <w:rFonts w:ascii="Arial" w:hAnsi="Arial" w:cs="Arial"/>
        </w:rPr>
        <w:t xml:space="preserve">resulted </w:t>
      </w:r>
      <w:r w:rsidR="00704161">
        <w:rPr>
          <w:rFonts w:ascii="Arial" w:hAnsi="Arial" w:cs="Arial"/>
        </w:rPr>
        <w:t xml:space="preserve">in </w:t>
      </w:r>
      <w:r>
        <w:rPr>
          <w:rFonts w:ascii="Arial" w:hAnsi="Arial" w:cs="Arial"/>
        </w:rPr>
        <w:t>a total number of 109 respondents for the present study.</w:t>
      </w:r>
    </w:p>
    <w:p w:rsidR="000F63CB" w:rsidRDefault="000F63CB">
      <w:pPr>
        <w:pStyle w:val="Body"/>
        <w:spacing w:after="0"/>
        <w:rPr>
          <w:rFonts w:ascii="Arial" w:hAnsi="Arial" w:cs="Arial"/>
        </w:rPr>
      </w:pPr>
    </w:p>
    <w:p w:rsidR="000F63CB" w:rsidRDefault="00834ADD">
      <w:pPr>
        <w:pStyle w:val="Body"/>
        <w:spacing w:after="0"/>
        <w:ind w:firstLine="720"/>
        <w:rPr>
          <w:rFonts w:ascii="Arial" w:hAnsi="Arial" w:cs="Arial"/>
          <w:b/>
        </w:rPr>
      </w:pPr>
      <w:r>
        <w:rPr>
          <w:rFonts w:ascii="Arial" w:hAnsi="Arial" w:cs="Arial"/>
        </w:rPr>
        <w:t xml:space="preserve">For calculating the </w:t>
      </w:r>
      <w:r w:rsidRPr="00BB3E78">
        <w:rPr>
          <w:rFonts w:ascii="Arial" w:hAnsi="Arial" w:cs="Arial"/>
          <w:highlight w:val="yellow"/>
        </w:rPr>
        <w:t xml:space="preserve">vulnerability to climate change, </w:t>
      </w:r>
      <w:r w:rsidR="00197279" w:rsidRPr="00BB3E78">
        <w:rPr>
          <w:rFonts w:ascii="Arial" w:hAnsi="Arial" w:cs="Arial"/>
          <w:highlight w:val="yellow"/>
        </w:rPr>
        <w:t xml:space="preserve">the </w:t>
      </w:r>
      <w:r w:rsidRPr="00BB3E78">
        <w:rPr>
          <w:rFonts w:ascii="Arial" w:hAnsi="Arial" w:cs="Arial"/>
          <w:highlight w:val="yellow"/>
        </w:rPr>
        <w:t xml:space="preserve">Livelihood Vulnerability Index (LVI) approach </w:t>
      </w:r>
      <w:r w:rsidRPr="00BB3E78">
        <w:rPr>
          <w:rFonts w:ascii="Arial" w:hAnsi="Arial" w:cs="Arial"/>
          <w:b/>
          <w:highlight w:val="yellow"/>
        </w:rPr>
        <w:t xml:space="preserve">[15] </w:t>
      </w:r>
      <w:r w:rsidRPr="00BB3E78">
        <w:rPr>
          <w:rFonts w:ascii="Arial" w:hAnsi="Arial" w:cs="Arial"/>
          <w:highlight w:val="yellow"/>
        </w:rPr>
        <w:t xml:space="preserve">was </w:t>
      </w:r>
      <w:r w:rsidR="00197279" w:rsidRPr="00BB3E78">
        <w:rPr>
          <w:rFonts w:ascii="Arial" w:hAnsi="Arial" w:cs="Arial"/>
          <w:highlight w:val="yellow"/>
        </w:rPr>
        <w:t>adopted</w:t>
      </w:r>
      <w:r w:rsidRPr="00BB3E78">
        <w:rPr>
          <w:rFonts w:ascii="Arial" w:hAnsi="Arial" w:cs="Arial"/>
          <w:highlight w:val="yellow"/>
        </w:rPr>
        <w:t>.</w:t>
      </w:r>
      <w:r w:rsidRPr="00BB3E78">
        <w:rPr>
          <w:rFonts w:ascii="Arial" w:hAnsi="Arial" w:cs="Arial"/>
          <w:b/>
          <w:highlight w:val="yellow"/>
        </w:rPr>
        <w:t xml:space="preserve"> </w:t>
      </w:r>
      <w:r w:rsidRPr="00BB3E78">
        <w:rPr>
          <w:rFonts w:ascii="Arial" w:hAnsi="Arial" w:cs="Arial"/>
          <w:highlight w:val="yellow"/>
        </w:rPr>
        <w:t>The LVI uses multiple indicators to assess exposure to natural disasters and climate variability, social and economic characteristics of households that affect their adaptive ca</w:t>
      </w:r>
      <w:r>
        <w:rPr>
          <w:rFonts w:ascii="Arial" w:hAnsi="Arial" w:cs="Arial"/>
        </w:rPr>
        <w:t xml:space="preserve">pacity, and current health, food, and water resource characteristics that determine their sensitivity to climate change impacts at </w:t>
      </w:r>
      <w:r w:rsidR="00197279">
        <w:rPr>
          <w:rFonts w:ascii="Arial" w:hAnsi="Arial" w:cs="Arial"/>
        </w:rPr>
        <w:t xml:space="preserve">the </w:t>
      </w:r>
      <w:r>
        <w:rPr>
          <w:rFonts w:ascii="Arial" w:hAnsi="Arial" w:cs="Arial"/>
        </w:rPr>
        <w:t xml:space="preserve">community level. The instrument consists of 7 major components: natural disasters and climate variability; socio-demographic profile; livelihood strategies; social networks; health; food and water. Necessary modifications </w:t>
      </w:r>
      <w:r w:rsidRPr="00BB3E78">
        <w:rPr>
          <w:rFonts w:ascii="Arial" w:hAnsi="Arial" w:cs="Arial"/>
          <w:highlight w:val="yellow"/>
        </w:rPr>
        <w:t xml:space="preserve">were made to the instrument to suit the local context and fit to measure </w:t>
      </w:r>
      <w:r w:rsidR="00197279" w:rsidRPr="00BB3E78">
        <w:rPr>
          <w:rFonts w:ascii="Arial" w:hAnsi="Arial" w:cs="Arial"/>
          <w:highlight w:val="yellow"/>
        </w:rPr>
        <w:t>household-level</w:t>
      </w:r>
      <w:r w:rsidRPr="00BB3E78">
        <w:rPr>
          <w:rFonts w:ascii="Arial" w:hAnsi="Arial" w:cs="Arial"/>
          <w:highlight w:val="yellow"/>
        </w:rPr>
        <w:t xml:space="preserve"> </w:t>
      </w:r>
      <w:r>
        <w:rPr>
          <w:rFonts w:ascii="Arial" w:hAnsi="Arial" w:cs="Arial"/>
        </w:rPr>
        <w:t>vulnerability</w:t>
      </w:r>
      <w:r>
        <w:rPr>
          <w:rFonts w:ascii="Arial" w:hAnsi="Arial" w:cs="Arial"/>
          <w:b/>
        </w:rPr>
        <w:t>.</w:t>
      </w:r>
      <w:r>
        <w:rPr>
          <w:rFonts w:ascii="Arial" w:hAnsi="Arial" w:cs="Arial"/>
        </w:rPr>
        <w:t xml:space="preserve"> </w:t>
      </w:r>
      <w:r>
        <w:rPr>
          <w:rFonts w:ascii="Arial" w:hAnsi="Arial" w:cs="Arial"/>
          <w:shd w:val="clear" w:color="auto" w:fill="FFFFFF"/>
        </w:rPr>
        <w:t xml:space="preserve">The Content Validity of the modified instrument was established by 7 experts. </w:t>
      </w:r>
      <w:r>
        <w:rPr>
          <w:rFonts w:ascii="Arial" w:hAnsi="Arial" w:cs="Arial"/>
        </w:rPr>
        <w:t xml:space="preserve">The evaluation of the items done was through </w:t>
      </w:r>
      <w:r w:rsidR="00197279">
        <w:rPr>
          <w:rFonts w:ascii="Arial" w:hAnsi="Arial" w:cs="Arial"/>
        </w:rPr>
        <w:t xml:space="preserve">the </w:t>
      </w:r>
      <w:r>
        <w:rPr>
          <w:rFonts w:ascii="Arial" w:hAnsi="Arial" w:cs="Arial"/>
        </w:rPr>
        <w:t xml:space="preserve">item-level content validity index (I-CVI) </w:t>
      </w:r>
      <w:r>
        <w:rPr>
          <w:rFonts w:ascii="Arial" w:hAnsi="Arial" w:cs="Arial"/>
          <w:b/>
        </w:rPr>
        <w:t xml:space="preserve">[16]. </w:t>
      </w:r>
    </w:p>
    <w:p w:rsidR="000F63CB" w:rsidRPr="00BB3E78" w:rsidRDefault="00834ADD">
      <w:pPr>
        <w:pStyle w:val="Body"/>
        <w:spacing w:after="0"/>
        <w:ind w:firstLine="720"/>
        <w:rPr>
          <w:rFonts w:ascii="Arial" w:hAnsi="Arial" w:cs="Arial"/>
          <w:highlight w:val="yellow"/>
        </w:rPr>
      </w:pPr>
      <w:r>
        <w:rPr>
          <w:rFonts w:ascii="Arial" w:hAnsi="Arial" w:cs="Arial"/>
        </w:rPr>
        <w:t xml:space="preserve">The scoring of the subcomponent items </w:t>
      </w:r>
      <w:r w:rsidR="00197279" w:rsidRPr="00BB3E78">
        <w:rPr>
          <w:rFonts w:ascii="Arial" w:hAnsi="Arial" w:cs="Arial"/>
          <w:highlight w:val="yellow"/>
        </w:rPr>
        <w:t xml:space="preserve">was </w:t>
      </w:r>
      <w:r w:rsidRPr="00BB3E78">
        <w:rPr>
          <w:rFonts w:ascii="Arial" w:hAnsi="Arial" w:cs="Arial"/>
          <w:highlight w:val="yellow"/>
        </w:rPr>
        <w:t>done in binary ordinal score. For sub-components where scoring was done in interval or ratio level in the original LVI, the score was converted into binary ordinal by employing</w:t>
      </w:r>
      <w:r>
        <w:rPr>
          <w:rFonts w:ascii="Arial" w:hAnsi="Arial" w:cs="Arial"/>
        </w:rPr>
        <w:t xml:space="preserve"> appropriate measures of central tendency.</w:t>
      </w:r>
      <w:r>
        <w:rPr>
          <w:rFonts w:ascii="Arial" w:hAnsi="Arial" w:cs="Arial"/>
          <w:b/>
        </w:rPr>
        <w:t xml:space="preserve"> </w:t>
      </w:r>
      <w:r>
        <w:rPr>
          <w:rFonts w:ascii="Arial" w:hAnsi="Arial" w:cs="Arial"/>
        </w:rPr>
        <w:t>Considering that all the sub-</w:t>
      </w:r>
      <w:r w:rsidRPr="00BB3E78">
        <w:rPr>
          <w:rFonts w:ascii="Arial" w:hAnsi="Arial" w:cs="Arial"/>
          <w:highlight w:val="yellow"/>
        </w:rPr>
        <w:t xml:space="preserve">components in the instrument have equal weights, </w:t>
      </w:r>
      <w:r w:rsidR="00197279" w:rsidRPr="00BB3E78">
        <w:rPr>
          <w:rFonts w:ascii="Arial" w:hAnsi="Arial" w:cs="Arial"/>
          <w:highlight w:val="yellow"/>
        </w:rPr>
        <w:t xml:space="preserve">the </w:t>
      </w:r>
      <w:r w:rsidRPr="00BB3E78">
        <w:rPr>
          <w:rFonts w:ascii="Arial" w:hAnsi="Arial" w:cs="Arial"/>
          <w:highlight w:val="yellow"/>
        </w:rPr>
        <w:t xml:space="preserve">arithmetic mean of all the subcomponents </w:t>
      </w:r>
      <w:r w:rsidR="00197279" w:rsidRPr="00BB3E78">
        <w:rPr>
          <w:rFonts w:ascii="Arial" w:hAnsi="Arial" w:cs="Arial"/>
          <w:highlight w:val="yellow"/>
        </w:rPr>
        <w:t xml:space="preserve">was </w:t>
      </w:r>
      <w:r w:rsidRPr="00BB3E78">
        <w:rPr>
          <w:rFonts w:ascii="Arial" w:hAnsi="Arial" w:cs="Arial"/>
          <w:highlight w:val="yellow"/>
        </w:rPr>
        <w:t xml:space="preserve">taken for calculating </w:t>
      </w:r>
      <w:r w:rsidR="00197279" w:rsidRPr="00BB3E78">
        <w:rPr>
          <w:rFonts w:ascii="Arial" w:hAnsi="Arial" w:cs="Arial"/>
          <w:highlight w:val="yellow"/>
        </w:rPr>
        <w:t xml:space="preserve">the </w:t>
      </w:r>
      <w:r w:rsidRPr="00BB3E78">
        <w:rPr>
          <w:rFonts w:ascii="Arial" w:hAnsi="Arial" w:cs="Arial"/>
          <w:highlight w:val="yellow"/>
        </w:rPr>
        <w:t>vulnerability score of each major component of individual households</w:t>
      </w:r>
      <w:r>
        <w:rPr>
          <w:rFonts w:ascii="Arial" w:hAnsi="Arial" w:cs="Arial"/>
        </w:rPr>
        <w:t xml:space="preserve">. The arithmetic mean of the sum of </w:t>
      </w:r>
      <w:r w:rsidR="00197279">
        <w:rPr>
          <w:rFonts w:ascii="Arial" w:hAnsi="Arial" w:cs="Arial"/>
        </w:rPr>
        <w:t xml:space="preserve">the </w:t>
      </w:r>
      <w:r>
        <w:rPr>
          <w:rFonts w:ascii="Arial" w:hAnsi="Arial" w:cs="Arial"/>
        </w:rPr>
        <w:t>mean score of all the seven components was taken as the household vulnerability to climate change score. This score was used to categorize the households into three categories viz. highly vulnerable, moderately vulnerable</w:t>
      </w:r>
      <w:r w:rsidR="00197279">
        <w:rPr>
          <w:rFonts w:ascii="Arial" w:hAnsi="Arial" w:cs="Arial"/>
        </w:rPr>
        <w:t>,</w:t>
      </w:r>
      <w:r>
        <w:rPr>
          <w:rFonts w:ascii="Arial" w:hAnsi="Arial" w:cs="Arial"/>
        </w:rPr>
        <w:t xml:space="preserve"> and less vulnerable according to </w:t>
      </w:r>
      <w:r w:rsidR="00197279">
        <w:rPr>
          <w:rFonts w:ascii="Arial" w:hAnsi="Arial" w:cs="Arial"/>
        </w:rPr>
        <w:t xml:space="preserve">the </w:t>
      </w:r>
      <w:r>
        <w:rPr>
          <w:rFonts w:ascii="Arial" w:hAnsi="Arial" w:cs="Arial"/>
        </w:rPr>
        <w:t xml:space="preserve">mean ± standard deviation of </w:t>
      </w:r>
      <w:r w:rsidRPr="00BB3E78">
        <w:rPr>
          <w:rFonts w:ascii="Arial" w:hAnsi="Arial" w:cs="Arial"/>
          <w:highlight w:val="yellow"/>
        </w:rPr>
        <w:t xml:space="preserve">the household vulnerability score. </w:t>
      </w:r>
    </w:p>
    <w:p w:rsidR="000F63CB" w:rsidRDefault="00834ADD">
      <w:pPr>
        <w:pStyle w:val="Body"/>
        <w:spacing w:after="0"/>
        <w:ind w:firstLine="720"/>
        <w:rPr>
          <w:rFonts w:ascii="Arial" w:hAnsi="Arial" w:cs="Arial"/>
        </w:rPr>
      </w:pPr>
      <w:r w:rsidRPr="00BB3E78">
        <w:rPr>
          <w:rFonts w:ascii="Arial" w:hAnsi="Arial" w:cs="Arial"/>
          <w:highlight w:val="yellow"/>
        </w:rPr>
        <w:t xml:space="preserve">The selected </w:t>
      </w:r>
      <w:r w:rsidR="00197279" w:rsidRPr="00BB3E78">
        <w:rPr>
          <w:rFonts w:ascii="Arial" w:hAnsi="Arial" w:cs="Arial"/>
          <w:highlight w:val="yellow"/>
        </w:rPr>
        <w:t>intra-household</w:t>
      </w:r>
      <w:r w:rsidRPr="00BB3E78">
        <w:rPr>
          <w:rFonts w:ascii="Arial" w:hAnsi="Arial" w:cs="Arial"/>
          <w:highlight w:val="yellow"/>
        </w:rPr>
        <w:t xml:space="preserve"> gender dynamics variables </w:t>
      </w:r>
      <w:r w:rsidRPr="00BB3E78">
        <w:rPr>
          <w:rFonts w:ascii="Arial" w:hAnsi="Arial" w:cs="Arial"/>
          <w:i/>
          <w:highlight w:val="yellow"/>
        </w:rPr>
        <w:t>viz</w:t>
      </w:r>
      <w:r w:rsidRPr="00BB3E78">
        <w:rPr>
          <w:rFonts w:ascii="Arial" w:hAnsi="Arial" w:cs="Arial"/>
          <w:highlight w:val="yellow"/>
        </w:rPr>
        <w:t xml:space="preserve">. participation in </w:t>
      </w:r>
      <w:r w:rsidR="00197279" w:rsidRPr="00BB3E78">
        <w:rPr>
          <w:rFonts w:ascii="Arial" w:hAnsi="Arial" w:cs="Arial"/>
          <w:highlight w:val="yellow"/>
        </w:rPr>
        <w:t>decision-making</w:t>
      </w:r>
      <w:r w:rsidRPr="00BB3E78">
        <w:rPr>
          <w:rFonts w:ascii="Arial" w:hAnsi="Arial" w:cs="Arial"/>
          <w:highlight w:val="yellow"/>
        </w:rPr>
        <w:t xml:space="preserve">, access and control over productive resources, </w:t>
      </w:r>
      <w:r w:rsidR="00197279" w:rsidRPr="00BB3E78">
        <w:rPr>
          <w:rFonts w:ascii="Arial" w:hAnsi="Arial" w:cs="Arial"/>
          <w:highlight w:val="yellow"/>
        </w:rPr>
        <w:t xml:space="preserve">and </w:t>
      </w:r>
      <w:r w:rsidRPr="00BB3E78">
        <w:rPr>
          <w:rFonts w:ascii="Arial" w:hAnsi="Arial" w:cs="Arial"/>
          <w:highlight w:val="yellow"/>
        </w:rPr>
        <w:t xml:space="preserve">contribution and control over household income and workload were measured by adopting </w:t>
      </w:r>
      <w:r w:rsidR="00197279" w:rsidRPr="00BB3E78">
        <w:rPr>
          <w:rFonts w:ascii="Arial" w:hAnsi="Arial" w:cs="Arial"/>
          <w:highlight w:val="yellow"/>
        </w:rPr>
        <w:t xml:space="preserve">a </w:t>
      </w:r>
      <w:r w:rsidRPr="00BB3E78">
        <w:rPr>
          <w:rFonts w:ascii="Arial" w:hAnsi="Arial" w:cs="Arial"/>
          <w:highlight w:val="yellow"/>
        </w:rPr>
        <w:t>similar methodology m</w:t>
      </w:r>
      <w:r>
        <w:rPr>
          <w:rFonts w:ascii="Arial" w:hAnsi="Arial" w:cs="Arial"/>
        </w:rPr>
        <w:t xml:space="preserve">entioned in the Women Empowerment in Agricultural Index </w:t>
      </w:r>
      <w:r>
        <w:rPr>
          <w:rFonts w:ascii="Arial" w:hAnsi="Arial" w:cs="Arial"/>
          <w:b/>
        </w:rPr>
        <w:t>[17].</w:t>
      </w:r>
      <w:r>
        <w:rPr>
          <w:rFonts w:ascii="Arial" w:hAnsi="Arial" w:cs="Arial"/>
        </w:rPr>
        <w:t xml:space="preserve"> Here “adequacy” which is a measure of empowerment was measured for both primary men and women. </w:t>
      </w:r>
      <w:r>
        <w:t xml:space="preserve">Adequacy or sufficiency is the state to meet the </w:t>
      </w:r>
      <w:r w:rsidR="00704161">
        <w:t xml:space="preserve">needs of </w:t>
      </w:r>
      <w:r w:rsidR="00197279">
        <w:t xml:space="preserve">a </w:t>
      </w:r>
      <w:r>
        <w:t xml:space="preserve">particular area satisfactorily. An individual is said to be adequate or sufficient in </w:t>
      </w:r>
      <w:r w:rsidR="00197279">
        <w:t xml:space="preserve">a </w:t>
      </w:r>
      <w:r>
        <w:t xml:space="preserve">particular indicator of domain based on the criteria of each indicator Adequacy cut-off of the indicators </w:t>
      </w:r>
      <w:r w:rsidRPr="00431056">
        <w:rPr>
          <w:b/>
        </w:rPr>
        <w:t>[16]</w:t>
      </w:r>
      <w:r>
        <w:t xml:space="preserve">. </w:t>
      </w:r>
      <w:r>
        <w:rPr>
          <w:rFonts w:ascii="Arial" w:hAnsi="Arial" w:cs="Arial"/>
        </w:rPr>
        <w:t>A score of “1” is given to respondents with adequacy, and in no adequacy</w:t>
      </w:r>
      <w:r w:rsidR="00197279">
        <w:rPr>
          <w:rFonts w:ascii="Arial" w:hAnsi="Arial" w:cs="Arial"/>
        </w:rPr>
        <w:t>,</w:t>
      </w:r>
      <w:r>
        <w:rPr>
          <w:rFonts w:ascii="Arial" w:hAnsi="Arial" w:cs="Arial"/>
        </w:rPr>
        <w:t xml:space="preserve"> a score of “0” is given. A description of the variables and their adequacy evaluation is provided in </w:t>
      </w:r>
      <w:r w:rsidR="00197279">
        <w:rPr>
          <w:rFonts w:ascii="Arial" w:hAnsi="Arial" w:cs="Arial"/>
        </w:rPr>
        <w:t xml:space="preserve">Table </w:t>
      </w:r>
      <w:r>
        <w:rPr>
          <w:rFonts w:ascii="Arial" w:hAnsi="Arial" w:cs="Arial"/>
        </w:rPr>
        <w:t>1.</w:t>
      </w:r>
    </w:p>
    <w:p w:rsidR="00112D39" w:rsidRDefault="00112D39">
      <w:pPr>
        <w:pStyle w:val="Body"/>
        <w:spacing w:after="0"/>
        <w:ind w:firstLine="720"/>
        <w:rPr>
          <w:rFonts w:ascii="Arial" w:hAnsi="Arial" w:cs="Arial"/>
        </w:rPr>
      </w:pPr>
    </w:p>
    <w:p w:rsidR="000F63CB" w:rsidRDefault="00834ADD">
      <w:pPr>
        <w:pStyle w:val="Body"/>
        <w:spacing w:after="0"/>
        <w:ind w:firstLine="720"/>
        <w:rPr>
          <w:rFonts w:ascii="Arial" w:hAnsi="Arial" w:cs="Arial"/>
        </w:rPr>
      </w:pPr>
      <w:r w:rsidRPr="00112D39">
        <w:rPr>
          <w:rFonts w:ascii="Arial" w:hAnsi="Arial" w:cs="Arial"/>
          <w:b/>
        </w:rPr>
        <w:t>Table 1</w:t>
      </w:r>
      <w:r w:rsidR="00112D39">
        <w:rPr>
          <w:rFonts w:ascii="Arial" w:hAnsi="Arial" w:cs="Arial"/>
          <w:b/>
        </w:rPr>
        <w:t xml:space="preserve">: </w:t>
      </w:r>
      <w:r>
        <w:t>D</w:t>
      </w:r>
      <w:r>
        <w:rPr>
          <w:rFonts w:ascii="Arial" w:hAnsi="Arial" w:cs="Arial"/>
        </w:rPr>
        <w:t>escription of the variables and their adequacy evaluation</w:t>
      </w:r>
    </w:p>
    <w:p w:rsidR="000F63CB" w:rsidRDefault="000F63CB">
      <w:pPr>
        <w:pStyle w:val="Body"/>
        <w:spacing w:after="0"/>
        <w:ind w:firstLine="720"/>
        <w:rPr>
          <w:rFonts w:ascii="Arial" w:hAnsi="Arial" w:cs="Arial"/>
        </w:rPr>
      </w:pPr>
    </w:p>
    <w:tbl>
      <w:tblPr>
        <w:tblStyle w:val="TableGrid"/>
        <w:tblW w:w="0" w:type="auto"/>
        <w:jc w:val="center"/>
        <w:tblLook w:val="04A0" w:firstRow="1" w:lastRow="0" w:firstColumn="1" w:lastColumn="0" w:noHBand="0" w:noVBand="1"/>
      </w:tblPr>
      <w:tblGrid>
        <w:gridCol w:w="786"/>
        <w:gridCol w:w="1464"/>
        <w:gridCol w:w="2820"/>
        <w:gridCol w:w="3260"/>
      </w:tblGrid>
      <w:tr w:rsidR="000F63CB">
        <w:trPr>
          <w:jc w:val="center"/>
        </w:trPr>
        <w:tc>
          <w:tcPr>
            <w:tcW w:w="786" w:type="dxa"/>
          </w:tcPr>
          <w:p w:rsidR="000F63CB" w:rsidRDefault="00834ADD">
            <w:pPr>
              <w:spacing w:line="480" w:lineRule="auto"/>
              <w:jc w:val="center"/>
              <w:rPr>
                <w:rFonts w:ascii="Arial" w:hAnsi="Arial" w:cs="Arial"/>
                <w:b/>
                <w:sz w:val="20"/>
                <w:szCs w:val="20"/>
              </w:rPr>
            </w:pPr>
            <w:r>
              <w:rPr>
                <w:rFonts w:ascii="Arial" w:hAnsi="Arial" w:cs="Arial"/>
                <w:b/>
                <w:sz w:val="20"/>
                <w:szCs w:val="20"/>
              </w:rPr>
              <w:t>Sl. No.</w:t>
            </w:r>
          </w:p>
        </w:tc>
        <w:tc>
          <w:tcPr>
            <w:tcW w:w="1464" w:type="dxa"/>
          </w:tcPr>
          <w:p w:rsidR="000F63CB" w:rsidRDefault="00834ADD">
            <w:pPr>
              <w:spacing w:line="480" w:lineRule="auto"/>
              <w:jc w:val="center"/>
              <w:rPr>
                <w:rFonts w:ascii="Arial" w:hAnsi="Arial" w:cs="Arial"/>
                <w:b/>
                <w:sz w:val="20"/>
                <w:szCs w:val="20"/>
              </w:rPr>
            </w:pPr>
            <w:r>
              <w:rPr>
                <w:rFonts w:ascii="Arial" w:hAnsi="Arial" w:cs="Arial"/>
                <w:b/>
                <w:sz w:val="20"/>
                <w:szCs w:val="20"/>
              </w:rPr>
              <w:t>Variable</w:t>
            </w:r>
          </w:p>
        </w:tc>
        <w:tc>
          <w:tcPr>
            <w:tcW w:w="2820" w:type="dxa"/>
          </w:tcPr>
          <w:p w:rsidR="000F63CB" w:rsidRDefault="00834ADD">
            <w:pPr>
              <w:spacing w:line="480" w:lineRule="auto"/>
              <w:jc w:val="center"/>
              <w:rPr>
                <w:rFonts w:ascii="Arial" w:hAnsi="Arial" w:cs="Arial"/>
                <w:b/>
                <w:sz w:val="20"/>
                <w:szCs w:val="20"/>
              </w:rPr>
            </w:pPr>
            <w:r>
              <w:rPr>
                <w:rFonts w:ascii="Arial" w:hAnsi="Arial" w:cs="Arial"/>
                <w:b/>
                <w:sz w:val="20"/>
                <w:szCs w:val="20"/>
              </w:rPr>
              <w:t>Indicators</w:t>
            </w:r>
          </w:p>
        </w:tc>
        <w:tc>
          <w:tcPr>
            <w:tcW w:w="3260" w:type="dxa"/>
          </w:tcPr>
          <w:p w:rsidR="000F63CB" w:rsidRDefault="00834ADD">
            <w:pPr>
              <w:spacing w:line="480" w:lineRule="auto"/>
              <w:jc w:val="center"/>
              <w:rPr>
                <w:rFonts w:ascii="Arial" w:hAnsi="Arial" w:cs="Arial"/>
                <w:b/>
                <w:sz w:val="20"/>
                <w:szCs w:val="20"/>
              </w:rPr>
            </w:pPr>
            <w:r>
              <w:rPr>
                <w:rFonts w:ascii="Arial" w:hAnsi="Arial" w:cs="Arial"/>
                <w:b/>
                <w:sz w:val="20"/>
                <w:szCs w:val="20"/>
              </w:rPr>
              <w:t>Decision on Adequacy</w:t>
            </w:r>
          </w:p>
        </w:tc>
      </w:tr>
      <w:tr w:rsidR="000F63CB">
        <w:trPr>
          <w:jc w:val="center"/>
        </w:trPr>
        <w:tc>
          <w:tcPr>
            <w:tcW w:w="786" w:type="dxa"/>
            <w:vMerge w:val="restart"/>
          </w:tcPr>
          <w:p w:rsidR="000F63CB" w:rsidRDefault="00834ADD">
            <w:pPr>
              <w:spacing w:line="480" w:lineRule="auto"/>
              <w:jc w:val="center"/>
              <w:rPr>
                <w:rFonts w:ascii="Arial" w:hAnsi="Arial" w:cs="Arial"/>
                <w:sz w:val="20"/>
                <w:szCs w:val="20"/>
              </w:rPr>
            </w:pPr>
            <w:r>
              <w:rPr>
                <w:rFonts w:ascii="Arial" w:hAnsi="Arial" w:cs="Arial"/>
                <w:sz w:val="20"/>
                <w:szCs w:val="20"/>
              </w:rPr>
              <w:t>1</w:t>
            </w:r>
          </w:p>
        </w:tc>
        <w:tc>
          <w:tcPr>
            <w:tcW w:w="1464"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Participation in </w:t>
            </w:r>
            <w:r w:rsidR="00197279">
              <w:rPr>
                <w:rFonts w:ascii="Arial" w:hAnsi="Arial" w:cs="Arial"/>
                <w:sz w:val="20"/>
                <w:szCs w:val="20"/>
              </w:rPr>
              <w:t>decision-making</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Participation in activity</w:t>
            </w:r>
          </w:p>
        </w:tc>
        <w:tc>
          <w:tcPr>
            <w:tcW w:w="3260" w:type="dxa"/>
            <w:vMerge w:val="restart"/>
          </w:tcPr>
          <w:p w:rsidR="000F63CB" w:rsidRDefault="00834ADD">
            <w:pPr>
              <w:spacing w:line="480" w:lineRule="auto"/>
              <w:rPr>
                <w:rFonts w:ascii="Arial" w:hAnsi="Arial" w:cs="Arial"/>
                <w:sz w:val="20"/>
                <w:szCs w:val="20"/>
              </w:rPr>
            </w:pPr>
            <w:r>
              <w:rPr>
                <w:rFonts w:ascii="Arial" w:hAnsi="Arial" w:cs="Arial"/>
                <w:sz w:val="20"/>
                <w:szCs w:val="20"/>
              </w:rPr>
              <w:t xml:space="preserve">Adequacy in any of the 2 </w:t>
            </w:r>
            <w:r w:rsidR="00197279">
              <w:rPr>
                <w:rFonts w:ascii="Arial" w:hAnsi="Arial" w:cs="Arial"/>
                <w:sz w:val="20"/>
                <w:szCs w:val="20"/>
              </w:rPr>
              <w:t xml:space="preserve">indicators </w:t>
            </w:r>
            <w:r>
              <w:rPr>
                <w:rFonts w:ascii="Arial" w:hAnsi="Arial" w:cs="Arial"/>
                <w:sz w:val="20"/>
                <w:szCs w:val="20"/>
              </w:rPr>
              <w:t xml:space="preserve">is considered as </w:t>
            </w:r>
            <w:r>
              <w:rPr>
                <w:rFonts w:ascii="Arial" w:hAnsi="Arial" w:cs="Arial"/>
                <w:b/>
                <w:sz w:val="20"/>
                <w:szCs w:val="20"/>
              </w:rPr>
              <w:t>adequate=1</w:t>
            </w:r>
            <w:r>
              <w:rPr>
                <w:rFonts w:ascii="Arial" w:hAnsi="Arial" w:cs="Arial"/>
                <w:sz w:val="20"/>
                <w:szCs w:val="20"/>
              </w:rPr>
              <w:t xml:space="preserve">, if not then </w:t>
            </w:r>
            <w:r>
              <w:rPr>
                <w:rFonts w:ascii="Arial" w:hAnsi="Arial" w:cs="Arial"/>
                <w:b/>
                <w:sz w:val="20"/>
                <w:szCs w:val="20"/>
              </w:rPr>
              <w:t>non-</w:t>
            </w:r>
            <w:r>
              <w:rPr>
                <w:rFonts w:ascii="Arial" w:hAnsi="Arial" w:cs="Arial"/>
                <w:b/>
                <w:sz w:val="20"/>
                <w:szCs w:val="20"/>
              </w:rPr>
              <w:lastRenderedPageBreak/>
              <w:t>adequate=0</w:t>
            </w: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 xml:space="preserve">Input </w:t>
            </w:r>
            <w:r w:rsidRPr="00BB3E78">
              <w:rPr>
                <w:rFonts w:ascii="Arial" w:hAnsi="Arial" w:cs="Arial"/>
                <w:sz w:val="20"/>
                <w:szCs w:val="20"/>
                <w:highlight w:val="yellow"/>
              </w:rPr>
              <w:t xml:space="preserve">in </w:t>
            </w:r>
            <w:r w:rsidR="00197279" w:rsidRPr="00BB3E78">
              <w:rPr>
                <w:rFonts w:ascii="Arial" w:hAnsi="Arial" w:cs="Arial"/>
                <w:sz w:val="20"/>
                <w:szCs w:val="20"/>
                <w:highlight w:val="yellow"/>
              </w:rPr>
              <w:t>decision-making</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 xml:space="preserve">Input on the use of </w:t>
            </w:r>
            <w:r>
              <w:rPr>
                <w:rFonts w:ascii="Arial" w:hAnsi="Arial" w:cs="Arial"/>
                <w:sz w:val="20"/>
                <w:szCs w:val="20"/>
              </w:rPr>
              <w:lastRenderedPageBreak/>
              <w:t>generated income</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val="restart"/>
          </w:tcPr>
          <w:p w:rsidR="000F63CB" w:rsidRDefault="00834ADD">
            <w:pPr>
              <w:spacing w:line="480" w:lineRule="auto"/>
              <w:jc w:val="center"/>
              <w:rPr>
                <w:rFonts w:ascii="Arial" w:hAnsi="Arial" w:cs="Arial"/>
                <w:sz w:val="20"/>
                <w:szCs w:val="20"/>
              </w:rPr>
            </w:pPr>
            <w:r>
              <w:rPr>
                <w:rFonts w:ascii="Arial" w:hAnsi="Arial" w:cs="Arial"/>
                <w:sz w:val="20"/>
                <w:szCs w:val="20"/>
              </w:rPr>
              <w:t>2</w:t>
            </w:r>
          </w:p>
        </w:tc>
        <w:tc>
          <w:tcPr>
            <w:tcW w:w="1464"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Access and control over productive resources</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Ownership of assets</w:t>
            </w:r>
          </w:p>
        </w:tc>
        <w:tc>
          <w:tcPr>
            <w:tcW w:w="3260" w:type="dxa"/>
            <w:vMerge w:val="restart"/>
          </w:tcPr>
          <w:p w:rsidR="000F63CB" w:rsidRDefault="00834ADD">
            <w:pPr>
              <w:spacing w:line="480" w:lineRule="auto"/>
              <w:jc w:val="both"/>
              <w:rPr>
                <w:rFonts w:ascii="Arial" w:hAnsi="Arial" w:cs="Arial"/>
                <w:sz w:val="20"/>
                <w:szCs w:val="20"/>
              </w:rPr>
            </w:pPr>
            <w:r w:rsidRPr="00BB3E78">
              <w:rPr>
                <w:rFonts w:ascii="Arial" w:hAnsi="Arial" w:cs="Arial"/>
                <w:sz w:val="20"/>
                <w:szCs w:val="20"/>
                <w:highlight w:val="yellow"/>
              </w:rPr>
              <w:t xml:space="preserve">Adequacy in all the </w:t>
            </w:r>
            <w:r w:rsidR="00197279" w:rsidRPr="00BB3E78">
              <w:rPr>
                <w:rFonts w:ascii="Arial" w:hAnsi="Arial" w:cs="Arial"/>
                <w:sz w:val="20"/>
                <w:szCs w:val="20"/>
                <w:highlight w:val="yellow"/>
              </w:rPr>
              <w:t>indicators</w:t>
            </w:r>
            <w:r w:rsidRPr="00BB3E78">
              <w:rPr>
                <w:rFonts w:ascii="Arial" w:hAnsi="Arial" w:cs="Arial"/>
                <w:sz w:val="20"/>
                <w:szCs w:val="20"/>
                <w:highlight w:val="yellow"/>
              </w:rPr>
              <w:t xml:space="preserve"> is considered as </w:t>
            </w:r>
            <w:r w:rsidRPr="00BB3E78">
              <w:rPr>
                <w:rFonts w:ascii="Arial" w:hAnsi="Arial" w:cs="Arial"/>
                <w:b/>
                <w:sz w:val="20"/>
                <w:szCs w:val="20"/>
                <w:highlight w:val="yellow"/>
              </w:rPr>
              <w:t>adequat</w:t>
            </w:r>
            <w:r>
              <w:rPr>
                <w:rFonts w:ascii="Arial" w:hAnsi="Arial" w:cs="Arial"/>
                <w:b/>
                <w:sz w:val="20"/>
                <w:szCs w:val="20"/>
              </w:rPr>
              <w:t>e=1</w:t>
            </w:r>
            <w:r>
              <w:rPr>
                <w:rFonts w:ascii="Arial" w:hAnsi="Arial" w:cs="Arial"/>
                <w:sz w:val="20"/>
                <w:szCs w:val="20"/>
              </w:rPr>
              <w:t xml:space="preserve">, if not then </w:t>
            </w:r>
            <w:r>
              <w:rPr>
                <w:rFonts w:ascii="Arial" w:hAnsi="Arial" w:cs="Arial"/>
                <w:b/>
                <w:sz w:val="20"/>
                <w:szCs w:val="20"/>
              </w:rPr>
              <w:t>non-adequate=0</w:t>
            </w: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Access to assets</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1627F1">
            <w:pPr>
              <w:spacing w:line="480" w:lineRule="auto"/>
              <w:jc w:val="both"/>
              <w:rPr>
                <w:rFonts w:ascii="Arial" w:hAnsi="Arial" w:cs="Arial"/>
                <w:sz w:val="20"/>
                <w:szCs w:val="20"/>
              </w:rPr>
            </w:pPr>
            <w:r>
              <w:rPr>
                <w:rFonts w:ascii="Arial" w:hAnsi="Arial" w:cs="Arial"/>
                <w:sz w:val="20"/>
                <w:szCs w:val="20"/>
              </w:rPr>
              <w:t>Decision-making</w:t>
            </w:r>
            <w:r w:rsidR="00834ADD">
              <w:rPr>
                <w:rFonts w:ascii="Arial" w:hAnsi="Arial" w:cs="Arial"/>
                <w:sz w:val="20"/>
                <w:szCs w:val="20"/>
              </w:rPr>
              <w:t xml:space="preserve"> over </w:t>
            </w:r>
            <w:r w:rsidR="00704161">
              <w:rPr>
                <w:rFonts w:ascii="Arial" w:hAnsi="Arial" w:cs="Arial"/>
                <w:sz w:val="20"/>
                <w:szCs w:val="20"/>
              </w:rPr>
              <w:t xml:space="preserve">the </w:t>
            </w:r>
            <w:r w:rsidR="00834ADD">
              <w:rPr>
                <w:rFonts w:ascii="Arial" w:hAnsi="Arial" w:cs="Arial"/>
                <w:sz w:val="20"/>
                <w:szCs w:val="20"/>
              </w:rPr>
              <w:t>sale and purchase of assets</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val="restart"/>
          </w:tcPr>
          <w:p w:rsidR="000F63CB" w:rsidRDefault="00834ADD">
            <w:pPr>
              <w:spacing w:line="480" w:lineRule="auto"/>
              <w:jc w:val="center"/>
              <w:rPr>
                <w:rFonts w:ascii="Arial" w:hAnsi="Arial" w:cs="Arial"/>
                <w:sz w:val="20"/>
                <w:szCs w:val="20"/>
              </w:rPr>
            </w:pPr>
            <w:r>
              <w:rPr>
                <w:rFonts w:ascii="Arial" w:hAnsi="Arial" w:cs="Arial"/>
                <w:sz w:val="20"/>
                <w:szCs w:val="20"/>
              </w:rPr>
              <w:t>3</w:t>
            </w:r>
          </w:p>
        </w:tc>
        <w:tc>
          <w:tcPr>
            <w:tcW w:w="1464"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Contribution and control over household income </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Decision on expenditure</w:t>
            </w:r>
          </w:p>
        </w:tc>
        <w:tc>
          <w:tcPr>
            <w:tcW w:w="3260"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Adequacy in all the </w:t>
            </w:r>
            <w:r w:rsidR="00704161">
              <w:rPr>
                <w:rFonts w:ascii="Arial" w:hAnsi="Arial" w:cs="Arial"/>
                <w:sz w:val="20"/>
                <w:szCs w:val="20"/>
              </w:rPr>
              <w:t>indicators</w:t>
            </w:r>
            <w:r>
              <w:rPr>
                <w:rFonts w:ascii="Arial" w:hAnsi="Arial" w:cs="Arial"/>
                <w:sz w:val="20"/>
                <w:szCs w:val="20"/>
              </w:rPr>
              <w:t xml:space="preserve"> is considered as </w:t>
            </w:r>
            <w:r>
              <w:rPr>
                <w:rFonts w:ascii="Arial" w:hAnsi="Arial" w:cs="Arial"/>
                <w:b/>
                <w:sz w:val="20"/>
                <w:szCs w:val="20"/>
              </w:rPr>
              <w:t>adequate=1</w:t>
            </w:r>
            <w:r>
              <w:rPr>
                <w:rFonts w:ascii="Arial" w:hAnsi="Arial" w:cs="Arial"/>
                <w:sz w:val="20"/>
                <w:szCs w:val="20"/>
              </w:rPr>
              <w:t xml:space="preserve">, if not then </w:t>
            </w:r>
            <w:r>
              <w:rPr>
                <w:rFonts w:ascii="Arial" w:hAnsi="Arial" w:cs="Arial"/>
                <w:b/>
                <w:sz w:val="20"/>
                <w:szCs w:val="20"/>
              </w:rPr>
              <w:t>non-adequate=0</w:t>
            </w: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Contribution to income</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tcPr>
          <w:p w:rsidR="000F63CB" w:rsidRDefault="00834ADD">
            <w:pPr>
              <w:spacing w:line="480" w:lineRule="auto"/>
              <w:jc w:val="center"/>
              <w:rPr>
                <w:rFonts w:ascii="Arial" w:hAnsi="Arial" w:cs="Arial"/>
                <w:sz w:val="20"/>
                <w:szCs w:val="20"/>
              </w:rPr>
            </w:pPr>
            <w:r>
              <w:rPr>
                <w:rFonts w:ascii="Arial" w:hAnsi="Arial" w:cs="Arial"/>
                <w:sz w:val="20"/>
                <w:szCs w:val="20"/>
              </w:rPr>
              <w:t>4</w:t>
            </w:r>
          </w:p>
        </w:tc>
        <w:tc>
          <w:tcPr>
            <w:tcW w:w="1464" w:type="dxa"/>
          </w:tcPr>
          <w:p w:rsidR="000F63CB" w:rsidRDefault="00834ADD">
            <w:pPr>
              <w:spacing w:line="480" w:lineRule="auto"/>
              <w:jc w:val="both"/>
              <w:rPr>
                <w:rFonts w:ascii="Arial" w:hAnsi="Arial" w:cs="Arial"/>
                <w:sz w:val="20"/>
                <w:szCs w:val="20"/>
              </w:rPr>
            </w:pPr>
            <w:r>
              <w:rPr>
                <w:rFonts w:ascii="Arial" w:hAnsi="Arial" w:cs="Arial"/>
                <w:sz w:val="20"/>
                <w:szCs w:val="20"/>
              </w:rPr>
              <w:t>Workload</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w:t>
            </w:r>
          </w:p>
        </w:tc>
        <w:tc>
          <w:tcPr>
            <w:tcW w:w="3260" w:type="dxa"/>
          </w:tcPr>
          <w:p w:rsidR="000F63CB" w:rsidRDefault="00834ADD">
            <w:pPr>
              <w:spacing w:line="480" w:lineRule="auto"/>
              <w:jc w:val="both"/>
              <w:rPr>
                <w:rFonts w:ascii="Arial" w:hAnsi="Arial" w:cs="Arial"/>
                <w:sz w:val="20"/>
                <w:szCs w:val="20"/>
              </w:rPr>
            </w:pPr>
            <w:r>
              <w:rPr>
                <w:sz w:val="20"/>
                <w:szCs w:val="20"/>
              </w:rPr>
              <w:t xml:space="preserve">If the number of hours worked per day was less than the time poverty line of 10.5 </w:t>
            </w:r>
            <w:r w:rsidRPr="00BB3E78">
              <w:rPr>
                <w:sz w:val="20"/>
                <w:szCs w:val="20"/>
                <w:highlight w:val="yellow"/>
              </w:rPr>
              <w:t xml:space="preserve">hours in the previous 24 hours, </w:t>
            </w:r>
            <w:r w:rsidR="00704161" w:rsidRPr="00BB3E78">
              <w:rPr>
                <w:sz w:val="20"/>
                <w:szCs w:val="20"/>
                <w:highlight w:val="yellow"/>
              </w:rPr>
              <w:t xml:space="preserve">then </w:t>
            </w:r>
            <w:r w:rsidRPr="00BB3E78">
              <w:rPr>
                <w:sz w:val="20"/>
                <w:szCs w:val="20"/>
                <w:highlight w:val="yellow"/>
              </w:rPr>
              <w:t>it is</w:t>
            </w:r>
            <w:r w:rsidRPr="00BB3E78">
              <w:rPr>
                <w:rFonts w:ascii="Arial" w:hAnsi="Arial" w:cs="Arial"/>
                <w:sz w:val="20"/>
                <w:szCs w:val="20"/>
                <w:highlight w:val="yellow"/>
              </w:rPr>
              <w:t xml:space="preserve"> considered as </w:t>
            </w:r>
            <w:r w:rsidRPr="00BB3E78">
              <w:rPr>
                <w:rFonts w:ascii="Arial" w:hAnsi="Arial" w:cs="Arial"/>
                <w:b/>
                <w:sz w:val="20"/>
                <w:szCs w:val="20"/>
                <w:highlight w:val="yellow"/>
              </w:rPr>
              <w:t>adequate=1</w:t>
            </w:r>
            <w:r w:rsidRPr="00BB3E78">
              <w:rPr>
                <w:rFonts w:ascii="Arial" w:hAnsi="Arial" w:cs="Arial"/>
                <w:sz w:val="20"/>
                <w:szCs w:val="20"/>
                <w:highlight w:val="yellow"/>
              </w:rPr>
              <w:t xml:space="preserve">, if </w:t>
            </w:r>
            <w:r>
              <w:rPr>
                <w:rFonts w:ascii="Arial" w:hAnsi="Arial" w:cs="Arial"/>
                <w:sz w:val="20"/>
                <w:szCs w:val="20"/>
              </w:rPr>
              <w:t xml:space="preserve">not then </w:t>
            </w:r>
            <w:r>
              <w:rPr>
                <w:rFonts w:ascii="Arial" w:hAnsi="Arial" w:cs="Arial"/>
                <w:b/>
                <w:sz w:val="20"/>
                <w:szCs w:val="20"/>
              </w:rPr>
              <w:t>non-adequate=0</w:t>
            </w:r>
          </w:p>
        </w:tc>
      </w:tr>
    </w:tbl>
    <w:p w:rsidR="000F63CB" w:rsidRDefault="000F63CB">
      <w:pPr>
        <w:pStyle w:val="Body"/>
        <w:spacing w:after="0"/>
        <w:rPr>
          <w:rFonts w:ascii="Arial" w:hAnsi="Arial" w:cs="Arial"/>
        </w:rPr>
      </w:pPr>
    </w:p>
    <w:p w:rsidR="000F63CB" w:rsidRDefault="00834ADD">
      <w:pPr>
        <w:pStyle w:val="Body"/>
        <w:spacing w:after="0"/>
        <w:ind w:firstLine="720"/>
        <w:rPr>
          <w:rFonts w:ascii="Arial" w:hAnsi="Arial" w:cs="Arial"/>
        </w:rPr>
      </w:pPr>
      <w:r>
        <w:rPr>
          <w:rFonts w:ascii="Arial" w:hAnsi="Arial" w:cs="Arial"/>
        </w:rPr>
        <w:t>According to the adequacy of the primary man and primary women in a household, the households were divided into 3 categories of intra-household gender dynamics. The 3 categories are presented in Table 2.</w:t>
      </w:r>
    </w:p>
    <w:p w:rsidR="000F63CB" w:rsidRDefault="000F63CB">
      <w:pPr>
        <w:pStyle w:val="Body"/>
        <w:spacing w:after="0"/>
        <w:rPr>
          <w:rFonts w:ascii="Arial" w:hAnsi="Arial" w:cs="Arial"/>
        </w:rPr>
      </w:pPr>
    </w:p>
    <w:p w:rsidR="000F63CB" w:rsidRDefault="00834ADD">
      <w:pPr>
        <w:pStyle w:val="Body"/>
        <w:spacing w:after="0" w:line="480" w:lineRule="auto"/>
        <w:rPr>
          <w:rFonts w:ascii="Arial" w:hAnsi="Arial" w:cs="Arial"/>
          <w:b/>
        </w:rPr>
      </w:pPr>
      <w:r>
        <w:rPr>
          <w:rFonts w:ascii="Arial" w:hAnsi="Arial" w:cs="Arial"/>
          <w:b/>
        </w:rPr>
        <w:t xml:space="preserve">Table 2: Classification of </w:t>
      </w:r>
      <w:r w:rsidR="001F7257">
        <w:rPr>
          <w:rFonts w:ascii="Arial" w:hAnsi="Arial" w:cs="Arial"/>
          <w:b/>
        </w:rPr>
        <w:t>H</w:t>
      </w:r>
      <w:r>
        <w:rPr>
          <w:rFonts w:ascii="Arial" w:hAnsi="Arial" w:cs="Arial"/>
          <w:b/>
        </w:rPr>
        <w:t xml:space="preserve">ouseholds according to their </w:t>
      </w:r>
      <w:r w:rsidR="001F7257">
        <w:rPr>
          <w:rFonts w:ascii="Arial" w:hAnsi="Arial" w:cs="Arial"/>
          <w:b/>
        </w:rPr>
        <w:t>I</w:t>
      </w:r>
      <w:r>
        <w:rPr>
          <w:rFonts w:ascii="Arial" w:hAnsi="Arial" w:cs="Arial"/>
          <w:b/>
        </w:rPr>
        <w:t xml:space="preserve">ntra-household </w:t>
      </w:r>
      <w:r w:rsidR="001F7257">
        <w:rPr>
          <w:rFonts w:ascii="Arial" w:hAnsi="Arial" w:cs="Arial"/>
          <w:b/>
        </w:rPr>
        <w:t>G</w:t>
      </w:r>
      <w:r>
        <w:rPr>
          <w:rFonts w:ascii="Arial" w:hAnsi="Arial" w:cs="Arial"/>
          <w:b/>
        </w:rPr>
        <w:t xml:space="preserve">ender </w:t>
      </w:r>
      <w:r w:rsidR="001F7257">
        <w:rPr>
          <w:rFonts w:ascii="Arial" w:hAnsi="Arial" w:cs="Arial"/>
          <w:b/>
        </w:rPr>
        <w:t>D</w:t>
      </w:r>
      <w:r>
        <w:rPr>
          <w:rFonts w:ascii="Arial" w:hAnsi="Arial" w:cs="Arial"/>
          <w:b/>
        </w:rPr>
        <w:t xml:space="preserve">ynamics </w:t>
      </w:r>
    </w:p>
    <w:tbl>
      <w:tblPr>
        <w:tblStyle w:val="TableGrid"/>
        <w:tblW w:w="0" w:type="auto"/>
        <w:tblInd w:w="-176" w:type="dxa"/>
        <w:tblLayout w:type="fixed"/>
        <w:tblLook w:val="04A0" w:firstRow="1" w:lastRow="0" w:firstColumn="1" w:lastColumn="0" w:noHBand="0" w:noVBand="1"/>
      </w:tblPr>
      <w:tblGrid>
        <w:gridCol w:w="993"/>
        <w:gridCol w:w="6379"/>
        <w:gridCol w:w="1228"/>
      </w:tblGrid>
      <w:tr w:rsidR="000F63CB" w:rsidTr="00BB3E78">
        <w:tc>
          <w:tcPr>
            <w:tcW w:w="993" w:type="dxa"/>
          </w:tcPr>
          <w:p w:rsidR="000F63CB" w:rsidRPr="00BB3E78" w:rsidRDefault="00834ADD">
            <w:pPr>
              <w:pStyle w:val="Body"/>
              <w:spacing w:after="0" w:line="480" w:lineRule="auto"/>
              <w:jc w:val="center"/>
              <w:rPr>
                <w:rFonts w:ascii="Arial" w:hAnsi="Arial" w:cs="Arial"/>
                <w:b/>
                <w:sz w:val="20"/>
                <w:szCs w:val="20"/>
                <w:lang w:val="en-IN"/>
              </w:rPr>
            </w:pPr>
            <w:r w:rsidRPr="00BB3E78">
              <w:rPr>
                <w:rFonts w:ascii="Arial" w:hAnsi="Arial" w:cs="Arial"/>
                <w:b/>
                <w:lang w:val="en-IN"/>
              </w:rPr>
              <w:t>Sl. No.</w:t>
            </w:r>
          </w:p>
        </w:tc>
        <w:tc>
          <w:tcPr>
            <w:tcW w:w="6379" w:type="dxa"/>
          </w:tcPr>
          <w:p w:rsidR="000F63CB" w:rsidRPr="00BB3E78" w:rsidRDefault="00834ADD">
            <w:pPr>
              <w:pStyle w:val="Body"/>
              <w:spacing w:after="0" w:line="480" w:lineRule="auto"/>
              <w:jc w:val="center"/>
              <w:rPr>
                <w:rFonts w:ascii="Arial" w:hAnsi="Arial" w:cs="Arial"/>
                <w:b/>
                <w:sz w:val="20"/>
                <w:szCs w:val="20"/>
                <w:lang w:val="en-IN"/>
              </w:rPr>
            </w:pPr>
            <w:r w:rsidRPr="00BB3E78">
              <w:rPr>
                <w:rFonts w:ascii="Arial" w:hAnsi="Arial" w:cs="Arial"/>
                <w:b/>
                <w:lang w:val="en-IN"/>
              </w:rPr>
              <w:t>Categories</w:t>
            </w:r>
          </w:p>
        </w:tc>
        <w:tc>
          <w:tcPr>
            <w:tcW w:w="1228" w:type="dxa"/>
          </w:tcPr>
          <w:p w:rsidR="000F63CB" w:rsidRPr="00BB3E78" w:rsidRDefault="00834ADD">
            <w:pPr>
              <w:pStyle w:val="Body"/>
              <w:spacing w:after="0" w:line="480" w:lineRule="auto"/>
              <w:jc w:val="center"/>
              <w:rPr>
                <w:rFonts w:ascii="Arial" w:hAnsi="Arial" w:cs="Arial"/>
                <w:b/>
                <w:sz w:val="20"/>
                <w:szCs w:val="20"/>
                <w:lang w:val="en-IN"/>
              </w:rPr>
            </w:pPr>
            <w:r w:rsidRPr="00BB3E78">
              <w:rPr>
                <w:rFonts w:ascii="Arial" w:hAnsi="Arial" w:cs="Arial"/>
                <w:b/>
                <w:lang w:val="en-IN"/>
              </w:rPr>
              <w:t>Code</w:t>
            </w:r>
          </w:p>
        </w:tc>
      </w:tr>
      <w:tr w:rsidR="000F63CB" w:rsidTr="00BB3E78">
        <w:tc>
          <w:tcPr>
            <w:tcW w:w="993" w:type="dxa"/>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w:t>
            </w:r>
          </w:p>
        </w:tc>
        <w:tc>
          <w:tcPr>
            <w:tcW w:w="6379" w:type="dxa"/>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Households where only primary men have adequacy in the particular variable </w:t>
            </w:r>
          </w:p>
        </w:tc>
        <w:tc>
          <w:tcPr>
            <w:tcW w:w="1228" w:type="dxa"/>
          </w:tcPr>
          <w:p w:rsidR="000F63CB" w:rsidRDefault="00834ADD">
            <w:pPr>
              <w:pStyle w:val="Body"/>
              <w:spacing w:after="0" w:line="480" w:lineRule="auto"/>
              <w:jc w:val="center"/>
              <w:rPr>
                <w:rFonts w:ascii="Arial" w:hAnsi="Arial" w:cs="Arial"/>
                <w:sz w:val="20"/>
                <w:szCs w:val="20"/>
                <w:lang w:val="en-IN"/>
              </w:rPr>
            </w:pPr>
            <w:r>
              <w:rPr>
                <w:rFonts w:ascii="Arial" w:hAnsi="Arial" w:cs="Arial"/>
                <w:sz w:val="20"/>
                <w:szCs w:val="20"/>
                <w:lang w:val="en-IN"/>
              </w:rPr>
              <w:t>HH_M</w:t>
            </w:r>
          </w:p>
        </w:tc>
      </w:tr>
      <w:tr w:rsidR="000F63CB" w:rsidTr="00BB3E78">
        <w:tc>
          <w:tcPr>
            <w:tcW w:w="993" w:type="dxa"/>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6379" w:type="dxa"/>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Households where only primary women have adequacy in the particular variable </w:t>
            </w:r>
          </w:p>
        </w:tc>
        <w:tc>
          <w:tcPr>
            <w:tcW w:w="1228" w:type="dxa"/>
          </w:tcPr>
          <w:p w:rsidR="000F63CB" w:rsidRDefault="00834ADD">
            <w:pPr>
              <w:pStyle w:val="Body"/>
              <w:spacing w:after="0" w:line="480" w:lineRule="auto"/>
              <w:jc w:val="center"/>
              <w:rPr>
                <w:rFonts w:ascii="Arial" w:hAnsi="Arial" w:cs="Arial"/>
                <w:sz w:val="20"/>
                <w:szCs w:val="20"/>
                <w:lang w:val="en-IN"/>
              </w:rPr>
            </w:pPr>
            <w:r>
              <w:rPr>
                <w:rFonts w:ascii="Arial" w:hAnsi="Arial" w:cs="Arial"/>
                <w:sz w:val="20"/>
                <w:szCs w:val="20"/>
                <w:lang w:val="en-IN"/>
              </w:rPr>
              <w:t>HH_W</w:t>
            </w:r>
          </w:p>
        </w:tc>
      </w:tr>
      <w:tr w:rsidR="000F63CB" w:rsidTr="00BB3E78">
        <w:tc>
          <w:tcPr>
            <w:tcW w:w="993" w:type="dxa"/>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3</w:t>
            </w:r>
          </w:p>
        </w:tc>
        <w:tc>
          <w:tcPr>
            <w:tcW w:w="6379" w:type="dxa"/>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Households where both primary men and women have adequacy in </w:t>
            </w:r>
            <w:r>
              <w:rPr>
                <w:rFonts w:ascii="Arial" w:hAnsi="Arial" w:cs="Arial"/>
                <w:sz w:val="20"/>
                <w:szCs w:val="20"/>
                <w:lang w:val="en-IN"/>
              </w:rPr>
              <w:lastRenderedPageBreak/>
              <w:t xml:space="preserve">the particular variable </w:t>
            </w:r>
          </w:p>
        </w:tc>
        <w:tc>
          <w:tcPr>
            <w:tcW w:w="1228" w:type="dxa"/>
          </w:tcPr>
          <w:p w:rsidR="000F63CB" w:rsidRDefault="00834ADD">
            <w:pPr>
              <w:pStyle w:val="Body"/>
              <w:spacing w:after="0" w:line="480" w:lineRule="auto"/>
              <w:jc w:val="center"/>
              <w:rPr>
                <w:rFonts w:ascii="Arial" w:hAnsi="Arial" w:cs="Arial"/>
                <w:sz w:val="20"/>
                <w:szCs w:val="20"/>
                <w:lang w:val="en-IN"/>
              </w:rPr>
            </w:pPr>
            <w:r>
              <w:rPr>
                <w:rFonts w:ascii="Arial" w:hAnsi="Arial" w:cs="Arial"/>
                <w:sz w:val="20"/>
                <w:szCs w:val="20"/>
                <w:lang w:val="en-IN"/>
              </w:rPr>
              <w:lastRenderedPageBreak/>
              <w:t xml:space="preserve">HH_M&amp;W </w:t>
            </w:r>
          </w:p>
        </w:tc>
      </w:tr>
    </w:tbl>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For finding the influence of </w:t>
      </w:r>
      <w:r w:rsidR="00704161">
        <w:rPr>
          <w:rFonts w:ascii="Arial" w:hAnsi="Arial" w:cs="Arial"/>
        </w:rPr>
        <w:t>intra-household</w:t>
      </w:r>
      <w:r>
        <w:rPr>
          <w:rFonts w:ascii="Arial" w:hAnsi="Arial" w:cs="Arial"/>
        </w:rPr>
        <w:t xml:space="preserve"> gender dynamics on household vulnerability to climate change Pearson correlation coefficient, One-way ANOVA and Independent sample t-Test are used.</w:t>
      </w:r>
    </w:p>
    <w:p w:rsidR="000F63CB" w:rsidRDefault="000F63CB">
      <w:pPr>
        <w:pStyle w:val="Body"/>
        <w:spacing w:after="0"/>
        <w:rPr>
          <w:rFonts w:ascii="Arial" w:hAnsi="Arial" w:cs="Arial"/>
        </w:rPr>
      </w:pPr>
    </w:p>
    <w:p w:rsidR="000F63CB" w:rsidRDefault="000F63CB">
      <w:pPr>
        <w:pStyle w:val="Body"/>
        <w:spacing w:after="0"/>
        <w:rPr>
          <w:rFonts w:ascii="Arial" w:hAnsi="Arial" w:cs="Arial"/>
        </w:rPr>
      </w:pPr>
    </w:p>
    <w:p w:rsidR="000F63CB" w:rsidRDefault="00834ADD">
      <w:pPr>
        <w:pStyle w:val="Head1"/>
        <w:spacing w:after="0"/>
        <w:jc w:val="both"/>
        <w:rPr>
          <w:rFonts w:ascii="Arial" w:hAnsi="Arial" w:cs="Arial"/>
        </w:rPr>
      </w:pPr>
      <w:r>
        <w:rPr>
          <w:rFonts w:ascii="Arial" w:hAnsi="Arial" w:cs="Arial"/>
        </w:rPr>
        <w:t>3. results and discussion</w:t>
      </w:r>
    </w:p>
    <w:p w:rsidR="000F63CB" w:rsidRDefault="000F63CB">
      <w:pPr>
        <w:pStyle w:val="Head1"/>
        <w:spacing w:after="0"/>
        <w:jc w:val="both"/>
        <w:rPr>
          <w:rFonts w:ascii="Arial" w:hAnsi="Arial" w:cs="Arial"/>
        </w:rPr>
      </w:pPr>
    </w:p>
    <w:p w:rsidR="000F63CB" w:rsidRDefault="00834ADD">
      <w:pPr>
        <w:pStyle w:val="Body"/>
        <w:spacing w:after="0"/>
        <w:rPr>
          <w:rFonts w:ascii="Arial" w:hAnsi="Arial" w:cs="Arial"/>
          <w:b/>
          <w:sz w:val="22"/>
          <w:szCs w:val="22"/>
        </w:rPr>
      </w:pPr>
      <w:r>
        <w:rPr>
          <w:rFonts w:ascii="Arial" w:hAnsi="Arial" w:cs="Arial"/>
          <w:b/>
          <w:sz w:val="22"/>
          <w:szCs w:val="22"/>
        </w:rPr>
        <w:t>3.1 Profile of the respondents and their household’s gender dynamics</w:t>
      </w:r>
    </w:p>
    <w:p w:rsidR="000F63CB" w:rsidRDefault="00834ADD">
      <w:pPr>
        <w:jc w:val="both"/>
        <w:rPr>
          <w:rFonts w:ascii="Calibri" w:hAnsi="Calibri" w:cs="Calibri"/>
          <w:color w:val="000000"/>
          <w:sz w:val="22"/>
          <w:szCs w:val="22"/>
        </w:rPr>
      </w:pPr>
      <w:r>
        <w:rPr>
          <w:rFonts w:ascii="Arial" w:hAnsi="Arial" w:cs="Arial"/>
        </w:rPr>
        <w:t xml:space="preserve"> The description of the profile </w:t>
      </w:r>
      <w:r w:rsidR="001627F1">
        <w:rPr>
          <w:rFonts w:ascii="Arial" w:hAnsi="Arial" w:cs="Arial"/>
        </w:rPr>
        <w:t xml:space="preserve">of </w:t>
      </w:r>
      <w:r>
        <w:rPr>
          <w:rFonts w:ascii="Arial" w:hAnsi="Arial" w:cs="Arial"/>
        </w:rPr>
        <w:t xml:space="preserve">respondents of the </w:t>
      </w:r>
      <w:r w:rsidRPr="00BB3E78">
        <w:rPr>
          <w:rFonts w:ascii="Arial" w:hAnsi="Arial" w:cs="Arial"/>
          <w:highlight w:val="yellow"/>
        </w:rPr>
        <w:t xml:space="preserve">study </w:t>
      </w:r>
      <w:r w:rsidR="001627F1" w:rsidRPr="00BB3E78">
        <w:rPr>
          <w:rFonts w:ascii="Arial" w:hAnsi="Arial" w:cs="Arial"/>
          <w:highlight w:val="yellow"/>
        </w:rPr>
        <w:t xml:space="preserve">is </w:t>
      </w:r>
      <w:r w:rsidRPr="00BB3E78">
        <w:rPr>
          <w:rFonts w:ascii="Arial" w:hAnsi="Arial" w:cs="Arial"/>
          <w:highlight w:val="yellow"/>
        </w:rPr>
        <w:t>presented in Table 3.</w:t>
      </w:r>
      <w:r w:rsidR="001627F1" w:rsidRPr="00BB3E78">
        <w:rPr>
          <w:rFonts w:ascii="Arial" w:hAnsi="Arial" w:cs="Arial"/>
          <w:highlight w:val="yellow"/>
        </w:rPr>
        <w:t xml:space="preserve"> </w:t>
      </w:r>
      <w:r w:rsidRPr="00BB3E78">
        <w:rPr>
          <w:rFonts w:ascii="Arial" w:hAnsi="Arial" w:cs="Arial"/>
          <w:highlight w:val="yellow"/>
        </w:rPr>
        <w:t xml:space="preserve">It can be seen from the table that among the respondents, </w:t>
      </w:r>
      <w:r w:rsidR="001627F1" w:rsidRPr="00BB3E78">
        <w:rPr>
          <w:rFonts w:ascii="Arial" w:hAnsi="Arial" w:cs="Arial"/>
          <w:highlight w:val="yellow"/>
        </w:rPr>
        <w:t xml:space="preserve">the </w:t>
      </w:r>
      <w:r w:rsidRPr="00BB3E78">
        <w:rPr>
          <w:rFonts w:ascii="Arial" w:hAnsi="Arial" w:cs="Arial"/>
          <w:highlight w:val="yellow"/>
        </w:rPr>
        <w:t xml:space="preserve">majority of the primary men fall under </w:t>
      </w:r>
      <w:r w:rsidR="001627F1" w:rsidRPr="00BB3E78">
        <w:rPr>
          <w:rFonts w:ascii="Arial" w:hAnsi="Arial" w:cs="Arial"/>
          <w:highlight w:val="yellow"/>
        </w:rPr>
        <w:t xml:space="preserve">the </w:t>
      </w:r>
      <w:r w:rsidRPr="00BB3E78">
        <w:rPr>
          <w:rFonts w:ascii="Arial" w:hAnsi="Arial" w:cs="Arial"/>
          <w:highlight w:val="yellow"/>
        </w:rPr>
        <w:t xml:space="preserve">old age category (53.06 %) followed by </w:t>
      </w:r>
      <w:r w:rsidR="001627F1" w:rsidRPr="00BB3E78">
        <w:rPr>
          <w:rFonts w:ascii="Arial" w:hAnsi="Arial" w:cs="Arial"/>
          <w:highlight w:val="yellow"/>
        </w:rPr>
        <w:t xml:space="preserve">the </w:t>
      </w:r>
      <w:r w:rsidRPr="00BB3E78">
        <w:rPr>
          <w:rFonts w:ascii="Arial" w:hAnsi="Arial" w:cs="Arial"/>
          <w:highlight w:val="yellow"/>
        </w:rPr>
        <w:t xml:space="preserve">middle age category (44.90 %) whereas in </w:t>
      </w:r>
      <w:r w:rsidR="001627F1" w:rsidRPr="00BB3E78">
        <w:rPr>
          <w:rFonts w:ascii="Arial" w:hAnsi="Arial" w:cs="Arial"/>
          <w:highlight w:val="yellow"/>
        </w:rPr>
        <w:t xml:space="preserve">the </w:t>
      </w:r>
      <w:r w:rsidRPr="00BB3E78">
        <w:rPr>
          <w:rFonts w:ascii="Arial" w:hAnsi="Arial" w:cs="Arial"/>
          <w:highlight w:val="yellow"/>
        </w:rPr>
        <w:t xml:space="preserve">case of primary women majority fall under middle </w:t>
      </w:r>
      <w:r>
        <w:rPr>
          <w:rFonts w:ascii="Arial" w:hAnsi="Arial" w:cs="Arial"/>
        </w:rPr>
        <w:t xml:space="preserve">age category (83.33 %) followed by old age (10.00 %) and young age category (6.67 %). In level of education, it can be observed that </w:t>
      </w:r>
      <w:r w:rsidR="001627F1">
        <w:rPr>
          <w:rFonts w:ascii="Arial" w:hAnsi="Arial" w:cs="Arial"/>
        </w:rPr>
        <w:t xml:space="preserve">the </w:t>
      </w:r>
      <w:r>
        <w:rPr>
          <w:rFonts w:ascii="Arial" w:hAnsi="Arial" w:cs="Arial"/>
        </w:rPr>
        <w:t xml:space="preserve">majority of the primary men had </w:t>
      </w:r>
      <w:r w:rsidR="001627F1">
        <w:rPr>
          <w:rFonts w:ascii="Arial" w:hAnsi="Arial" w:cs="Arial"/>
        </w:rPr>
        <w:t xml:space="preserve">a </w:t>
      </w:r>
      <w:r>
        <w:rPr>
          <w:rFonts w:ascii="Arial" w:hAnsi="Arial" w:cs="Arial"/>
        </w:rPr>
        <w:t xml:space="preserve">high </w:t>
      </w:r>
      <w:r w:rsidRPr="00BB3E78">
        <w:rPr>
          <w:rFonts w:ascii="Arial" w:hAnsi="Arial" w:cs="Arial"/>
          <w:highlight w:val="yellow"/>
        </w:rPr>
        <w:t xml:space="preserve">school level (40.81 %) of education whereas </w:t>
      </w:r>
      <w:r w:rsidR="001627F1" w:rsidRPr="00BB3E78">
        <w:rPr>
          <w:rFonts w:ascii="Arial" w:hAnsi="Arial" w:cs="Arial"/>
          <w:highlight w:val="yellow"/>
        </w:rPr>
        <w:t xml:space="preserve">the </w:t>
      </w:r>
      <w:r w:rsidRPr="00BB3E78">
        <w:rPr>
          <w:rFonts w:ascii="Arial" w:hAnsi="Arial" w:cs="Arial"/>
          <w:highlight w:val="yellow"/>
        </w:rPr>
        <w:t xml:space="preserve">majority of primary women </w:t>
      </w:r>
      <w:r w:rsidR="001627F1" w:rsidRPr="00BB3E78">
        <w:rPr>
          <w:rFonts w:ascii="Arial" w:hAnsi="Arial" w:cs="Arial"/>
          <w:highlight w:val="yellow"/>
        </w:rPr>
        <w:t xml:space="preserve">possessed a </w:t>
      </w:r>
      <w:r w:rsidRPr="00BB3E78">
        <w:rPr>
          <w:rFonts w:ascii="Arial" w:hAnsi="Arial" w:cs="Arial"/>
          <w:highlight w:val="yellow"/>
        </w:rPr>
        <w:t xml:space="preserve">primary level of education (48.33 %). Noteworthy is the fact that none of the primary </w:t>
      </w:r>
      <w:r>
        <w:rPr>
          <w:rFonts w:ascii="Arial" w:hAnsi="Arial" w:cs="Arial"/>
        </w:rPr>
        <w:t xml:space="preserve">men and primary women fall under </w:t>
      </w:r>
      <w:r w:rsidR="001627F1">
        <w:rPr>
          <w:rFonts w:ascii="Arial" w:hAnsi="Arial" w:cs="Arial"/>
        </w:rPr>
        <w:t xml:space="preserve">the </w:t>
      </w:r>
      <w:r>
        <w:rPr>
          <w:rFonts w:ascii="Arial" w:hAnsi="Arial" w:cs="Arial"/>
        </w:rPr>
        <w:t xml:space="preserve">illiterate category of education level because the district where the study is conducted i.e. West Tripura district having a literacy of 97.43 %, is one of the highest educated districts in the country </w:t>
      </w:r>
      <w:r>
        <w:rPr>
          <w:rFonts w:ascii="Arial" w:hAnsi="Arial" w:cs="Arial"/>
          <w:b/>
        </w:rPr>
        <w:t>[18].</w:t>
      </w:r>
      <w:r>
        <w:rPr>
          <w:rFonts w:ascii="Arial" w:hAnsi="Arial" w:cs="Arial"/>
        </w:rPr>
        <w:t xml:space="preserve"> There were few </w:t>
      </w:r>
      <w:r w:rsidRPr="00BB3E78">
        <w:rPr>
          <w:rFonts w:ascii="Arial" w:hAnsi="Arial" w:cs="Arial"/>
          <w:highlight w:val="yellow"/>
        </w:rPr>
        <w:t xml:space="preserve">graduates (10.20 %) among the primary men but none among the primary women. </w:t>
      </w:r>
      <w:r w:rsidR="001627F1" w:rsidRPr="00BB3E78">
        <w:rPr>
          <w:rFonts w:ascii="Arial" w:hAnsi="Arial" w:cs="Arial"/>
          <w:highlight w:val="yellow"/>
        </w:rPr>
        <w:t xml:space="preserve">The notable </w:t>
      </w:r>
      <w:r w:rsidRPr="00BB3E78">
        <w:rPr>
          <w:rFonts w:ascii="Arial" w:hAnsi="Arial" w:cs="Arial"/>
          <w:highlight w:val="yellow"/>
        </w:rPr>
        <w:t>primary occupation of the primary men was agriculture (65.31 %) and for primary women</w:t>
      </w:r>
      <w:r w:rsidR="001627F1" w:rsidRPr="00BB3E78">
        <w:rPr>
          <w:rFonts w:ascii="Arial" w:hAnsi="Arial" w:cs="Arial"/>
          <w:highlight w:val="yellow"/>
        </w:rPr>
        <w:t>,</w:t>
      </w:r>
      <w:r w:rsidRPr="00BB3E78">
        <w:rPr>
          <w:rFonts w:ascii="Arial" w:hAnsi="Arial" w:cs="Arial"/>
          <w:highlight w:val="yellow"/>
        </w:rPr>
        <w:t xml:space="preserve"> it was </w:t>
      </w:r>
      <w:r w:rsidR="001627F1" w:rsidRPr="00BB3E78">
        <w:rPr>
          <w:rFonts w:ascii="Arial" w:hAnsi="Arial" w:cs="Arial"/>
          <w:highlight w:val="yellow"/>
        </w:rPr>
        <w:t xml:space="preserve">a </w:t>
      </w:r>
      <w:r w:rsidRPr="00BB3E78">
        <w:rPr>
          <w:rFonts w:ascii="Arial" w:hAnsi="Arial" w:cs="Arial"/>
          <w:highlight w:val="yellow"/>
        </w:rPr>
        <w:t xml:space="preserve">homemaker (81.66 %). </w:t>
      </w:r>
      <w:r w:rsidR="001627F1" w:rsidRPr="00BB3E78">
        <w:rPr>
          <w:rFonts w:ascii="Arial" w:hAnsi="Arial" w:cs="Arial"/>
          <w:highlight w:val="yellow"/>
        </w:rPr>
        <w:t xml:space="preserve">The secondary </w:t>
      </w:r>
      <w:r w:rsidRPr="00BB3E78">
        <w:rPr>
          <w:rFonts w:ascii="Arial" w:hAnsi="Arial" w:cs="Arial"/>
          <w:highlight w:val="yellow"/>
        </w:rPr>
        <w:t xml:space="preserve">occupation of </w:t>
      </w:r>
      <w:r w:rsidR="001627F1" w:rsidRPr="00BB3E78">
        <w:rPr>
          <w:rFonts w:ascii="Arial" w:hAnsi="Arial" w:cs="Arial"/>
          <w:highlight w:val="yellow"/>
        </w:rPr>
        <w:t xml:space="preserve">the </w:t>
      </w:r>
      <w:r w:rsidRPr="00BB3E78">
        <w:rPr>
          <w:rFonts w:ascii="Arial" w:hAnsi="Arial" w:cs="Arial"/>
          <w:highlight w:val="yellow"/>
        </w:rPr>
        <w:t xml:space="preserve">majority of </w:t>
      </w:r>
      <w:r>
        <w:rPr>
          <w:rFonts w:ascii="Arial" w:hAnsi="Arial" w:cs="Arial"/>
        </w:rPr>
        <w:t xml:space="preserve">the primary men was agriculture (34.70 %), whereas for primary women it was </w:t>
      </w:r>
      <w:proofErr w:type="spellStart"/>
      <w:r w:rsidR="001627F1">
        <w:rPr>
          <w:rFonts w:ascii="Arial" w:hAnsi="Arial" w:cs="Arial"/>
        </w:rPr>
        <w:t>agro</w:t>
      </w:r>
      <w:proofErr w:type="spellEnd"/>
      <w:r w:rsidR="001627F1">
        <w:rPr>
          <w:rFonts w:ascii="Arial" w:hAnsi="Arial" w:cs="Arial"/>
        </w:rPr>
        <w:t>-based</w:t>
      </w:r>
      <w:r>
        <w:rPr>
          <w:rFonts w:ascii="Arial" w:hAnsi="Arial" w:cs="Arial"/>
        </w:rPr>
        <w:t xml:space="preserve"> subsidiary enterprises like dairy, piggery, poultry, and sheep/goat </w:t>
      </w:r>
      <w:r w:rsidRPr="00BB3E78">
        <w:rPr>
          <w:rFonts w:ascii="Arial" w:hAnsi="Arial" w:cs="Arial"/>
          <w:highlight w:val="yellow"/>
        </w:rPr>
        <w:t xml:space="preserve">rearing (78.33 %). It is because most of the primary women respondents of the </w:t>
      </w:r>
      <w:r w:rsidR="001627F1" w:rsidRPr="00BB3E78">
        <w:rPr>
          <w:rFonts w:ascii="Arial" w:hAnsi="Arial" w:cs="Arial"/>
          <w:highlight w:val="yellow"/>
        </w:rPr>
        <w:t>male-headed</w:t>
      </w:r>
      <w:r w:rsidRPr="00BB3E78">
        <w:rPr>
          <w:rFonts w:ascii="Arial" w:hAnsi="Arial" w:cs="Arial"/>
          <w:highlight w:val="yellow"/>
        </w:rPr>
        <w:t xml:space="preserve"> farm-households in their free time from homemaking work </w:t>
      </w:r>
      <w:r w:rsidR="001627F1" w:rsidRPr="00BB3E78">
        <w:rPr>
          <w:rFonts w:ascii="Arial" w:hAnsi="Arial" w:cs="Arial"/>
          <w:highlight w:val="yellow"/>
        </w:rPr>
        <w:t xml:space="preserve">raise </w:t>
      </w:r>
      <w:r w:rsidRPr="00BB3E78">
        <w:rPr>
          <w:rFonts w:ascii="Arial" w:hAnsi="Arial" w:cs="Arial"/>
          <w:highlight w:val="yellow"/>
        </w:rPr>
        <w:t xml:space="preserve">livestock like </w:t>
      </w:r>
      <w:r w:rsidR="001627F1" w:rsidRPr="00BB3E78">
        <w:rPr>
          <w:rFonts w:ascii="Arial" w:hAnsi="Arial" w:cs="Arial"/>
          <w:highlight w:val="yellow"/>
        </w:rPr>
        <w:t>ducks</w:t>
      </w:r>
      <w:r w:rsidRPr="00BB3E78">
        <w:rPr>
          <w:rFonts w:ascii="Arial" w:hAnsi="Arial" w:cs="Arial"/>
          <w:highlight w:val="yellow"/>
        </w:rPr>
        <w:t xml:space="preserve">, </w:t>
      </w:r>
      <w:r w:rsidR="001627F1" w:rsidRPr="00BB3E78">
        <w:rPr>
          <w:rFonts w:ascii="Arial" w:hAnsi="Arial" w:cs="Arial"/>
          <w:highlight w:val="yellow"/>
        </w:rPr>
        <w:t>chickens</w:t>
      </w:r>
      <w:r w:rsidRPr="00BB3E78">
        <w:rPr>
          <w:rFonts w:ascii="Arial" w:hAnsi="Arial" w:cs="Arial"/>
          <w:highlight w:val="yellow"/>
        </w:rPr>
        <w:t xml:space="preserve">, </w:t>
      </w:r>
      <w:r w:rsidR="001627F1" w:rsidRPr="00BB3E78">
        <w:rPr>
          <w:rFonts w:ascii="Arial" w:hAnsi="Arial" w:cs="Arial"/>
          <w:highlight w:val="yellow"/>
        </w:rPr>
        <w:t xml:space="preserve">and </w:t>
      </w:r>
      <w:r w:rsidRPr="00BB3E78">
        <w:rPr>
          <w:rFonts w:ascii="Arial" w:hAnsi="Arial" w:cs="Arial"/>
          <w:highlight w:val="yellow"/>
        </w:rPr>
        <w:t xml:space="preserve">pigs which gave them some amount of income. It was reported that women dominate the </w:t>
      </w:r>
      <w:r w:rsidR="001627F1" w:rsidRPr="00BB3E78">
        <w:rPr>
          <w:rFonts w:ascii="Arial" w:hAnsi="Arial" w:cs="Arial"/>
          <w:highlight w:val="yellow"/>
        </w:rPr>
        <w:t xml:space="preserve">labor </w:t>
      </w:r>
      <w:r w:rsidRPr="00BB3E78">
        <w:rPr>
          <w:rFonts w:ascii="Arial" w:hAnsi="Arial" w:cs="Arial"/>
          <w:highlight w:val="yellow"/>
        </w:rPr>
        <w:t xml:space="preserve">force in the livestock sector of India </w:t>
      </w:r>
      <w:r w:rsidRPr="00BB3E78">
        <w:rPr>
          <w:rFonts w:ascii="Arial" w:hAnsi="Arial" w:cs="Arial"/>
          <w:b/>
          <w:highlight w:val="yellow"/>
        </w:rPr>
        <w:t>[19]</w:t>
      </w:r>
      <w:r w:rsidRPr="00BB3E78">
        <w:rPr>
          <w:rFonts w:ascii="Arial" w:hAnsi="Arial" w:cs="Arial"/>
          <w:highlight w:val="yellow"/>
        </w:rPr>
        <w:t xml:space="preserve">. </w:t>
      </w:r>
      <w:r>
        <w:rPr>
          <w:rFonts w:ascii="Arial" w:hAnsi="Arial" w:cs="Arial"/>
        </w:rPr>
        <w:t xml:space="preserve">There was a stark difference between the mean annual income of the male-headed and female-headed households at Rs. </w:t>
      </w:r>
      <w:r>
        <w:rPr>
          <w:rFonts w:ascii="Arial" w:hAnsi="Arial" w:cs="Arial"/>
          <w:color w:val="000000"/>
        </w:rPr>
        <w:t xml:space="preserve">98326.53/- and Rs. 68454.55/- respectively. In the male-headed households, the contribution of the primary women in the annual income was meager at an average of 9.65 %. The </w:t>
      </w:r>
      <w:r>
        <w:t xml:space="preserve">total percentage of women’s contribution to household income in Bangladesh was calculated to be 43.52 % </w:t>
      </w:r>
      <w:r>
        <w:rPr>
          <w:b/>
        </w:rPr>
        <w:t xml:space="preserve">[20] </w:t>
      </w:r>
      <w:r>
        <w:t>and</w:t>
      </w:r>
      <w:r>
        <w:rPr>
          <w:b/>
        </w:rPr>
        <w:t xml:space="preserve"> </w:t>
      </w:r>
      <w:r>
        <w:t xml:space="preserve">20.5 % in Uttar Pradesh </w:t>
      </w:r>
      <w:r>
        <w:rPr>
          <w:b/>
        </w:rPr>
        <w:t xml:space="preserve">[21] </w:t>
      </w:r>
      <w:r>
        <w:t xml:space="preserve">which was comparatively much higher than that recorded in this study. </w:t>
      </w:r>
    </w:p>
    <w:p w:rsidR="000F63CB" w:rsidRDefault="000F63CB">
      <w:pPr>
        <w:pStyle w:val="Body"/>
        <w:spacing w:after="0"/>
        <w:ind w:firstLine="720"/>
        <w:rPr>
          <w:rFonts w:ascii="Arial" w:hAnsi="Arial" w:cs="Arial"/>
          <w:b/>
        </w:rPr>
      </w:pPr>
    </w:p>
    <w:p w:rsidR="000F63CB" w:rsidRDefault="00834ADD">
      <w:pPr>
        <w:pStyle w:val="Body"/>
        <w:spacing w:after="0"/>
        <w:rPr>
          <w:rFonts w:ascii="Arial" w:hAnsi="Arial" w:cs="Arial"/>
          <w:b/>
        </w:rPr>
      </w:pPr>
      <w:r>
        <w:rPr>
          <w:rFonts w:ascii="Arial" w:hAnsi="Arial" w:cs="Arial"/>
          <w:b/>
        </w:rPr>
        <w:t>Table 3: Description of the respondents according to selected socio-economic variables</w:t>
      </w:r>
    </w:p>
    <w:tbl>
      <w:tblPr>
        <w:tblStyle w:val="TableGrid"/>
        <w:tblW w:w="8658" w:type="dxa"/>
        <w:tblLayout w:type="fixed"/>
        <w:tblLook w:val="04A0" w:firstRow="1" w:lastRow="0" w:firstColumn="1" w:lastColumn="0" w:noHBand="0" w:noVBand="1"/>
      </w:tblPr>
      <w:tblGrid>
        <w:gridCol w:w="648"/>
        <w:gridCol w:w="1350"/>
        <w:gridCol w:w="2340"/>
        <w:gridCol w:w="1299"/>
        <w:gridCol w:w="51"/>
        <w:gridCol w:w="799"/>
        <w:gridCol w:w="1361"/>
        <w:gridCol w:w="810"/>
      </w:tblGrid>
      <w:tr w:rsidR="000F63CB">
        <w:tc>
          <w:tcPr>
            <w:tcW w:w="648" w:type="dxa"/>
            <w:vMerge w:val="restart"/>
          </w:tcPr>
          <w:p w:rsidR="000F63CB" w:rsidRDefault="00834ADD">
            <w:pPr>
              <w:pStyle w:val="Body"/>
              <w:spacing w:after="0" w:line="480" w:lineRule="auto"/>
              <w:rPr>
                <w:rFonts w:ascii="Arial" w:hAnsi="Arial" w:cs="Arial"/>
                <w:b/>
                <w:sz w:val="20"/>
                <w:szCs w:val="20"/>
              </w:rPr>
            </w:pPr>
            <w:r>
              <w:rPr>
                <w:rFonts w:ascii="Arial" w:hAnsi="Arial" w:cs="Arial"/>
                <w:b/>
                <w:sz w:val="20"/>
                <w:szCs w:val="20"/>
              </w:rPr>
              <w:t>Sl. No.</w:t>
            </w:r>
          </w:p>
        </w:tc>
        <w:tc>
          <w:tcPr>
            <w:tcW w:w="1350" w:type="dxa"/>
            <w:vMerge w:val="restart"/>
          </w:tcPr>
          <w:p w:rsidR="000F63CB" w:rsidRDefault="00834ADD">
            <w:pPr>
              <w:pStyle w:val="Body"/>
              <w:spacing w:after="0" w:line="480" w:lineRule="auto"/>
              <w:rPr>
                <w:rFonts w:ascii="Arial" w:hAnsi="Arial" w:cs="Arial"/>
                <w:b/>
                <w:sz w:val="20"/>
                <w:szCs w:val="20"/>
              </w:rPr>
            </w:pPr>
            <w:r>
              <w:rPr>
                <w:rFonts w:ascii="Arial" w:hAnsi="Arial" w:cs="Arial"/>
                <w:b/>
                <w:sz w:val="20"/>
                <w:szCs w:val="20"/>
              </w:rPr>
              <w:t>Variables</w:t>
            </w:r>
          </w:p>
        </w:tc>
        <w:tc>
          <w:tcPr>
            <w:tcW w:w="2340" w:type="dxa"/>
            <w:vMerge w:val="restart"/>
          </w:tcPr>
          <w:p w:rsidR="000F63CB" w:rsidRDefault="00834ADD">
            <w:pPr>
              <w:pStyle w:val="Body"/>
              <w:spacing w:after="0" w:line="480" w:lineRule="auto"/>
              <w:rPr>
                <w:rFonts w:ascii="Arial" w:hAnsi="Arial" w:cs="Arial"/>
                <w:b/>
                <w:sz w:val="20"/>
                <w:szCs w:val="20"/>
              </w:rPr>
            </w:pPr>
            <w:r>
              <w:rPr>
                <w:rFonts w:ascii="Arial" w:hAnsi="Arial" w:cs="Arial"/>
                <w:b/>
                <w:sz w:val="20"/>
                <w:szCs w:val="20"/>
              </w:rPr>
              <w:t>Categories</w:t>
            </w:r>
          </w:p>
        </w:tc>
        <w:tc>
          <w:tcPr>
            <w:tcW w:w="2149" w:type="dxa"/>
            <w:gridSpan w:val="3"/>
          </w:tcPr>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Primary Men</w:t>
            </w:r>
          </w:p>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(n=49)</w:t>
            </w:r>
          </w:p>
        </w:tc>
        <w:tc>
          <w:tcPr>
            <w:tcW w:w="2171" w:type="dxa"/>
            <w:gridSpan w:val="2"/>
          </w:tcPr>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Primary Women</w:t>
            </w:r>
          </w:p>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(n=60)</w:t>
            </w:r>
          </w:p>
        </w:tc>
      </w:tr>
      <w:tr w:rsidR="000F63CB">
        <w:tc>
          <w:tcPr>
            <w:tcW w:w="648" w:type="dxa"/>
            <w:vMerge/>
          </w:tcPr>
          <w:p w:rsidR="000F63CB" w:rsidRDefault="000F63CB">
            <w:pPr>
              <w:pStyle w:val="Body"/>
              <w:spacing w:after="0" w:line="480" w:lineRule="auto"/>
              <w:rPr>
                <w:rFonts w:ascii="Arial" w:hAnsi="Arial" w:cs="Arial"/>
                <w:b/>
                <w:sz w:val="20"/>
                <w:szCs w:val="20"/>
              </w:rPr>
            </w:pPr>
          </w:p>
        </w:tc>
        <w:tc>
          <w:tcPr>
            <w:tcW w:w="1350" w:type="dxa"/>
            <w:vMerge/>
          </w:tcPr>
          <w:p w:rsidR="000F63CB" w:rsidRDefault="000F63CB">
            <w:pPr>
              <w:pStyle w:val="Body"/>
              <w:spacing w:after="0" w:line="480" w:lineRule="auto"/>
              <w:rPr>
                <w:rFonts w:ascii="Arial" w:hAnsi="Arial" w:cs="Arial"/>
                <w:b/>
                <w:sz w:val="20"/>
                <w:szCs w:val="20"/>
              </w:rPr>
            </w:pPr>
          </w:p>
        </w:tc>
        <w:tc>
          <w:tcPr>
            <w:tcW w:w="2340" w:type="dxa"/>
            <w:vMerge/>
          </w:tcPr>
          <w:p w:rsidR="000F63CB" w:rsidRDefault="000F63CB">
            <w:pPr>
              <w:pStyle w:val="Body"/>
              <w:spacing w:after="0" w:line="480" w:lineRule="auto"/>
              <w:rPr>
                <w:rFonts w:ascii="Arial" w:hAnsi="Arial" w:cs="Arial"/>
                <w:b/>
                <w:sz w:val="20"/>
                <w:szCs w:val="20"/>
              </w:rPr>
            </w:pPr>
          </w:p>
        </w:tc>
        <w:tc>
          <w:tcPr>
            <w:tcW w:w="1299" w:type="dxa"/>
          </w:tcPr>
          <w:p w:rsidR="000F63CB" w:rsidRDefault="00834ADD">
            <w:pPr>
              <w:pStyle w:val="Body"/>
              <w:spacing w:after="0" w:line="480" w:lineRule="auto"/>
              <w:rPr>
                <w:rFonts w:ascii="Arial" w:hAnsi="Arial" w:cs="Arial"/>
                <w:b/>
                <w:sz w:val="20"/>
                <w:szCs w:val="20"/>
              </w:rPr>
            </w:pPr>
            <w:r>
              <w:rPr>
                <w:rFonts w:ascii="Arial" w:hAnsi="Arial" w:cs="Arial"/>
                <w:b/>
                <w:sz w:val="20"/>
                <w:szCs w:val="20"/>
              </w:rPr>
              <w:t>Frequency</w:t>
            </w:r>
          </w:p>
        </w:tc>
        <w:tc>
          <w:tcPr>
            <w:tcW w:w="850" w:type="dxa"/>
            <w:gridSpan w:val="2"/>
          </w:tcPr>
          <w:p w:rsidR="000F63CB" w:rsidRDefault="00834ADD">
            <w:pPr>
              <w:pStyle w:val="Body"/>
              <w:spacing w:after="0" w:line="480" w:lineRule="auto"/>
              <w:rPr>
                <w:rFonts w:ascii="Arial" w:hAnsi="Arial" w:cs="Arial"/>
                <w:b/>
                <w:sz w:val="20"/>
                <w:szCs w:val="20"/>
              </w:rPr>
            </w:pPr>
            <w:r>
              <w:rPr>
                <w:rFonts w:ascii="Arial" w:hAnsi="Arial" w:cs="Arial"/>
                <w:b/>
                <w:sz w:val="20"/>
                <w:szCs w:val="20"/>
              </w:rPr>
              <w:t>%</w:t>
            </w:r>
          </w:p>
        </w:tc>
        <w:tc>
          <w:tcPr>
            <w:tcW w:w="1361" w:type="dxa"/>
          </w:tcPr>
          <w:p w:rsidR="000F63CB" w:rsidRDefault="00834ADD">
            <w:pPr>
              <w:pStyle w:val="Body"/>
              <w:spacing w:after="0" w:line="480" w:lineRule="auto"/>
              <w:rPr>
                <w:rFonts w:ascii="Arial" w:hAnsi="Arial" w:cs="Arial"/>
                <w:b/>
                <w:sz w:val="20"/>
                <w:szCs w:val="20"/>
              </w:rPr>
            </w:pPr>
            <w:r>
              <w:rPr>
                <w:rFonts w:ascii="Arial" w:hAnsi="Arial" w:cs="Arial"/>
                <w:b/>
                <w:sz w:val="20"/>
                <w:szCs w:val="20"/>
              </w:rPr>
              <w:t>Frequency</w:t>
            </w:r>
          </w:p>
        </w:tc>
        <w:tc>
          <w:tcPr>
            <w:tcW w:w="810" w:type="dxa"/>
          </w:tcPr>
          <w:p w:rsidR="000F63CB" w:rsidRDefault="00834ADD">
            <w:pPr>
              <w:pStyle w:val="Body"/>
              <w:spacing w:after="0" w:line="480" w:lineRule="auto"/>
              <w:rPr>
                <w:rFonts w:ascii="Arial" w:hAnsi="Arial" w:cs="Arial"/>
                <w:b/>
                <w:sz w:val="20"/>
                <w:szCs w:val="20"/>
              </w:rPr>
            </w:pPr>
            <w:r>
              <w:rPr>
                <w:rFonts w:ascii="Arial" w:hAnsi="Arial" w:cs="Arial"/>
                <w:b/>
                <w:sz w:val="20"/>
                <w:szCs w:val="20"/>
              </w:rPr>
              <w:t>%</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1.</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Age (in years)</w:t>
            </w: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Young (&lt;35)</w:t>
            </w:r>
          </w:p>
        </w:tc>
        <w:tc>
          <w:tcPr>
            <w:tcW w:w="12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1</w:t>
            </w:r>
          </w:p>
        </w:tc>
        <w:tc>
          <w:tcPr>
            <w:tcW w:w="850"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2.04</w:t>
            </w:r>
          </w:p>
        </w:tc>
        <w:tc>
          <w:tcPr>
            <w:tcW w:w="1361" w:type="dxa"/>
          </w:tcPr>
          <w:p w:rsidR="000F63CB" w:rsidRDefault="00834ADD">
            <w:pPr>
              <w:pStyle w:val="Body"/>
              <w:spacing w:after="0" w:line="480" w:lineRule="auto"/>
              <w:rPr>
                <w:rFonts w:ascii="Arial" w:hAnsi="Arial" w:cs="Arial"/>
                <w:sz w:val="20"/>
                <w:szCs w:val="20"/>
              </w:rPr>
            </w:pPr>
            <w:r>
              <w:rPr>
                <w:rFonts w:ascii="Arial" w:hAnsi="Arial" w:cs="Arial"/>
                <w:sz w:val="20"/>
                <w:szCs w:val="20"/>
              </w:rPr>
              <w:t>4</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Middle age (35-50)</w:t>
            </w:r>
          </w:p>
        </w:tc>
        <w:tc>
          <w:tcPr>
            <w:tcW w:w="12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22</w:t>
            </w:r>
          </w:p>
        </w:tc>
        <w:tc>
          <w:tcPr>
            <w:tcW w:w="850"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44.90</w:t>
            </w:r>
          </w:p>
        </w:tc>
        <w:tc>
          <w:tcPr>
            <w:tcW w:w="1361" w:type="dxa"/>
          </w:tcPr>
          <w:p w:rsidR="000F63CB" w:rsidRDefault="00834ADD">
            <w:pPr>
              <w:pStyle w:val="Body"/>
              <w:spacing w:after="0" w:line="480" w:lineRule="auto"/>
              <w:rPr>
                <w:rFonts w:ascii="Arial" w:hAnsi="Arial" w:cs="Arial"/>
                <w:sz w:val="20"/>
                <w:szCs w:val="20"/>
              </w:rPr>
            </w:pPr>
            <w:r>
              <w:rPr>
                <w:rFonts w:ascii="Arial" w:hAnsi="Arial" w:cs="Arial"/>
                <w:sz w:val="20"/>
                <w:szCs w:val="20"/>
              </w:rPr>
              <w:t>50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83.33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Old (&gt;50)</w:t>
            </w:r>
          </w:p>
        </w:tc>
        <w:tc>
          <w:tcPr>
            <w:tcW w:w="12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26</w:t>
            </w:r>
          </w:p>
        </w:tc>
        <w:tc>
          <w:tcPr>
            <w:tcW w:w="850"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53.06</w:t>
            </w:r>
          </w:p>
        </w:tc>
        <w:tc>
          <w:tcPr>
            <w:tcW w:w="1361" w:type="dxa"/>
          </w:tcPr>
          <w:p w:rsidR="000F63CB" w:rsidRDefault="00834ADD">
            <w:pPr>
              <w:pStyle w:val="Body"/>
              <w:spacing w:after="0" w:line="480" w:lineRule="auto"/>
              <w:rPr>
                <w:rFonts w:ascii="Arial" w:hAnsi="Arial" w:cs="Arial"/>
                <w:sz w:val="20"/>
                <w:szCs w:val="20"/>
              </w:rPr>
            </w:pPr>
            <w:r>
              <w:rPr>
                <w:rFonts w:ascii="Arial" w:hAnsi="Arial" w:cs="Arial"/>
                <w:sz w:val="20"/>
                <w:szCs w:val="20"/>
              </w:rPr>
              <w:t>6</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10.00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w:t>
            </w:r>
          </w:p>
        </w:tc>
        <w:tc>
          <w:tcPr>
            <w:tcW w:w="2149" w:type="dxa"/>
            <w:gridSpan w:val="3"/>
          </w:tcPr>
          <w:p w:rsidR="000F63CB" w:rsidRDefault="00834ADD">
            <w:pPr>
              <w:pStyle w:val="Body"/>
              <w:spacing w:after="0" w:line="480" w:lineRule="auto"/>
              <w:rPr>
                <w:rFonts w:ascii="Arial" w:hAnsi="Arial" w:cs="Arial"/>
                <w:sz w:val="20"/>
                <w:szCs w:val="20"/>
              </w:rPr>
            </w:pPr>
            <w:r>
              <w:rPr>
                <w:rFonts w:ascii="Arial" w:hAnsi="Arial" w:cs="Arial"/>
                <w:sz w:val="20"/>
                <w:szCs w:val="20"/>
              </w:rPr>
              <w:t>49.84</w:t>
            </w:r>
          </w:p>
        </w:tc>
        <w:tc>
          <w:tcPr>
            <w:tcW w:w="2171"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43.28</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lastRenderedPageBreak/>
              <w:t>2.</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Level of education</w:t>
            </w: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Illiterate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Primary</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20.41</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29</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48.33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Middle school</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4.09</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26</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43.33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High school</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40.81</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Higher </w:t>
            </w:r>
            <w:r w:rsidR="001627F1">
              <w:rPr>
                <w:rFonts w:ascii="Arial" w:hAnsi="Arial" w:cs="Arial"/>
                <w:sz w:val="20"/>
                <w:szCs w:val="20"/>
              </w:rPr>
              <w:t>Secondary</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24.49</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1.67</w:t>
            </w:r>
          </w:p>
        </w:tc>
      </w:tr>
      <w:tr w:rsidR="000F63CB">
        <w:trPr>
          <w:trHeight w:val="260"/>
        </w:trPr>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Graduate and above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3.</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Primary occupation</w:t>
            </w: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Agriculture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32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65.31</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7</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11.67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Horticulture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4.08</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Fishery</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8.16</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704161">
            <w:pPr>
              <w:pStyle w:val="Body"/>
              <w:spacing w:after="0" w:line="480" w:lineRule="auto"/>
              <w:rPr>
                <w:rFonts w:ascii="Arial" w:hAnsi="Arial" w:cs="Arial"/>
                <w:sz w:val="20"/>
                <w:szCs w:val="20"/>
                <w:lang w:val="en-IN"/>
              </w:rPr>
            </w:pPr>
            <w:proofErr w:type="spellStart"/>
            <w:r>
              <w:rPr>
                <w:rFonts w:ascii="Arial" w:hAnsi="Arial" w:cs="Arial"/>
                <w:sz w:val="20"/>
                <w:szCs w:val="20"/>
                <w:lang w:val="en-IN"/>
              </w:rPr>
              <w:t>Agro</w:t>
            </w:r>
            <w:proofErr w:type="spellEnd"/>
            <w:r>
              <w:rPr>
                <w:rFonts w:ascii="Arial" w:hAnsi="Arial" w:cs="Arial"/>
                <w:sz w:val="20"/>
                <w:szCs w:val="20"/>
                <w:lang w:val="en-IN"/>
              </w:rPr>
              <w:t>-based</w:t>
            </w:r>
            <w:r w:rsidR="00834ADD">
              <w:rPr>
                <w:rFonts w:ascii="Arial" w:hAnsi="Arial" w:cs="Arial"/>
                <w:sz w:val="20"/>
                <w:szCs w:val="20"/>
                <w:lang w:val="en-IN"/>
              </w:rPr>
              <w:t xml:space="preserve"> </w:t>
            </w:r>
            <w:r w:rsidR="001627F1">
              <w:rPr>
                <w:rFonts w:ascii="Arial" w:hAnsi="Arial" w:cs="Arial"/>
                <w:sz w:val="20"/>
                <w:szCs w:val="20"/>
                <w:lang w:val="en-IN"/>
              </w:rPr>
              <w:t>subsidiary enterprise</w:t>
            </w:r>
            <w:r w:rsidR="001627F1">
              <w:rPr>
                <w:rFonts w:ascii="Arial" w:hAnsi="Arial" w:cs="Arial"/>
                <w:sz w:val="20"/>
                <w:szCs w:val="20"/>
              </w:rPr>
              <w:t xml:space="preserve"> </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6</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12.25</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Business</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Salaried Service</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Homemaker</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49</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81.66</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Other</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4.</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Secondary occupation</w:t>
            </w: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Agriculture</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17</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34.70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Horticulture</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7</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11.67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Fishery</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1627F1">
            <w:pPr>
              <w:pStyle w:val="Body"/>
              <w:spacing w:after="0" w:line="480" w:lineRule="auto"/>
              <w:rPr>
                <w:rFonts w:ascii="Arial" w:hAnsi="Arial" w:cs="Arial"/>
                <w:sz w:val="20"/>
                <w:szCs w:val="20"/>
                <w:lang w:val="en-IN"/>
              </w:rPr>
            </w:pPr>
            <w:proofErr w:type="spellStart"/>
            <w:r>
              <w:rPr>
                <w:rFonts w:ascii="Arial" w:hAnsi="Arial" w:cs="Arial"/>
                <w:sz w:val="20"/>
                <w:szCs w:val="20"/>
                <w:lang w:val="en-IN"/>
              </w:rPr>
              <w:t>Agro</w:t>
            </w:r>
            <w:proofErr w:type="spellEnd"/>
            <w:r>
              <w:rPr>
                <w:rFonts w:ascii="Arial" w:hAnsi="Arial" w:cs="Arial"/>
                <w:sz w:val="20"/>
                <w:szCs w:val="20"/>
                <w:lang w:val="en-IN"/>
              </w:rPr>
              <w:t>-based</w:t>
            </w:r>
            <w:r w:rsidR="00834ADD">
              <w:rPr>
                <w:rFonts w:ascii="Arial" w:hAnsi="Arial" w:cs="Arial"/>
                <w:sz w:val="20"/>
                <w:szCs w:val="20"/>
                <w:lang w:val="en-IN"/>
              </w:rPr>
              <w:t xml:space="preserve"> subsidiary</w:t>
            </w:r>
            <w:r w:rsidR="00834ADD">
              <w:rPr>
                <w:rFonts w:ascii="Arial" w:hAnsi="Arial" w:cs="Arial"/>
                <w:sz w:val="20"/>
                <w:szCs w:val="20"/>
              </w:rPr>
              <w:t xml:space="preserve"> enterprise </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14</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28.58</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47</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78.33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Business</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8</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16.32</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3.33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Salaried Service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Homemaker</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Other</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269"/>
        </w:trPr>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5.</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Annual income (in </w:t>
            </w:r>
            <w:r>
              <w:rPr>
                <w:rFonts w:ascii="Arial" w:hAnsi="Arial" w:cs="Arial"/>
                <w:sz w:val="20"/>
                <w:szCs w:val="20"/>
              </w:rPr>
              <w:lastRenderedPageBreak/>
              <w:t>Rupees)</w:t>
            </w:r>
          </w:p>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lastRenderedPageBreak/>
              <w:t xml:space="preserve">Mean Income in female-headed </w:t>
            </w:r>
            <w:r>
              <w:rPr>
                <w:rFonts w:ascii="Arial" w:hAnsi="Arial" w:cs="Arial"/>
                <w:sz w:val="20"/>
                <w:szCs w:val="20"/>
              </w:rPr>
              <w:lastRenderedPageBreak/>
              <w:t>households (n=11)</w:t>
            </w:r>
          </w:p>
        </w:tc>
        <w:tc>
          <w:tcPr>
            <w:tcW w:w="2149" w:type="dxa"/>
            <w:gridSpan w:val="3"/>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lastRenderedPageBreak/>
              <w:t>0</w:t>
            </w:r>
          </w:p>
        </w:tc>
        <w:tc>
          <w:tcPr>
            <w:tcW w:w="2171" w:type="dxa"/>
            <w:gridSpan w:val="2"/>
            <w:vAlign w:val="center"/>
          </w:tcPr>
          <w:p w:rsidR="000F63CB" w:rsidRDefault="00834ADD">
            <w:pPr>
              <w:jc w:val="center"/>
              <w:rPr>
                <w:rFonts w:ascii="Arial" w:hAnsi="Arial" w:cs="Arial"/>
                <w:color w:val="000000"/>
                <w:sz w:val="20"/>
                <w:szCs w:val="20"/>
              </w:rPr>
            </w:pPr>
            <w:r>
              <w:rPr>
                <w:rFonts w:ascii="Arial" w:hAnsi="Arial" w:cs="Arial"/>
                <w:color w:val="000000"/>
                <w:sz w:val="20"/>
                <w:szCs w:val="20"/>
              </w:rPr>
              <w:t>68454.55</w:t>
            </w:r>
          </w:p>
          <w:p w:rsidR="000F63CB" w:rsidRDefault="000F63CB">
            <w:pPr>
              <w:pStyle w:val="Body"/>
              <w:spacing w:after="0" w:line="480" w:lineRule="auto"/>
              <w:jc w:val="center"/>
              <w:rPr>
                <w:rFonts w:ascii="Arial" w:hAnsi="Arial" w:cs="Arial"/>
                <w:sz w:val="20"/>
                <w:szCs w:val="20"/>
              </w:rPr>
            </w:pPr>
          </w:p>
        </w:tc>
      </w:tr>
      <w:tr w:rsidR="000F63CB">
        <w:trPr>
          <w:trHeight w:val="269"/>
        </w:trPr>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income in male-headed households (n=49)</w:t>
            </w:r>
          </w:p>
        </w:tc>
        <w:tc>
          <w:tcPr>
            <w:tcW w:w="2149" w:type="dxa"/>
            <w:gridSpan w:val="3"/>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88877.55</w:t>
            </w:r>
          </w:p>
        </w:tc>
        <w:tc>
          <w:tcPr>
            <w:tcW w:w="2171" w:type="dxa"/>
            <w:gridSpan w:val="2"/>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9448.98</w:t>
            </w:r>
          </w:p>
        </w:tc>
      </w:tr>
      <w:tr w:rsidR="000F63CB">
        <w:trPr>
          <w:trHeight w:val="269"/>
        </w:trPr>
        <w:tc>
          <w:tcPr>
            <w:tcW w:w="648" w:type="dxa"/>
            <w:vMerge w:val="restart"/>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6</w:t>
            </w:r>
          </w:p>
        </w:tc>
        <w:tc>
          <w:tcPr>
            <w:tcW w:w="1350" w:type="dxa"/>
            <w:vMerge w:val="restart"/>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Primary </w:t>
            </w:r>
            <w:r w:rsidR="001627F1">
              <w:rPr>
                <w:rFonts w:ascii="Arial" w:hAnsi="Arial" w:cs="Arial"/>
                <w:sz w:val="20"/>
                <w:szCs w:val="20"/>
                <w:lang w:val="en-IN"/>
              </w:rPr>
              <w:t xml:space="preserve">women's </w:t>
            </w:r>
            <w:r>
              <w:rPr>
                <w:rFonts w:ascii="Arial" w:hAnsi="Arial" w:cs="Arial"/>
                <w:sz w:val="20"/>
                <w:szCs w:val="20"/>
                <w:lang w:val="en-IN"/>
              </w:rPr>
              <w:t xml:space="preserve">contribution </w:t>
            </w:r>
            <w:r w:rsidR="00704161">
              <w:rPr>
                <w:rFonts w:ascii="Arial" w:hAnsi="Arial" w:cs="Arial"/>
                <w:sz w:val="20"/>
                <w:szCs w:val="20"/>
                <w:lang w:val="en-IN"/>
              </w:rPr>
              <w:t xml:space="preserve">to </w:t>
            </w:r>
            <w:r>
              <w:rPr>
                <w:rFonts w:ascii="Arial" w:hAnsi="Arial" w:cs="Arial"/>
                <w:sz w:val="20"/>
                <w:szCs w:val="20"/>
                <w:lang w:val="en-IN"/>
              </w:rPr>
              <w:t>household income (in percentage</w:t>
            </w:r>
            <w:r>
              <w:rPr>
                <w:rFonts w:ascii="Arial" w:hAnsi="Arial" w:cs="Arial"/>
                <w:sz w:val="20"/>
                <w:szCs w:val="20"/>
              </w:rPr>
              <w:t>)</w:t>
            </w: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contribution in female-headed households (n=11)</w:t>
            </w:r>
          </w:p>
        </w:tc>
        <w:tc>
          <w:tcPr>
            <w:tcW w:w="2149" w:type="dxa"/>
            <w:gridSpan w:val="3"/>
            <w:vAlign w:val="center"/>
          </w:tcPr>
          <w:p w:rsidR="000F63CB" w:rsidRDefault="00834ADD">
            <w:pPr>
              <w:pStyle w:val="Body"/>
              <w:spacing w:after="0" w:line="480" w:lineRule="auto"/>
              <w:jc w:val="center"/>
              <w:rPr>
                <w:rFonts w:ascii="Arial" w:hAnsi="Arial" w:cs="Arial"/>
              </w:rPr>
            </w:pPr>
            <w:r>
              <w:rPr>
                <w:rFonts w:ascii="Arial" w:hAnsi="Arial" w:cs="Arial"/>
              </w:rPr>
              <w:t>0</w:t>
            </w:r>
          </w:p>
        </w:tc>
        <w:tc>
          <w:tcPr>
            <w:tcW w:w="2171" w:type="dxa"/>
            <w:gridSpan w:val="2"/>
            <w:vAlign w:val="center"/>
          </w:tcPr>
          <w:p w:rsidR="000F63CB" w:rsidRDefault="000F63CB">
            <w:pPr>
              <w:pStyle w:val="Body"/>
              <w:spacing w:after="0" w:line="480" w:lineRule="auto"/>
              <w:jc w:val="center"/>
              <w:rPr>
                <w:rFonts w:ascii="Arial" w:hAnsi="Arial" w:cs="Arial"/>
                <w:sz w:val="20"/>
                <w:szCs w:val="20"/>
              </w:rPr>
            </w:pPr>
          </w:p>
          <w:p w:rsidR="000F63CB" w:rsidRDefault="00834ADD">
            <w:pPr>
              <w:pStyle w:val="Body"/>
              <w:spacing w:after="0" w:line="480" w:lineRule="auto"/>
              <w:jc w:val="center"/>
              <w:rPr>
                <w:rFonts w:ascii="Arial" w:hAnsi="Arial" w:cs="Arial"/>
                <w:sz w:val="20"/>
                <w:szCs w:val="20"/>
              </w:rPr>
            </w:pPr>
            <w:r>
              <w:rPr>
                <w:rFonts w:ascii="Arial" w:hAnsi="Arial" w:cs="Arial"/>
                <w:sz w:val="20"/>
                <w:szCs w:val="20"/>
              </w:rPr>
              <w:t>100</w:t>
            </w:r>
          </w:p>
        </w:tc>
      </w:tr>
      <w:tr w:rsidR="000F63CB">
        <w:trPr>
          <w:trHeight w:val="269"/>
        </w:trPr>
        <w:tc>
          <w:tcPr>
            <w:tcW w:w="648" w:type="dxa"/>
            <w:vMerge/>
          </w:tcPr>
          <w:p w:rsidR="000F63CB" w:rsidRDefault="000F63CB">
            <w:pPr>
              <w:pStyle w:val="Body"/>
              <w:spacing w:after="0" w:line="480" w:lineRule="auto"/>
              <w:rPr>
                <w:rFonts w:ascii="Arial" w:hAnsi="Arial" w:cs="Arial"/>
                <w:sz w:val="20"/>
                <w:szCs w:val="20"/>
                <w:lang w:val="en-IN"/>
              </w:rPr>
            </w:pPr>
          </w:p>
        </w:tc>
        <w:tc>
          <w:tcPr>
            <w:tcW w:w="1350" w:type="dxa"/>
            <w:vMerge/>
          </w:tcPr>
          <w:p w:rsidR="000F63CB" w:rsidRDefault="000F63CB">
            <w:pPr>
              <w:pStyle w:val="Body"/>
              <w:spacing w:after="0" w:line="480" w:lineRule="auto"/>
              <w:rPr>
                <w:rFonts w:ascii="Arial" w:hAnsi="Arial" w:cs="Arial"/>
                <w:sz w:val="20"/>
                <w:szCs w:val="20"/>
                <w:lang w:val="en-IN"/>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income in male-headed households (n=49)</w:t>
            </w:r>
          </w:p>
        </w:tc>
        <w:tc>
          <w:tcPr>
            <w:tcW w:w="2149" w:type="dxa"/>
            <w:gridSpan w:val="3"/>
            <w:vAlign w:val="center"/>
          </w:tcPr>
          <w:p w:rsidR="000F63CB" w:rsidRDefault="00834ADD">
            <w:pPr>
              <w:pStyle w:val="Body"/>
              <w:spacing w:after="0" w:line="480" w:lineRule="auto"/>
              <w:jc w:val="center"/>
              <w:rPr>
                <w:rFonts w:ascii="Arial" w:hAnsi="Arial" w:cs="Arial"/>
              </w:rPr>
            </w:pPr>
            <w:r>
              <w:rPr>
                <w:rFonts w:ascii="Arial" w:hAnsi="Arial" w:cs="Arial"/>
              </w:rPr>
              <w:t>90.35</w:t>
            </w:r>
          </w:p>
        </w:tc>
        <w:tc>
          <w:tcPr>
            <w:tcW w:w="2171" w:type="dxa"/>
            <w:gridSpan w:val="2"/>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9.65</w:t>
            </w:r>
          </w:p>
        </w:tc>
      </w:tr>
    </w:tbl>
    <w:p w:rsidR="000F63CB" w:rsidRDefault="000F63CB">
      <w:pPr>
        <w:pStyle w:val="Body"/>
        <w:spacing w:after="0"/>
        <w:rPr>
          <w:rFonts w:ascii="Arial" w:hAnsi="Arial" w:cs="Arial"/>
        </w:rPr>
      </w:pPr>
    </w:p>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The description of the intra-household gender dynamics variables of the sampled households </w:t>
      </w:r>
      <w:r w:rsidR="001627F1">
        <w:rPr>
          <w:rFonts w:ascii="Arial" w:hAnsi="Arial" w:cs="Arial"/>
        </w:rPr>
        <w:t xml:space="preserve">is </w:t>
      </w:r>
      <w:r>
        <w:rPr>
          <w:rFonts w:ascii="Arial" w:hAnsi="Arial" w:cs="Arial"/>
        </w:rPr>
        <w:t xml:space="preserve">presented in Table 4. From the observations of </w:t>
      </w:r>
      <w:r w:rsidR="001627F1" w:rsidRPr="00BB3E78">
        <w:rPr>
          <w:rFonts w:ascii="Arial" w:hAnsi="Arial" w:cs="Arial"/>
          <w:highlight w:val="yellow"/>
        </w:rPr>
        <w:t xml:space="preserve">Table </w:t>
      </w:r>
      <w:r w:rsidRPr="00BB3E78">
        <w:rPr>
          <w:rFonts w:ascii="Arial" w:hAnsi="Arial" w:cs="Arial"/>
          <w:highlight w:val="yellow"/>
        </w:rPr>
        <w:t>4</w:t>
      </w:r>
      <w:r w:rsidR="001627F1" w:rsidRPr="00BB3E78">
        <w:rPr>
          <w:rFonts w:ascii="Arial" w:hAnsi="Arial" w:cs="Arial"/>
          <w:highlight w:val="yellow"/>
        </w:rPr>
        <w:t>,</w:t>
      </w:r>
      <w:r w:rsidRPr="00BB3E78">
        <w:rPr>
          <w:rFonts w:ascii="Arial" w:hAnsi="Arial" w:cs="Arial"/>
          <w:highlight w:val="yellow"/>
        </w:rPr>
        <w:t xml:space="preserve"> it can be seen that among the selected households, in participation in </w:t>
      </w:r>
      <w:r w:rsidR="001627F1" w:rsidRPr="00BB3E78">
        <w:rPr>
          <w:rFonts w:ascii="Arial" w:hAnsi="Arial" w:cs="Arial"/>
          <w:highlight w:val="yellow"/>
        </w:rPr>
        <w:t>the decision-making</w:t>
      </w:r>
      <w:r w:rsidRPr="00BB3E78">
        <w:rPr>
          <w:rFonts w:ascii="Arial" w:hAnsi="Arial" w:cs="Arial"/>
          <w:highlight w:val="yellow"/>
        </w:rPr>
        <w:t xml:space="preserve"> variable majority of the households reported only primary </w:t>
      </w:r>
      <w:r w:rsidR="001627F1" w:rsidRPr="00BB3E78">
        <w:rPr>
          <w:rFonts w:ascii="Arial" w:hAnsi="Arial" w:cs="Arial"/>
          <w:highlight w:val="yellow"/>
        </w:rPr>
        <w:t xml:space="preserve">men </w:t>
      </w:r>
      <w:r w:rsidRPr="00BB3E78">
        <w:rPr>
          <w:rFonts w:ascii="Arial" w:hAnsi="Arial" w:cs="Arial"/>
          <w:highlight w:val="yellow"/>
        </w:rPr>
        <w:t xml:space="preserve">having adequacy (46.67 %), followed by both primary men and primary women having </w:t>
      </w:r>
      <w:r>
        <w:rPr>
          <w:rFonts w:ascii="Arial" w:hAnsi="Arial" w:cs="Arial"/>
        </w:rPr>
        <w:t xml:space="preserve">adequacy (35.00 %). Only primary women having adequacy was less among all three categories. As we know, adequacy is a measure of empowerment; it is clear that in participation in decision making household’s primary women adequacy solely is lower which indicates that primary women of the household are less empowered comparatively than primary women. In access and control over productive resources majority of the households reported only primary men having adequacy (75.00 %), followed by only primary women having adequacy (18.33 %) and both primary men and primary women having adequacy (6.67%). This reflects that most of the productive resources of the households in the study area are controlled by primary men which </w:t>
      </w:r>
      <w:r w:rsidR="001627F1">
        <w:rPr>
          <w:rFonts w:ascii="Arial" w:hAnsi="Arial" w:cs="Arial"/>
        </w:rPr>
        <w:t xml:space="preserve">makes </w:t>
      </w:r>
      <w:r>
        <w:rPr>
          <w:rFonts w:ascii="Arial" w:hAnsi="Arial" w:cs="Arial"/>
        </w:rPr>
        <w:t xml:space="preserve">them comparatively more empowered. The findings are similar </w:t>
      </w:r>
      <w:r w:rsidR="001627F1">
        <w:rPr>
          <w:rFonts w:ascii="Arial" w:hAnsi="Arial" w:cs="Arial"/>
        </w:rPr>
        <w:t xml:space="preserve">to </w:t>
      </w:r>
      <w:r>
        <w:rPr>
          <w:rFonts w:ascii="Arial" w:hAnsi="Arial" w:cs="Arial"/>
        </w:rPr>
        <w:t xml:space="preserve">the results of a study conducted in Tripura where the access and control over productive resources of male head respondent was higher which indicates their higher adequacy in the variable </w:t>
      </w:r>
      <w:r>
        <w:rPr>
          <w:rFonts w:ascii="Arial" w:hAnsi="Arial" w:cs="Arial"/>
          <w:b/>
        </w:rPr>
        <w:t>[22].</w:t>
      </w:r>
      <w:r>
        <w:rPr>
          <w:rFonts w:ascii="Arial" w:hAnsi="Arial" w:cs="Arial"/>
        </w:rPr>
        <w:t xml:space="preserve"> Similar results were also found in </w:t>
      </w:r>
      <w:r w:rsidR="001627F1">
        <w:rPr>
          <w:rFonts w:ascii="Arial" w:hAnsi="Arial" w:cs="Arial"/>
        </w:rPr>
        <w:t xml:space="preserve">the </w:t>
      </w:r>
      <w:r>
        <w:rPr>
          <w:rFonts w:ascii="Arial" w:hAnsi="Arial" w:cs="Arial"/>
        </w:rPr>
        <w:t xml:space="preserve">case of contribution and control over household income that in </w:t>
      </w:r>
      <w:r w:rsidR="001627F1">
        <w:rPr>
          <w:rFonts w:ascii="Arial" w:hAnsi="Arial" w:cs="Arial"/>
        </w:rPr>
        <w:t xml:space="preserve">the </w:t>
      </w:r>
      <w:r w:rsidRPr="00BB3E78">
        <w:rPr>
          <w:rFonts w:ascii="Arial" w:hAnsi="Arial" w:cs="Arial"/>
          <w:highlight w:val="yellow"/>
        </w:rPr>
        <w:t xml:space="preserve">majority of the </w:t>
      </w:r>
      <w:r w:rsidR="001627F1" w:rsidRPr="00BB3E78">
        <w:rPr>
          <w:rFonts w:ascii="Arial" w:hAnsi="Arial" w:cs="Arial"/>
          <w:highlight w:val="yellow"/>
        </w:rPr>
        <w:t xml:space="preserve">household </w:t>
      </w:r>
      <w:r w:rsidRPr="00BB3E78">
        <w:rPr>
          <w:rFonts w:ascii="Arial" w:hAnsi="Arial" w:cs="Arial"/>
          <w:highlight w:val="yellow"/>
        </w:rPr>
        <w:t xml:space="preserve">only primary men </w:t>
      </w:r>
      <w:r w:rsidR="001627F1" w:rsidRPr="00BB3E78">
        <w:rPr>
          <w:rFonts w:ascii="Arial" w:hAnsi="Arial" w:cs="Arial"/>
          <w:highlight w:val="yellow"/>
        </w:rPr>
        <w:t xml:space="preserve">had </w:t>
      </w:r>
      <w:r w:rsidRPr="00BB3E78">
        <w:rPr>
          <w:rFonts w:ascii="Arial" w:hAnsi="Arial" w:cs="Arial"/>
          <w:highlight w:val="yellow"/>
        </w:rPr>
        <w:t xml:space="preserve">adequacy (63.34 %) in the variable. This indicates that in contribution and control over household income </w:t>
      </w:r>
      <w:r w:rsidR="001627F1" w:rsidRPr="00BB3E78">
        <w:rPr>
          <w:rFonts w:ascii="Arial" w:hAnsi="Arial" w:cs="Arial"/>
          <w:highlight w:val="yellow"/>
        </w:rPr>
        <w:t xml:space="preserve">variables </w:t>
      </w:r>
      <w:r w:rsidRPr="00BB3E78">
        <w:rPr>
          <w:rFonts w:ascii="Arial" w:hAnsi="Arial" w:cs="Arial"/>
          <w:highlight w:val="yellow"/>
        </w:rPr>
        <w:t xml:space="preserve">also primary men of households are more empowered </w:t>
      </w:r>
      <w:r w:rsidR="001627F1" w:rsidRPr="00BB3E78">
        <w:rPr>
          <w:rFonts w:ascii="Arial" w:hAnsi="Arial" w:cs="Arial"/>
          <w:highlight w:val="yellow"/>
        </w:rPr>
        <w:t xml:space="preserve">than </w:t>
      </w:r>
      <w:r w:rsidRPr="00BB3E78">
        <w:rPr>
          <w:rFonts w:ascii="Arial" w:hAnsi="Arial" w:cs="Arial"/>
          <w:highlight w:val="yellow"/>
        </w:rPr>
        <w:t xml:space="preserve">the primary women. The workload variable also highlights </w:t>
      </w:r>
      <w:r w:rsidR="001627F1" w:rsidRPr="00BB3E78">
        <w:rPr>
          <w:rFonts w:ascii="Arial" w:hAnsi="Arial" w:cs="Arial"/>
          <w:highlight w:val="yellow"/>
        </w:rPr>
        <w:t xml:space="preserve">the </w:t>
      </w:r>
      <w:r w:rsidRPr="00BB3E78">
        <w:rPr>
          <w:rFonts w:ascii="Arial" w:hAnsi="Arial" w:cs="Arial"/>
          <w:highlight w:val="yellow"/>
        </w:rPr>
        <w:t xml:space="preserve">same scenario. Negligible </w:t>
      </w:r>
      <w:r w:rsidR="001627F1" w:rsidRPr="00BB3E78">
        <w:rPr>
          <w:rFonts w:ascii="Arial" w:hAnsi="Arial" w:cs="Arial"/>
          <w:highlight w:val="yellow"/>
        </w:rPr>
        <w:t>male-headed</w:t>
      </w:r>
      <w:r w:rsidRPr="00BB3E78">
        <w:rPr>
          <w:rFonts w:ascii="Arial" w:hAnsi="Arial" w:cs="Arial"/>
          <w:highlight w:val="yellow"/>
        </w:rPr>
        <w:t xml:space="preserve"> households were found where the primary women have adequacy in all the variables. Households</w:t>
      </w:r>
      <w:r w:rsidR="001627F1" w:rsidRPr="00BB3E78">
        <w:rPr>
          <w:rFonts w:ascii="Arial" w:hAnsi="Arial" w:cs="Arial"/>
          <w:highlight w:val="yellow"/>
        </w:rPr>
        <w:t>, where only the primary women had adequacy in all the four variables,</w:t>
      </w:r>
      <w:r w:rsidRPr="00BB3E78">
        <w:rPr>
          <w:rFonts w:ascii="Arial" w:hAnsi="Arial" w:cs="Arial"/>
          <w:highlight w:val="yellow"/>
        </w:rPr>
        <w:t xml:space="preserve"> were </w:t>
      </w:r>
      <w:r w:rsidR="001627F1" w:rsidRPr="00BB3E78">
        <w:rPr>
          <w:rFonts w:ascii="Arial" w:hAnsi="Arial" w:cs="Arial"/>
          <w:highlight w:val="yellow"/>
        </w:rPr>
        <w:t>female-headed</w:t>
      </w:r>
      <w:r w:rsidRPr="00BB3E78">
        <w:rPr>
          <w:rFonts w:ascii="Arial" w:hAnsi="Arial" w:cs="Arial"/>
          <w:highlight w:val="yellow"/>
        </w:rPr>
        <w:t xml:space="preserve"> households</w:t>
      </w:r>
      <w:r w:rsidRPr="00BB3E78">
        <w:rPr>
          <w:rFonts w:ascii="Arial" w:hAnsi="Arial" w:cs="Arial"/>
          <w:bCs/>
          <w:highlight w:val="yellow"/>
        </w:rPr>
        <w:t xml:space="preserve"> because</w:t>
      </w:r>
      <w:r w:rsidR="001627F1" w:rsidRPr="00BB3E78">
        <w:rPr>
          <w:rFonts w:ascii="Arial" w:hAnsi="Arial" w:cs="Arial"/>
          <w:bCs/>
          <w:highlight w:val="yellow"/>
        </w:rPr>
        <w:t>,</w:t>
      </w:r>
      <w:r w:rsidRPr="00BB3E78">
        <w:rPr>
          <w:rFonts w:ascii="Arial" w:hAnsi="Arial" w:cs="Arial"/>
          <w:bCs/>
          <w:highlight w:val="yellow"/>
        </w:rPr>
        <w:t xml:space="preserve"> in the absence of the primary </w:t>
      </w:r>
      <w:r w:rsidR="001627F1" w:rsidRPr="00BB3E78">
        <w:rPr>
          <w:rFonts w:ascii="Arial" w:hAnsi="Arial" w:cs="Arial"/>
          <w:bCs/>
          <w:highlight w:val="yellow"/>
        </w:rPr>
        <w:t xml:space="preserve">man </w:t>
      </w:r>
      <w:r w:rsidRPr="00BB3E78">
        <w:rPr>
          <w:rFonts w:ascii="Arial" w:hAnsi="Arial" w:cs="Arial"/>
          <w:bCs/>
          <w:highlight w:val="yellow"/>
        </w:rPr>
        <w:t xml:space="preserve">who by convention is the prime breadwinner and decision maker of the household, the primary women of the household had to take up these roles along with her usual reproductive and household roles. </w:t>
      </w:r>
      <w:r w:rsidR="001627F1" w:rsidRPr="00BB3E78">
        <w:rPr>
          <w:rFonts w:ascii="Arial" w:hAnsi="Arial" w:cs="Arial"/>
          <w:highlight w:val="yellow"/>
        </w:rPr>
        <w:t xml:space="preserve">The majority </w:t>
      </w:r>
      <w:r w:rsidRPr="00BB3E78">
        <w:rPr>
          <w:rFonts w:ascii="Arial" w:hAnsi="Arial" w:cs="Arial"/>
          <w:highlight w:val="yellow"/>
        </w:rPr>
        <w:t xml:space="preserve">of the selected households reported having a male head (81.67 %) which means they are </w:t>
      </w:r>
      <w:r w:rsidR="001627F1" w:rsidRPr="00BB3E78">
        <w:rPr>
          <w:rFonts w:ascii="Arial" w:hAnsi="Arial" w:cs="Arial"/>
          <w:highlight w:val="yellow"/>
        </w:rPr>
        <w:t>male-headed</w:t>
      </w:r>
      <w:r w:rsidRPr="00BB3E78">
        <w:rPr>
          <w:rFonts w:ascii="Arial" w:hAnsi="Arial" w:cs="Arial"/>
          <w:highlight w:val="yellow"/>
        </w:rPr>
        <w:t xml:space="preserve"> households. The numbers of </w:t>
      </w:r>
      <w:r w:rsidR="001627F1">
        <w:rPr>
          <w:rFonts w:ascii="Arial" w:hAnsi="Arial" w:cs="Arial"/>
        </w:rPr>
        <w:t>female-headed</w:t>
      </w:r>
      <w:r>
        <w:rPr>
          <w:rFonts w:ascii="Arial" w:hAnsi="Arial" w:cs="Arial"/>
        </w:rPr>
        <w:t xml:space="preserve"> households are comparatively very less (18.33 </w:t>
      </w:r>
      <w:r>
        <w:rPr>
          <w:rFonts w:ascii="Arial" w:hAnsi="Arial" w:cs="Arial"/>
        </w:rPr>
        <w:lastRenderedPageBreak/>
        <w:t xml:space="preserve">%). The findings are similar </w:t>
      </w:r>
      <w:r w:rsidR="001627F1">
        <w:rPr>
          <w:rFonts w:ascii="Arial" w:hAnsi="Arial" w:cs="Arial"/>
        </w:rPr>
        <w:t xml:space="preserve">to </w:t>
      </w:r>
      <w:r>
        <w:rPr>
          <w:rFonts w:ascii="Arial" w:hAnsi="Arial" w:cs="Arial"/>
        </w:rPr>
        <w:t xml:space="preserve">National Family Health Survey Report- 5 where </w:t>
      </w:r>
      <w:r w:rsidR="001627F1">
        <w:rPr>
          <w:rFonts w:ascii="Arial" w:hAnsi="Arial" w:cs="Arial"/>
        </w:rPr>
        <w:t>female-headed</w:t>
      </w:r>
      <w:r>
        <w:rPr>
          <w:rFonts w:ascii="Arial" w:hAnsi="Arial" w:cs="Arial"/>
        </w:rPr>
        <w:t xml:space="preserve"> households are found less in </w:t>
      </w:r>
      <w:r w:rsidR="00704161">
        <w:rPr>
          <w:rFonts w:ascii="Arial" w:hAnsi="Arial" w:cs="Arial"/>
        </w:rPr>
        <w:t xml:space="preserve">the </w:t>
      </w:r>
      <w:r>
        <w:rPr>
          <w:rFonts w:ascii="Arial" w:hAnsi="Arial" w:cs="Arial"/>
        </w:rPr>
        <w:t xml:space="preserve">West Tripura district </w:t>
      </w:r>
      <w:r>
        <w:rPr>
          <w:rFonts w:ascii="Arial" w:hAnsi="Arial" w:cs="Arial"/>
          <w:b/>
        </w:rPr>
        <w:t>[23].</w:t>
      </w:r>
    </w:p>
    <w:p w:rsidR="000F63CB" w:rsidRDefault="000F63CB">
      <w:pPr>
        <w:pStyle w:val="Body"/>
        <w:spacing w:after="0"/>
        <w:rPr>
          <w:rFonts w:ascii="Arial" w:hAnsi="Arial" w:cs="Arial"/>
        </w:rPr>
      </w:pPr>
    </w:p>
    <w:p w:rsidR="000F63CB" w:rsidRDefault="00834ADD">
      <w:pPr>
        <w:pStyle w:val="Body"/>
        <w:spacing w:after="0" w:line="480" w:lineRule="auto"/>
        <w:rPr>
          <w:rFonts w:ascii="Arial" w:hAnsi="Arial" w:cs="Arial"/>
          <w:b/>
        </w:rPr>
      </w:pPr>
      <w:r>
        <w:rPr>
          <w:rFonts w:ascii="Arial" w:hAnsi="Arial" w:cs="Arial"/>
          <w:b/>
        </w:rPr>
        <w:t>Table 4: Distribution of the sampled households according to selected intra-household gender dynamics variables (n=60)</w:t>
      </w:r>
    </w:p>
    <w:tbl>
      <w:tblPr>
        <w:tblStyle w:val="TableGrid"/>
        <w:tblW w:w="8672" w:type="dxa"/>
        <w:tblLook w:val="06A0" w:firstRow="1" w:lastRow="0" w:firstColumn="1" w:lastColumn="0" w:noHBand="1" w:noVBand="1"/>
      </w:tblPr>
      <w:tblGrid>
        <w:gridCol w:w="817"/>
        <w:gridCol w:w="4111"/>
        <w:gridCol w:w="1439"/>
        <w:gridCol w:w="1538"/>
        <w:gridCol w:w="767"/>
      </w:tblGrid>
      <w:tr w:rsidR="000F63CB">
        <w:trPr>
          <w:trHeight w:val="530"/>
        </w:trPr>
        <w:tc>
          <w:tcPr>
            <w:tcW w:w="817" w:type="dxa"/>
          </w:tcPr>
          <w:p w:rsidR="000F63CB" w:rsidRDefault="00834ADD">
            <w:pPr>
              <w:pStyle w:val="Body"/>
              <w:spacing w:after="0" w:line="480" w:lineRule="auto"/>
              <w:rPr>
                <w:rFonts w:ascii="Arial" w:hAnsi="Arial" w:cs="Arial"/>
                <w:b/>
                <w:bCs/>
                <w:sz w:val="20"/>
                <w:szCs w:val="20"/>
                <w:lang w:val="en-IN"/>
              </w:rPr>
            </w:pPr>
            <w:r>
              <w:rPr>
                <w:rFonts w:ascii="Arial" w:hAnsi="Arial" w:cs="Arial"/>
                <w:b/>
                <w:bCs/>
                <w:sz w:val="20"/>
                <w:szCs w:val="20"/>
                <w:lang w:val="en-IN"/>
              </w:rPr>
              <w:t>Sl. No.</w:t>
            </w:r>
          </w:p>
        </w:tc>
        <w:tc>
          <w:tcPr>
            <w:tcW w:w="4111"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Variables</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Categories</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Frequency</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Participation in </w:t>
            </w:r>
            <w:r w:rsidR="001627F1">
              <w:rPr>
                <w:rFonts w:ascii="Arial" w:hAnsi="Arial" w:cs="Arial"/>
                <w:sz w:val="20"/>
                <w:szCs w:val="20"/>
              </w:rPr>
              <w:t>decision-making</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28</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46.67</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404"/>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35.00</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Access and control over productive resources</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45</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75.00</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328"/>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Contribution and control over household income</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38</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63.34</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403"/>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Workload</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34</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56.67</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13</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21.66</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13</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21.66</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Household head</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Male </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49</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81.67</w:t>
            </w:r>
          </w:p>
        </w:tc>
      </w:tr>
      <w:tr w:rsidR="000F63CB">
        <w:trPr>
          <w:trHeight w:val="368"/>
        </w:trPr>
        <w:tc>
          <w:tcPr>
            <w:tcW w:w="817" w:type="dxa"/>
            <w:vMerge/>
          </w:tcPr>
          <w:p w:rsidR="000F63CB" w:rsidRDefault="000F63CB">
            <w:pPr>
              <w:pStyle w:val="Body"/>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Female </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bl>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b/>
          <w:sz w:val="22"/>
          <w:szCs w:val="22"/>
        </w:rPr>
        <w:t>3.2. Household vulnerability to climate change:</w:t>
      </w:r>
    </w:p>
    <w:p w:rsidR="000F63CB" w:rsidRDefault="00834ADD">
      <w:pPr>
        <w:pStyle w:val="Body"/>
        <w:spacing w:after="0"/>
        <w:ind w:firstLine="720"/>
        <w:rPr>
          <w:rFonts w:ascii="Arial" w:hAnsi="Arial" w:cs="Arial"/>
        </w:rPr>
      </w:pPr>
      <w:r>
        <w:rPr>
          <w:rFonts w:ascii="Arial" w:hAnsi="Arial" w:cs="Arial"/>
        </w:rPr>
        <w:t>The households were categorized into three categories viz. highly vulnerable, moderately vulnerable</w:t>
      </w:r>
      <w:r w:rsidR="001627F1">
        <w:rPr>
          <w:rFonts w:ascii="Arial" w:hAnsi="Arial" w:cs="Arial"/>
        </w:rPr>
        <w:t>,</w:t>
      </w:r>
      <w:r>
        <w:rPr>
          <w:rFonts w:ascii="Arial" w:hAnsi="Arial" w:cs="Arial"/>
        </w:rPr>
        <w:t xml:space="preserve"> and less vulnerable according to </w:t>
      </w:r>
      <w:r w:rsidR="001627F1">
        <w:rPr>
          <w:rFonts w:ascii="Arial" w:hAnsi="Arial" w:cs="Arial"/>
        </w:rPr>
        <w:t xml:space="preserve">the </w:t>
      </w:r>
      <w:r>
        <w:rPr>
          <w:rFonts w:ascii="Arial" w:hAnsi="Arial" w:cs="Arial"/>
        </w:rPr>
        <w:t>mean ± standard deviation of the household vulnerability score</w:t>
      </w:r>
      <w:r w:rsidR="001627F1">
        <w:rPr>
          <w:rFonts w:ascii="Arial" w:hAnsi="Arial" w:cs="Arial"/>
        </w:rPr>
        <w:t>,</w:t>
      </w:r>
      <w:r>
        <w:rPr>
          <w:rFonts w:ascii="Arial" w:hAnsi="Arial" w:cs="Arial"/>
        </w:rPr>
        <w:t xml:space="preserve"> and the results are presented in </w:t>
      </w:r>
      <w:r w:rsidR="001627F1">
        <w:rPr>
          <w:rFonts w:ascii="Arial" w:hAnsi="Arial" w:cs="Arial"/>
        </w:rPr>
        <w:t xml:space="preserve">Table </w:t>
      </w:r>
      <w:r>
        <w:rPr>
          <w:rFonts w:ascii="Arial" w:hAnsi="Arial" w:cs="Arial"/>
        </w:rPr>
        <w:t xml:space="preserve">5. It can be observed that 20.00 % of the households fall under </w:t>
      </w:r>
      <w:r w:rsidR="001627F1">
        <w:rPr>
          <w:rFonts w:ascii="Arial" w:hAnsi="Arial" w:cs="Arial"/>
        </w:rPr>
        <w:t xml:space="preserve">the </w:t>
      </w:r>
      <w:r>
        <w:rPr>
          <w:rFonts w:ascii="Arial" w:hAnsi="Arial" w:cs="Arial"/>
        </w:rPr>
        <w:t xml:space="preserve">highly vulnerable category, while a large majority of 61.67 % </w:t>
      </w:r>
      <w:r w:rsidR="001627F1">
        <w:rPr>
          <w:rFonts w:ascii="Arial" w:hAnsi="Arial" w:cs="Arial"/>
        </w:rPr>
        <w:t xml:space="preserve">are </w:t>
      </w:r>
      <w:r>
        <w:rPr>
          <w:rFonts w:ascii="Arial" w:hAnsi="Arial" w:cs="Arial"/>
        </w:rPr>
        <w:t xml:space="preserve">moderately vulnerable while the remaining 18.33 % are less vulnerable. A study in Kenya </w:t>
      </w:r>
      <w:r>
        <w:rPr>
          <w:rFonts w:ascii="Arial" w:hAnsi="Arial" w:cs="Arial"/>
          <w:b/>
        </w:rPr>
        <w:t>[24]</w:t>
      </w:r>
      <w:r>
        <w:rPr>
          <w:rFonts w:ascii="Arial" w:hAnsi="Arial" w:cs="Arial"/>
        </w:rPr>
        <w:t xml:space="preserve"> developed a household vulnerability index (HVI) and found that 27% of households were highly vulnerable, 44% were moderately vulnerable and 29% of households were less vulnerable to climate-induced stresses.</w:t>
      </w:r>
    </w:p>
    <w:p w:rsidR="000F63CB" w:rsidRDefault="000F63CB">
      <w:pPr>
        <w:pStyle w:val="Body"/>
        <w:spacing w:after="0"/>
        <w:ind w:firstLine="720"/>
        <w:rPr>
          <w:rFonts w:ascii="Arial" w:hAnsi="Arial" w:cs="Arial"/>
        </w:rPr>
      </w:pPr>
    </w:p>
    <w:p w:rsidR="000F63CB" w:rsidRDefault="00834ADD">
      <w:pPr>
        <w:pStyle w:val="Body"/>
        <w:spacing w:after="0"/>
        <w:rPr>
          <w:rFonts w:ascii="Arial" w:hAnsi="Arial" w:cs="Arial"/>
          <w:color w:val="000000"/>
          <w:sz w:val="22"/>
          <w:szCs w:val="22"/>
        </w:rPr>
      </w:pPr>
      <w:r w:rsidRPr="00112D39">
        <w:rPr>
          <w:rFonts w:ascii="Arial" w:hAnsi="Arial" w:cs="Arial"/>
          <w:b/>
          <w:color w:val="000000"/>
          <w:sz w:val="22"/>
          <w:szCs w:val="22"/>
        </w:rPr>
        <w:t>Table 5:</w:t>
      </w:r>
      <w:r>
        <w:rPr>
          <w:rFonts w:ascii="Arial" w:hAnsi="Arial" w:cs="Arial"/>
          <w:color w:val="000000"/>
          <w:sz w:val="22"/>
          <w:szCs w:val="22"/>
        </w:rPr>
        <w:t xml:space="preserve"> Distribution of the households according to their household vulnerability score</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418"/>
      </w:tblGrid>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lang w:val="en-IN" w:eastAsia="en-IN"/>
              </w:rPr>
            </w:pPr>
            <w:r>
              <w:rPr>
                <w:rFonts w:ascii="Arial" w:hAnsi="Arial" w:cs="Arial"/>
                <w:lang w:val="en-IN" w:eastAsia="en-IN"/>
              </w:rPr>
              <w:lastRenderedPageBreak/>
              <w:t>Categories</w:t>
            </w:r>
          </w:p>
        </w:tc>
        <w:tc>
          <w:tcPr>
            <w:tcW w:w="1276" w:type="dxa"/>
            <w:shd w:val="clear" w:color="auto" w:fill="auto"/>
            <w:noWrap/>
            <w:vAlign w:val="bottom"/>
            <w:hideMark/>
          </w:tcPr>
          <w:p w:rsidR="000F63CB" w:rsidRDefault="00834ADD">
            <w:pPr>
              <w:spacing w:line="480" w:lineRule="auto"/>
              <w:rPr>
                <w:rFonts w:ascii="Arial" w:hAnsi="Arial" w:cs="Arial"/>
                <w:lang w:val="en-IN" w:eastAsia="en-IN"/>
              </w:rPr>
            </w:pPr>
            <w:r>
              <w:rPr>
                <w:rFonts w:ascii="Arial" w:hAnsi="Arial" w:cs="Arial"/>
                <w:lang w:val="en-IN" w:eastAsia="en-IN"/>
              </w:rPr>
              <w:t xml:space="preserve">Frequency </w:t>
            </w:r>
          </w:p>
        </w:tc>
        <w:tc>
          <w:tcPr>
            <w:tcW w:w="1418" w:type="dxa"/>
          </w:tcPr>
          <w:p w:rsidR="000F63CB" w:rsidRDefault="00834ADD">
            <w:pPr>
              <w:spacing w:line="480" w:lineRule="auto"/>
              <w:rPr>
                <w:rFonts w:ascii="Arial" w:hAnsi="Arial" w:cs="Arial"/>
                <w:lang w:val="en-IN" w:eastAsia="en-IN"/>
              </w:rPr>
            </w:pPr>
            <w:r>
              <w:rPr>
                <w:rFonts w:ascii="Arial" w:hAnsi="Arial" w:cs="Arial"/>
                <w:lang w:val="en-IN" w:eastAsia="en-IN"/>
              </w:rPr>
              <w:t>Percentage</w:t>
            </w:r>
          </w:p>
        </w:tc>
      </w:tr>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color w:val="000000"/>
                <w:lang w:val="en-IN" w:eastAsia="en-IN"/>
              </w:rPr>
            </w:pPr>
            <w:r>
              <w:rPr>
                <w:rFonts w:ascii="Arial" w:hAnsi="Arial" w:cs="Arial"/>
                <w:color w:val="000000"/>
                <w:lang w:val="en-IN" w:eastAsia="en-IN"/>
              </w:rPr>
              <w:t>Less vulnerable (&lt;6.85)</w:t>
            </w:r>
          </w:p>
        </w:tc>
        <w:tc>
          <w:tcPr>
            <w:tcW w:w="1276" w:type="dxa"/>
            <w:shd w:val="clear" w:color="auto" w:fill="auto"/>
            <w:noWrap/>
            <w:vAlign w:val="bottom"/>
            <w:hideMark/>
          </w:tcPr>
          <w:p w:rsidR="000F63CB" w:rsidRDefault="00834ADD">
            <w:pPr>
              <w:spacing w:line="480" w:lineRule="auto"/>
              <w:jc w:val="right"/>
              <w:rPr>
                <w:rFonts w:ascii="Arial" w:hAnsi="Arial" w:cs="Arial"/>
                <w:color w:val="000000"/>
                <w:lang w:val="en-IN" w:eastAsia="en-IN"/>
              </w:rPr>
            </w:pPr>
            <w:r>
              <w:rPr>
                <w:rFonts w:ascii="Arial" w:hAnsi="Arial" w:cs="Arial"/>
                <w:color w:val="000000"/>
                <w:lang w:val="en-IN" w:eastAsia="en-IN"/>
              </w:rPr>
              <w:t>11</w:t>
            </w:r>
          </w:p>
        </w:tc>
        <w:tc>
          <w:tcPr>
            <w:tcW w:w="1418" w:type="dxa"/>
            <w:shd w:val="clear" w:color="auto" w:fill="auto"/>
            <w:vAlign w:val="bottom"/>
          </w:tcPr>
          <w:p w:rsidR="000F63CB" w:rsidRDefault="00834ADD">
            <w:pPr>
              <w:spacing w:line="480" w:lineRule="auto"/>
              <w:jc w:val="right"/>
              <w:rPr>
                <w:rFonts w:ascii="Arial" w:hAnsi="Arial" w:cs="Arial"/>
                <w:color w:val="000000"/>
              </w:rPr>
            </w:pPr>
            <w:r>
              <w:rPr>
                <w:rFonts w:ascii="Arial" w:hAnsi="Arial" w:cs="Arial"/>
                <w:color w:val="000000"/>
              </w:rPr>
              <w:t>18.33</w:t>
            </w:r>
          </w:p>
        </w:tc>
      </w:tr>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color w:val="000000"/>
                <w:lang w:val="en-IN" w:eastAsia="en-IN"/>
              </w:rPr>
            </w:pPr>
            <w:r>
              <w:rPr>
                <w:rFonts w:ascii="Arial" w:hAnsi="Arial" w:cs="Arial"/>
                <w:color w:val="000000"/>
                <w:lang w:val="en-IN" w:eastAsia="en-IN"/>
              </w:rPr>
              <w:t>Moderately vulnerable (6.85 to 7.46)</w:t>
            </w:r>
          </w:p>
        </w:tc>
        <w:tc>
          <w:tcPr>
            <w:tcW w:w="1276" w:type="dxa"/>
            <w:shd w:val="clear" w:color="auto" w:fill="auto"/>
            <w:noWrap/>
            <w:vAlign w:val="bottom"/>
            <w:hideMark/>
          </w:tcPr>
          <w:p w:rsidR="000F63CB" w:rsidRDefault="00834ADD">
            <w:pPr>
              <w:spacing w:line="480" w:lineRule="auto"/>
              <w:jc w:val="right"/>
              <w:rPr>
                <w:rFonts w:ascii="Arial" w:hAnsi="Arial" w:cs="Arial"/>
                <w:lang w:val="en-IN" w:eastAsia="en-IN"/>
              </w:rPr>
            </w:pPr>
            <w:r>
              <w:rPr>
                <w:rFonts w:ascii="Arial" w:hAnsi="Arial" w:cs="Arial"/>
                <w:lang w:val="en-IN" w:eastAsia="en-IN"/>
              </w:rPr>
              <w:t>37</w:t>
            </w:r>
          </w:p>
        </w:tc>
        <w:tc>
          <w:tcPr>
            <w:tcW w:w="1418" w:type="dxa"/>
            <w:shd w:val="clear" w:color="auto" w:fill="auto"/>
            <w:vAlign w:val="bottom"/>
          </w:tcPr>
          <w:p w:rsidR="000F63CB" w:rsidRDefault="00834ADD">
            <w:pPr>
              <w:spacing w:line="480" w:lineRule="auto"/>
              <w:jc w:val="right"/>
              <w:rPr>
                <w:rFonts w:ascii="Arial" w:hAnsi="Arial" w:cs="Arial"/>
                <w:color w:val="000000"/>
              </w:rPr>
            </w:pPr>
            <w:r>
              <w:rPr>
                <w:rFonts w:ascii="Arial" w:hAnsi="Arial" w:cs="Arial"/>
                <w:color w:val="000000"/>
              </w:rPr>
              <w:t>61.67</w:t>
            </w:r>
          </w:p>
        </w:tc>
      </w:tr>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color w:val="000000"/>
                <w:lang w:val="en-IN" w:eastAsia="en-IN"/>
              </w:rPr>
            </w:pPr>
            <w:r>
              <w:rPr>
                <w:rFonts w:ascii="Arial" w:hAnsi="Arial" w:cs="Arial"/>
                <w:color w:val="000000"/>
                <w:lang w:val="en-IN" w:eastAsia="en-IN"/>
              </w:rPr>
              <w:t>Highly vulnerable (&gt;7.46)</w:t>
            </w:r>
          </w:p>
        </w:tc>
        <w:tc>
          <w:tcPr>
            <w:tcW w:w="1276" w:type="dxa"/>
            <w:shd w:val="clear" w:color="auto" w:fill="auto"/>
            <w:noWrap/>
            <w:vAlign w:val="bottom"/>
            <w:hideMark/>
          </w:tcPr>
          <w:p w:rsidR="000F63CB" w:rsidRDefault="00834ADD">
            <w:pPr>
              <w:spacing w:line="480" w:lineRule="auto"/>
              <w:jc w:val="right"/>
              <w:rPr>
                <w:rFonts w:ascii="Arial" w:hAnsi="Arial" w:cs="Arial"/>
                <w:color w:val="000000"/>
                <w:lang w:val="en-IN" w:eastAsia="en-IN"/>
              </w:rPr>
            </w:pPr>
            <w:r>
              <w:rPr>
                <w:rFonts w:ascii="Arial" w:hAnsi="Arial" w:cs="Arial"/>
                <w:color w:val="000000"/>
                <w:lang w:val="en-IN" w:eastAsia="en-IN"/>
              </w:rPr>
              <w:t>12</w:t>
            </w:r>
          </w:p>
        </w:tc>
        <w:tc>
          <w:tcPr>
            <w:tcW w:w="1418" w:type="dxa"/>
            <w:shd w:val="clear" w:color="auto" w:fill="auto"/>
            <w:vAlign w:val="bottom"/>
          </w:tcPr>
          <w:p w:rsidR="000F63CB" w:rsidRDefault="00834ADD">
            <w:pPr>
              <w:spacing w:line="480" w:lineRule="auto"/>
              <w:jc w:val="right"/>
              <w:rPr>
                <w:rFonts w:ascii="Arial" w:hAnsi="Arial" w:cs="Arial"/>
                <w:color w:val="000000"/>
              </w:rPr>
            </w:pPr>
            <w:r>
              <w:rPr>
                <w:rFonts w:ascii="Arial" w:hAnsi="Arial" w:cs="Arial"/>
                <w:color w:val="000000"/>
              </w:rPr>
              <w:t>20.00</w:t>
            </w:r>
          </w:p>
        </w:tc>
      </w:tr>
    </w:tbl>
    <w:p w:rsidR="000F63CB" w:rsidRDefault="000F63CB">
      <w:pPr>
        <w:pStyle w:val="Body"/>
        <w:spacing w:after="0"/>
        <w:rPr>
          <w:rFonts w:ascii="Arial" w:hAnsi="Arial" w:cs="Arial"/>
          <w:color w:val="FF0000"/>
        </w:rPr>
      </w:pPr>
    </w:p>
    <w:p w:rsidR="000F63CB" w:rsidRPr="00BB3E78" w:rsidRDefault="00834ADD">
      <w:pPr>
        <w:pStyle w:val="Body"/>
        <w:spacing w:after="0"/>
        <w:rPr>
          <w:rFonts w:ascii="Arial" w:hAnsi="Arial" w:cs="Arial"/>
          <w:b/>
          <w:sz w:val="22"/>
          <w:szCs w:val="22"/>
          <w:highlight w:val="yellow"/>
        </w:rPr>
      </w:pPr>
      <w:r w:rsidRPr="00BB3E78">
        <w:rPr>
          <w:rFonts w:ascii="Arial" w:hAnsi="Arial" w:cs="Arial"/>
          <w:b/>
          <w:sz w:val="22"/>
          <w:szCs w:val="22"/>
          <w:highlight w:val="yellow"/>
        </w:rPr>
        <w:t xml:space="preserve">3.3 Relationship between independent variables and </w:t>
      </w:r>
      <w:r w:rsidR="001627F1" w:rsidRPr="00BB3E78">
        <w:rPr>
          <w:rFonts w:ascii="Arial" w:hAnsi="Arial" w:cs="Arial"/>
          <w:b/>
          <w:sz w:val="22"/>
          <w:szCs w:val="22"/>
          <w:highlight w:val="yellow"/>
        </w:rPr>
        <w:t>Household Vulnerability</w:t>
      </w:r>
      <w:r w:rsidRPr="00BB3E78">
        <w:rPr>
          <w:rFonts w:ascii="Arial" w:hAnsi="Arial" w:cs="Arial"/>
          <w:b/>
          <w:sz w:val="22"/>
          <w:szCs w:val="22"/>
          <w:highlight w:val="yellow"/>
        </w:rPr>
        <w:t xml:space="preserve"> to climate change</w:t>
      </w:r>
    </w:p>
    <w:p w:rsidR="000F63CB" w:rsidRDefault="00834ADD">
      <w:pPr>
        <w:pStyle w:val="Body"/>
        <w:spacing w:after="0"/>
        <w:rPr>
          <w:rFonts w:ascii="Arial" w:hAnsi="Arial" w:cs="Arial"/>
          <w:b/>
        </w:rPr>
      </w:pPr>
      <w:r w:rsidRPr="00BB3E78">
        <w:rPr>
          <w:rFonts w:ascii="Arial" w:hAnsi="Arial" w:cs="Arial"/>
          <w:highlight w:val="yellow"/>
        </w:rPr>
        <w:t xml:space="preserve">For determining the relationship between independent variables and household vulnerability to climate change, </w:t>
      </w:r>
      <w:r w:rsidR="001627F1" w:rsidRPr="00BB3E78">
        <w:rPr>
          <w:rFonts w:ascii="Arial" w:hAnsi="Arial" w:cs="Arial"/>
          <w:highlight w:val="yellow"/>
        </w:rPr>
        <w:t xml:space="preserve">the </w:t>
      </w:r>
      <w:r w:rsidRPr="00BB3E78">
        <w:rPr>
          <w:rFonts w:ascii="Arial" w:hAnsi="Arial" w:cs="Arial"/>
          <w:highlight w:val="yellow"/>
        </w:rPr>
        <w:t>Pearson correlation coefficient test was utilized, the results of which are presented in Table 6.</w:t>
      </w:r>
      <w:r w:rsidRPr="00BB3E78">
        <w:rPr>
          <w:rFonts w:ascii="Arial" w:hAnsi="Arial" w:cs="Arial"/>
          <w:b/>
          <w:highlight w:val="yellow"/>
        </w:rPr>
        <w:t xml:space="preserve"> </w:t>
      </w:r>
      <w:r>
        <w:rPr>
          <w:rFonts w:ascii="Arial" w:hAnsi="Arial" w:cs="Arial"/>
        </w:rPr>
        <w:t xml:space="preserve">The observations of Table 6 demonstrate that variables such as income of primary women, primary </w:t>
      </w:r>
      <w:r w:rsidR="001627F1">
        <w:rPr>
          <w:rFonts w:ascii="Arial" w:hAnsi="Arial" w:cs="Arial"/>
        </w:rPr>
        <w:t xml:space="preserve">women's </w:t>
      </w:r>
      <w:r>
        <w:rPr>
          <w:rFonts w:ascii="Arial" w:hAnsi="Arial" w:cs="Arial"/>
        </w:rPr>
        <w:t xml:space="preserve">contribution </w:t>
      </w:r>
      <w:r w:rsidR="00704161">
        <w:rPr>
          <w:rFonts w:ascii="Arial" w:hAnsi="Arial" w:cs="Arial"/>
        </w:rPr>
        <w:t xml:space="preserve">to </w:t>
      </w:r>
      <w:r>
        <w:rPr>
          <w:rFonts w:ascii="Arial" w:hAnsi="Arial" w:cs="Arial"/>
        </w:rPr>
        <w:t xml:space="preserve">household income, </w:t>
      </w:r>
      <w:r w:rsidR="001627F1">
        <w:rPr>
          <w:rFonts w:ascii="Arial" w:hAnsi="Arial" w:cs="Arial"/>
        </w:rPr>
        <w:t xml:space="preserve">and </w:t>
      </w:r>
      <w:r>
        <w:rPr>
          <w:rFonts w:ascii="Arial" w:hAnsi="Arial" w:cs="Arial"/>
        </w:rPr>
        <w:t xml:space="preserve">household head had </w:t>
      </w:r>
      <w:r w:rsidR="001627F1">
        <w:rPr>
          <w:rFonts w:ascii="Arial" w:hAnsi="Arial" w:cs="Arial"/>
        </w:rPr>
        <w:t xml:space="preserve">a </w:t>
      </w:r>
      <w:r>
        <w:rPr>
          <w:rFonts w:ascii="Arial" w:hAnsi="Arial" w:cs="Arial"/>
        </w:rPr>
        <w:t xml:space="preserve">positive and significant relationship with the vulnerability of households at </w:t>
      </w:r>
      <w:r w:rsidR="001627F1">
        <w:rPr>
          <w:rFonts w:ascii="Arial" w:hAnsi="Arial" w:cs="Arial"/>
        </w:rPr>
        <w:t xml:space="preserve">a </w:t>
      </w:r>
      <w:r>
        <w:rPr>
          <w:rFonts w:ascii="Arial" w:hAnsi="Arial" w:cs="Arial"/>
        </w:rPr>
        <w:t xml:space="preserve">1 percent level of significance. </w:t>
      </w:r>
      <w:r w:rsidR="001627F1">
        <w:rPr>
          <w:rFonts w:ascii="Arial" w:hAnsi="Arial" w:cs="Arial"/>
        </w:rPr>
        <w:t xml:space="preserve">The income </w:t>
      </w:r>
      <w:r>
        <w:rPr>
          <w:rFonts w:ascii="Arial" w:hAnsi="Arial" w:cs="Arial"/>
        </w:rPr>
        <w:t xml:space="preserve">of primary women and primary </w:t>
      </w:r>
      <w:r w:rsidR="001627F1">
        <w:rPr>
          <w:rFonts w:ascii="Arial" w:hAnsi="Arial" w:cs="Arial"/>
        </w:rPr>
        <w:t xml:space="preserve">women's </w:t>
      </w:r>
      <w:r>
        <w:rPr>
          <w:rFonts w:ascii="Arial" w:hAnsi="Arial" w:cs="Arial"/>
        </w:rPr>
        <w:t xml:space="preserve">contribution </w:t>
      </w:r>
      <w:r w:rsidR="001627F1">
        <w:rPr>
          <w:rFonts w:ascii="Arial" w:hAnsi="Arial" w:cs="Arial"/>
        </w:rPr>
        <w:t xml:space="preserve">to </w:t>
      </w:r>
      <w:r>
        <w:rPr>
          <w:rFonts w:ascii="Arial" w:hAnsi="Arial" w:cs="Arial"/>
        </w:rPr>
        <w:t xml:space="preserve">household income </w:t>
      </w:r>
      <w:r w:rsidR="00704161">
        <w:rPr>
          <w:rFonts w:ascii="Arial" w:hAnsi="Arial" w:cs="Arial"/>
        </w:rPr>
        <w:t>has</w:t>
      </w:r>
      <w:r w:rsidR="001627F1">
        <w:rPr>
          <w:rFonts w:ascii="Arial" w:hAnsi="Arial" w:cs="Arial"/>
        </w:rPr>
        <w:t xml:space="preserve"> a </w:t>
      </w:r>
      <w:r>
        <w:rPr>
          <w:rFonts w:ascii="Arial" w:hAnsi="Arial" w:cs="Arial"/>
        </w:rPr>
        <w:t xml:space="preserve">positive significant relation with </w:t>
      </w:r>
      <w:r w:rsidR="001627F1">
        <w:rPr>
          <w:rFonts w:ascii="Arial" w:hAnsi="Arial" w:cs="Arial"/>
        </w:rPr>
        <w:t xml:space="preserve">the </w:t>
      </w:r>
      <w:r>
        <w:rPr>
          <w:rFonts w:ascii="Arial" w:hAnsi="Arial" w:cs="Arial"/>
        </w:rPr>
        <w:t xml:space="preserve">LVI of households. It is </w:t>
      </w:r>
      <w:r w:rsidRPr="00BB3E78">
        <w:rPr>
          <w:rFonts w:ascii="Arial" w:hAnsi="Arial" w:cs="Arial"/>
          <w:highlight w:val="yellow"/>
        </w:rPr>
        <w:t xml:space="preserve">because in the study area income of primary women and their contribution is more in the household only when the household is </w:t>
      </w:r>
      <w:r w:rsidR="001627F1" w:rsidRPr="00BB3E78">
        <w:rPr>
          <w:rFonts w:ascii="Arial" w:hAnsi="Arial" w:cs="Arial"/>
          <w:highlight w:val="yellow"/>
        </w:rPr>
        <w:t>female-headed</w:t>
      </w:r>
      <w:r w:rsidRPr="00BB3E78">
        <w:rPr>
          <w:rFonts w:ascii="Arial" w:hAnsi="Arial" w:cs="Arial"/>
          <w:highlight w:val="yellow"/>
        </w:rPr>
        <w:t xml:space="preserve">. Usually in </w:t>
      </w:r>
      <w:r w:rsidR="001627F1" w:rsidRPr="00BB3E78">
        <w:rPr>
          <w:rFonts w:ascii="Arial" w:hAnsi="Arial" w:cs="Arial"/>
          <w:highlight w:val="yellow"/>
        </w:rPr>
        <w:t>male-headed</w:t>
      </w:r>
      <w:r w:rsidRPr="00BB3E78">
        <w:rPr>
          <w:rFonts w:ascii="Arial" w:hAnsi="Arial" w:cs="Arial"/>
          <w:highlight w:val="yellow"/>
        </w:rPr>
        <w:t xml:space="preserve"> households’ primary </w:t>
      </w:r>
      <w:r w:rsidR="001627F1" w:rsidRPr="00BB3E78">
        <w:rPr>
          <w:rFonts w:ascii="Arial" w:hAnsi="Arial" w:cs="Arial"/>
          <w:highlight w:val="yellow"/>
        </w:rPr>
        <w:t xml:space="preserve">women's </w:t>
      </w:r>
      <w:r w:rsidRPr="00BB3E78">
        <w:rPr>
          <w:rFonts w:ascii="Arial" w:hAnsi="Arial" w:cs="Arial"/>
          <w:highlight w:val="yellow"/>
        </w:rPr>
        <w:t xml:space="preserve">contribution is </w:t>
      </w:r>
      <w:r w:rsidR="001627F1" w:rsidRPr="00BB3E78">
        <w:rPr>
          <w:rFonts w:ascii="Arial" w:hAnsi="Arial" w:cs="Arial"/>
          <w:highlight w:val="yellow"/>
        </w:rPr>
        <w:t xml:space="preserve">much </w:t>
      </w:r>
      <w:r w:rsidRPr="00BB3E78">
        <w:rPr>
          <w:rFonts w:ascii="Arial" w:hAnsi="Arial" w:cs="Arial"/>
          <w:highlight w:val="yellow"/>
        </w:rPr>
        <w:t xml:space="preserve">less. So, a positive significant correlation indicates that where primary </w:t>
      </w:r>
      <w:r w:rsidR="001627F1" w:rsidRPr="00BB3E78">
        <w:rPr>
          <w:rFonts w:ascii="Arial" w:hAnsi="Arial" w:cs="Arial"/>
          <w:highlight w:val="yellow"/>
        </w:rPr>
        <w:t xml:space="preserve">women's </w:t>
      </w:r>
      <w:r w:rsidRPr="00BB3E78">
        <w:rPr>
          <w:rFonts w:ascii="Arial" w:hAnsi="Arial" w:cs="Arial"/>
          <w:highlight w:val="yellow"/>
        </w:rPr>
        <w:t xml:space="preserve">income is high their vulnerability </w:t>
      </w:r>
      <w:r>
        <w:rPr>
          <w:rFonts w:ascii="Arial" w:hAnsi="Arial" w:cs="Arial"/>
        </w:rPr>
        <w:t xml:space="preserve">value is also high which denotes that </w:t>
      </w:r>
      <w:r w:rsidR="001627F1">
        <w:rPr>
          <w:rFonts w:ascii="Arial" w:hAnsi="Arial" w:cs="Arial"/>
        </w:rPr>
        <w:t>female-headed</w:t>
      </w:r>
      <w:r>
        <w:rPr>
          <w:rFonts w:ascii="Arial" w:hAnsi="Arial" w:cs="Arial"/>
        </w:rPr>
        <w:t xml:space="preserve"> households </w:t>
      </w:r>
      <w:r w:rsidRPr="00BB3E78">
        <w:rPr>
          <w:rFonts w:ascii="Arial" w:hAnsi="Arial" w:cs="Arial"/>
          <w:highlight w:val="yellow"/>
        </w:rPr>
        <w:t xml:space="preserve">are comparatively more vulnerable to the impacts of climate change </w:t>
      </w:r>
      <w:r w:rsidR="001627F1" w:rsidRPr="00BB3E78">
        <w:rPr>
          <w:rFonts w:ascii="Arial" w:hAnsi="Arial" w:cs="Arial"/>
          <w:highlight w:val="yellow"/>
        </w:rPr>
        <w:t>than male-headed</w:t>
      </w:r>
      <w:r w:rsidRPr="00BB3E78">
        <w:rPr>
          <w:rFonts w:ascii="Arial" w:hAnsi="Arial" w:cs="Arial"/>
          <w:highlight w:val="yellow"/>
        </w:rPr>
        <w:t xml:space="preserve"> households.  A positive significant correlation with </w:t>
      </w:r>
      <w:r w:rsidR="001627F1" w:rsidRPr="00BB3E78">
        <w:rPr>
          <w:rFonts w:ascii="Arial" w:hAnsi="Arial" w:cs="Arial"/>
          <w:highlight w:val="yellow"/>
        </w:rPr>
        <w:t xml:space="preserve">the </w:t>
      </w:r>
      <w:r w:rsidRPr="00BB3E78">
        <w:rPr>
          <w:rFonts w:ascii="Arial" w:hAnsi="Arial" w:cs="Arial"/>
          <w:highlight w:val="yellow"/>
        </w:rPr>
        <w:t xml:space="preserve">type of households also confirms </w:t>
      </w:r>
      <w:r w:rsidR="001627F1" w:rsidRPr="00BB3E78">
        <w:rPr>
          <w:rFonts w:ascii="Arial" w:hAnsi="Arial" w:cs="Arial"/>
          <w:highlight w:val="yellow"/>
        </w:rPr>
        <w:t xml:space="preserve">the </w:t>
      </w:r>
      <w:r w:rsidRPr="00BB3E78">
        <w:rPr>
          <w:rFonts w:ascii="Arial" w:hAnsi="Arial" w:cs="Arial"/>
          <w:highlight w:val="yellow"/>
        </w:rPr>
        <w:t xml:space="preserve">fact that </w:t>
      </w:r>
      <w:r w:rsidR="001627F1" w:rsidRPr="00BB3E78">
        <w:rPr>
          <w:rFonts w:ascii="Arial" w:hAnsi="Arial" w:cs="Arial"/>
          <w:highlight w:val="yellow"/>
        </w:rPr>
        <w:t>female-headed</w:t>
      </w:r>
      <w:r w:rsidRPr="00BB3E78">
        <w:rPr>
          <w:rFonts w:ascii="Arial" w:hAnsi="Arial" w:cs="Arial"/>
          <w:highlight w:val="yellow"/>
        </w:rPr>
        <w:t xml:space="preserve"> households are more vulnerable to climate </w:t>
      </w:r>
      <w:r>
        <w:rPr>
          <w:rFonts w:ascii="Arial" w:hAnsi="Arial" w:cs="Arial"/>
        </w:rPr>
        <w:t xml:space="preserve">change since it was assigned a higher nominal value i.e. 2, during analysis. The findings are similar </w:t>
      </w:r>
      <w:r w:rsidR="001627F1">
        <w:rPr>
          <w:rFonts w:ascii="Arial" w:hAnsi="Arial" w:cs="Arial"/>
        </w:rPr>
        <w:t xml:space="preserve">to </w:t>
      </w:r>
      <w:r>
        <w:rPr>
          <w:rFonts w:ascii="Arial" w:hAnsi="Arial" w:cs="Arial"/>
        </w:rPr>
        <w:t xml:space="preserve">a study conducted in Ghana which highlighted that </w:t>
      </w:r>
      <w:r w:rsidR="001627F1" w:rsidRPr="00BB3E78">
        <w:rPr>
          <w:rFonts w:ascii="Arial" w:hAnsi="Arial" w:cs="Arial"/>
          <w:highlight w:val="yellow"/>
        </w:rPr>
        <w:t>female-headed</w:t>
      </w:r>
      <w:r w:rsidRPr="00BB3E78">
        <w:rPr>
          <w:rFonts w:ascii="Arial" w:hAnsi="Arial" w:cs="Arial"/>
          <w:highlight w:val="yellow"/>
        </w:rPr>
        <w:t xml:space="preserve"> households are more vulnerable to climate change </w:t>
      </w:r>
      <w:r w:rsidR="001627F1" w:rsidRPr="00BB3E78">
        <w:rPr>
          <w:rFonts w:ascii="Arial" w:hAnsi="Arial" w:cs="Arial"/>
          <w:highlight w:val="yellow"/>
        </w:rPr>
        <w:t>than male-headed</w:t>
      </w:r>
      <w:r w:rsidRPr="00BB3E78">
        <w:rPr>
          <w:rFonts w:ascii="Arial" w:hAnsi="Arial" w:cs="Arial"/>
          <w:highlight w:val="yellow"/>
        </w:rPr>
        <w:t xml:space="preserve"> households </w:t>
      </w:r>
      <w:r w:rsidRPr="00BB3E78">
        <w:rPr>
          <w:rFonts w:ascii="Arial" w:hAnsi="Arial" w:cs="Arial"/>
          <w:b/>
          <w:highlight w:val="yellow"/>
        </w:rPr>
        <w:t>[25].</w:t>
      </w:r>
      <w:r w:rsidRPr="00BB3E78">
        <w:rPr>
          <w:rFonts w:ascii="Arial" w:hAnsi="Arial" w:cs="Arial"/>
          <w:highlight w:val="yellow"/>
        </w:rPr>
        <w:t xml:space="preserve"> </w:t>
      </w:r>
      <w:r w:rsidR="001627F1" w:rsidRPr="00BB3E78">
        <w:rPr>
          <w:rFonts w:ascii="Arial" w:hAnsi="Arial" w:cs="Arial"/>
          <w:highlight w:val="yellow"/>
        </w:rPr>
        <w:t xml:space="preserve">The remaining </w:t>
      </w:r>
      <w:r w:rsidRPr="00BB3E78">
        <w:rPr>
          <w:rFonts w:ascii="Arial" w:hAnsi="Arial" w:cs="Arial"/>
          <w:highlight w:val="yellow"/>
        </w:rPr>
        <w:t xml:space="preserve">variables namely age of primary women, access </w:t>
      </w:r>
      <w:r>
        <w:rPr>
          <w:rFonts w:ascii="Arial" w:hAnsi="Arial" w:cs="Arial"/>
        </w:rPr>
        <w:t xml:space="preserve">and control over productive resources, </w:t>
      </w:r>
      <w:r w:rsidR="001627F1">
        <w:rPr>
          <w:rFonts w:ascii="Arial" w:hAnsi="Arial" w:cs="Arial"/>
        </w:rPr>
        <w:t xml:space="preserve">and </w:t>
      </w:r>
      <w:r>
        <w:rPr>
          <w:rFonts w:ascii="Arial" w:hAnsi="Arial" w:cs="Arial"/>
        </w:rPr>
        <w:t xml:space="preserve">contribution and control over household income and workload were positive but non-significantly correlated with LVI of households whereas variables namely education level of primary women, participation in decision making are negative but non-significantly correlated with the LVI of households. </w:t>
      </w:r>
    </w:p>
    <w:p w:rsidR="000F63CB" w:rsidRDefault="000F63CB">
      <w:pPr>
        <w:pStyle w:val="Body"/>
        <w:spacing w:after="0"/>
        <w:rPr>
          <w:rFonts w:ascii="Arial" w:hAnsi="Arial" w:cs="Arial"/>
        </w:rPr>
      </w:pPr>
    </w:p>
    <w:p w:rsidR="000F63CB" w:rsidRDefault="00834ADD">
      <w:pPr>
        <w:pStyle w:val="Body"/>
        <w:spacing w:after="0"/>
        <w:rPr>
          <w:rFonts w:ascii="Arial" w:hAnsi="Arial" w:cs="Arial"/>
          <w:b/>
        </w:rPr>
      </w:pPr>
      <w:r w:rsidRPr="00112D39">
        <w:rPr>
          <w:rFonts w:ascii="Arial" w:hAnsi="Arial" w:cs="Arial"/>
          <w:b/>
        </w:rPr>
        <w:t>Table 6:</w:t>
      </w:r>
      <w:r>
        <w:rPr>
          <w:rFonts w:ascii="Arial" w:hAnsi="Arial" w:cs="Arial"/>
          <w:b/>
        </w:rPr>
        <w:t xml:space="preserve"> Relation between independent variables and LVI of households</w:t>
      </w:r>
    </w:p>
    <w:tbl>
      <w:tblPr>
        <w:tblStyle w:val="TableGrid"/>
        <w:tblW w:w="8897" w:type="dxa"/>
        <w:tblLook w:val="04A0" w:firstRow="1" w:lastRow="0" w:firstColumn="1" w:lastColumn="0" w:noHBand="0" w:noVBand="1"/>
      </w:tblPr>
      <w:tblGrid>
        <w:gridCol w:w="571"/>
        <w:gridCol w:w="5387"/>
        <w:gridCol w:w="1722"/>
        <w:gridCol w:w="1217"/>
      </w:tblGrid>
      <w:tr w:rsidR="000F63CB">
        <w:tc>
          <w:tcPr>
            <w:tcW w:w="571" w:type="dxa"/>
            <w:vAlign w:val="center"/>
            <w:hideMark/>
          </w:tcPr>
          <w:p w:rsidR="000F63CB" w:rsidRDefault="00834ADD">
            <w:pPr>
              <w:pStyle w:val="Body"/>
              <w:rPr>
                <w:rFonts w:ascii="Arial" w:hAnsi="Arial" w:cs="Arial"/>
              </w:rPr>
            </w:pPr>
            <w:r>
              <w:rPr>
                <w:rFonts w:ascii="Arial" w:hAnsi="Arial" w:cs="Arial"/>
                <w:b/>
                <w:bCs/>
              </w:rPr>
              <w:t>Sl. No.</w:t>
            </w:r>
          </w:p>
        </w:tc>
        <w:tc>
          <w:tcPr>
            <w:tcW w:w="5387" w:type="dxa"/>
            <w:vAlign w:val="center"/>
            <w:hideMark/>
          </w:tcPr>
          <w:p w:rsidR="000F63CB" w:rsidRDefault="00834ADD">
            <w:pPr>
              <w:pStyle w:val="Body"/>
              <w:rPr>
                <w:rFonts w:ascii="Arial" w:hAnsi="Arial" w:cs="Arial"/>
              </w:rPr>
            </w:pPr>
            <w:r>
              <w:rPr>
                <w:rFonts w:ascii="Arial" w:hAnsi="Arial" w:cs="Arial"/>
                <w:b/>
                <w:bCs/>
              </w:rPr>
              <w:t>Variable</w:t>
            </w:r>
          </w:p>
        </w:tc>
        <w:tc>
          <w:tcPr>
            <w:tcW w:w="1722" w:type="dxa"/>
            <w:vAlign w:val="center"/>
            <w:hideMark/>
          </w:tcPr>
          <w:p w:rsidR="000F63CB" w:rsidRDefault="00834ADD">
            <w:pPr>
              <w:pStyle w:val="Body"/>
              <w:rPr>
                <w:rFonts w:ascii="Arial" w:hAnsi="Arial" w:cs="Arial"/>
              </w:rPr>
            </w:pPr>
            <w:r>
              <w:rPr>
                <w:rFonts w:ascii="Arial" w:hAnsi="Arial" w:cs="Arial"/>
                <w:b/>
                <w:bCs/>
              </w:rPr>
              <w:t>Pearson correlation coefficient (r)</w:t>
            </w:r>
          </w:p>
        </w:tc>
        <w:tc>
          <w:tcPr>
            <w:tcW w:w="1217" w:type="dxa"/>
            <w:vAlign w:val="center"/>
            <w:hideMark/>
          </w:tcPr>
          <w:p w:rsidR="000F63CB" w:rsidRDefault="00834ADD">
            <w:pPr>
              <w:pStyle w:val="Body"/>
              <w:rPr>
                <w:rFonts w:ascii="Arial" w:hAnsi="Arial" w:cs="Arial"/>
              </w:rPr>
            </w:pPr>
            <w:r>
              <w:rPr>
                <w:rFonts w:ascii="Arial" w:hAnsi="Arial" w:cs="Arial"/>
                <w:b/>
                <w:bCs/>
              </w:rPr>
              <w:t>p-value</w:t>
            </w:r>
          </w:p>
        </w:tc>
      </w:tr>
      <w:tr w:rsidR="000F63CB">
        <w:tc>
          <w:tcPr>
            <w:tcW w:w="571" w:type="dxa"/>
            <w:vAlign w:val="center"/>
            <w:hideMark/>
          </w:tcPr>
          <w:p w:rsidR="000F63CB" w:rsidRDefault="00834ADD">
            <w:pPr>
              <w:pStyle w:val="Body"/>
              <w:rPr>
                <w:rFonts w:ascii="Arial" w:hAnsi="Arial" w:cs="Arial"/>
              </w:rPr>
            </w:pPr>
            <w:r>
              <w:rPr>
                <w:rFonts w:ascii="Arial" w:hAnsi="Arial" w:cs="Arial"/>
              </w:rPr>
              <w:t>1</w:t>
            </w:r>
          </w:p>
        </w:tc>
        <w:tc>
          <w:tcPr>
            <w:tcW w:w="5387" w:type="dxa"/>
            <w:vAlign w:val="center"/>
            <w:hideMark/>
          </w:tcPr>
          <w:p w:rsidR="000F63CB" w:rsidRDefault="00834ADD">
            <w:pPr>
              <w:pStyle w:val="Body"/>
              <w:rPr>
                <w:rFonts w:ascii="Arial" w:hAnsi="Arial" w:cs="Arial"/>
              </w:rPr>
            </w:pPr>
            <w:r>
              <w:rPr>
                <w:rFonts w:ascii="Arial" w:hAnsi="Arial" w:cs="Arial"/>
              </w:rPr>
              <w:t>Age of primary women</w:t>
            </w:r>
          </w:p>
        </w:tc>
        <w:tc>
          <w:tcPr>
            <w:tcW w:w="1722" w:type="dxa"/>
            <w:vAlign w:val="center"/>
            <w:hideMark/>
          </w:tcPr>
          <w:p w:rsidR="000F63CB" w:rsidRDefault="00834ADD">
            <w:pPr>
              <w:pStyle w:val="Body"/>
              <w:rPr>
                <w:rFonts w:ascii="Arial" w:hAnsi="Arial" w:cs="Arial"/>
              </w:rPr>
            </w:pPr>
            <w:r>
              <w:rPr>
                <w:rFonts w:ascii="Arial" w:hAnsi="Arial" w:cs="Arial"/>
              </w:rPr>
              <w:t>0.248</w:t>
            </w:r>
          </w:p>
        </w:tc>
        <w:tc>
          <w:tcPr>
            <w:tcW w:w="1217" w:type="dxa"/>
            <w:vAlign w:val="center"/>
            <w:hideMark/>
          </w:tcPr>
          <w:p w:rsidR="000F63CB" w:rsidRDefault="00834ADD">
            <w:pPr>
              <w:pStyle w:val="Body"/>
              <w:rPr>
                <w:rFonts w:ascii="Arial" w:hAnsi="Arial" w:cs="Arial"/>
              </w:rPr>
            </w:pPr>
            <w:r>
              <w:rPr>
                <w:rFonts w:ascii="Arial" w:hAnsi="Arial" w:cs="Arial"/>
              </w:rPr>
              <w:t>.06</w:t>
            </w:r>
          </w:p>
        </w:tc>
      </w:tr>
      <w:tr w:rsidR="000F63CB">
        <w:tc>
          <w:tcPr>
            <w:tcW w:w="571" w:type="dxa"/>
            <w:vAlign w:val="center"/>
            <w:hideMark/>
          </w:tcPr>
          <w:p w:rsidR="000F63CB" w:rsidRDefault="00834ADD">
            <w:pPr>
              <w:pStyle w:val="Body"/>
              <w:rPr>
                <w:rFonts w:ascii="Arial" w:hAnsi="Arial" w:cs="Arial"/>
              </w:rPr>
            </w:pPr>
            <w:r>
              <w:rPr>
                <w:rFonts w:ascii="Arial" w:hAnsi="Arial" w:cs="Arial"/>
              </w:rPr>
              <w:t>2</w:t>
            </w:r>
          </w:p>
        </w:tc>
        <w:tc>
          <w:tcPr>
            <w:tcW w:w="5387" w:type="dxa"/>
            <w:vAlign w:val="center"/>
            <w:hideMark/>
          </w:tcPr>
          <w:p w:rsidR="000F63CB" w:rsidRDefault="00834ADD">
            <w:pPr>
              <w:pStyle w:val="Body"/>
              <w:rPr>
                <w:rFonts w:ascii="Arial" w:hAnsi="Arial" w:cs="Arial"/>
              </w:rPr>
            </w:pPr>
            <w:r>
              <w:rPr>
                <w:rFonts w:ascii="Arial" w:hAnsi="Arial" w:cs="Arial"/>
              </w:rPr>
              <w:t>Education level of primary women</w:t>
            </w:r>
          </w:p>
        </w:tc>
        <w:tc>
          <w:tcPr>
            <w:tcW w:w="1722" w:type="dxa"/>
            <w:vAlign w:val="center"/>
            <w:hideMark/>
          </w:tcPr>
          <w:p w:rsidR="000F63CB" w:rsidRDefault="00834ADD">
            <w:pPr>
              <w:pStyle w:val="Body"/>
              <w:rPr>
                <w:rFonts w:ascii="Arial" w:hAnsi="Arial" w:cs="Arial"/>
              </w:rPr>
            </w:pPr>
            <w:r>
              <w:rPr>
                <w:rFonts w:ascii="Arial" w:hAnsi="Arial" w:cs="Arial"/>
              </w:rPr>
              <w:t>-0.192</w:t>
            </w:r>
          </w:p>
        </w:tc>
        <w:tc>
          <w:tcPr>
            <w:tcW w:w="1217" w:type="dxa"/>
            <w:vAlign w:val="center"/>
            <w:hideMark/>
          </w:tcPr>
          <w:p w:rsidR="000F63CB" w:rsidRDefault="00834ADD">
            <w:pPr>
              <w:pStyle w:val="Body"/>
              <w:rPr>
                <w:rFonts w:ascii="Arial" w:hAnsi="Arial" w:cs="Arial"/>
              </w:rPr>
            </w:pPr>
            <w:r>
              <w:rPr>
                <w:rFonts w:ascii="Arial" w:hAnsi="Arial" w:cs="Arial"/>
              </w:rPr>
              <w:t>.14</w:t>
            </w:r>
          </w:p>
        </w:tc>
      </w:tr>
      <w:tr w:rsidR="000F63CB">
        <w:tc>
          <w:tcPr>
            <w:tcW w:w="571" w:type="dxa"/>
            <w:vAlign w:val="center"/>
            <w:hideMark/>
          </w:tcPr>
          <w:p w:rsidR="000F63CB" w:rsidRDefault="00834ADD">
            <w:pPr>
              <w:pStyle w:val="Body"/>
              <w:rPr>
                <w:rFonts w:ascii="Arial" w:hAnsi="Arial" w:cs="Arial"/>
              </w:rPr>
            </w:pPr>
            <w:r>
              <w:rPr>
                <w:rFonts w:ascii="Arial" w:hAnsi="Arial" w:cs="Arial"/>
              </w:rPr>
              <w:t>3</w:t>
            </w:r>
          </w:p>
        </w:tc>
        <w:tc>
          <w:tcPr>
            <w:tcW w:w="5387" w:type="dxa"/>
            <w:vAlign w:val="center"/>
            <w:hideMark/>
          </w:tcPr>
          <w:p w:rsidR="000F63CB" w:rsidRDefault="00834ADD">
            <w:pPr>
              <w:pStyle w:val="Body"/>
              <w:rPr>
                <w:rFonts w:ascii="Arial" w:hAnsi="Arial" w:cs="Arial"/>
              </w:rPr>
            </w:pPr>
            <w:r>
              <w:rPr>
                <w:rFonts w:ascii="Arial" w:hAnsi="Arial" w:cs="Arial"/>
              </w:rPr>
              <w:t>Income of primary women</w:t>
            </w:r>
          </w:p>
        </w:tc>
        <w:tc>
          <w:tcPr>
            <w:tcW w:w="1722" w:type="dxa"/>
            <w:vAlign w:val="center"/>
            <w:hideMark/>
          </w:tcPr>
          <w:p w:rsidR="000F63CB" w:rsidRDefault="00834ADD">
            <w:pPr>
              <w:pStyle w:val="Body"/>
              <w:rPr>
                <w:rFonts w:ascii="Arial" w:hAnsi="Arial" w:cs="Arial"/>
              </w:rPr>
            </w:pPr>
            <w:r>
              <w:rPr>
                <w:rFonts w:ascii="Arial" w:hAnsi="Arial" w:cs="Arial"/>
                <w:b/>
                <w:bCs/>
              </w:rPr>
              <w:t>0.433**</w:t>
            </w:r>
          </w:p>
        </w:tc>
        <w:tc>
          <w:tcPr>
            <w:tcW w:w="1217" w:type="dxa"/>
            <w:vAlign w:val="center"/>
            <w:hideMark/>
          </w:tcPr>
          <w:p w:rsidR="000F63CB" w:rsidRDefault="00834ADD">
            <w:pPr>
              <w:pStyle w:val="Body"/>
              <w:rPr>
                <w:rFonts w:ascii="Arial" w:hAnsi="Arial" w:cs="Arial"/>
              </w:rPr>
            </w:pPr>
            <w:r>
              <w:rPr>
                <w:rFonts w:ascii="Arial" w:hAnsi="Arial" w:cs="Arial"/>
              </w:rPr>
              <w:t>.001</w:t>
            </w:r>
          </w:p>
        </w:tc>
      </w:tr>
      <w:tr w:rsidR="000F63CB">
        <w:tc>
          <w:tcPr>
            <w:tcW w:w="571" w:type="dxa"/>
            <w:vAlign w:val="center"/>
            <w:hideMark/>
          </w:tcPr>
          <w:p w:rsidR="000F63CB" w:rsidRDefault="00834ADD">
            <w:pPr>
              <w:pStyle w:val="Body"/>
              <w:rPr>
                <w:rFonts w:ascii="Arial" w:hAnsi="Arial" w:cs="Arial"/>
              </w:rPr>
            </w:pPr>
            <w:r>
              <w:rPr>
                <w:rFonts w:ascii="Arial" w:hAnsi="Arial" w:cs="Arial"/>
              </w:rPr>
              <w:t>4</w:t>
            </w:r>
          </w:p>
        </w:tc>
        <w:tc>
          <w:tcPr>
            <w:tcW w:w="5387" w:type="dxa"/>
            <w:vAlign w:val="center"/>
            <w:hideMark/>
          </w:tcPr>
          <w:p w:rsidR="000F63CB" w:rsidRDefault="00834ADD">
            <w:pPr>
              <w:pStyle w:val="Body"/>
              <w:rPr>
                <w:rFonts w:ascii="Arial" w:hAnsi="Arial" w:cs="Arial"/>
              </w:rPr>
            </w:pPr>
            <w:r>
              <w:rPr>
                <w:rFonts w:ascii="Arial" w:hAnsi="Arial" w:cs="Arial"/>
              </w:rPr>
              <w:t xml:space="preserve">Primary </w:t>
            </w:r>
            <w:r w:rsidR="001627F1">
              <w:rPr>
                <w:rFonts w:ascii="Arial" w:hAnsi="Arial" w:cs="Arial"/>
              </w:rPr>
              <w:t xml:space="preserve">Women's </w:t>
            </w:r>
            <w:r>
              <w:rPr>
                <w:rFonts w:ascii="Arial" w:hAnsi="Arial" w:cs="Arial"/>
              </w:rPr>
              <w:t xml:space="preserve">contribution </w:t>
            </w:r>
            <w:r w:rsidR="00704161">
              <w:rPr>
                <w:rFonts w:ascii="Arial" w:hAnsi="Arial" w:cs="Arial"/>
              </w:rPr>
              <w:t xml:space="preserve">to </w:t>
            </w:r>
            <w:r>
              <w:rPr>
                <w:rFonts w:ascii="Arial" w:hAnsi="Arial" w:cs="Arial"/>
              </w:rPr>
              <w:t xml:space="preserve">household </w:t>
            </w:r>
            <w:r w:rsidR="001627F1">
              <w:rPr>
                <w:rFonts w:ascii="Arial" w:hAnsi="Arial" w:cs="Arial"/>
              </w:rPr>
              <w:t>Income</w:t>
            </w:r>
          </w:p>
        </w:tc>
        <w:tc>
          <w:tcPr>
            <w:tcW w:w="1722" w:type="dxa"/>
            <w:vAlign w:val="center"/>
            <w:hideMark/>
          </w:tcPr>
          <w:p w:rsidR="000F63CB" w:rsidRDefault="00834ADD">
            <w:pPr>
              <w:pStyle w:val="Body"/>
              <w:rPr>
                <w:rFonts w:ascii="Arial" w:hAnsi="Arial" w:cs="Arial"/>
              </w:rPr>
            </w:pPr>
            <w:r>
              <w:rPr>
                <w:rFonts w:ascii="Arial" w:hAnsi="Arial" w:cs="Arial"/>
                <w:b/>
                <w:bCs/>
              </w:rPr>
              <w:t>0.485**</w:t>
            </w:r>
          </w:p>
        </w:tc>
        <w:tc>
          <w:tcPr>
            <w:tcW w:w="1217" w:type="dxa"/>
            <w:vAlign w:val="center"/>
            <w:hideMark/>
          </w:tcPr>
          <w:p w:rsidR="000F63CB" w:rsidRDefault="00834ADD">
            <w:pPr>
              <w:pStyle w:val="Body"/>
              <w:rPr>
                <w:rFonts w:ascii="Arial" w:hAnsi="Arial" w:cs="Arial"/>
              </w:rPr>
            </w:pPr>
            <w:r>
              <w:rPr>
                <w:rFonts w:ascii="Arial" w:hAnsi="Arial" w:cs="Arial"/>
              </w:rPr>
              <w:t>.000</w:t>
            </w:r>
          </w:p>
        </w:tc>
      </w:tr>
      <w:tr w:rsidR="000F63CB">
        <w:tc>
          <w:tcPr>
            <w:tcW w:w="571" w:type="dxa"/>
            <w:vAlign w:val="center"/>
            <w:hideMark/>
          </w:tcPr>
          <w:p w:rsidR="000F63CB" w:rsidRDefault="00834ADD">
            <w:pPr>
              <w:pStyle w:val="Body"/>
              <w:rPr>
                <w:rFonts w:ascii="Arial" w:hAnsi="Arial" w:cs="Arial"/>
              </w:rPr>
            </w:pPr>
            <w:r>
              <w:rPr>
                <w:rFonts w:ascii="Arial" w:hAnsi="Arial" w:cs="Arial"/>
              </w:rPr>
              <w:t>5</w:t>
            </w:r>
          </w:p>
        </w:tc>
        <w:tc>
          <w:tcPr>
            <w:tcW w:w="5387" w:type="dxa"/>
            <w:vAlign w:val="center"/>
            <w:hideMark/>
          </w:tcPr>
          <w:p w:rsidR="000F63CB" w:rsidRDefault="00834ADD">
            <w:pPr>
              <w:pStyle w:val="Body"/>
              <w:rPr>
                <w:rFonts w:ascii="Arial" w:hAnsi="Arial" w:cs="Arial"/>
              </w:rPr>
            </w:pPr>
            <w:r>
              <w:rPr>
                <w:rFonts w:ascii="Arial" w:hAnsi="Arial" w:cs="Arial"/>
              </w:rPr>
              <w:t xml:space="preserve">Participation in </w:t>
            </w:r>
            <w:r w:rsidR="001627F1">
              <w:rPr>
                <w:rFonts w:ascii="Arial" w:hAnsi="Arial" w:cs="Arial"/>
              </w:rPr>
              <w:t>decision-making</w:t>
            </w:r>
          </w:p>
        </w:tc>
        <w:tc>
          <w:tcPr>
            <w:tcW w:w="1722" w:type="dxa"/>
            <w:vAlign w:val="center"/>
            <w:hideMark/>
          </w:tcPr>
          <w:p w:rsidR="000F63CB" w:rsidRDefault="00834ADD">
            <w:pPr>
              <w:pStyle w:val="Body"/>
              <w:rPr>
                <w:rFonts w:ascii="Arial" w:hAnsi="Arial" w:cs="Arial"/>
              </w:rPr>
            </w:pPr>
            <w:r>
              <w:rPr>
                <w:rFonts w:ascii="Arial" w:hAnsi="Arial" w:cs="Arial"/>
              </w:rPr>
              <w:t>-0.016</w:t>
            </w:r>
          </w:p>
        </w:tc>
        <w:tc>
          <w:tcPr>
            <w:tcW w:w="1217" w:type="dxa"/>
            <w:vAlign w:val="center"/>
            <w:hideMark/>
          </w:tcPr>
          <w:p w:rsidR="000F63CB" w:rsidRDefault="00834ADD">
            <w:pPr>
              <w:pStyle w:val="Body"/>
              <w:rPr>
                <w:rFonts w:ascii="Arial" w:hAnsi="Arial" w:cs="Arial"/>
              </w:rPr>
            </w:pPr>
            <w:r>
              <w:rPr>
                <w:rFonts w:ascii="Arial" w:hAnsi="Arial" w:cs="Arial"/>
              </w:rPr>
              <w:t>.9</w:t>
            </w:r>
          </w:p>
        </w:tc>
      </w:tr>
      <w:tr w:rsidR="000F63CB">
        <w:tc>
          <w:tcPr>
            <w:tcW w:w="571" w:type="dxa"/>
            <w:vAlign w:val="center"/>
            <w:hideMark/>
          </w:tcPr>
          <w:p w:rsidR="000F63CB" w:rsidRDefault="00834ADD">
            <w:pPr>
              <w:pStyle w:val="Body"/>
              <w:rPr>
                <w:rFonts w:ascii="Arial" w:hAnsi="Arial" w:cs="Arial"/>
              </w:rPr>
            </w:pPr>
            <w:r>
              <w:rPr>
                <w:rFonts w:ascii="Arial" w:hAnsi="Arial" w:cs="Arial"/>
              </w:rPr>
              <w:t>6</w:t>
            </w:r>
          </w:p>
        </w:tc>
        <w:tc>
          <w:tcPr>
            <w:tcW w:w="5387" w:type="dxa"/>
            <w:vAlign w:val="center"/>
            <w:hideMark/>
          </w:tcPr>
          <w:p w:rsidR="000F63CB" w:rsidRDefault="00834ADD">
            <w:pPr>
              <w:pStyle w:val="Body"/>
              <w:rPr>
                <w:rFonts w:ascii="Arial" w:hAnsi="Arial" w:cs="Arial"/>
              </w:rPr>
            </w:pPr>
            <w:r>
              <w:rPr>
                <w:rFonts w:ascii="Arial" w:hAnsi="Arial" w:cs="Arial"/>
              </w:rPr>
              <w:t>Access and control over productive resources</w:t>
            </w:r>
          </w:p>
        </w:tc>
        <w:tc>
          <w:tcPr>
            <w:tcW w:w="1722" w:type="dxa"/>
            <w:vAlign w:val="center"/>
            <w:hideMark/>
          </w:tcPr>
          <w:p w:rsidR="000F63CB" w:rsidRDefault="00834ADD">
            <w:pPr>
              <w:pStyle w:val="Body"/>
              <w:rPr>
                <w:rFonts w:ascii="Arial" w:hAnsi="Arial" w:cs="Arial"/>
              </w:rPr>
            </w:pPr>
            <w:r>
              <w:rPr>
                <w:rFonts w:ascii="Arial" w:hAnsi="Arial" w:cs="Arial"/>
              </w:rPr>
              <w:t>0.212</w:t>
            </w:r>
          </w:p>
        </w:tc>
        <w:tc>
          <w:tcPr>
            <w:tcW w:w="1217" w:type="dxa"/>
            <w:vAlign w:val="center"/>
            <w:hideMark/>
          </w:tcPr>
          <w:p w:rsidR="000F63CB" w:rsidRDefault="00834ADD">
            <w:pPr>
              <w:pStyle w:val="Body"/>
              <w:rPr>
                <w:rFonts w:ascii="Arial" w:hAnsi="Arial" w:cs="Arial"/>
              </w:rPr>
            </w:pPr>
            <w:r>
              <w:rPr>
                <w:rFonts w:ascii="Arial" w:hAnsi="Arial" w:cs="Arial"/>
              </w:rPr>
              <w:t>.1</w:t>
            </w:r>
          </w:p>
        </w:tc>
      </w:tr>
      <w:tr w:rsidR="000F63CB">
        <w:tc>
          <w:tcPr>
            <w:tcW w:w="571" w:type="dxa"/>
            <w:vAlign w:val="center"/>
            <w:hideMark/>
          </w:tcPr>
          <w:p w:rsidR="000F63CB" w:rsidRDefault="00834ADD">
            <w:pPr>
              <w:pStyle w:val="Body"/>
              <w:rPr>
                <w:rFonts w:ascii="Arial" w:hAnsi="Arial" w:cs="Arial"/>
              </w:rPr>
            </w:pPr>
            <w:r>
              <w:rPr>
                <w:rFonts w:ascii="Arial" w:hAnsi="Arial" w:cs="Arial"/>
              </w:rPr>
              <w:lastRenderedPageBreak/>
              <w:t>7</w:t>
            </w:r>
          </w:p>
        </w:tc>
        <w:tc>
          <w:tcPr>
            <w:tcW w:w="5387" w:type="dxa"/>
            <w:vAlign w:val="center"/>
            <w:hideMark/>
          </w:tcPr>
          <w:p w:rsidR="000F63CB" w:rsidRDefault="00834ADD">
            <w:pPr>
              <w:pStyle w:val="Body"/>
              <w:rPr>
                <w:rFonts w:ascii="Arial" w:hAnsi="Arial" w:cs="Arial"/>
              </w:rPr>
            </w:pPr>
            <w:r>
              <w:rPr>
                <w:rFonts w:ascii="Arial" w:hAnsi="Arial" w:cs="Arial"/>
              </w:rPr>
              <w:t>Contribution and control over household income</w:t>
            </w:r>
          </w:p>
        </w:tc>
        <w:tc>
          <w:tcPr>
            <w:tcW w:w="1722" w:type="dxa"/>
            <w:vAlign w:val="center"/>
            <w:hideMark/>
          </w:tcPr>
          <w:p w:rsidR="000F63CB" w:rsidRDefault="00834ADD">
            <w:pPr>
              <w:pStyle w:val="Body"/>
              <w:rPr>
                <w:rFonts w:ascii="Arial" w:hAnsi="Arial" w:cs="Arial"/>
              </w:rPr>
            </w:pPr>
            <w:r>
              <w:rPr>
                <w:rFonts w:ascii="Arial" w:hAnsi="Arial" w:cs="Arial"/>
              </w:rPr>
              <w:t>0.019</w:t>
            </w:r>
          </w:p>
        </w:tc>
        <w:tc>
          <w:tcPr>
            <w:tcW w:w="1217" w:type="dxa"/>
            <w:vAlign w:val="center"/>
            <w:hideMark/>
          </w:tcPr>
          <w:p w:rsidR="000F63CB" w:rsidRDefault="00834ADD">
            <w:pPr>
              <w:pStyle w:val="Body"/>
              <w:rPr>
                <w:rFonts w:ascii="Arial" w:hAnsi="Arial" w:cs="Arial"/>
              </w:rPr>
            </w:pPr>
            <w:r>
              <w:rPr>
                <w:rFonts w:ascii="Arial" w:hAnsi="Arial" w:cs="Arial"/>
              </w:rPr>
              <w:t>.41</w:t>
            </w:r>
          </w:p>
        </w:tc>
      </w:tr>
      <w:tr w:rsidR="000F63CB">
        <w:tc>
          <w:tcPr>
            <w:tcW w:w="571" w:type="dxa"/>
            <w:vAlign w:val="center"/>
            <w:hideMark/>
          </w:tcPr>
          <w:p w:rsidR="000F63CB" w:rsidRDefault="00834ADD">
            <w:pPr>
              <w:pStyle w:val="Body"/>
              <w:rPr>
                <w:rFonts w:ascii="Arial" w:hAnsi="Arial" w:cs="Arial"/>
              </w:rPr>
            </w:pPr>
            <w:r>
              <w:rPr>
                <w:rFonts w:ascii="Arial" w:hAnsi="Arial" w:cs="Arial"/>
              </w:rPr>
              <w:t>8</w:t>
            </w:r>
          </w:p>
        </w:tc>
        <w:tc>
          <w:tcPr>
            <w:tcW w:w="5387" w:type="dxa"/>
            <w:vAlign w:val="center"/>
            <w:hideMark/>
          </w:tcPr>
          <w:p w:rsidR="000F63CB" w:rsidRDefault="00834ADD">
            <w:pPr>
              <w:pStyle w:val="Body"/>
              <w:rPr>
                <w:rFonts w:ascii="Arial" w:hAnsi="Arial" w:cs="Arial"/>
              </w:rPr>
            </w:pPr>
            <w:r>
              <w:rPr>
                <w:rFonts w:ascii="Arial" w:hAnsi="Arial" w:cs="Arial"/>
              </w:rPr>
              <w:t>Workload</w:t>
            </w:r>
          </w:p>
        </w:tc>
        <w:tc>
          <w:tcPr>
            <w:tcW w:w="1722" w:type="dxa"/>
            <w:vAlign w:val="center"/>
            <w:hideMark/>
          </w:tcPr>
          <w:p w:rsidR="000F63CB" w:rsidRDefault="00834ADD">
            <w:pPr>
              <w:pStyle w:val="Body"/>
              <w:rPr>
                <w:rFonts w:ascii="Arial" w:hAnsi="Arial" w:cs="Arial"/>
              </w:rPr>
            </w:pPr>
            <w:r>
              <w:rPr>
                <w:rFonts w:ascii="Arial" w:hAnsi="Arial" w:cs="Arial"/>
              </w:rPr>
              <w:t>0.017</w:t>
            </w:r>
          </w:p>
        </w:tc>
        <w:tc>
          <w:tcPr>
            <w:tcW w:w="1217" w:type="dxa"/>
            <w:vAlign w:val="center"/>
            <w:hideMark/>
          </w:tcPr>
          <w:p w:rsidR="000F63CB" w:rsidRDefault="00834ADD">
            <w:pPr>
              <w:pStyle w:val="Body"/>
              <w:rPr>
                <w:rFonts w:ascii="Arial" w:hAnsi="Arial" w:cs="Arial"/>
              </w:rPr>
            </w:pPr>
            <w:r>
              <w:rPr>
                <w:rFonts w:ascii="Arial" w:hAnsi="Arial" w:cs="Arial"/>
              </w:rPr>
              <w:t>0.90</w:t>
            </w:r>
          </w:p>
        </w:tc>
      </w:tr>
      <w:tr w:rsidR="000F63CB">
        <w:tc>
          <w:tcPr>
            <w:tcW w:w="571" w:type="dxa"/>
            <w:vAlign w:val="center"/>
            <w:hideMark/>
          </w:tcPr>
          <w:p w:rsidR="000F63CB" w:rsidRDefault="00834ADD">
            <w:pPr>
              <w:pStyle w:val="Body"/>
              <w:rPr>
                <w:rFonts w:ascii="Arial" w:hAnsi="Arial" w:cs="Arial"/>
              </w:rPr>
            </w:pPr>
            <w:r>
              <w:rPr>
                <w:rFonts w:ascii="Arial" w:hAnsi="Arial" w:cs="Arial"/>
              </w:rPr>
              <w:t>9</w:t>
            </w:r>
          </w:p>
        </w:tc>
        <w:tc>
          <w:tcPr>
            <w:tcW w:w="5387" w:type="dxa"/>
            <w:vAlign w:val="center"/>
            <w:hideMark/>
          </w:tcPr>
          <w:p w:rsidR="000F63CB" w:rsidRDefault="00834ADD">
            <w:pPr>
              <w:pStyle w:val="Body"/>
              <w:rPr>
                <w:rFonts w:ascii="Arial" w:hAnsi="Arial" w:cs="Arial"/>
              </w:rPr>
            </w:pPr>
            <w:r>
              <w:rPr>
                <w:rFonts w:ascii="Arial" w:hAnsi="Arial" w:cs="Arial"/>
              </w:rPr>
              <w:t>Household head (1-male headed; 2-female-headed)</w:t>
            </w:r>
          </w:p>
        </w:tc>
        <w:tc>
          <w:tcPr>
            <w:tcW w:w="1722" w:type="dxa"/>
            <w:vAlign w:val="center"/>
            <w:hideMark/>
          </w:tcPr>
          <w:p w:rsidR="000F63CB" w:rsidRDefault="00834ADD">
            <w:pPr>
              <w:pStyle w:val="Body"/>
              <w:rPr>
                <w:rFonts w:ascii="Arial" w:hAnsi="Arial" w:cs="Arial"/>
              </w:rPr>
            </w:pPr>
            <w:r>
              <w:rPr>
                <w:rFonts w:ascii="Arial" w:hAnsi="Arial" w:cs="Arial"/>
                <w:b/>
                <w:bCs/>
              </w:rPr>
              <w:t>0.484**</w:t>
            </w:r>
          </w:p>
        </w:tc>
        <w:tc>
          <w:tcPr>
            <w:tcW w:w="1217" w:type="dxa"/>
            <w:vAlign w:val="center"/>
            <w:hideMark/>
          </w:tcPr>
          <w:p w:rsidR="000F63CB" w:rsidRDefault="00834ADD">
            <w:pPr>
              <w:pStyle w:val="Body"/>
              <w:rPr>
                <w:rFonts w:ascii="Arial" w:hAnsi="Arial" w:cs="Arial"/>
              </w:rPr>
            </w:pPr>
            <w:r>
              <w:rPr>
                <w:rFonts w:ascii="Arial" w:hAnsi="Arial" w:cs="Arial"/>
              </w:rPr>
              <w:t>0.000</w:t>
            </w:r>
          </w:p>
        </w:tc>
      </w:tr>
    </w:tbl>
    <w:p w:rsidR="000F63CB" w:rsidRDefault="00834ADD">
      <w:pPr>
        <w:pStyle w:val="Body"/>
        <w:spacing w:line="480" w:lineRule="auto"/>
        <w:rPr>
          <w:rFonts w:ascii="Arial" w:hAnsi="Arial" w:cs="Arial"/>
          <w:i/>
          <w:sz w:val="18"/>
          <w:szCs w:val="18"/>
        </w:rPr>
      </w:pPr>
      <w:r>
        <w:rPr>
          <w:rFonts w:ascii="Arial" w:hAnsi="Arial" w:cs="Arial"/>
          <w:b/>
          <w:i/>
          <w:sz w:val="18"/>
          <w:szCs w:val="18"/>
        </w:rPr>
        <w:t xml:space="preserve">** </w:t>
      </w:r>
      <w:r>
        <w:rPr>
          <w:rFonts w:ascii="Arial" w:hAnsi="Arial" w:cs="Arial"/>
          <w:i/>
          <w:sz w:val="18"/>
          <w:szCs w:val="18"/>
        </w:rPr>
        <w:t xml:space="preserve">Correlation is significant at the 0.01 level (2- </w:t>
      </w:r>
      <w:r w:rsidR="001627F1">
        <w:rPr>
          <w:rFonts w:ascii="Arial" w:hAnsi="Arial" w:cs="Arial"/>
          <w:i/>
          <w:sz w:val="18"/>
          <w:szCs w:val="18"/>
        </w:rPr>
        <w:t>2-tailed</w:t>
      </w:r>
      <w:r>
        <w:rPr>
          <w:rFonts w:ascii="Arial" w:hAnsi="Arial" w:cs="Arial"/>
          <w:i/>
          <w:sz w:val="18"/>
          <w:szCs w:val="18"/>
        </w:rPr>
        <w:t xml:space="preserve">), </w:t>
      </w:r>
      <w:r>
        <w:rPr>
          <w:rFonts w:ascii="Arial" w:hAnsi="Arial" w:cs="Arial"/>
          <w:b/>
          <w:i/>
          <w:sz w:val="18"/>
          <w:szCs w:val="18"/>
        </w:rPr>
        <w:t xml:space="preserve">* </w:t>
      </w:r>
      <w:r>
        <w:rPr>
          <w:rFonts w:ascii="Arial" w:hAnsi="Arial" w:cs="Arial"/>
          <w:i/>
          <w:sz w:val="18"/>
          <w:szCs w:val="18"/>
        </w:rPr>
        <w:t xml:space="preserve">Correlation is significant at the 0.05level (2-tailed) </w:t>
      </w:r>
    </w:p>
    <w:p w:rsidR="000F63CB" w:rsidRDefault="00834ADD">
      <w:pPr>
        <w:pStyle w:val="Body"/>
        <w:spacing w:after="0"/>
        <w:rPr>
          <w:rFonts w:ascii="Arial" w:hAnsi="Arial" w:cs="Arial"/>
          <w:b/>
          <w:sz w:val="22"/>
          <w:szCs w:val="22"/>
        </w:rPr>
      </w:pPr>
      <w:r>
        <w:rPr>
          <w:rFonts w:ascii="Arial" w:hAnsi="Arial" w:cs="Arial"/>
          <w:b/>
          <w:sz w:val="22"/>
          <w:szCs w:val="22"/>
        </w:rPr>
        <w:t>3.4 Comparing the means of LVI values of different groups present in the intra-household variables</w:t>
      </w:r>
    </w:p>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For comparing the means of LVI values of different groups present in the intra-household variables, one-way ANOVA was performed with the null hypothesis that there are no significant differences among the mean LVI </w:t>
      </w:r>
      <w:r w:rsidR="001627F1">
        <w:rPr>
          <w:rFonts w:ascii="Arial" w:hAnsi="Arial" w:cs="Arial"/>
        </w:rPr>
        <w:t xml:space="preserve">scores </w:t>
      </w:r>
      <w:r>
        <w:rPr>
          <w:rFonts w:ascii="Arial" w:hAnsi="Arial" w:cs="Arial"/>
        </w:rPr>
        <w:t xml:space="preserve">of the different categories of households across the selected intra-household variables. The results of which are shown in table 7. </w:t>
      </w:r>
    </w:p>
    <w:p w:rsidR="000F63CB" w:rsidRDefault="00834ADD">
      <w:pPr>
        <w:pStyle w:val="Body"/>
        <w:rPr>
          <w:rFonts w:ascii="Arial" w:hAnsi="Arial" w:cs="Arial"/>
        </w:rPr>
      </w:pPr>
      <w:r>
        <w:rPr>
          <w:rFonts w:ascii="Arial" w:hAnsi="Arial" w:cs="Arial"/>
        </w:rPr>
        <w:t xml:space="preserve">The observation of Table 7 demonstrates </w:t>
      </w:r>
      <w:r w:rsidR="001627F1">
        <w:rPr>
          <w:rFonts w:ascii="Arial" w:hAnsi="Arial" w:cs="Arial"/>
        </w:rPr>
        <w:t xml:space="preserve">a </w:t>
      </w:r>
      <w:r>
        <w:rPr>
          <w:rFonts w:ascii="Arial" w:hAnsi="Arial" w:cs="Arial"/>
        </w:rPr>
        <w:t xml:space="preserve">significant difference among the means of LVI of different groups at </w:t>
      </w:r>
      <w:r w:rsidR="001627F1">
        <w:rPr>
          <w:rFonts w:ascii="Arial" w:hAnsi="Arial" w:cs="Arial"/>
        </w:rPr>
        <w:t xml:space="preserve">a </w:t>
      </w:r>
      <w:r>
        <w:rPr>
          <w:rFonts w:ascii="Arial" w:hAnsi="Arial" w:cs="Arial"/>
        </w:rPr>
        <w:t xml:space="preserve">1 percent level of </w:t>
      </w:r>
      <w:r w:rsidRPr="00BB3E78">
        <w:rPr>
          <w:rFonts w:ascii="Arial" w:hAnsi="Arial" w:cs="Arial"/>
          <w:highlight w:val="yellow"/>
        </w:rPr>
        <w:t xml:space="preserve">significance in all the selected intra-household variables. In participation in </w:t>
      </w:r>
      <w:r w:rsidR="001627F1" w:rsidRPr="00BB3E78">
        <w:rPr>
          <w:rFonts w:ascii="Arial" w:hAnsi="Arial" w:cs="Arial"/>
          <w:highlight w:val="yellow"/>
        </w:rPr>
        <w:t>decision-making</w:t>
      </w:r>
      <w:r w:rsidRPr="00BB3E78">
        <w:rPr>
          <w:rFonts w:ascii="Arial" w:hAnsi="Arial" w:cs="Arial"/>
          <w:highlight w:val="yellow"/>
        </w:rPr>
        <w:t>, access and control over productive resources, contribution and control ove</w:t>
      </w:r>
      <w:r>
        <w:rPr>
          <w:rFonts w:ascii="Arial" w:hAnsi="Arial" w:cs="Arial"/>
        </w:rPr>
        <w:t xml:space="preserve">r household income and workload variable significant difference was found </w:t>
      </w:r>
      <w:r w:rsidRPr="00BB3E78">
        <w:rPr>
          <w:rFonts w:ascii="Arial" w:hAnsi="Arial" w:cs="Arial"/>
          <w:highlight w:val="yellow"/>
        </w:rPr>
        <w:t xml:space="preserve">between the means of LVI of different groups at </w:t>
      </w:r>
      <w:r w:rsidR="001627F1" w:rsidRPr="00BB3E78">
        <w:rPr>
          <w:rFonts w:ascii="Arial" w:hAnsi="Arial" w:cs="Arial"/>
          <w:highlight w:val="yellow"/>
        </w:rPr>
        <w:t xml:space="preserve">a </w:t>
      </w:r>
      <w:r w:rsidRPr="00BB3E78">
        <w:rPr>
          <w:rFonts w:ascii="Arial" w:hAnsi="Arial" w:cs="Arial"/>
          <w:highlight w:val="yellow"/>
        </w:rPr>
        <w:t xml:space="preserve">1 percent level of significance.  </w:t>
      </w:r>
      <w:r w:rsidR="001627F1" w:rsidRPr="00BB3E78">
        <w:rPr>
          <w:rFonts w:ascii="Arial" w:hAnsi="Arial" w:cs="Arial"/>
          <w:highlight w:val="yellow"/>
        </w:rPr>
        <w:t xml:space="preserve">The mean </w:t>
      </w:r>
      <w:r w:rsidRPr="00BB3E78">
        <w:rPr>
          <w:rFonts w:ascii="Arial" w:hAnsi="Arial" w:cs="Arial"/>
          <w:highlight w:val="yellow"/>
        </w:rPr>
        <w:t>score of primary women having adequacy was found to be higher than other groups. The ab</w:t>
      </w:r>
      <w:r>
        <w:rPr>
          <w:rFonts w:ascii="Arial" w:hAnsi="Arial" w:cs="Arial"/>
        </w:rPr>
        <w:t xml:space="preserve">ove observations of the intra-household variables highlight that Vulnerability </w:t>
      </w:r>
      <w:bookmarkStart w:id="0" w:name="_GoBack"/>
      <w:bookmarkEnd w:id="0"/>
      <w:r>
        <w:rPr>
          <w:rFonts w:ascii="Arial" w:hAnsi="Arial" w:cs="Arial"/>
        </w:rPr>
        <w:t xml:space="preserve">is more for the households where only primary women </w:t>
      </w:r>
      <w:r w:rsidR="001627F1">
        <w:rPr>
          <w:rFonts w:ascii="Arial" w:hAnsi="Arial" w:cs="Arial"/>
        </w:rPr>
        <w:t>have</w:t>
      </w:r>
      <w:r>
        <w:rPr>
          <w:rFonts w:ascii="Arial" w:hAnsi="Arial" w:cs="Arial"/>
        </w:rPr>
        <w:t xml:space="preserve"> adequacy in the variables because of their higher </w:t>
      </w:r>
      <w:r w:rsidRPr="00BB3E78">
        <w:rPr>
          <w:rFonts w:ascii="Arial" w:hAnsi="Arial" w:cs="Arial"/>
          <w:highlight w:val="yellow"/>
        </w:rPr>
        <w:t xml:space="preserve">mean score. Significant differences between the groups indicate that vulnerability varies significantly at different </w:t>
      </w:r>
      <w:r w:rsidR="001627F1" w:rsidRPr="00BB3E78">
        <w:rPr>
          <w:rFonts w:ascii="Arial" w:hAnsi="Arial" w:cs="Arial"/>
          <w:highlight w:val="yellow"/>
        </w:rPr>
        <w:t xml:space="preserve">levels </w:t>
      </w:r>
      <w:r w:rsidRPr="00BB3E78">
        <w:rPr>
          <w:rFonts w:ascii="Arial" w:hAnsi="Arial" w:cs="Arial"/>
          <w:highlight w:val="yellow"/>
        </w:rPr>
        <w:t xml:space="preserve">of empowerment in the household. These observations </w:t>
      </w:r>
      <w:r w:rsidR="00704161" w:rsidRPr="00BB3E78">
        <w:rPr>
          <w:rFonts w:ascii="Arial" w:hAnsi="Arial" w:cs="Arial"/>
          <w:highlight w:val="yellow"/>
        </w:rPr>
        <w:t>indicate</w:t>
      </w:r>
      <w:r w:rsidRPr="00BB3E78">
        <w:rPr>
          <w:rFonts w:ascii="Arial" w:hAnsi="Arial" w:cs="Arial"/>
          <w:highlight w:val="yellow"/>
        </w:rPr>
        <w:t xml:space="preserve"> that in </w:t>
      </w:r>
      <w:r w:rsidR="00704161" w:rsidRPr="00BB3E78">
        <w:rPr>
          <w:rFonts w:ascii="Arial" w:hAnsi="Arial" w:cs="Arial"/>
          <w:highlight w:val="yellow"/>
        </w:rPr>
        <w:t xml:space="preserve">the </w:t>
      </w:r>
      <w:r w:rsidRPr="00BB3E78">
        <w:rPr>
          <w:rFonts w:ascii="Arial" w:hAnsi="Arial" w:cs="Arial"/>
          <w:highlight w:val="yellow"/>
        </w:rPr>
        <w:t xml:space="preserve">majority of the </w:t>
      </w:r>
      <w:r w:rsidR="00704161" w:rsidRPr="00BB3E78">
        <w:rPr>
          <w:rFonts w:ascii="Arial" w:hAnsi="Arial" w:cs="Arial"/>
          <w:highlight w:val="yellow"/>
        </w:rPr>
        <w:t>farm households,</w:t>
      </w:r>
      <w:r w:rsidRPr="00BB3E78">
        <w:rPr>
          <w:rFonts w:ascii="Arial" w:hAnsi="Arial" w:cs="Arial"/>
          <w:highlight w:val="yellow"/>
        </w:rPr>
        <w:t xml:space="preserve"> there is </w:t>
      </w:r>
      <w:r w:rsidR="00704161" w:rsidRPr="00BB3E78">
        <w:rPr>
          <w:rFonts w:ascii="Arial" w:hAnsi="Arial" w:cs="Arial"/>
          <w:highlight w:val="yellow"/>
        </w:rPr>
        <w:t xml:space="preserve">an </w:t>
      </w:r>
      <w:r w:rsidRPr="00BB3E78">
        <w:rPr>
          <w:rFonts w:ascii="Arial" w:hAnsi="Arial" w:cs="Arial"/>
          <w:highlight w:val="yellow"/>
        </w:rPr>
        <w:t xml:space="preserve">existence of </w:t>
      </w:r>
      <w:r w:rsidR="00704161" w:rsidRPr="00BB3E78">
        <w:rPr>
          <w:rFonts w:ascii="Arial" w:hAnsi="Arial" w:cs="Arial"/>
          <w:highlight w:val="yellow"/>
        </w:rPr>
        <w:t xml:space="preserve">a </w:t>
      </w:r>
      <w:r w:rsidRPr="00BB3E78">
        <w:rPr>
          <w:rFonts w:ascii="Arial" w:hAnsi="Arial" w:cs="Arial"/>
          <w:highlight w:val="yellow"/>
        </w:rPr>
        <w:t xml:space="preserve">gender gap in the empowerment level of primary </w:t>
      </w:r>
      <w:r w:rsidR="00704161" w:rsidRPr="00BB3E78">
        <w:rPr>
          <w:rFonts w:ascii="Arial" w:hAnsi="Arial" w:cs="Arial"/>
          <w:highlight w:val="yellow"/>
        </w:rPr>
        <w:t xml:space="preserve">men </w:t>
      </w:r>
      <w:r w:rsidRPr="00BB3E78">
        <w:rPr>
          <w:rFonts w:ascii="Arial" w:hAnsi="Arial" w:cs="Arial"/>
          <w:highlight w:val="yellow"/>
        </w:rPr>
        <w:t xml:space="preserve">and primary women of the household. The primary men in the household are the </w:t>
      </w:r>
      <w:r w:rsidR="00704161" w:rsidRPr="00BB3E78">
        <w:rPr>
          <w:rFonts w:ascii="Arial" w:hAnsi="Arial" w:cs="Arial"/>
          <w:highlight w:val="yellow"/>
        </w:rPr>
        <w:t xml:space="preserve">ones </w:t>
      </w:r>
      <w:r w:rsidRPr="00BB3E78">
        <w:rPr>
          <w:rFonts w:ascii="Arial" w:hAnsi="Arial" w:cs="Arial"/>
          <w:highlight w:val="yellow"/>
        </w:rPr>
        <w:t>having adequacy in mo</w:t>
      </w:r>
      <w:r>
        <w:rPr>
          <w:rFonts w:ascii="Arial" w:hAnsi="Arial" w:cs="Arial"/>
        </w:rPr>
        <w:t xml:space="preserve">st of the variables which signifies that primary women in the farm-households of the study area are less empowered than primary men. Similar findings were found in a study conducted in Manipur where the primary male members of households were found </w:t>
      </w:r>
      <w:r w:rsidR="00704161">
        <w:rPr>
          <w:rFonts w:ascii="Arial" w:hAnsi="Arial" w:cs="Arial"/>
        </w:rPr>
        <w:t>to have</w:t>
      </w:r>
      <w:r>
        <w:rPr>
          <w:rFonts w:ascii="Arial" w:hAnsi="Arial" w:cs="Arial"/>
        </w:rPr>
        <w:t xml:space="preserve"> </w:t>
      </w:r>
      <w:r w:rsidR="00704161">
        <w:rPr>
          <w:rFonts w:ascii="Arial" w:hAnsi="Arial" w:cs="Arial"/>
        </w:rPr>
        <w:t xml:space="preserve">a </w:t>
      </w:r>
      <w:r>
        <w:rPr>
          <w:rFonts w:ascii="Arial" w:hAnsi="Arial" w:cs="Arial"/>
        </w:rPr>
        <w:t xml:space="preserve">high empowerment level compared to primary women of </w:t>
      </w:r>
      <w:r w:rsidR="00704161">
        <w:rPr>
          <w:rFonts w:ascii="Arial" w:hAnsi="Arial" w:cs="Arial"/>
        </w:rPr>
        <w:t>farm households</w:t>
      </w:r>
      <w:r>
        <w:rPr>
          <w:rFonts w:ascii="Arial" w:hAnsi="Arial" w:cs="Arial"/>
        </w:rPr>
        <w:t xml:space="preserve"> </w:t>
      </w:r>
      <w:r>
        <w:rPr>
          <w:rFonts w:ascii="Arial" w:hAnsi="Arial" w:cs="Arial"/>
          <w:b/>
        </w:rPr>
        <w:t>[26].</w:t>
      </w:r>
    </w:p>
    <w:p w:rsidR="000F63CB" w:rsidRDefault="000F63CB">
      <w:pPr>
        <w:pStyle w:val="Body"/>
        <w:spacing w:after="0"/>
        <w:rPr>
          <w:rFonts w:ascii="Arial" w:hAnsi="Arial" w:cs="Arial"/>
        </w:rPr>
      </w:pPr>
    </w:p>
    <w:p w:rsidR="000F63CB" w:rsidRDefault="00834ADD">
      <w:pPr>
        <w:pStyle w:val="Body"/>
        <w:spacing w:after="0" w:line="480" w:lineRule="auto"/>
        <w:rPr>
          <w:rFonts w:ascii="Arial" w:hAnsi="Arial" w:cs="Arial"/>
          <w:b/>
        </w:rPr>
      </w:pPr>
      <w:r>
        <w:rPr>
          <w:rFonts w:ascii="Arial" w:hAnsi="Arial" w:cs="Arial"/>
          <w:b/>
        </w:rPr>
        <w:t>Table 7: Group differences of different intra-household variables with LVI value</w:t>
      </w:r>
    </w:p>
    <w:tbl>
      <w:tblPr>
        <w:tblStyle w:val="TableGrid"/>
        <w:tblW w:w="8897" w:type="dxa"/>
        <w:tblLayout w:type="fixed"/>
        <w:tblLook w:val="06A0" w:firstRow="1" w:lastRow="0" w:firstColumn="1" w:lastColumn="0" w:noHBand="1" w:noVBand="1"/>
      </w:tblPr>
      <w:tblGrid>
        <w:gridCol w:w="675"/>
        <w:gridCol w:w="3261"/>
        <w:gridCol w:w="992"/>
        <w:gridCol w:w="850"/>
        <w:gridCol w:w="1134"/>
        <w:gridCol w:w="993"/>
        <w:gridCol w:w="992"/>
      </w:tblGrid>
      <w:tr w:rsidR="000F63CB">
        <w:trPr>
          <w:trHeight w:val="552"/>
        </w:trPr>
        <w:tc>
          <w:tcPr>
            <w:tcW w:w="675" w:type="dxa"/>
            <w:vMerge w:val="restart"/>
          </w:tcPr>
          <w:p w:rsidR="000F63CB" w:rsidRDefault="00834ADD">
            <w:pPr>
              <w:pStyle w:val="Body"/>
              <w:spacing w:after="0" w:line="480" w:lineRule="auto"/>
              <w:rPr>
                <w:rFonts w:ascii="Arial" w:hAnsi="Arial" w:cs="Arial"/>
                <w:b/>
                <w:bCs/>
              </w:rPr>
            </w:pPr>
            <w:r>
              <w:rPr>
                <w:rFonts w:ascii="Arial" w:hAnsi="Arial" w:cs="Arial"/>
                <w:b/>
                <w:bCs/>
              </w:rPr>
              <w:t>Sl. No.</w:t>
            </w:r>
          </w:p>
        </w:tc>
        <w:tc>
          <w:tcPr>
            <w:tcW w:w="326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Variables</w:t>
            </w:r>
          </w:p>
        </w:tc>
        <w:tc>
          <w:tcPr>
            <w:tcW w:w="2976" w:type="dxa"/>
            <w:gridSpan w:val="3"/>
            <w:vAlign w:val="center"/>
            <w:hideMark/>
          </w:tcPr>
          <w:p w:rsidR="000F63CB" w:rsidRDefault="00834ADD">
            <w:pPr>
              <w:pStyle w:val="Body"/>
              <w:spacing w:after="0" w:line="480" w:lineRule="auto"/>
              <w:rPr>
                <w:rFonts w:ascii="Arial" w:hAnsi="Arial" w:cs="Arial"/>
                <w:b/>
                <w:bCs/>
                <w:sz w:val="20"/>
                <w:szCs w:val="20"/>
              </w:rPr>
            </w:pPr>
            <w:r>
              <w:rPr>
                <w:rFonts w:ascii="Arial" w:hAnsi="Arial" w:cs="Arial"/>
                <w:b/>
                <w:bCs/>
                <w:sz w:val="20"/>
                <w:szCs w:val="20"/>
              </w:rPr>
              <w:t>Group Means</w:t>
            </w:r>
          </w:p>
          <w:p w:rsidR="000F63CB" w:rsidRDefault="00834ADD">
            <w:pPr>
              <w:pStyle w:val="Body"/>
              <w:spacing w:after="0" w:line="480" w:lineRule="auto"/>
              <w:rPr>
                <w:rFonts w:ascii="Arial" w:hAnsi="Arial" w:cs="Arial"/>
                <w:sz w:val="20"/>
                <w:szCs w:val="20"/>
              </w:rPr>
            </w:pPr>
            <w:r>
              <w:rPr>
                <w:rFonts w:ascii="Arial" w:hAnsi="Arial" w:cs="Arial"/>
                <w:b/>
                <w:bCs/>
                <w:sz w:val="20"/>
                <w:szCs w:val="20"/>
              </w:rPr>
              <w:t>(Mean LVI score of the different categories of households)</w:t>
            </w:r>
          </w:p>
        </w:tc>
        <w:tc>
          <w:tcPr>
            <w:tcW w:w="993"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F</w:t>
            </w:r>
          </w:p>
        </w:tc>
        <w:tc>
          <w:tcPr>
            <w:tcW w:w="992"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 xml:space="preserve"> P-value</w:t>
            </w:r>
          </w:p>
        </w:tc>
      </w:tr>
      <w:tr w:rsidR="000F63CB">
        <w:trPr>
          <w:trHeight w:val="552"/>
        </w:trPr>
        <w:tc>
          <w:tcPr>
            <w:tcW w:w="675" w:type="dxa"/>
            <w:vMerge/>
          </w:tcPr>
          <w:p w:rsidR="000F63CB" w:rsidRDefault="000F63CB">
            <w:pPr>
              <w:pStyle w:val="Body"/>
              <w:spacing w:after="0" w:line="480" w:lineRule="auto"/>
              <w:rPr>
                <w:rFonts w:ascii="Arial" w:hAnsi="Arial" w:cs="Arial"/>
              </w:rPr>
            </w:pPr>
          </w:p>
        </w:tc>
        <w:tc>
          <w:tcPr>
            <w:tcW w:w="3261" w:type="dxa"/>
            <w:vMerge/>
            <w:vAlign w:val="center"/>
            <w:hideMark/>
          </w:tcPr>
          <w:p w:rsidR="000F63CB" w:rsidRDefault="000F63CB">
            <w:pPr>
              <w:pStyle w:val="Body"/>
              <w:spacing w:after="0" w:line="480" w:lineRule="auto"/>
              <w:rPr>
                <w:rFonts w:ascii="Arial" w:hAnsi="Arial" w:cs="Arial"/>
                <w:sz w:val="20"/>
                <w:szCs w:val="20"/>
              </w:rPr>
            </w:pP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HH_M</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HH_W</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HH_M&amp;W</w:t>
            </w:r>
          </w:p>
        </w:tc>
        <w:tc>
          <w:tcPr>
            <w:tcW w:w="993" w:type="dxa"/>
            <w:vMerge/>
            <w:vAlign w:val="center"/>
            <w:hideMark/>
          </w:tcPr>
          <w:p w:rsidR="000F63CB" w:rsidRDefault="000F63CB">
            <w:pPr>
              <w:pStyle w:val="Body"/>
              <w:spacing w:after="0" w:line="480" w:lineRule="auto"/>
              <w:rPr>
                <w:rFonts w:ascii="Arial" w:hAnsi="Arial" w:cs="Arial"/>
                <w:sz w:val="20"/>
                <w:szCs w:val="20"/>
              </w:rPr>
            </w:pPr>
          </w:p>
        </w:tc>
        <w:tc>
          <w:tcPr>
            <w:tcW w:w="992" w:type="dxa"/>
            <w:vMerge/>
            <w:vAlign w:val="center"/>
            <w:hideMark/>
          </w:tcPr>
          <w:p w:rsidR="000F63CB" w:rsidRDefault="000F63CB">
            <w:pPr>
              <w:pStyle w:val="Body"/>
              <w:spacing w:after="0" w:line="480" w:lineRule="auto"/>
              <w:rPr>
                <w:rFonts w:ascii="Arial" w:hAnsi="Arial" w:cs="Arial"/>
                <w:sz w:val="20"/>
                <w:szCs w:val="20"/>
              </w:rPr>
            </w:pPr>
          </w:p>
        </w:tc>
      </w:tr>
      <w:tr w:rsidR="000F63CB">
        <w:trPr>
          <w:trHeight w:val="584"/>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Participation in </w:t>
            </w:r>
            <w:r w:rsidR="00704161">
              <w:rPr>
                <w:rFonts w:ascii="Arial" w:hAnsi="Arial" w:cs="Arial"/>
                <w:sz w:val="20"/>
                <w:szCs w:val="20"/>
                <w:lang w:val="en-IN"/>
              </w:rPr>
              <w:t>decision-making</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7.101</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7.462</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7.069</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8.844**</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584"/>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Access and control over productive resources</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7.094</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7.463</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7.016</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8.939**</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584"/>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Contribution and control over household income</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7.091</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7.462</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7.073</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8.767**</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379"/>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Workload</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7.104</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7.412</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7.038</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7.508**</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.001</w:t>
            </w:r>
          </w:p>
        </w:tc>
      </w:tr>
    </w:tbl>
    <w:p w:rsidR="000F63CB" w:rsidRDefault="00834ADD">
      <w:pPr>
        <w:pStyle w:val="Body"/>
        <w:spacing w:line="480" w:lineRule="auto"/>
        <w:rPr>
          <w:rFonts w:ascii="Arial" w:hAnsi="Arial" w:cs="Arial"/>
          <w:i/>
          <w:sz w:val="18"/>
          <w:szCs w:val="18"/>
        </w:rPr>
      </w:pPr>
      <w:r>
        <w:rPr>
          <w:rFonts w:ascii="Arial" w:hAnsi="Arial" w:cs="Arial"/>
          <w:b/>
          <w:i/>
          <w:sz w:val="18"/>
          <w:szCs w:val="18"/>
        </w:rPr>
        <w:t xml:space="preserve">** </w:t>
      </w:r>
      <w:r>
        <w:rPr>
          <w:rFonts w:ascii="Arial" w:hAnsi="Arial" w:cs="Arial"/>
          <w:i/>
          <w:sz w:val="18"/>
          <w:szCs w:val="18"/>
        </w:rPr>
        <w:t xml:space="preserve">Differences among </w:t>
      </w:r>
      <w:r w:rsidRPr="00BB3E78">
        <w:rPr>
          <w:rFonts w:ascii="Arial" w:hAnsi="Arial" w:cs="Arial"/>
          <w:i/>
          <w:sz w:val="18"/>
          <w:szCs w:val="18"/>
          <w:highlight w:val="yellow"/>
        </w:rPr>
        <w:t xml:space="preserve">group mean </w:t>
      </w:r>
      <w:r w:rsidR="00704161" w:rsidRPr="00BB3E78">
        <w:rPr>
          <w:rFonts w:ascii="Arial" w:hAnsi="Arial" w:cs="Arial"/>
          <w:i/>
          <w:sz w:val="18"/>
          <w:szCs w:val="18"/>
          <w:highlight w:val="yellow"/>
        </w:rPr>
        <w:t xml:space="preserve">are </w:t>
      </w:r>
      <w:r w:rsidRPr="00BB3E78">
        <w:rPr>
          <w:rFonts w:ascii="Arial" w:hAnsi="Arial" w:cs="Arial"/>
          <w:i/>
          <w:sz w:val="18"/>
          <w:szCs w:val="18"/>
          <w:highlight w:val="yellow"/>
        </w:rPr>
        <w:t xml:space="preserve">significant at the 0.01 level (2- </w:t>
      </w:r>
      <w:r w:rsidR="00704161" w:rsidRPr="00BB3E78">
        <w:rPr>
          <w:rFonts w:ascii="Arial" w:hAnsi="Arial" w:cs="Arial"/>
          <w:i/>
          <w:sz w:val="18"/>
          <w:szCs w:val="18"/>
          <w:highlight w:val="yellow"/>
        </w:rPr>
        <w:t>2-tailed</w:t>
      </w:r>
      <w:proofErr w:type="gramStart"/>
      <w:r w:rsidRPr="00BB3E78">
        <w:rPr>
          <w:rFonts w:ascii="Arial" w:hAnsi="Arial" w:cs="Arial"/>
          <w:i/>
          <w:sz w:val="18"/>
          <w:szCs w:val="18"/>
          <w:highlight w:val="yellow"/>
        </w:rPr>
        <w:t>),</w:t>
      </w:r>
      <w:r w:rsidRPr="00BB3E78">
        <w:rPr>
          <w:rFonts w:ascii="Arial" w:hAnsi="Arial" w:cs="Arial"/>
          <w:b/>
          <w:i/>
          <w:sz w:val="18"/>
          <w:szCs w:val="18"/>
          <w:highlight w:val="yellow"/>
        </w:rPr>
        <w:t>*</w:t>
      </w:r>
      <w:proofErr w:type="gramEnd"/>
      <w:r w:rsidRPr="00BB3E78">
        <w:rPr>
          <w:rFonts w:ascii="Arial" w:hAnsi="Arial" w:cs="Arial"/>
          <w:b/>
          <w:i/>
          <w:sz w:val="18"/>
          <w:szCs w:val="18"/>
          <w:highlight w:val="yellow"/>
        </w:rPr>
        <w:t xml:space="preserve"> </w:t>
      </w:r>
      <w:r w:rsidRPr="00BB3E78">
        <w:rPr>
          <w:rFonts w:ascii="Arial" w:hAnsi="Arial" w:cs="Arial"/>
          <w:i/>
          <w:sz w:val="18"/>
          <w:szCs w:val="18"/>
          <w:highlight w:val="yellow"/>
        </w:rPr>
        <w:t xml:space="preserve">Differences among group mean </w:t>
      </w:r>
      <w:r w:rsidR="00704161" w:rsidRPr="00BB3E78">
        <w:rPr>
          <w:rFonts w:ascii="Arial" w:hAnsi="Arial" w:cs="Arial"/>
          <w:i/>
          <w:sz w:val="18"/>
          <w:szCs w:val="18"/>
          <w:highlight w:val="yellow"/>
        </w:rPr>
        <w:t xml:space="preserve">are </w:t>
      </w:r>
      <w:r w:rsidRPr="00BB3E78">
        <w:rPr>
          <w:rFonts w:ascii="Arial" w:hAnsi="Arial" w:cs="Arial"/>
          <w:i/>
          <w:sz w:val="18"/>
          <w:szCs w:val="18"/>
          <w:highlight w:val="yellow"/>
        </w:rPr>
        <w:t>signi</w:t>
      </w:r>
      <w:r>
        <w:rPr>
          <w:rFonts w:ascii="Arial" w:hAnsi="Arial" w:cs="Arial"/>
          <w:i/>
          <w:sz w:val="18"/>
          <w:szCs w:val="18"/>
        </w:rPr>
        <w:t>ficant at the 0.05 level (2-tailed)</w:t>
      </w:r>
    </w:p>
    <w:p w:rsidR="000F63CB" w:rsidRDefault="00834ADD">
      <w:pPr>
        <w:pStyle w:val="ConcHead"/>
        <w:spacing w:after="0"/>
        <w:jc w:val="both"/>
        <w:rPr>
          <w:rFonts w:ascii="Arial" w:hAnsi="Arial" w:cs="Arial"/>
        </w:rPr>
      </w:pPr>
      <w:r>
        <w:rPr>
          <w:rFonts w:ascii="Arial" w:hAnsi="Arial" w:cs="Arial"/>
        </w:rPr>
        <w:t>4. Conclusion</w:t>
      </w:r>
    </w:p>
    <w:p w:rsidR="000F63CB" w:rsidRDefault="000F63CB">
      <w:pPr>
        <w:pStyle w:val="ConcHead"/>
        <w:spacing w:after="0"/>
        <w:jc w:val="both"/>
        <w:rPr>
          <w:rFonts w:ascii="Arial" w:hAnsi="Arial" w:cs="Arial"/>
        </w:rPr>
      </w:pPr>
    </w:p>
    <w:p w:rsidR="000F63CB" w:rsidRDefault="00834ADD">
      <w:pPr>
        <w:pStyle w:val="Body"/>
        <w:spacing w:after="0"/>
        <w:rPr>
          <w:rFonts w:ascii="Arial" w:hAnsi="Arial" w:cs="Arial"/>
        </w:rPr>
      </w:pPr>
      <w:r>
        <w:rPr>
          <w:rFonts w:ascii="Arial" w:hAnsi="Arial" w:cs="Arial"/>
          <w:bCs/>
        </w:rPr>
        <w:t xml:space="preserve">The findings of the </w:t>
      </w:r>
      <w:r w:rsidRPr="00BB3E78">
        <w:rPr>
          <w:rFonts w:ascii="Arial" w:hAnsi="Arial" w:cs="Arial"/>
          <w:bCs/>
          <w:highlight w:val="yellow"/>
        </w:rPr>
        <w:t xml:space="preserve">study reflect that farm-households vulnerability to climate change varies across </w:t>
      </w:r>
      <w:r w:rsidR="00704161" w:rsidRPr="00BB3E78">
        <w:rPr>
          <w:rFonts w:ascii="Arial" w:hAnsi="Arial" w:cs="Arial"/>
          <w:bCs/>
          <w:highlight w:val="yellow"/>
        </w:rPr>
        <w:t>genders</w:t>
      </w:r>
      <w:r w:rsidRPr="00BB3E78">
        <w:rPr>
          <w:rFonts w:ascii="Arial" w:hAnsi="Arial" w:cs="Arial"/>
          <w:bCs/>
          <w:highlight w:val="yellow"/>
        </w:rPr>
        <w:t xml:space="preserve">. From the </w:t>
      </w:r>
      <w:r w:rsidR="00704161" w:rsidRPr="00BB3E78">
        <w:rPr>
          <w:rFonts w:ascii="Arial" w:hAnsi="Arial" w:cs="Arial"/>
          <w:bCs/>
          <w:highlight w:val="yellow"/>
        </w:rPr>
        <w:t>intra-household</w:t>
      </w:r>
      <w:r w:rsidRPr="00BB3E78">
        <w:rPr>
          <w:rFonts w:ascii="Arial" w:hAnsi="Arial" w:cs="Arial"/>
          <w:bCs/>
          <w:highlight w:val="yellow"/>
        </w:rPr>
        <w:t xml:space="preserve"> gender dynamics information it can be observed that in </w:t>
      </w:r>
      <w:r w:rsidR="00704161" w:rsidRPr="00BB3E78">
        <w:rPr>
          <w:rFonts w:ascii="Arial" w:hAnsi="Arial" w:cs="Arial"/>
          <w:bCs/>
          <w:highlight w:val="yellow"/>
        </w:rPr>
        <w:t xml:space="preserve">the </w:t>
      </w:r>
      <w:r w:rsidRPr="00BB3E78">
        <w:rPr>
          <w:rFonts w:ascii="Arial" w:hAnsi="Arial" w:cs="Arial"/>
          <w:bCs/>
          <w:highlight w:val="yellow"/>
        </w:rPr>
        <w:t>majority of households</w:t>
      </w:r>
      <w:r w:rsidR="00704161" w:rsidRPr="00BB3E78">
        <w:rPr>
          <w:rFonts w:ascii="Arial" w:hAnsi="Arial" w:cs="Arial"/>
          <w:bCs/>
          <w:highlight w:val="yellow"/>
        </w:rPr>
        <w:t>,</w:t>
      </w:r>
      <w:r w:rsidRPr="00BB3E78">
        <w:rPr>
          <w:rFonts w:ascii="Arial" w:hAnsi="Arial" w:cs="Arial"/>
          <w:bCs/>
          <w:highlight w:val="yellow"/>
        </w:rPr>
        <w:t xml:space="preserve"> the access, control</w:t>
      </w:r>
      <w:r w:rsidR="00704161" w:rsidRPr="00BB3E78">
        <w:rPr>
          <w:rFonts w:ascii="Arial" w:hAnsi="Arial" w:cs="Arial"/>
          <w:bCs/>
          <w:highlight w:val="yellow"/>
        </w:rPr>
        <w:t>,</w:t>
      </w:r>
      <w:r w:rsidRPr="00BB3E78">
        <w:rPr>
          <w:rFonts w:ascii="Arial" w:hAnsi="Arial" w:cs="Arial"/>
          <w:bCs/>
          <w:highlight w:val="yellow"/>
        </w:rPr>
        <w:t xml:space="preserve"> and </w:t>
      </w:r>
      <w:r w:rsidR="00704161" w:rsidRPr="00BB3E78">
        <w:rPr>
          <w:rFonts w:ascii="Arial" w:hAnsi="Arial" w:cs="Arial"/>
          <w:bCs/>
          <w:highlight w:val="yellow"/>
        </w:rPr>
        <w:t>decision-making</w:t>
      </w:r>
      <w:r w:rsidRPr="00BB3E78">
        <w:rPr>
          <w:rFonts w:ascii="Arial" w:hAnsi="Arial" w:cs="Arial"/>
          <w:bCs/>
          <w:highlight w:val="yellow"/>
        </w:rPr>
        <w:t xml:space="preserve"> regarding </w:t>
      </w:r>
      <w:r>
        <w:rPr>
          <w:rFonts w:ascii="Arial" w:hAnsi="Arial" w:cs="Arial"/>
          <w:bCs/>
        </w:rPr>
        <w:t xml:space="preserve">various resources are confined only </w:t>
      </w:r>
      <w:r w:rsidR="00704161">
        <w:rPr>
          <w:rFonts w:ascii="Arial" w:hAnsi="Arial" w:cs="Arial"/>
          <w:bCs/>
        </w:rPr>
        <w:t xml:space="preserve">to </w:t>
      </w:r>
      <w:r>
        <w:rPr>
          <w:rFonts w:ascii="Arial" w:hAnsi="Arial" w:cs="Arial"/>
          <w:bCs/>
        </w:rPr>
        <w:t xml:space="preserve">the primary man. As a result, primary men of the household gain more empowerment comparatively than the primary women of </w:t>
      </w:r>
      <w:r w:rsidR="00704161">
        <w:rPr>
          <w:rFonts w:ascii="Arial" w:hAnsi="Arial" w:cs="Arial"/>
          <w:bCs/>
        </w:rPr>
        <w:t xml:space="preserve">the </w:t>
      </w:r>
      <w:r>
        <w:rPr>
          <w:rFonts w:ascii="Arial" w:hAnsi="Arial" w:cs="Arial"/>
          <w:bCs/>
        </w:rPr>
        <w:t xml:space="preserve">household which increases </w:t>
      </w:r>
      <w:r w:rsidR="00704161">
        <w:rPr>
          <w:rFonts w:ascii="Arial" w:hAnsi="Arial" w:cs="Arial"/>
          <w:bCs/>
        </w:rPr>
        <w:t xml:space="preserve">the </w:t>
      </w:r>
      <w:r>
        <w:rPr>
          <w:rFonts w:ascii="Arial" w:hAnsi="Arial" w:cs="Arial"/>
          <w:bCs/>
        </w:rPr>
        <w:t xml:space="preserve">vulnerability of primary women towards negative climate change consequences. The results indicate that there is a need for gender transformative strategies </w:t>
      </w:r>
      <w:r w:rsidR="00704161">
        <w:rPr>
          <w:rFonts w:ascii="Arial" w:hAnsi="Arial" w:cs="Arial"/>
          <w:bCs/>
        </w:rPr>
        <w:t xml:space="preserve">that </w:t>
      </w:r>
      <w:r>
        <w:rPr>
          <w:rFonts w:ascii="Arial" w:hAnsi="Arial" w:cs="Arial"/>
          <w:bCs/>
        </w:rPr>
        <w:t xml:space="preserve">can empower women as well as reduce their drudgery from the </w:t>
      </w:r>
      <w:r w:rsidRPr="00BB3E78">
        <w:rPr>
          <w:rFonts w:ascii="Arial" w:hAnsi="Arial" w:cs="Arial"/>
          <w:bCs/>
          <w:highlight w:val="yellow"/>
        </w:rPr>
        <w:t xml:space="preserve">significant impacts of climate change. Moreover, </w:t>
      </w:r>
      <w:r w:rsidR="00704161" w:rsidRPr="00BB3E78">
        <w:rPr>
          <w:rFonts w:ascii="Arial" w:hAnsi="Arial" w:cs="Arial"/>
          <w:bCs/>
          <w:highlight w:val="yellow"/>
        </w:rPr>
        <w:t>few initiatives can</w:t>
      </w:r>
      <w:r w:rsidRPr="00BB3E78">
        <w:rPr>
          <w:rFonts w:ascii="Arial" w:hAnsi="Arial" w:cs="Arial"/>
          <w:bCs/>
          <w:highlight w:val="yellow"/>
        </w:rPr>
        <w:t xml:space="preserve"> address </w:t>
      </w:r>
      <w:r w:rsidR="00704161" w:rsidRPr="00BB3E78">
        <w:rPr>
          <w:rFonts w:ascii="Arial" w:hAnsi="Arial" w:cs="Arial"/>
          <w:bCs/>
          <w:highlight w:val="yellow"/>
        </w:rPr>
        <w:t xml:space="preserve">the </w:t>
      </w:r>
      <w:r w:rsidRPr="00BB3E78">
        <w:rPr>
          <w:rFonts w:ascii="Arial" w:hAnsi="Arial" w:cs="Arial"/>
          <w:bCs/>
          <w:highlight w:val="yellow"/>
        </w:rPr>
        <w:t xml:space="preserve">vulnerability of climate change from a gender viewpoint. The significant impact of gender dynamics on households’ vulnerability to climate change from the findings implies that any </w:t>
      </w:r>
      <w:r>
        <w:rPr>
          <w:rFonts w:ascii="Arial" w:hAnsi="Arial" w:cs="Arial"/>
          <w:bCs/>
        </w:rPr>
        <w:t>vulnerability reduction strategy should address this dimension</w:t>
      </w:r>
      <w:r>
        <w:rPr>
          <w:rFonts w:ascii="Arial" w:hAnsi="Arial" w:cs="Arial"/>
        </w:rPr>
        <w:t xml:space="preserve">. A suitable ‘gender-inclusive climate action strategy’ can also aid in easing the burdensome effects of women from the negative impacts of climate change, which includes productive involvement of women and girls in </w:t>
      </w:r>
      <w:r w:rsidR="00704161">
        <w:rPr>
          <w:rFonts w:ascii="Arial" w:hAnsi="Arial" w:cs="Arial"/>
        </w:rPr>
        <w:t>the decision-making</w:t>
      </w:r>
      <w:r>
        <w:rPr>
          <w:rFonts w:ascii="Arial" w:hAnsi="Arial" w:cs="Arial"/>
        </w:rPr>
        <w:t xml:space="preserve"> process, as well as their greater </w:t>
      </w:r>
      <w:r w:rsidRPr="00BB3E78">
        <w:rPr>
          <w:rFonts w:ascii="Arial" w:hAnsi="Arial" w:cs="Arial"/>
          <w:highlight w:val="yellow"/>
        </w:rPr>
        <w:t xml:space="preserve">consultation during policy formulation to mitigate the negative effects of climate change. This type of </w:t>
      </w:r>
      <w:r w:rsidR="00704161" w:rsidRPr="00BB3E78">
        <w:rPr>
          <w:rFonts w:ascii="Arial" w:hAnsi="Arial" w:cs="Arial"/>
          <w:highlight w:val="yellow"/>
        </w:rPr>
        <w:t xml:space="preserve">strategy was </w:t>
      </w:r>
      <w:r w:rsidRPr="00BB3E78">
        <w:rPr>
          <w:rFonts w:ascii="Arial" w:hAnsi="Arial" w:cs="Arial"/>
          <w:highlight w:val="yellow"/>
        </w:rPr>
        <w:t xml:space="preserve">advocated by various international bodies such as </w:t>
      </w:r>
      <w:r w:rsidR="00704161" w:rsidRPr="00BB3E78">
        <w:rPr>
          <w:rFonts w:ascii="Arial" w:hAnsi="Arial" w:cs="Arial"/>
          <w:highlight w:val="yellow"/>
        </w:rPr>
        <w:t xml:space="preserve">the </w:t>
      </w:r>
      <w:r w:rsidRPr="00BB3E78">
        <w:rPr>
          <w:rFonts w:ascii="Arial" w:hAnsi="Arial" w:cs="Arial"/>
          <w:highlight w:val="yellow"/>
        </w:rPr>
        <w:t xml:space="preserve">G20, because they not only help in managing climate </w:t>
      </w:r>
      <w:r w:rsidR="00704161" w:rsidRPr="00BB3E78">
        <w:rPr>
          <w:rFonts w:ascii="Arial" w:hAnsi="Arial" w:cs="Arial"/>
          <w:highlight w:val="yellow"/>
        </w:rPr>
        <w:t>change-induced</w:t>
      </w:r>
      <w:r w:rsidRPr="00BB3E78">
        <w:rPr>
          <w:rFonts w:ascii="Arial" w:hAnsi="Arial" w:cs="Arial"/>
          <w:highlight w:val="yellow"/>
        </w:rPr>
        <w:t xml:space="preserve"> adverse effects </w:t>
      </w:r>
      <w:r>
        <w:rPr>
          <w:rFonts w:ascii="Arial" w:hAnsi="Arial" w:cs="Arial"/>
        </w:rPr>
        <w:t xml:space="preserve">but also help in empowering women </w:t>
      </w:r>
      <w:r w:rsidR="00704161">
        <w:rPr>
          <w:rFonts w:ascii="Arial" w:hAnsi="Arial" w:cs="Arial"/>
        </w:rPr>
        <w:t>to achieve</w:t>
      </w:r>
      <w:r>
        <w:rPr>
          <w:rFonts w:ascii="Arial" w:hAnsi="Arial" w:cs="Arial"/>
        </w:rPr>
        <w:t xml:space="preserve"> gender equality.</w:t>
      </w:r>
    </w:p>
    <w:p w:rsidR="00112D39" w:rsidRDefault="00112D39">
      <w:pPr>
        <w:pStyle w:val="Body"/>
        <w:spacing w:after="0"/>
        <w:rPr>
          <w:rFonts w:ascii="Arial" w:hAnsi="Arial" w:cs="Arial"/>
        </w:rPr>
      </w:pPr>
    </w:p>
    <w:p w:rsidR="00112D39" w:rsidRPr="00112D39" w:rsidRDefault="00112D39" w:rsidP="00112D39">
      <w:pPr>
        <w:pStyle w:val="Body"/>
        <w:rPr>
          <w:rFonts w:ascii="Arial" w:hAnsi="Arial" w:cs="Arial"/>
          <w:b/>
        </w:rPr>
      </w:pPr>
      <w:r w:rsidRPr="00112D39">
        <w:rPr>
          <w:rFonts w:ascii="Arial" w:hAnsi="Arial" w:cs="Arial"/>
          <w:b/>
        </w:rPr>
        <w:t>Disclaimer (Artificial intelligence)</w:t>
      </w:r>
    </w:p>
    <w:p w:rsidR="00112D39" w:rsidRPr="00112D39" w:rsidRDefault="00112D39" w:rsidP="00112D39">
      <w:pPr>
        <w:pStyle w:val="Body"/>
        <w:rPr>
          <w:rFonts w:ascii="Arial" w:hAnsi="Arial" w:cs="Arial"/>
        </w:rPr>
      </w:pPr>
      <w:r w:rsidRPr="00112D39">
        <w:rPr>
          <w:rFonts w:ascii="Arial" w:hAnsi="Arial" w:cs="Arial"/>
        </w:rPr>
        <w:t xml:space="preserve">Option 1: </w:t>
      </w:r>
    </w:p>
    <w:p w:rsidR="00112D39" w:rsidRPr="00112D39" w:rsidRDefault="00112D39" w:rsidP="00112D39">
      <w:pPr>
        <w:pStyle w:val="Body"/>
        <w:rPr>
          <w:rFonts w:ascii="Arial" w:hAnsi="Arial" w:cs="Arial"/>
        </w:rPr>
      </w:pPr>
      <w:r w:rsidRPr="00112D39">
        <w:rPr>
          <w:rFonts w:ascii="Arial" w:hAnsi="Arial" w:cs="Arial"/>
        </w:rPr>
        <w:t>Author(s) hereby declare that NO generative AI technologies such as Large Language Models (</w:t>
      </w:r>
      <w:proofErr w:type="spellStart"/>
      <w:r w:rsidRPr="00112D39">
        <w:rPr>
          <w:rFonts w:ascii="Arial" w:hAnsi="Arial" w:cs="Arial"/>
        </w:rPr>
        <w:t>ChatGPT</w:t>
      </w:r>
      <w:proofErr w:type="spellEnd"/>
      <w:r w:rsidRPr="00112D39">
        <w:rPr>
          <w:rFonts w:ascii="Arial" w:hAnsi="Arial" w:cs="Arial"/>
        </w:rPr>
        <w:t xml:space="preserve">, COPILOT, etc.) and text-to-image generators have been used during the writing or editing of this manuscript. </w:t>
      </w:r>
    </w:p>
    <w:p w:rsidR="00112D39" w:rsidRPr="00112D39" w:rsidRDefault="00112D39" w:rsidP="00112D39">
      <w:pPr>
        <w:pStyle w:val="Body"/>
        <w:rPr>
          <w:rFonts w:ascii="Arial" w:hAnsi="Arial" w:cs="Arial"/>
        </w:rPr>
      </w:pPr>
      <w:r w:rsidRPr="00112D39">
        <w:rPr>
          <w:rFonts w:ascii="Arial" w:hAnsi="Arial" w:cs="Arial"/>
        </w:rPr>
        <w:t xml:space="preserve">Option 2: </w:t>
      </w:r>
    </w:p>
    <w:p w:rsidR="00112D39" w:rsidRPr="00112D39" w:rsidRDefault="00112D39" w:rsidP="00112D39">
      <w:pPr>
        <w:pStyle w:val="Body"/>
        <w:rPr>
          <w:rFonts w:ascii="Arial" w:hAnsi="Arial" w:cs="Arial"/>
        </w:rPr>
      </w:pPr>
      <w:r w:rsidRPr="00112D39">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12D39" w:rsidRPr="00112D39" w:rsidRDefault="00112D39" w:rsidP="00112D39">
      <w:pPr>
        <w:pStyle w:val="Body"/>
        <w:rPr>
          <w:rFonts w:ascii="Arial" w:hAnsi="Arial" w:cs="Arial"/>
        </w:rPr>
      </w:pPr>
      <w:r w:rsidRPr="00112D39">
        <w:rPr>
          <w:rFonts w:ascii="Arial" w:hAnsi="Arial" w:cs="Arial"/>
        </w:rPr>
        <w:t>Details of the AI usage are given below:</w:t>
      </w:r>
    </w:p>
    <w:p w:rsidR="00112D39" w:rsidRPr="00112D39" w:rsidRDefault="00112D39" w:rsidP="00112D39">
      <w:pPr>
        <w:pStyle w:val="Body"/>
        <w:rPr>
          <w:rFonts w:ascii="Arial" w:hAnsi="Arial" w:cs="Arial"/>
        </w:rPr>
      </w:pPr>
      <w:r w:rsidRPr="00112D39">
        <w:rPr>
          <w:rFonts w:ascii="Arial" w:hAnsi="Arial" w:cs="Arial"/>
        </w:rPr>
        <w:lastRenderedPageBreak/>
        <w:t>1.</w:t>
      </w:r>
    </w:p>
    <w:p w:rsidR="00112D39" w:rsidRPr="00112D39" w:rsidRDefault="00112D39" w:rsidP="00112D39">
      <w:pPr>
        <w:pStyle w:val="Body"/>
        <w:rPr>
          <w:rFonts w:ascii="Arial" w:hAnsi="Arial" w:cs="Arial"/>
        </w:rPr>
      </w:pPr>
      <w:r w:rsidRPr="00112D39">
        <w:rPr>
          <w:rFonts w:ascii="Arial" w:hAnsi="Arial" w:cs="Arial"/>
        </w:rPr>
        <w:t>2.</w:t>
      </w:r>
    </w:p>
    <w:p w:rsidR="00112D39" w:rsidRDefault="00112D39" w:rsidP="00112D39">
      <w:pPr>
        <w:pStyle w:val="Body"/>
        <w:spacing w:after="0"/>
        <w:rPr>
          <w:rFonts w:ascii="Arial" w:hAnsi="Arial" w:cs="Arial"/>
        </w:rPr>
      </w:pPr>
      <w:r w:rsidRPr="00112D39">
        <w:rPr>
          <w:rFonts w:ascii="Arial" w:hAnsi="Arial" w:cs="Arial"/>
        </w:rPr>
        <w:t>3.</w:t>
      </w:r>
    </w:p>
    <w:p w:rsidR="000F63CB" w:rsidRDefault="000F63CB">
      <w:pPr>
        <w:pStyle w:val="Body"/>
        <w:spacing w:after="0"/>
        <w:rPr>
          <w:rFonts w:ascii="Arial" w:hAnsi="Arial" w:cs="Arial"/>
        </w:rPr>
      </w:pPr>
    </w:p>
    <w:p w:rsidR="000F63CB" w:rsidRDefault="000F63CB">
      <w:pPr>
        <w:pStyle w:val="ReferHead"/>
        <w:spacing w:after="0"/>
        <w:jc w:val="both"/>
        <w:rPr>
          <w:rFonts w:ascii="Arial" w:hAnsi="Arial" w:cs="Arial"/>
        </w:rPr>
      </w:pPr>
    </w:p>
    <w:p w:rsidR="000F63CB" w:rsidRDefault="00834ADD">
      <w:pPr>
        <w:pStyle w:val="ReferHead"/>
        <w:spacing w:after="0"/>
        <w:jc w:val="both"/>
        <w:rPr>
          <w:rFonts w:ascii="Arial" w:hAnsi="Arial" w:cs="Arial"/>
        </w:rPr>
      </w:pPr>
      <w:r>
        <w:rPr>
          <w:rFonts w:ascii="Arial" w:hAnsi="Arial" w:cs="Arial"/>
        </w:rPr>
        <w:t>References</w:t>
      </w:r>
    </w:p>
    <w:p w:rsidR="000F63CB" w:rsidRDefault="000F63CB">
      <w:pPr>
        <w:pStyle w:val="ReferHead"/>
        <w:spacing w:after="0"/>
        <w:jc w:val="both"/>
        <w:rPr>
          <w:rFonts w:ascii="Arial" w:hAnsi="Arial" w:cs="Arial"/>
        </w:rPr>
      </w:pP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Eckstein D, Künzel V and Schäfer L. Global climate risk index 2021. Germanwatch.  2021. Accessed 28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13" w:history="1">
        <w:r>
          <w:rPr>
            <w:rStyle w:val="Hyperlink"/>
            <w:rFonts w:ascii="Arial" w:hAnsi="Arial" w:cs="Arial"/>
          </w:rPr>
          <w:t>https://www.germanwatch.org/sites/default/files/Global%20Climate%20Risk%20Index%202021_2.pdf</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Intergovernmental Panel on Climate Change (IPCC). Summary for policymakers</w:t>
      </w:r>
      <w:r w:rsidR="00704161">
        <w:rPr>
          <w:rFonts w:ascii="Arial" w:hAnsi="Arial" w:cs="Arial"/>
        </w:rPr>
        <w:t xml:space="preserve">. </w:t>
      </w:r>
      <w:r>
        <w:rPr>
          <w:rFonts w:ascii="Arial" w:hAnsi="Arial" w:cs="Arial"/>
          <w:iCs/>
        </w:rPr>
        <w:t>Cambridge University Press</w:t>
      </w:r>
      <w:r>
        <w:rPr>
          <w:rFonts w:ascii="Arial" w:hAnsi="Arial" w:cs="Arial"/>
        </w:rPr>
        <w:t xml:space="preserve">, Cambridge, UK and New York, NY, USA. 2022. Accessed 20 March 2023.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14" w:history="1">
        <w:r>
          <w:rPr>
            <w:rStyle w:val="Hyperlink"/>
            <w:rFonts w:ascii="Arial" w:hAnsi="Arial" w:cs="Arial"/>
          </w:rPr>
          <w:t>https://www.ipcc.ch/report/ar6/wg2/downloads/report/IPCC_AR6_WGII_Summary ForPolicymakers.pdf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Government of India. Climate change and agriculture in India. Department of Science &amp; Technology, Ministry of Science &amp; Technology, Government of India. 2016. Accessed 20 February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15" w:history="1">
        <w:r>
          <w:rPr>
            <w:rStyle w:val="Hyperlink"/>
            <w:rFonts w:ascii="Arial" w:hAnsi="Arial" w:cs="Arial"/>
          </w:rPr>
          <w:t>https://dst.gov.in/sites/default/files/Report_DST_CC_Agriculture.pdf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Centre for Study of Science, Technology</w:t>
      </w:r>
      <w:r w:rsidR="00704161">
        <w:rPr>
          <w:rFonts w:ascii="Arial" w:hAnsi="Arial" w:cs="Arial"/>
        </w:rPr>
        <w:t>,</w:t>
      </w:r>
      <w:r>
        <w:rPr>
          <w:rFonts w:ascii="Arial" w:hAnsi="Arial" w:cs="Arial"/>
        </w:rPr>
        <w:t xml:space="preserve"> and Policy (CSTEP) District-level changes in climate: Historical climate and climate change projections for the north-eastern states of India.2022. Accessed 27 November 2022.</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16" w:history="1">
        <w:r>
          <w:rPr>
            <w:rStyle w:val="Hyperlink"/>
            <w:rFonts w:ascii="Arial" w:hAnsi="Arial" w:cs="Arial"/>
          </w:rPr>
          <w:t>https://cstep.in/drupal/node/2130</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Government of Tripura. Memorandum to the Government of India on damages caused by floods, cyclones, landslides</w:t>
      </w:r>
      <w:r w:rsidR="00704161">
        <w:rPr>
          <w:rFonts w:ascii="Arial" w:hAnsi="Arial" w:cs="Arial"/>
        </w:rPr>
        <w:t>,</w:t>
      </w:r>
      <w:r>
        <w:rPr>
          <w:rFonts w:ascii="Arial" w:hAnsi="Arial" w:cs="Arial"/>
        </w:rPr>
        <w:t xml:space="preserve"> and lightning in Tripura during 2018-19. 2018. Accessed 21 March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17" w:history="1">
        <w:r>
          <w:rPr>
            <w:rStyle w:val="Hyperlink"/>
            <w:rFonts w:ascii="Arial" w:hAnsi="Arial" w:cs="Arial"/>
          </w:rPr>
          <w:t>https://tdma.tripura.gov.in/sites/default/files/Memorandum%20 of%20FLood %202018-19%20final.pdf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Intergovernmental Panel on Climate Change (IPCC). Climate change 2001: Synthesis report. Cambridge University Press, Cambridge, UK. 2001. Accessed 27 November 2022. Available: </w:t>
      </w:r>
      <w:hyperlink r:id="rId18" w:history="1">
        <w:r>
          <w:rPr>
            <w:rStyle w:val="Hyperlink"/>
            <w:rFonts w:ascii="Arial" w:hAnsi="Arial" w:cs="Arial"/>
          </w:rPr>
          <w:t>https://www.ipcc.ch/site/assets/uploads/2018/05/SYR_TAR_full_report.pdf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lastRenderedPageBreak/>
        <w:t xml:space="preserve">Rahman MS. Climate change, disaster and gender vulnerability: A study on two divisions of Bangladesh. </w:t>
      </w:r>
      <w:r>
        <w:rPr>
          <w:rFonts w:ascii="Arial" w:hAnsi="Arial" w:cs="Arial"/>
          <w:iCs/>
        </w:rPr>
        <w:t>Am J Hum Ecol.</w:t>
      </w:r>
      <w:r>
        <w:rPr>
          <w:rFonts w:ascii="Arial" w:hAnsi="Arial" w:cs="Arial"/>
        </w:rPr>
        <w:t xml:space="preserve"> 2013; </w:t>
      </w:r>
      <w:r>
        <w:rPr>
          <w:rFonts w:ascii="Arial" w:hAnsi="Arial" w:cs="Arial"/>
          <w:b/>
        </w:rPr>
        <w:t>2</w:t>
      </w:r>
      <w:r>
        <w:rPr>
          <w:rFonts w:ascii="Arial" w:hAnsi="Arial" w:cs="Arial"/>
        </w:rPr>
        <w:t>(2): 72-82.</w:t>
      </w:r>
    </w:p>
    <w:p w:rsidR="000F63CB" w:rsidRDefault="00834ADD">
      <w:pPr>
        <w:pStyle w:val="ListParagraph"/>
        <w:numPr>
          <w:ilvl w:val="0"/>
          <w:numId w:val="33"/>
        </w:numPr>
        <w:spacing w:before="120" w:after="120" w:line="360" w:lineRule="auto"/>
        <w:ind w:left="360"/>
        <w:jc w:val="both"/>
        <w:rPr>
          <w:rFonts w:ascii="Arial" w:hAnsi="Arial" w:cs="Arial"/>
          <w:bCs/>
        </w:rPr>
      </w:pPr>
      <w:r>
        <w:rPr>
          <w:rFonts w:ascii="Arial" w:hAnsi="Arial" w:cs="Arial"/>
          <w:bCs/>
        </w:rPr>
        <w:t>UN Women. Explainer: How gender inequality and climate change are interconnected. United Nations Womenwatch. 2022. Accessed 26 November 2022.</w:t>
      </w:r>
    </w:p>
    <w:p w:rsidR="000F63CB" w:rsidRDefault="00834ADD">
      <w:pPr>
        <w:pStyle w:val="ListParagraph"/>
        <w:spacing w:before="120" w:after="120" w:line="360" w:lineRule="auto"/>
        <w:ind w:left="360"/>
        <w:jc w:val="both"/>
        <w:rPr>
          <w:rFonts w:ascii="Arial" w:hAnsi="Arial" w:cs="Arial"/>
          <w:bCs/>
        </w:rPr>
      </w:pPr>
      <w:r>
        <w:rPr>
          <w:rFonts w:ascii="Arial" w:hAnsi="Arial" w:cs="Arial"/>
          <w:bCs/>
        </w:rPr>
        <w:t xml:space="preserve">Available: </w:t>
      </w:r>
      <w:hyperlink r:id="rId19" w:anchor=":~:text=How%20does%20climate%20change%20impact,livelihoods%2C%20health%2C%20and%20safety" w:history="1">
        <w:r>
          <w:rPr>
            <w:rStyle w:val="Hyperlink"/>
            <w:rFonts w:ascii="Arial" w:hAnsi="Arial" w:cs="Arial"/>
          </w:rPr>
          <w:t>https://wrd.unwomen.org/explore/insights/explainer-how-gender-inequality-and-climate-change-are-interconnected#:~:text=How%20does%20climate%20change%20impact,livelihoods%2C%20health%2C%20and%20safety</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Djoudi H, Locatelli B, Vaast C, Asher K, Brockhaus M. and Sijapati BB. Beyond dichotomies: Gender and intersecting inequalities in climate change studies. </w:t>
      </w:r>
      <w:r>
        <w:rPr>
          <w:rFonts w:ascii="Arial" w:hAnsi="Arial" w:cs="Arial"/>
          <w:iCs/>
        </w:rPr>
        <w:t>Ambio</w:t>
      </w:r>
      <w:r>
        <w:rPr>
          <w:rFonts w:ascii="Arial" w:hAnsi="Arial" w:cs="Arial"/>
        </w:rPr>
        <w:t xml:space="preserve">., 2016; </w:t>
      </w:r>
      <w:r>
        <w:rPr>
          <w:rFonts w:ascii="Arial" w:hAnsi="Arial" w:cs="Arial"/>
          <w:b/>
        </w:rPr>
        <w:t>45</w:t>
      </w:r>
      <w:r>
        <w:rPr>
          <w:rFonts w:ascii="Arial" w:hAnsi="Arial" w:cs="Arial"/>
        </w:rPr>
        <w:t xml:space="preserve">(3): 248-262. </w:t>
      </w:r>
      <w:r>
        <w:rPr>
          <w:rFonts w:ascii="Arial" w:hAnsi="Arial" w:cs="Arial"/>
          <w:lang w:val="en-US"/>
        </w:rPr>
        <w:t xml:space="preserve">DOI 10.1007/s13280-016-0825-2. </w:t>
      </w:r>
      <w:r>
        <w:rPr>
          <w:rFonts w:ascii="Arial" w:hAnsi="Arial" w:cs="Arial"/>
        </w:rPr>
        <w:t xml:space="preserve">Accessed 23 March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0" w:history="1">
        <w:r>
          <w:rPr>
            <w:rStyle w:val="Hyperlink"/>
            <w:rFonts w:ascii="Arial" w:hAnsi="Arial" w:cs="Arial"/>
          </w:rPr>
          <w:t>https://link.springer.com/article/10.1007/s13280-016-0825-2</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Anonymous. G20 New Delhi Leaders’ Declaration, New Delhi, India. 2023; 9-10 September 2023. Accessed 18 September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1" w:history="1">
        <w:r>
          <w:rPr>
            <w:rStyle w:val="Hyperlink"/>
            <w:rFonts w:ascii="Arial" w:hAnsi="Arial" w:cs="Arial"/>
          </w:rPr>
          <w:t>https://www.g20.org/content/dam/gtwenty/gtwenty_new /document/G20-New-Delhi-Leaders-Declaration.pdf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Daoud M. Is vulnerability to climate change gendered? And how? Insights from Egypt. </w:t>
      </w:r>
      <w:r>
        <w:rPr>
          <w:rFonts w:ascii="Arial" w:hAnsi="Arial" w:cs="Arial"/>
          <w:iCs/>
        </w:rPr>
        <w:t>Reg. Environ. Change</w:t>
      </w:r>
      <w:r>
        <w:rPr>
          <w:rFonts w:ascii="Arial" w:hAnsi="Arial" w:cs="Arial"/>
        </w:rPr>
        <w:t xml:space="preserve">. 2021; 21: 52. DOI:10.1007/s10113-021-01785-z. Accessed 21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22" w:anchor=":~:text=Such%20construction%20can%20result%20in,vulnerability%20is%20almost%20non%2Dexistent" w:history="1">
        <w:r>
          <w:rPr>
            <w:rStyle w:val="Hyperlink"/>
            <w:rFonts w:ascii="Arial" w:hAnsi="Arial" w:cs="Arial"/>
          </w:rPr>
          <w:t>https://link.springer.com/article/10.1007/s10113-021-01785-z#:~:text=Such%20construction%20can%20result%20in,vulnerability%20is%20almost%20non%2Dexistent</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Owusu M, Bray MN, and Rudd D. Gendered perception and vulnerability to climate change in urban slum communities in Accra, Ghana. </w:t>
      </w:r>
      <w:r>
        <w:rPr>
          <w:rFonts w:ascii="Arial" w:hAnsi="Arial" w:cs="Arial"/>
          <w:iCs/>
        </w:rPr>
        <w:t>Reg. Environ. Change</w:t>
      </w:r>
      <w:r>
        <w:rPr>
          <w:rFonts w:ascii="Arial" w:hAnsi="Arial" w:cs="Arial"/>
        </w:rPr>
        <w:t xml:space="preserve">, 2019;19(1): 13-25. Accessed 21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3" w:history="1">
        <w:r>
          <w:rPr>
            <w:rStyle w:val="Hyperlink"/>
            <w:rFonts w:ascii="Arial" w:hAnsi="Arial" w:cs="Arial"/>
          </w:rPr>
          <w:t>https://link.springer.com/article/10.1007/s10113-018-1357-z</w:t>
        </w:r>
      </w:hyperlink>
    </w:p>
    <w:p w:rsidR="000F63CB" w:rsidRDefault="00834ADD">
      <w:pPr>
        <w:pStyle w:val="ListParagraph"/>
        <w:numPr>
          <w:ilvl w:val="0"/>
          <w:numId w:val="33"/>
        </w:numPr>
        <w:spacing w:before="120" w:after="120" w:line="360" w:lineRule="auto"/>
        <w:ind w:left="360"/>
        <w:jc w:val="both"/>
        <w:rPr>
          <w:rFonts w:ascii="Arial" w:hAnsi="Arial" w:cs="Arial"/>
        </w:rPr>
      </w:pPr>
      <w:proofErr w:type="spellStart"/>
      <w:r>
        <w:rPr>
          <w:rFonts w:ascii="Arial" w:hAnsi="Arial" w:cs="Arial"/>
        </w:rPr>
        <w:t>Balikoowa</w:t>
      </w:r>
      <w:proofErr w:type="spellEnd"/>
      <w:r>
        <w:rPr>
          <w:rFonts w:ascii="Arial" w:hAnsi="Arial" w:cs="Arial"/>
        </w:rPr>
        <w:t xml:space="preserve"> K, </w:t>
      </w:r>
      <w:proofErr w:type="spellStart"/>
      <w:r>
        <w:rPr>
          <w:rFonts w:ascii="Arial" w:hAnsi="Arial" w:cs="Arial"/>
        </w:rPr>
        <w:t>Nabanoga</w:t>
      </w:r>
      <w:proofErr w:type="spellEnd"/>
      <w:r>
        <w:rPr>
          <w:rFonts w:ascii="Arial" w:hAnsi="Arial" w:cs="Arial"/>
        </w:rPr>
        <w:t xml:space="preserve"> G, </w:t>
      </w:r>
      <w:proofErr w:type="spellStart"/>
      <w:r>
        <w:rPr>
          <w:rFonts w:ascii="Arial" w:hAnsi="Arial" w:cs="Arial"/>
        </w:rPr>
        <w:t>Tumusiime</w:t>
      </w:r>
      <w:proofErr w:type="spellEnd"/>
      <w:r>
        <w:rPr>
          <w:rFonts w:ascii="Arial" w:hAnsi="Arial" w:cs="Arial"/>
        </w:rPr>
        <w:t xml:space="preserve"> DM</w:t>
      </w:r>
      <w:r w:rsidR="00704161">
        <w:rPr>
          <w:rFonts w:ascii="Arial" w:hAnsi="Arial" w:cs="Arial"/>
        </w:rPr>
        <w:t>,</w:t>
      </w:r>
      <w:r>
        <w:rPr>
          <w:rFonts w:ascii="Arial" w:hAnsi="Arial" w:cs="Arial"/>
        </w:rPr>
        <w:t xml:space="preserve"> and </w:t>
      </w:r>
      <w:proofErr w:type="spellStart"/>
      <w:r>
        <w:rPr>
          <w:rFonts w:ascii="Arial" w:hAnsi="Arial" w:cs="Arial"/>
        </w:rPr>
        <w:t>Mbogga</w:t>
      </w:r>
      <w:proofErr w:type="spellEnd"/>
      <w:r>
        <w:rPr>
          <w:rFonts w:ascii="Arial" w:hAnsi="Arial" w:cs="Arial"/>
        </w:rPr>
        <w:t xml:space="preserve"> MS. Gender differentiated vulnerability to climate change in Eastern Uganda. Clim. Dev.2019; 11(10): 839-849. DOI: 10.1080/17565529.2019.1580555. Accessed 21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lastRenderedPageBreak/>
        <w:t xml:space="preserve">Available: </w:t>
      </w:r>
      <w:hyperlink r:id="rId24" w:history="1">
        <w:r>
          <w:rPr>
            <w:rStyle w:val="Hyperlink"/>
            <w:rFonts w:ascii="Arial" w:hAnsi="Arial" w:cs="Arial"/>
          </w:rPr>
          <w:t>https://doi.org/10.1080/17565529.2019.1580555</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Mohanty A and Wadhawan S. Mapping India’s Climate Vulnerability – A District Level Assessment. Council on Energy, Environment and Water, New Delhi, India. 2021.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5" w:history="1">
        <w:r>
          <w:rPr>
            <w:rStyle w:val="Hyperlink"/>
            <w:rFonts w:ascii="Arial" w:hAnsi="Arial" w:cs="Arial"/>
          </w:rPr>
          <w:t>https://www.ceew.in/publications/mapping-climate-change-vulnerability-index-of-india-a-district-level-assessment</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Hahn MB, </w:t>
      </w:r>
      <w:proofErr w:type="spellStart"/>
      <w:r>
        <w:rPr>
          <w:rFonts w:ascii="Arial" w:hAnsi="Arial" w:cs="Arial"/>
        </w:rPr>
        <w:t>Riederer</w:t>
      </w:r>
      <w:proofErr w:type="spellEnd"/>
      <w:r>
        <w:rPr>
          <w:rFonts w:ascii="Arial" w:hAnsi="Arial" w:cs="Arial"/>
        </w:rPr>
        <w:t xml:space="preserve"> AM</w:t>
      </w:r>
      <w:r w:rsidR="00704161">
        <w:rPr>
          <w:rFonts w:ascii="Arial" w:hAnsi="Arial" w:cs="Arial"/>
        </w:rPr>
        <w:t>,</w:t>
      </w:r>
      <w:r>
        <w:rPr>
          <w:rFonts w:ascii="Arial" w:hAnsi="Arial" w:cs="Arial"/>
        </w:rPr>
        <w:t xml:space="preserve"> and Foster SO. The livelihood vulnerability index: A pragmatic approach to assessing risks from climate variability and change-a case study in Mozambique. Glob. Environ. Change. 2009;</w:t>
      </w:r>
      <w:r>
        <w:rPr>
          <w:rFonts w:ascii="Arial" w:hAnsi="Arial" w:cs="Arial"/>
          <w:b/>
        </w:rPr>
        <w:t>19</w:t>
      </w:r>
      <w:r>
        <w:rPr>
          <w:rFonts w:ascii="Arial" w:hAnsi="Arial" w:cs="Arial"/>
        </w:rPr>
        <w:t>(1): 74-88.</w:t>
      </w:r>
    </w:p>
    <w:p w:rsidR="000F63CB" w:rsidRDefault="00834ADD">
      <w:pPr>
        <w:pStyle w:val="ListParagraph"/>
        <w:numPr>
          <w:ilvl w:val="0"/>
          <w:numId w:val="33"/>
        </w:numPr>
        <w:spacing w:before="120" w:after="120" w:line="360" w:lineRule="auto"/>
        <w:ind w:left="360"/>
        <w:jc w:val="both"/>
        <w:rPr>
          <w:rFonts w:ascii="Arial" w:hAnsi="Arial" w:cs="Arial"/>
          <w:lang w:val="en-US"/>
        </w:rPr>
      </w:pPr>
      <w:r>
        <w:rPr>
          <w:rFonts w:ascii="Arial" w:hAnsi="Arial" w:cs="Arial"/>
        </w:rPr>
        <w:t xml:space="preserve">Polit DF, Beck, CT and Owen SV. Is the CVI </w:t>
      </w:r>
      <w:r w:rsidR="00704161">
        <w:rPr>
          <w:rFonts w:ascii="Arial" w:hAnsi="Arial" w:cs="Arial"/>
        </w:rPr>
        <w:t xml:space="preserve">an </w:t>
      </w:r>
      <w:r>
        <w:rPr>
          <w:rFonts w:ascii="Arial" w:hAnsi="Arial" w:cs="Arial"/>
        </w:rPr>
        <w:t>acceptable indicator of content validity? Appraisal and recommendations. Research in Nursing &amp; Health. 2007;</w:t>
      </w:r>
      <w:r>
        <w:rPr>
          <w:rFonts w:ascii="Arial" w:hAnsi="Arial" w:cs="Arial"/>
          <w:color w:val="525254"/>
          <w:sz w:val="14"/>
          <w:szCs w:val="14"/>
        </w:rPr>
        <w:t xml:space="preserve"> </w:t>
      </w:r>
      <w:r>
        <w:rPr>
          <w:rFonts w:ascii="Arial" w:hAnsi="Arial" w:cs="Arial"/>
          <w:lang w:val="en-US"/>
        </w:rPr>
        <w:t xml:space="preserve">30(4):459-67. </w:t>
      </w:r>
      <w:r>
        <w:rPr>
          <w:rFonts w:ascii="Arial" w:hAnsi="Arial" w:cs="Arial"/>
        </w:rPr>
        <w:t xml:space="preserve">DOI: 10.1002/nur.20199.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Alkire S, Meinzen-Dick R, Peterman A, Quisumbing A, Seymour G and Vaz A. The women’s empowerment in agriculture index. World Development, 2013; 52 (1): 71-91.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6" w:history="1">
        <w:r>
          <w:rPr>
            <w:rStyle w:val="Hyperlink"/>
            <w:rFonts w:ascii="Arial" w:hAnsi="Arial" w:cs="Arial"/>
          </w:rPr>
          <w:t>https://doi.org/10.1016/j.worlddev.2013.06.007</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Government of Tripura. West District- about </w:t>
      </w:r>
      <w:r w:rsidR="00704161">
        <w:rPr>
          <w:rFonts w:ascii="Arial" w:hAnsi="Arial" w:cs="Arial"/>
        </w:rPr>
        <w:t xml:space="preserve">the </w:t>
      </w:r>
      <w:r>
        <w:rPr>
          <w:rFonts w:ascii="Arial" w:hAnsi="Arial" w:cs="Arial"/>
        </w:rPr>
        <w:t xml:space="preserve">district. 2023. Accessed 20 April 2023. Available: </w:t>
      </w:r>
      <w:hyperlink r:id="rId27" w:history="1">
        <w:r>
          <w:rPr>
            <w:rStyle w:val="Hyperlink"/>
            <w:rFonts w:ascii="Arial" w:hAnsi="Arial" w:cs="Arial"/>
          </w:rPr>
          <w:t>https://westtripura.nic.in/about-district</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Government of India. “National Livestock Policy, 2013,” Department of Animal Husbandry, Dairying and Fisheries, Ministry of Agriculture. 2013.</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Roy PK, Haque S, Jannat A, Ali M and Khan MS. Contribution of women to household income and decision making in some selected areas of Mymensingh in Bangladesh. Progressive Agriculture. 2017; 28 (2): 120-129.</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 xml:space="preserve">Baliyan K and Kumar S. Contribution of Farm Women in Household Income: Evidence from Western Uttar Pradesh.  International Journal of Social Economic Research. 2014; </w:t>
      </w:r>
      <w:r>
        <w:rPr>
          <w:rFonts w:ascii="Arial" w:hAnsi="Arial" w:cs="Arial"/>
        </w:rPr>
        <w:t>4(3):302-335. DOI: </w:t>
      </w:r>
      <w:hyperlink r:id="rId28" w:tgtFrame="_blank" w:history="1">
        <w:r>
          <w:rPr>
            <w:rStyle w:val="Hyperlink"/>
            <w:rFonts w:ascii="Arial" w:hAnsi="Arial" w:cs="Arial"/>
          </w:rPr>
          <w:t>10.5958/2249-6270.2014.01107.6</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Kalai K and Devarani L. Gender differences in agricultural empowerment: A cross-cultural study in Tripura. Indian Res. J. Ext. Edu. 2018;18(3): 76-82.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9" w:history="1">
        <w:r>
          <w:rPr>
            <w:rStyle w:val="Hyperlink"/>
            <w:rFonts w:ascii="Arial" w:hAnsi="Arial" w:cs="Arial"/>
          </w:rPr>
          <w:t>https://api.seea.org.in/uploads/pdf/2018-57-76-82.pdf</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India. International Institute for Population Sciences (IIPS). National Family Health Survey (NFHS-5), 2019-21. Accessed 20 April 2023. </w:t>
      </w:r>
    </w:p>
    <w:p w:rsidR="000F63CB" w:rsidRDefault="00834ADD">
      <w:pPr>
        <w:pStyle w:val="ListParagraph"/>
        <w:spacing w:before="120" w:after="120" w:line="360" w:lineRule="auto"/>
        <w:ind w:left="360"/>
        <w:jc w:val="both"/>
        <w:rPr>
          <w:rFonts w:ascii="Arial" w:hAnsi="Arial" w:cs="Arial"/>
        </w:rPr>
      </w:pPr>
      <w:r>
        <w:rPr>
          <w:rFonts w:ascii="Arial" w:hAnsi="Arial" w:cs="Arial"/>
        </w:rPr>
        <w:lastRenderedPageBreak/>
        <w:t xml:space="preserve">Available: </w:t>
      </w:r>
      <w:hyperlink r:id="rId30" w:history="1">
        <w:r>
          <w:rPr>
            <w:rStyle w:val="Hyperlink"/>
            <w:rFonts w:ascii="Arial" w:hAnsi="Arial" w:cs="Arial"/>
          </w:rPr>
          <w:t>https://dhsprogram.com/pubs/pdf/FR374 /FR374Tripura.pdf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Opiyo FEO, Wasonga OV and Nyangito MN. Measuring household vulnerability to climate-induced stresses in pastoral rangelands of Kenya: Implications for resilience programming. Pastoralism: Research, Policy</w:t>
      </w:r>
      <w:r w:rsidR="00704161">
        <w:rPr>
          <w:rFonts w:ascii="Arial" w:hAnsi="Arial" w:cs="Arial"/>
          <w:lang w:val="en-US"/>
        </w:rPr>
        <w:t>,</w:t>
      </w:r>
      <w:r>
        <w:rPr>
          <w:rFonts w:ascii="Arial" w:hAnsi="Arial" w:cs="Arial"/>
          <w:lang w:val="en-US"/>
        </w:rPr>
        <w:t xml:space="preserve"> and Practice 2014; 4:10 </w:t>
      </w:r>
      <w:r>
        <w:rPr>
          <w:rFonts w:ascii="Arial" w:hAnsi="Arial" w:cs="Arial"/>
        </w:rPr>
        <w:t xml:space="preserve">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31" w:history="1">
        <w:r>
          <w:rPr>
            <w:rStyle w:val="Hyperlink"/>
            <w:rFonts w:ascii="Arial" w:hAnsi="Arial" w:cs="Arial"/>
            <w:lang w:val="en-US"/>
          </w:rPr>
          <w:t>http://www.pastoralismjournal.com/content/4/1/10</w:t>
        </w:r>
      </w:hyperlink>
      <w:r>
        <w:rPr>
          <w:rFonts w:ascii="Arial" w:hAnsi="Arial" w:cs="Arial"/>
          <w:lang w:val="en-US"/>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Alhassan SI, Kuwornu JKM and Osei-Asare YB. Gender dimension of vulnerability to climate change and variability: Empirical evidence of smallholder farming households in Ghana. Int. J. Clim. Change </w:t>
      </w:r>
      <w:r w:rsidR="00704161">
        <w:rPr>
          <w:rFonts w:ascii="Arial" w:hAnsi="Arial" w:cs="Arial"/>
        </w:rPr>
        <w:t>Strategy</w:t>
      </w:r>
      <w:r>
        <w:rPr>
          <w:rFonts w:ascii="Arial" w:hAnsi="Arial" w:cs="Arial"/>
        </w:rPr>
        <w:t xml:space="preserve">. Manag. 2018; 11(2): 195-214.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32" w:history="1">
        <w:r>
          <w:rPr>
            <w:rStyle w:val="Hyperlink"/>
            <w:rFonts w:ascii="Arial" w:hAnsi="Arial" w:cs="Arial"/>
          </w:rPr>
          <w:t>https://www.emerald.com/insight/content/doi/10.1108/ijccsm-10-2016-0156/full/pdf?title=gender-dimension-of-vulnerability-to-climate-change-and-variability-empirical-evidence-of-smallholder-farming-households-in-ghana</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bCs/>
        </w:rPr>
        <w:t>Shijagurumayum MS, Devarani L, Feroze SM, Singh RJ and Singh UN. Gender differences in the level of economic empowerment of farm-households in Manipur. Econ. Aff. 2017; 62(3): 399-404.</w:t>
      </w:r>
      <w:r>
        <w:rPr>
          <w:rFonts w:ascii="Arial" w:hAnsi="Arial" w:cs="Arial"/>
        </w:rPr>
        <w:t xml:space="preserve"> DOI: 10.5958/0976-4666.2017.00050.X Accessed 26 November 2022. </w:t>
      </w:r>
    </w:p>
    <w:p w:rsidR="000F63CB" w:rsidRDefault="00834ADD">
      <w:pPr>
        <w:pStyle w:val="ListParagraph"/>
        <w:spacing w:before="120" w:after="120" w:line="360" w:lineRule="auto"/>
        <w:ind w:left="360"/>
        <w:jc w:val="both"/>
        <w:rPr>
          <w:rFonts w:ascii="Arial" w:hAnsi="Arial" w:cs="Arial"/>
          <w:bCs/>
        </w:rPr>
      </w:pPr>
      <w:r>
        <w:rPr>
          <w:rFonts w:ascii="Arial" w:hAnsi="Arial" w:cs="Arial"/>
        </w:rPr>
        <w:t xml:space="preserve">Available: </w:t>
      </w:r>
      <w:hyperlink r:id="rId33" w:history="1">
        <w:r>
          <w:rPr>
            <w:rStyle w:val="Hyperlink"/>
            <w:rFonts w:ascii="Arial" w:hAnsi="Arial" w:cs="Arial"/>
            <w:bCs/>
          </w:rPr>
          <w:t>https://ndpublisher.in/admin/issues/EAv62n3g.pdf</w:t>
        </w:r>
      </w:hyperlink>
    </w:p>
    <w:p w:rsidR="000F63CB" w:rsidRDefault="000F63CB">
      <w:pPr>
        <w:pStyle w:val="Appendix"/>
        <w:spacing w:after="0"/>
        <w:jc w:val="both"/>
        <w:rPr>
          <w:rFonts w:ascii="Arial" w:hAnsi="Arial" w:cs="Arial"/>
          <w:b w:val="0"/>
        </w:rPr>
        <w:sectPr w:rsidR="000F63CB">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rsidR="000F63CB" w:rsidRDefault="000F63CB">
      <w:pPr>
        <w:pStyle w:val="Appendix"/>
        <w:spacing w:after="0"/>
        <w:jc w:val="both"/>
        <w:rPr>
          <w:rFonts w:ascii="Arial" w:hAnsi="Arial" w:cs="Arial"/>
          <w:b w:val="0"/>
        </w:rPr>
      </w:pPr>
    </w:p>
    <w:sectPr w:rsidR="000F63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331" w:rsidRDefault="008C0331">
      <w:r>
        <w:separator/>
      </w:r>
    </w:p>
  </w:endnote>
  <w:endnote w:type="continuationSeparator" w:id="0">
    <w:p w:rsidR="008C0331" w:rsidRDefault="008C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331" w:rsidRDefault="008C0331">
      <w:r>
        <w:separator/>
      </w:r>
    </w:p>
  </w:footnote>
  <w:footnote w:type="continuationSeparator" w:id="0">
    <w:p w:rsidR="008C0331" w:rsidRDefault="008C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8C0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520.65pt;height:57.8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8C0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520.65pt;height:57.8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8C0331">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left:0;text-align:left;margin-left:0;margin-top:0;width:520.65pt;height:57.8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rsidR="00217E59" w:rsidRDefault="00217E59">
    <w:pPr>
      <w:ind w:left="4320"/>
      <w:rPr>
        <w:rFonts w:ascii="Times New Roman" w:eastAsia="Calibri" w:hAnsi="Times New Roman"/>
        <w:i/>
        <w:sz w:val="18"/>
        <w:szCs w:val="22"/>
      </w:rPr>
    </w:pPr>
    <w:r>
      <w:rPr>
        <w:rFonts w:ascii="Times New Roman" w:eastAsia="Calibri" w:hAnsi="Times New Roman"/>
        <w:i/>
        <w:sz w:val="18"/>
        <w:szCs w:val="22"/>
      </w:rPr>
      <w:t>.</w:t>
    </w:r>
  </w:p>
  <w:p w:rsidR="00217E59" w:rsidRDefault="00217E59">
    <w:pPr>
      <w:jc w:val="center"/>
      <w:rPr>
        <w:rFonts w:ascii="Times New Roman" w:eastAsia="Calibri" w:hAnsi="Times New Roman"/>
        <w:i/>
        <w:sz w:val="18"/>
        <w:szCs w:val="22"/>
      </w:rPr>
    </w:pPr>
    <w:r>
      <w:rPr>
        <w:rFonts w:ascii="Times New Roman" w:eastAsia="Calibri" w:hAnsi="Times New Roman"/>
        <w:i/>
        <w:sz w:val="18"/>
        <w:szCs w:val="22"/>
      </w:rPr>
      <w:t>.</w:t>
    </w:r>
  </w:p>
  <w:p w:rsidR="00217E59" w:rsidRDefault="00217E5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17E59" w:rsidRDefault="00217E59">
    <w:pPr>
      <w:jc w:val="center"/>
      <w:rPr>
        <w:rFonts w:ascii="Times New Roman" w:eastAsia="Calibri" w:hAnsi="Times New Roman"/>
        <w:i/>
        <w:sz w:val="18"/>
        <w:szCs w:val="22"/>
      </w:rPr>
    </w:pPr>
  </w:p>
  <w:p w:rsidR="00217E59" w:rsidRDefault="00217E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17E59" w:rsidRDefault="00217E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8C0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520.65pt;height:57.8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8C0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520.65pt;height:57.8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8C0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520.65pt;height:57.8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A5235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 w15:restartNumberingAfterBreak="0">
    <w:nsid w:val="00000005"/>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hybridMultilevel"/>
    <w:tmpl w:val="39C4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10"/>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6" w15:restartNumberingAfterBreak="0">
    <w:nsid w:val="00000011"/>
    <w:multiLevelType w:val="hybridMultilevel"/>
    <w:tmpl w:val="70140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2"/>
    <w:multiLevelType w:val="singleLevel"/>
    <w:tmpl w:val="A1B04AE0"/>
    <w:lvl w:ilvl="0">
      <w:start w:val="1"/>
      <w:numFmt w:val="decimal"/>
      <w:lvlText w:val="%1."/>
      <w:lvlJc w:val="left"/>
      <w:pPr>
        <w:ind w:left="360" w:hanging="360"/>
      </w:pPr>
    </w:lvl>
  </w:abstractNum>
  <w:abstractNum w:abstractNumId="18" w15:restartNumberingAfterBreak="0">
    <w:nsid w:val="00000013"/>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388ED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1" w15:restartNumberingAfterBreak="0">
    <w:nsid w:val="00000016"/>
    <w:multiLevelType w:val="multilevel"/>
    <w:tmpl w:val="4C3631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hybridMultilevel"/>
    <w:tmpl w:val="C2640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000001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4" w15:restartNumberingAfterBreak="0">
    <w:nsid w:val="00000019"/>
    <w:multiLevelType w:val="singleLevel"/>
    <w:tmpl w:val="E368B7EE"/>
    <w:lvl w:ilvl="0">
      <w:start w:val="1"/>
      <w:numFmt w:val="decimal"/>
      <w:pStyle w:val="Reference"/>
      <w:lvlText w:val="%1."/>
      <w:lvlJc w:val="left"/>
      <w:pPr>
        <w:tabs>
          <w:tab w:val="left" w:pos="360"/>
        </w:tabs>
        <w:ind w:left="360" w:hanging="360"/>
      </w:pPr>
    </w:lvl>
  </w:abstractNum>
  <w:abstractNum w:abstractNumId="25" w15:restartNumberingAfterBreak="0">
    <w:nsid w:val="0000001A"/>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singleLevel"/>
    <w:tmpl w:val="A1B04AE0"/>
    <w:lvl w:ilvl="0">
      <w:start w:val="1"/>
      <w:numFmt w:val="decimal"/>
      <w:lvlText w:val="%1."/>
      <w:lvlJc w:val="left"/>
      <w:pPr>
        <w:ind w:left="360" w:hanging="360"/>
      </w:p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0000001D"/>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9" w15:restartNumberingAfterBreak="0">
    <w:nsid w:val="0000001E"/>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1" w15:restartNumberingAfterBreak="0">
    <w:nsid w:val="00000020"/>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4" w15:restartNumberingAfterBreak="0">
    <w:nsid w:val="2FE239B4"/>
    <w:multiLevelType w:val="singleLevel"/>
    <w:tmpl w:val="FFFFFFFF"/>
    <w:lvl w:ilvl="0">
      <w:start w:val="1"/>
      <w:numFmt w:val="decimal"/>
      <w:lvlText w:val="*"/>
      <w:lvlJc w:val="left"/>
    </w:lvl>
  </w:abstractNum>
  <w:num w:numId="1">
    <w:abstractNumId w:val="24"/>
  </w:num>
  <w:num w:numId="2">
    <w:abstractNumId w:val="22"/>
  </w:num>
  <w:num w:numId="3">
    <w:abstractNumId w:val="34"/>
    <w:lvlOverride w:ilvl="0">
      <w:lvl w:ilvl="0">
        <w:start w:val="1"/>
        <w:numFmt w:val="bullet"/>
        <w:lvlText w:val=""/>
        <w:lvlJc w:val="left"/>
        <w:pPr>
          <w:ind w:left="360" w:hanging="360"/>
        </w:pPr>
        <w:rPr>
          <w:rFonts w:ascii="Symbol" w:hAnsi="Symbol" w:hint="default"/>
        </w:rPr>
      </w:lvl>
    </w:lvlOverride>
  </w:num>
  <w:num w:numId="4">
    <w:abstractNumId w:val="17"/>
  </w:num>
  <w:num w:numId="5">
    <w:abstractNumId w:val="28"/>
  </w:num>
  <w:num w:numId="6">
    <w:abstractNumId w:val="34"/>
    <w:lvlOverride w:ilvl="0">
      <w:lvl w:ilvl="0">
        <w:start w:val="1"/>
        <w:numFmt w:val="bullet"/>
        <w:lvlText w:val=""/>
        <w:lvlJc w:val="left"/>
        <w:pPr>
          <w:ind w:left="360" w:hanging="360"/>
        </w:pPr>
        <w:rPr>
          <w:rFonts w:ascii="Wingdings" w:hAnsi="Wingdings" w:hint="default"/>
          <w:sz w:val="16"/>
        </w:rPr>
      </w:lvl>
    </w:lvlOverride>
  </w:num>
  <w:num w:numId="7">
    <w:abstractNumId w:val="8"/>
  </w:num>
  <w:num w:numId="8">
    <w:abstractNumId w:val="6"/>
  </w:num>
  <w:num w:numId="9">
    <w:abstractNumId w:val="1"/>
  </w:num>
  <w:num w:numId="10">
    <w:abstractNumId w:val="13"/>
  </w:num>
  <w:num w:numId="11">
    <w:abstractNumId w:val="30"/>
  </w:num>
  <w:num w:numId="12">
    <w:abstractNumId w:val="2"/>
  </w:num>
  <w:num w:numId="13">
    <w:abstractNumId w:val="23"/>
  </w:num>
  <w:num w:numId="14">
    <w:abstractNumId w:val="3"/>
  </w:num>
  <w:num w:numId="15">
    <w:abstractNumId w:val="20"/>
  </w:num>
  <w:num w:numId="16">
    <w:abstractNumId w:val="9"/>
  </w:num>
  <w:num w:numId="17">
    <w:abstractNumId w:val="26"/>
  </w:num>
  <w:num w:numId="18">
    <w:abstractNumId w:val="5"/>
  </w:num>
  <w:num w:numId="19">
    <w:abstractNumId w:val="27"/>
  </w:num>
  <w:num w:numId="20">
    <w:abstractNumId w:val="15"/>
  </w:num>
  <w:num w:numId="21">
    <w:abstractNumId w:val="33"/>
  </w:num>
  <w:num w:numId="22">
    <w:abstractNumId w:val="12"/>
  </w:num>
  <w:num w:numId="23">
    <w:abstractNumId w:val="10"/>
  </w:num>
  <w:num w:numId="24">
    <w:abstractNumId w:val="14"/>
  </w:num>
  <w:num w:numId="25">
    <w:abstractNumId w:val="31"/>
  </w:num>
  <w:num w:numId="26">
    <w:abstractNumId w:val="4"/>
  </w:num>
  <w:num w:numId="27">
    <w:abstractNumId w:val="18"/>
  </w:num>
  <w:num w:numId="28">
    <w:abstractNumId w:val="25"/>
  </w:num>
  <w:num w:numId="29">
    <w:abstractNumId w:val="32"/>
  </w:num>
  <w:num w:numId="30">
    <w:abstractNumId w:val="29"/>
  </w:num>
  <w:num w:numId="31">
    <w:abstractNumId w:val="11"/>
  </w:num>
  <w:num w:numId="32">
    <w:abstractNumId w:val="16"/>
  </w:num>
  <w:num w:numId="33">
    <w:abstractNumId w:val="7"/>
  </w:num>
  <w:num w:numId="34">
    <w:abstractNumId w:val="2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3CB"/>
    <w:rsid w:val="000612C8"/>
    <w:rsid w:val="000D39E9"/>
    <w:rsid w:val="000E11DB"/>
    <w:rsid w:val="000F63CB"/>
    <w:rsid w:val="00112D39"/>
    <w:rsid w:val="001627F1"/>
    <w:rsid w:val="00197279"/>
    <w:rsid w:val="001D163F"/>
    <w:rsid w:val="001F7257"/>
    <w:rsid w:val="00207419"/>
    <w:rsid w:val="00217E59"/>
    <w:rsid w:val="00431056"/>
    <w:rsid w:val="00537335"/>
    <w:rsid w:val="0061588B"/>
    <w:rsid w:val="00691CB6"/>
    <w:rsid w:val="00704161"/>
    <w:rsid w:val="00782DB6"/>
    <w:rsid w:val="007D4CFF"/>
    <w:rsid w:val="00834ADD"/>
    <w:rsid w:val="00896C3A"/>
    <w:rsid w:val="008A4524"/>
    <w:rsid w:val="008C0331"/>
    <w:rsid w:val="00931FA0"/>
    <w:rsid w:val="00A25657"/>
    <w:rsid w:val="00B502FB"/>
    <w:rsid w:val="00BA2EE8"/>
    <w:rsid w:val="00BB3E78"/>
    <w:rsid w:val="00D802CF"/>
    <w:rsid w:val="00DF13E9"/>
    <w:rsid w:val="00E26F0E"/>
    <w:rsid w:val="00E95F97"/>
    <w:rsid w:val="00EA476C"/>
    <w:rsid w:val="00F56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23191868"/>
  <w15:docId w15:val="{0A6E55FC-ED50-4E81-9AB4-8E2E1DAE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SimSun" w:hAnsi="Calibri" w:cs="SimSun"/>
      <w:sz w:val="22"/>
      <w:szCs w:val="22"/>
      <w:lang w:val="en-IN"/>
    </w:rPr>
  </w:style>
  <w:style w:type="character" w:customStyle="1" w:styleId="ListParagraphChar">
    <w:name w:val="List Paragraph Char"/>
    <w:link w:val="ListParagraph"/>
    <w:uiPriority w:val="34"/>
    <w:rPr>
      <w:rFonts w:ascii="Calibri" w:eastAsia="SimSun" w:hAnsi="Calibri" w:cs="SimSun"/>
      <w:sz w:val="22"/>
      <w:szCs w:val="22"/>
      <w:lang w:val="en-IN"/>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ermanwatch.org/sites/default/files/Global%20Climate%20Risk%20Index%202021_2.pdf" TargetMode="External"/><Relationship Id="rId18" Type="http://schemas.openxmlformats.org/officeDocument/2006/relationships/hyperlink" Target="https://www.ipcc.ch/site/assets/uploads/2018/05/SYR_TAR_full_report.pdf" TargetMode="External"/><Relationship Id="rId26" Type="http://schemas.openxmlformats.org/officeDocument/2006/relationships/hyperlink" Target="https://doi.org/10.1016/j.worlddev.2013.06.007" TargetMode="External"/><Relationship Id="rId39" Type="http://schemas.openxmlformats.org/officeDocument/2006/relationships/theme" Target="theme/theme1.xml"/><Relationship Id="rId21" Type="http://schemas.openxmlformats.org/officeDocument/2006/relationships/hyperlink" Target="https://www.g20.org/content/dam/gtwenty/gtwenty_new%20/document/G20-New-Delhi-Leaders-Declaration.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dma.tripura.gov.in/sites/default/files/Memorandum%20%20of%20FLood%20%202018-19%20final.pdf" TargetMode="External"/><Relationship Id="rId25" Type="http://schemas.openxmlformats.org/officeDocument/2006/relationships/hyperlink" Target="https://www.ceew.in/publications/mapping-climate-change-vulnerability-index-of-india-a-district-level-assessment" TargetMode="External"/><Relationship Id="rId33" Type="http://schemas.openxmlformats.org/officeDocument/2006/relationships/hyperlink" Target="https://ndpublisher.in/admin/issues/EAv62n3g.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tep.in/drupal/node/2130" TargetMode="External"/><Relationship Id="rId20" Type="http://schemas.openxmlformats.org/officeDocument/2006/relationships/hyperlink" Target="https://link.springer.com/article/10.1007/s13280-016-0825-2" TargetMode="External"/><Relationship Id="rId29" Type="http://schemas.openxmlformats.org/officeDocument/2006/relationships/hyperlink" Target="https://api.seea.org.in/uploads/pdf/2018-57-76-8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17565529.2019.1580555" TargetMode="External"/><Relationship Id="rId32" Type="http://schemas.openxmlformats.org/officeDocument/2006/relationships/hyperlink" Target="https://www.emerald.com/insight/content/doi/10.1108/ijccsm-10-2016-0156/full/pdf?title=gender-dimension-of-vulnerability-to-climate-change-and-variability-empirical-evidence-of-smallholder-farming-households-in-ghana"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st.gov.in/sites/default/files/Report_DST_CC_Agriculture.pdf" TargetMode="External"/><Relationship Id="rId23" Type="http://schemas.openxmlformats.org/officeDocument/2006/relationships/hyperlink" Target="https://link.springer.com/article/10.1007/s10113-018-1357-z" TargetMode="External"/><Relationship Id="rId28" Type="http://schemas.openxmlformats.org/officeDocument/2006/relationships/hyperlink" Target="http://dx.doi.org/10.5958/2249-6270.2014.01107.6"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rd.unwomen.org/explore/insights/explainer-how-gender-inequality-and-climate-change-are-interconnected" TargetMode="External"/><Relationship Id="rId31" Type="http://schemas.openxmlformats.org/officeDocument/2006/relationships/hyperlink" Target="http://www.pastoralismjournal.com/content/4/1/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pcc.ch/report/ar6/wg2/downloads/report/IPCC_AR6_WGII_SummaryForPolicymakers.pdf" TargetMode="External"/><Relationship Id="rId22" Type="http://schemas.openxmlformats.org/officeDocument/2006/relationships/hyperlink" Target="https://link.springer.com/article/10.1007/s10113-021-01785-z" TargetMode="External"/><Relationship Id="rId27" Type="http://schemas.openxmlformats.org/officeDocument/2006/relationships/hyperlink" Target="https://westtripura.nic.in/about-district" TargetMode="External"/><Relationship Id="rId30" Type="http://schemas.openxmlformats.org/officeDocument/2006/relationships/hyperlink" Target="https://dhsprogram.com/pubs/pdf/FR374%20/FR374Tripura.pdf"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4DD6-BB46-48A5-86BD-F93584A7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15</Pages>
  <Words>5424</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66</cp:revision>
  <cp:lastPrinted>1999-07-06T11:00:00Z</cp:lastPrinted>
  <dcterms:created xsi:type="dcterms:W3CDTF">2014-10-25T14:34:00Z</dcterms:created>
  <dcterms:modified xsi:type="dcterms:W3CDTF">2025-02-11T05:36:00Z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d5486f17393d44c794e164e5002f8e66</vt:lpwstr>
  </property>
  <property fmtid="{D5CDD505-2E9C-101B-9397-08002B2CF9AE}" pid="3" name="GrammarlyDocumentId">
    <vt:lpwstr>afeae7f11a2bf4bb7c18fca0923f37a394e21e6c0dc9bbdd88fa2adcd16c644c</vt:lpwstr>
  </property>
</Properties>
</file>