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C8061" w14:textId="77777777" w:rsidR="00D431A5" w:rsidRDefault="00D431A5" w:rsidP="00380BA4">
      <w:pPr>
        <w:spacing w:line="360" w:lineRule="auto"/>
        <w:jc w:val="right"/>
        <w:rPr>
          <w:rFonts w:ascii="Arial" w:hAnsi="Arial" w:cs="Arial"/>
          <w:b/>
          <w:bCs/>
          <w:sz w:val="26"/>
          <w:szCs w:val="26"/>
          <w:lang w:val="en-US"/>
        </w:rPr>
      </w:pPr>
    </w:p>
    <w:p w14:paraId="68110621" w14:textId="19D4584F" w:rsidR="0074275E" w:rsidRPr="00067C2A" w:rsidRDefault="00595C48" w:rsidP="00380BA4">
      <w:pPr>
        <w:spacing w:line="360" w:lineRule="auto"/>
        <w:jc w:val="right"/>
        <w:rPr>
          <w:rFonts w:ascii="Arial" w:hAnsi="Arial" w:cs="Arial"/>
          <w:b/>
          <w:bCs/>
          <w:sz w:val="26"/>
          <w:szCs w:val="26"/>
          <w:lang w:val="en-US"/>
        </w:rPr>
      </w:pPr>
      <w:r w:rsidRPr="00067C2A">
        <w:rPr>
          <w:rFonts w:ascii="Arial" w:hAnsi="Arial" w:cs="Arial"/>
          <w:b/>
          <w:bCs/>
          <w:sz w:val="26"/>
          <w:szCs w:val="26"/>
          <w:lang w:val="en-US"/>
        </w:rPr>
        <w:t xml:space="preserve">Nutritional and bioactive </w:t>
      </w:r>
      <w:r w:rsidR="002B184A" w:rsidRPr="00067C2A">
        <w:rPr>
          <w:rFonts w:ascii="Arial" w:hAnsi="Arial" w:cs="Arial"/>
          <w:b/>
          <w:bCs/>
          <w:sz w:val="26"/>
          <w:szCs w:val="26"/>
          <w:lang w:val="en-US"/>
        </w:rPr>
        <w:t>potentials</w:t>
      </w:r>
      <w:r w:rsidR="00C82E9C" w:rsidRPr="00067C2A">
        <w:rPr>
          <w:rFonts w:ascii="Arial" w:hAnsi="Arial" w:cs="Arial"/>
          <w:b/>
          <w:bCs/>
          <w:sz w:val="26"/>
          <w:szCs w:val="26"/>
          <w:lang w:val="en-US"/>
        </w:rPr>
        <w:t xml:space="preserve"> </w:t>
      </w:r>
      <w:r w:rsidR="002809BB" w:rsidRPr="00067C2A">
        <w:rPr>
          <w:rFonts w:ascii="Arial" w:hAnsi="Arial" w:cs="Arial"/>
          <w:b/>
          <w:bCs/>
          <w:sz w:val="26"/>
          <w:szCs w:val="26"/>
          <w:lang w:val="en-US"/>
        </w:rPr>
        <w:t>of</w:t>
      </w:r>
      <w:r w:rsidR="00A5319D" w:rsidRPr="00067C2A">
        <w:rPr>
          <w:rFonts w:ascii="Arial" w:hAnsi="Arial" w:cs="Arial"/>
          <w:b/>
          <w:bCs/>
          <w:sz w:val="26"/>
          <w:szCs w:val="26"/>
          <w:lang w:val="en-US"/>
        </w:rPr>
        <w:t xml:space="preserve"> powdered leaves </w:t>
      </w:r>
      <w:r w:rsidR="00245B33" w:rsidRPr="00067C2A">
        <w:rPr>
          <w:rFonts w:ascii="Arial" w:hAnsi="Arial" w:cs="Arial"/>
          <w:b/>
          <w:bCs/>
          <w:sz w:val="26"/>
          <w:szCs w:val="26"/>
          <w:lang w:val="en-US"/>
        </w:rPr>
        <w:t xml:space="preserve">of </w:t>
      </w:r>
      <w:r w:rsidR="00245B33" w:rsidRPr="00067C2A">
        <w:rPr>
          <w:rFonts w:ascii="Arial" w:hAnsi="Arial" w:cs="Arial"/>
          <w:b/>
          <w:bCs/>
          <w:i/>
          <w:iCs/>
          <w:sz w:val="26"/>
          <w:szCs w:val="26"/>
          <w:lang w:val="en-US"/>
        </w:rPr>
        <w:t>Adansonia digitata</w:t>
      </w:r>
      <w:r w:rsidR="007545F3" w:rsidRPr="00067C2A">
        <w:rPr>
          <w:rFonts w:ascii="Arial" w:hAnsi="Arial" w:cs="Arial"/>
          <w:b/>
          <w:bCs/>
          <w:sz w:val="26"/>
          <w:szCs w:val="26"/>
          <w:lang w:val="en-US"/>
        </w:rPr>
        <w:t xml:space="preserve"> L</w:t>
      </w:r>
      <w:r w:rsidR="00575265" w:rsidRPr="00067C2A">
        <w:rPr>
          <w:rFonts w:ascii="Arial" w:hAnsi="Arial" w:cs="Arial"/>
          <w:b/>
          <w:bCs/>
          <w:sz w:val="26"/>
          <w:szCs w:val="26"/>
          <w:lang w:val="en-US"/>
        </w:rPr>
        <w:t>.</w:t>
      </w:r>
      <w:r w:rsidR="007545F3" w:rsidRPr="00067C2A">
        <w:rPr>
          <w:rFonts w:ascii="Arial" w:hAnsi="Arial" w:cs="Arial"/>
          <w:b/>
          <w:bCs/>
          <w:sz w:val="26"/>
          <w:szCs w:val="26"/>
          <w:lang w:val="en-US"/>
        </w:rPr>
        <w:t>,</w:t>
      </w:r>
      <w:r w:rsidR="00A5319D" w:rsidRPr="00067C2A">
        <w:rPr>
          <w:rFonts w:ascii="Arial" w:hAnsi="Arial" w:cs="Arial"/>
          <w:b/>
          <w:bCs/>
          <w:sz w:val="26"/>
          <w:szCs w:val="26"/>
          <w:lang w:val="en-US"/>
        </w:rPr>
        <w:t xml:space="preserve"> </w:t>
      </w:r>
      <w:r w:rsidR="00A5319D" w:rsidRPr="00067C2A">
        <w:rPr>
          <w:rFonts w:ascii="Arial" w:hAnsi="Arial" w:cs="Arial"/>
          <w:b/>
          <w:bCs/>
          <w:i/>
          <w:iCs/>
          <w:sz w:val="26"/>
          <w:szCs w:val="26"/>
          <w:lang w:val="en-US"/>
        </w:rPr>
        <w:t>Corchorus olitorius</w:t>
      </w:r>
      <w:r w:rsidR="00A5319D" w:rsidRPr="00067C2A">
        <w:rPr>
          <w:rFonts w:ascii="Arial" w:hAnsi="Arial" w:cs="Arial"/>
          <w:b/>
          <w:bCs/>
          <w:sz w:val="26"/>
          <w:szCs w:val="26"/>
          <w:lang w:val="en-US"/>
        </w:rPr>
        <w:t xml:space="preserve"> </w:t>
      </w:r>
      <w:r w:rsidR="009249E6" w:rsidRPr="00067C2A">
        <w:rPr>
          <w:rFonts w:ascii="Arial" w:hAnsi="Arial" w:cs="Arial"/>
          <w:b/>
          <w:bCs/>
          <w:sz w:val="26"/>
          <w:szCs w:val="26"/>
          <w:lang w:val="en-US"/>
        </w:rPr>
        <w:t xml:space="preserve">L., </w:t>
      </w:r>
      <w:r w:rsidR="00245B33" w:rsidRPr="00067C2A">
        <w:rPr>
          <w:rFonts w:ascii="Arial" w:hAnsi="Arial" w:cs="Arial"/>
          <w:b/>
          <w:bCs/>
          <w:sz w:val="26"/>
          <w:szCs w:val="26"/>
          <w:lang w:val="en-US"/>
        </w:rPr>
        <w:t xml:space="preserve">and </w:t>
      </w:r>
      <w:r w:rsidR="00A5319D" w:rsidRPr="00067C2A">
        <w:rPr>
          <w:rFonts w:ascii="Arial" w:hAnsi="Arial" w:cs="Arial"/>
          <w:b/>
          <w:bCs/>
          <w:sz w:val="26"/>
          <w:szCs w:val="26"/>
          <w:lang w:val="en-US"/>
        </w:rPr>
        <w:t>bark of</w:t>
      </w:r>
      <w:r w:rsidR="00481778" w:rsidRPr="00067C2A">
        <w:rPr>
          <w:rFonts w:ascii="Arial" w:hAnsi="Arial" w:cs="Arial"/>
          <w:b/>
          <w:bCs/>
          <w:sz w:val="26"/>
          <w:szCs w:val="26"/>
          <w:lang w:val="en-US"/>
        </w:rPr>
        <w:t xml:space="preserve"> </w:t>
      </w:r>
      <w:proofErr w:type="spellStart"/>
      <w:r w:rsidR="00481778" w:rsidRPr="00067C2A">
        <w:rPr>
          <w:rFonts w:ascii="Arial" w:hAnsi="Arial" w:cs="Arial"/>
          <w:b/>
          <w:bCs/>
          <w:i/>
          <w:iCs/>
          <w:sz w:val="26"/>
          <w:szCs w:val="26"/>
          <w:lang w:val="en-US"/>
        </w:rPr>
        <w:t>Triumfetta</w:t>
      </w:r>
      <w:proofErr w:type="spellEnd"/>
      <w:r w:rsidR="00481778" w:rsidRPr="00067C2A">
        <w:rPr>
          <w:rFonts w:ascii="Arial" w:hAnsi="Arial" w:cs="Arial"/>
          <w:b/>
          <w:bCs/>
          <w:i/>
          <w:iCs/>
          <w:sz w:val="26"/>
          <w:szCs w:val="26"/>
          <w:lang w:val="en-US"/>
        </w:rPr>
        <w:t xml:space="preserve"> </w:t>
      </w:r>
      <w:proofErr w:type="spellStart"/>
      <w:r w:rsidR="00481778" w:rsidRPr="00067C2A">
        <w:rPr>
          <w:rFonts w:ascii="Arial" w:hAnsi="Arial" w:cs="Arial"/>
          <w:b/>
          <w:bCs/>
          <w:i/>
          <w:iCs/>
          <w:sz w:val="26"/>
          <w:szCs w:val="26"/>
          <w:lang w:val="en-US"/>
        </w:rPr>
        <w:t>cordifolia</w:t>
      </w:r>
      <w:proofErr w:type="spellEnd"/>
      <w:r w:rsidR="003435E6" w:rsidRPr="00067C2A">
        <w:rPr>
          <w:rFonts w:ascii="Arial" w:hAnsi="Arial" w:cs="Arial"/>
          <w:b/>
          <w:bCs/>
          <w:i/>
          <w:iCs/>
          <w:sz w:val="26"/>
          <w:szCs w:val="26"/>
          <w:lang w:val="en-US"/>
        </w:rPr>
        <w:t xml:space="preserve"> </w:t>
      </w:r>
      <w:r w:rsidR="003435E6" w:rsidRPr="00067C2A">
        <w:rPr>
          <w:rFonts w:ascii="Arial" w:hAnsi="Arial" w:cs="Arial"/>
          <w:b/>
          <w:bCs/>
          <w:sz w:val="26"/>
          <w:szCs w:val="26"/>
          <w:lang w:val="en-US"/>
        </w:rPr>
        <w:t>A</w:t>
      </w:r>
      <w:r w:rsidR="00575265" w:rsidRPr="00067C2A">
        <w:rPr>
          <w:rFonts w:ascii="Arial" w:hAnsi="Arial" w:cs="Arial"/>
          <w:b/>
          <w:bCs/>
          <w:sz w:val="26"/>
          <w:szCs w:val="26"/>
          <w:lang w:val="en-US"/>
        </w:rPr>
        <w:t>.</w:t>
      </w:r>
      <w:r w:rsidR="003435E6" w:rsidRPr="00067C2A">
        <w:rPr>
          <w:rFonts w:ascii="Arial" w:hAnsi="Arial" w:cs="Arial"/>
          <w:b/>
          <w:bCs/>
          <w:sz w:val="26"/>
          <w:szCs w:val="26"/>
          <w:lang w:val="en-US"/>
        </w:rPr>
        <w:t xml:space="preserve"> </w:t>
      </w:r>
      <w:r w:rsidR="00A62595" w:rsidRPr="00067C2A">
        <w:rPr>
          <w:rFonts w:ascii="Arial" w:hAnsi="Arial" w:cs="Arial"/>
          <w:b/>
          <w:bCs/>
          <w:sz w:val="26"/>
          <w:szCs w:val="26"/>
          <w:lang w:val="en-US"/>
        </w:rPr>
        <w:t>r</w:t>
      </w:r>
      <w:r w:rsidR="00575265" w:rsidRPr="00067C2A">
        <w:rPr>
          <w:rFonts w:ascii="Arial" w:hAnsi="Arial" w:cs="Arial"/>
          <w:b/>
          <w:bCs/>
          <w:sz w:val="26"/>
          <w:szCs w:val="26"/>
          <w:lang w:val="en-US"/>
        </w:rPr>
        <w:t>ich</w:t>
      </w:r>
      <w:r w:rsidR="00A62595" w:rsidRPr="00067C2A">
        <w:rPr>
          <w:rFonts w:ascii="Arial" w:hAnsi="Arial" w:cs="Arial"/>
          <w:b/>
          <w:bCs/>
          <w:sz w:val="26"/>
          <w:szCs w:val="26"/>
          <w:lang w:val="en-US"/>
        </w:rPr>
        <w:t>.</w:t>
      </w:r>
      <w:r w:rsidR="00C82E9C" w:rsidRPr="00067C2A">
        <w:rPr>
          <w:rFonts w:ascii="Arial" w:hAnsi="Arial" w:cs="Arial"/>
          <w:b/>
          <w:bCs/>
          <w:sz w:val="26"/>
          <w:szCs w:val="26"/>
          <w:lang w:val="en-US"/>
        </w:rPr>
        <w:t xml:space="preserve">: Effect on GLUT4 translocation activity </w:t>
      </w:r>
    </w:p>
    <w:p w14:paraId="386DBD1E" w14:textId="77777777" w:rsidR="002809BB" w:rsidRPr="00067C2A" w:rsidRDefault="002809BB" w:rsidP="00245B33">
      <w:pPr>
        <w:spacing w:line="360" w:lineRule="auto"/>
        <w:jc w:val="center"/>
        <w:rPr>
          <w:rFonts w:ascii="Arial" w:hAnsi="Arial" w:cs="Arial"/>
          <w:b/>
          <w:bCs/>
          <w:sz w:val="28"/>
          <w:szCs w:val="28"/>
          <w:lang w:val="en-US"/>
        </w:rPr>
      </w:pPr>
    </w:p>
    <w:p w14:paraId="2E918448" w14:textId="77777777" w:rsidR="000E201B" w:rsidRPr="00380BA4" w:rsidRDefault="000E201B" w:rsidP="00245B33">
      <w:pPr>
        <w:spacing w:line="360" w:lineRule="auto"/>
        <w:jc w:val="both"/>
        <w:rPr>
          <w:rFonts w:ascii="Times New Roman" w:hAnsi="Times New Roman" w:cs="Times New Roman"/>
          <w:b/>
          <w:bCs/>
          <w:sz w:val="28"/>
          <w:szCs w:val="28"/>
          <w:lang w:val="en-US"/>
        </w:rPr>
      </w:pPr>
    </w:p>
    <w:p w14:paraId="476C2B6C" w14:textId="7FDEF7B6" w:rsidR="00245B33" w:rsidRPr="00380BA4" w:rsidRDefault="003730C8" w:rsidP="00245B33">
      <w:pPr>
        <w:spacing w:line="360" w:lineRule="auto"/>
        <w:jc w:val="both"/>
        <w:rPr>
          <w:rFonts w:ascii="Arial" w:hAnsi="Arial" w:cs="Arial"/>
          <w:b/>
          <w:bCs/>
          <w:lang w:val="en-US"/>
        </w:rPr>
      </w:pPr>
      <w:r w:rsidRPr="00380BA4">
        <w:rPr>
          <w:rFonts w:ascii="Arial" w:hAnsi="Arial" w:cs="Arial"/>
          <w:b/>
          <w:bCs/>
          <w:lang w:val="en-US"/>
        </w:rPr>
        <w:t>ABSTRACT</w:t>
      </w:r>
    </w:p>
    <w:p w14:paraId="309007E9" w14:textId="77D4D78B" w:rsidR="00C75334" w:rsidRDefault="00C75334" w:rsidP="00752DD6">
      <w:pPr>
        <w:spacing w:line="360" w:lineRule="auto"/>
        <w:jc w:val="both"/>
        <w:rPr>
          <w:rFonts w:ascii="Arial" w:hAnsi="Arial" w:cs="Arial"/>
          <w:sz w:val="20"/>
          <w:szCs w:val="20"/>
          <w:lang w:val="en-US"/>
        </w:rPr>
      </w:pPr>
      <w:r w:rsidRPr="00BC5F1D">
        <w:rPr>
          <w:rFonts w:ascii="Arial" w:hAnsi="Arial" w:cs="Arial"/>
          <w:sz w:val="20"/>
          <w:szCs w:val="20"/>
          <w:lang w:val="en-US"/>
        </w:rPr>
        <w:t xml:space="preserve">The consumption of medicinal plants in the management of type 2 diabetes (T2D) is increasingly recommended by therapists. The leaves of </w:t>
      </w:r>
      <w:r w:rsidRPr="00BC5F1D">
        <w:rPr>
          <w:rFonts w:ascii="Arial" w:hAnsi="Arial" w:cs="Arial"/>
          <w:i/>
          <w:iCs/>
          <w:sz w:val="20"/>
          <w:szCs w:val="20"/>
          <w:lang w:val="en-US"/>
        </w:rPr>
        <w:t>Adansonia digitata (LAD)</w:t>
      </w:r>
      <w:r w:rsidRPr="00BC5F1D">
        <w:rPr>
          <w:rFonts w:ascii="Arial" w:hAnsi="Arial" w:cs="Arial"/>
          <w:sz w:val="20"/>
          <w:szCs w:val="20"/>
          <w:lang w:val="en-US"/>
        </w:rPr>
        <w:t xml:space="preserve">, </w:t>
      </w:r>
      <w:r w:rsidRPr="00BC5F1D">
        <w:rPr>
          <w:rFonts w:ascii="Arial" w:hAnsi="Arial" w:cs="Arial"/>
          <w:i/>
          <w:iCs/>
          <w:sz w:val="20"/>
          <w:szCs w:val="20"/>
          <w:lang w:val="en-US"/>
        </w:rPr>
        <w:t>Corchorus olitorius (LCO)</w:t>
      </w:r>
      <w:r w:rsidRPr="00BC5F1D">
        <w:rPr>
          <w:rFonts w:ascii="Arial" w:hAnsi="Arial" w:cs="Arial"/>
          <w:sz w:val="20"/>
          <w:szCs w:val="20"/>
          <w:lang w:val="en-US"/>
        </w:rPr>
        <w:t xml:space="preserve">, and the bark of </w:t>
      </w:r>
      <w:proofErr w:type="spellStart"/>
      <w:r w:rsidRPr="00BC5F1D">
        <w:rPr>
          <w:rFonts w:ascii="Arial" w:hAnsi="Arial" w:cs="Arial"/>
          <w:i/>
          <w:iCs/>
          <w:sz w:val="20"/>
          <w:szCs w:val="20"/>
          <w:lang w:val="en-US"/>
        </w:rPr>
        <w:t>Triumfetta</w:t>
      </w:r>
      <w:proofErr w:type="spellEnd"/>
      <w:r w:rsidRPr="00BC5F1D">
        <w:rPr>
          <w:rFonts w:ascii="Arial" w:hAnsi="Arial" w:cs="Arial"/>
          <w:i/>
          <w:iCs/>
          <w:sz w:val="20"/>
          <w:szCs w:val="20"/>
          <w:lang w:val="en-US"/>
        </w:rPr>
        <w:t xml:space="preserve"> </w:t>
      </w:r>
      <w:proofErr w:type="spellStart"/>
      <w:r w:rsidRPr="00BC5F1D">
        <w:rPr>
          <w:rFonts w:ascii="Arial" w:hAnsi="Arial" w:cs="Arial"/>
          <w:i/>
          <w:iCs/>
          <w:sz w:val="20"/>
          <w:szCs w:val="20"/>
          <w:lang w:val="en-US"/>
        </w:rPr>
        <w:t>cordifolia</w:t>
      </w:r>
      <w:proofErr w:type="spellEnd"/>
      <w:r w:rsidRPr="00BC5F1D">
        <w:rPr>
          <w:rFonts w:ascii="Arial" w:hAnsi="Arial" w:cs="Arial"/>
          <w:sz w:val="20"/>
          <w:szCs w:val="20"/>
          <w:lang w:val="en-US"/>
        </w:rPr>
        <w:t xml:space="preserve"> </w:t>
      </w:r>
      <w:r w:rsidRPr="00BC5F1D">
        <w:rPr>
          <w:rFonts w:ascii="Arial" w:hAnsi="Arial" w:cs="Arial"/>
          <w:i/>
          <w:iCs/>
          <w:sz w:val="20"/>
          <w:szCs w:val="20"/>
          <w:lang w:val="en-US"/>
        </w:rPr>
        <w:t>(BTC)</w:t>
      </w:r>
      <w:r w:rsidRPr="00BC5F1D">
        <w:rPr>
          <w:rFonts w:ascii="Arial" w:hAnsi="Arial" w:cs="Arial"/>
          <w:sz w:val="20"/>
          <w:szCs w:val="20"/>
          <w:lang w:val="en-US"/>
        </w:rPr>
        <w:t xml:space="preserve"> are parts of the plants commonly consumed as traditional dishes for their nutritional and bioactive potential. However, very few studies have evaluated the effects of the constituents of these plants on GLUT4 translocation. The objective of this study was to determine the nutritional and bioactive composition of the powders from the </w:t>
      </w:r>
      <w:r w:rsidRPr="00BC5F1D">
        <w:rPr>
          <w:rFonts w:ascii="Arial" w:hAnsi="Arial" w:cs="Arial"/>
          <w:i/>
          <w:iCs/>
          <w:sz w:val="20"/>
          <w:szCs w:val="20"/>
          <w:lang w:val="en-US"/>
        </w:rPr>
        <w:t>LAD, LCO</w:t>
      </w:r>
      <w:r w:rsidRPr="00BC5F1D">
        <w:rPr>
          <w:rFonts w:ascii="Arial" w:hAnsi="Arial" w:cs="Arial"/>
          <w:sz w:val="20"/>
          <w:szCs w:val="20"/>
          <w:lang w:val="en-US"/>
        </w:rPr>
        <w:t xml:space="preserve">, and the </w:t>
      </w:r>
      <w:r w:rsidRPr="00BC5F1D">
        <w:rPr>
          <w:rFonts w:ascii="Arial" w:hAnsi="Arial" w:cs="Arial"/>
          <w:i/>
          <w:iCs/>
          <w:sz w:val="20"/>
          <w:szCs w:val="20"/>
          <w:lang w:val="en-US"/>
        </w:rPr>
        <w:t>BTC,</w:t>
      </w:r>
      <w:r w:rsidRPr="00BC5F1D">
        <w:rPr>
          <w:rFonts w:ascii="Arial" w:hAnsi="Arial" w:cs="Arial"/>
          <w:sz w:val="20"/>
          <w:szCs w:val="20"/>
          <w:lang w:val="en-US"/>
        </w:rPr>
        <w:t xml:space="preserve"> as well as their effects on GLUT4 translocation activity. </w:t>
      </w:r>
      <w:r w:rsidR="00432551" w:rsidRPr="00BC5F1D">
        <w:rPr>
          <w:rFonts w:ascii="Arial" w:hAnsi="Arial" w:cs="Arial"/>
          <w:sz w:val="20"/>
          <w:szCs w:val="20"/>
          <w:lang w:val="en-US"/>
        </w:rPr>
        <w:t xml:space="preserve">The </w:t>
      </w:r>
      <w:r w:rsidR="00432551" w:rsidRPr="00BC5F1D">
        <w:rPr>
          <w:rFonts w:ascii="Arial" w:hAnsi="Arial" w:cs="Arial"/>
          <w:i/>
          <w:iCs/>
          <w:sz w:val="20"/>
          <w:szCs w:val="20"/>
          <w:lang w:val="en-US"/>
        </w:rPr>
        <w:t>LAD, LCO</w:t>
      </w:r>
      <w:r w:rsidR="00432551" w:rsidRPr="00BC5F1D">
        <w:rPr>
          <w:rFonts w:ascii="Arial" w:hAnsi="Arial" w:cs="Arial"/>
          <w:sz w:val="20"/>
          <w:szCs w:val="20"/>
          <w:lang w:val="en-US"/>
        </w:rPr>
        <w:t xml:space="preserve">, and the </w:t>
      </w:r>
      <w:r w:rsidR="00432551" w:rsidRPr="00BC5F1D">
        <w:rPr>
          <w:rFonts w:ascii="Arial" w:hAnsi="Arial" w:cs="Arial"/>
          <w:i/>
          <w:iCs/>
          <w:sz w:val="20"/>
          <w:szCs w:val="20"/>
          <w:lang w:val="en-US"/>
        </w:rPr>
        <w:t>BTC</w:t>
      </w:r>
      <w:r w:rsidR="00432551" w:rsidRPr="00BC5F1D">
        <w:rPr>
          <w:rFonts w:ascii="Arial" w:hAnsi="Arial" w:cs="Arial"/>
          <w:sz w:val="20"/>
          <w:szCs w:val="20"/>
          <w:lang w:val="en-US"/>
        </w:rPr>
        <w:t xml:space="preserve"> were processed into powders after harvest. </w:t>
      </w:r>
      <w:r w:rsidRPr="00BC5F1D">
        <w:rPr>
          <w:rFonts w:ascii="Arial" w:hAnsi="Arial" w:cs="Arial"/>
          <w:sz w:val="20"/>
          <w:szCs w:val="20"/>
          <w:lang w:val="en-US"/>
        </w:rPr>
        <w:t>Proxima</w:t>
      </w:r>
      <w:r w:rsidR="00ED0421" w:rsidRPr="00BC5F1D">
        <w:rPr>
          <w:rFonts w:ascii="Arial" w:hAnsi="Arial" w:cs="Arial"/>
          <w:sz w:val="20"/>
          <w:szCs w:val="20"/>
          <w:lang w:val="en-US"/>
        </w:rPr>
        <w:t>te</w:t>
      </w:r>
      <w:r w:rsidRPr="00BC5F1D">
        <w:rPr>
          <w:rFonts w:ascii="Arial" w:hAnsi="Arial" w:cs="Arial"/>
          <w:sz w:val="20"/>
          <w:szCs w:val="20"/>
          <w:lang w:val="en-US"/>
        </w:rPr>
        <w:t xml:space="preserve"> composition, energy value, and mineral content were determined from the obtained powders. Bioactive compounds and their profiles, along with GLUT4 translocation activities, were evaluated from the extracts of the powders. It was found that the powders of </w:t>
      </w:r>
      <w:r w:rsidRPr="00BC5F1D">
        <w:rPr>
          <w:rFonts w:ascii="Arial" w:hAnsi="Arial" w:cs="Arial"/>
          <w:i/>
          <w:iCs/>
          <w:sz w:val="20"/>
          <w:szCs w:val="20"/>
          <w:lang w:val="en-US"/>
        </w:rPr>
        <w:t>A. digitata</w:t>
      </w:r>
      <w:r w:rsidRPr="00BC5F1D">
        <w:rPr>
          <w:rFonts w:ascii="Arial" w:hAnsi="Arial" w:cs="Arial"/>
          <w:sz w:val="20"/>
          <w:szCs w:val="20"/>
          <w:lang w:val="en-US"/>
        </w:rPr>
        <w:t xml:space="preserve"> and </w:t>
      </w:r>
      <w:r w:rsidRPr="00BC5F1D">
        <w:rPr>
          <w:rFonts w:ascii="Arial" w:hAnsi="Arial" w:cs="Arial"/>
          <w:i/>
          <w:iCs/>
          <w:sz w:val="20"/>
          <w:szCs w:val="20"/>
          <w:lang w:val="en-US"/>
        </w:rPr>
        <w:t>C. olitorius</w:t>
      </w:r>
      <w:r w:rsidRPr="00BC5F1D">
        <w:rPr>
          <w:rFonts w:ascii="Arial" w:hAnsi="Arial" w:cs="Arial"/>
          <w:sz w:val="20"/>
          <w:szCs w:val="20"/>
          <w:lang w:val="en-US"/>
        </w:rPr>
        <w:t xml:space="preserve"> had the lowest energy values of 257.75 ± 3.98 and 270.68 ± 1.65 Kcal/100g, respectively, and available sugar contents of 37.72 ± 0.45 and 38.24 ± 0.20 g/100g DM. However, only </w:t>
      </w:r>
      <w:r w:rsidRPr="00BC5F1D">
        <w:rPr>
          <w:rFonts w:ascii="Arial" w:hAnsi="Arial" w:cs="Arial"/>
          <w:i/>
          <w:iCs/>
          <w:sz w:val="20"/>
          <w:szCs w:val="20"/>
          <w:lang w:val="en-US"/>
        </w:rPr>
        <w:t>C. olitorius</w:t>
      </w:r>
      <w:r w:rsidRPr="00BC5F1D">
        <w:rPr>
          <w:rFonts w:ascii="Arial" w:hAnsi="Arial" w:cs="Arial"/>
          <w:sz w:val="20"/>
          <w:szCs w:val="20"/>
          <w:lang w:val="en-US"/>
        </w:rPr>
        <w:t xml:space="preserve"> exhibited the highest total protein content of 21.60 ± 0.10 g/100g DM, with </w:t>
      </w:r>
      <w:proofErr w:type="spellStart"/>
      <w:r w:rsidRPr="00BC5F1D">
        <w:rPr>
          <w:rFonts w:ascii="Arial" w:hAnsi="Arial" w:cs="Arial"/>
          <w:sz w:val="20"/>
          <w:szCs w:val="20"/>
          <w:lang w:val="en-US"/>
        </w:rPr>
        <w:t>macroelement</w:t>
      </w:r>
      <w:proofErr w:type="spellEnd"/>
      <w:r w:rsidRPr="00BC5F1D">
        <w:rPr>
          <w:rFonts w:ascii="Arial" w:hAnsi="Arial" w:cs="Arial"/>
          <w:sz w:val="20"/>
          <w:szCs w:val="20"/>
          <w:lang w:val="en-US"/>
        </w:rPr>
        <w:t xml:space="preserve"> contents being the highest at 2200.00 ± 4.00; 1957.41 ± 3.89; and 580.00 ± 1.45 mg/100g DM for calcium, potassium, and magnesium, respectively. The powder of </w:t>
      </w:r>
      <w:r w:rsidRPr="00BC5F1D">
        <w:rPr>
          <w:rFonts w:ascii="Arial" w:hAnsi="Arial" w:cs="Arial"/>
          <w:i/>
          <w:iCs/>
          <w:sz w:val="20"/>
          <w:szCs w:val="20"/>
          <w:lang w:val="en-US"/>
        </w:rPr>
        <w:t>T. cordifolia</w:t>
      </w:r>
      <w:r w:rsidRPr="00BC5F1D">
        <w:rPr>
          <w:rFonts w:ascii="Arial" w:hAnsi="Arial" w:cs="Arial"/>
          <w:sz w:val="20"/>
          <w:szCs w:val="20"/>
          <w:lang w:val="en-US"/>
        </w:rPr>
        <w:t xml:space="preserve"> had the highest total flavonoids of 4.90 ± 0.05 µg QE/g DM. Flavonoids such as </w:t>
      </w:r>
      <w:proofErr w:type="spellStart"/>
      <w:r w:rsidRPr="00BC5F1D">
        <w:rPr>
          <w:rFonts w:ascii="Arial" w:hAnsi="Arial" w:cs="Arial"/>
          <w:sz w:val="20"/>
          <w:szCs w:val="20"/>
          <w:lang w:val="en-US"/>
        </w:rPr>
        <w:t>isoquercetin</w:t>
      </w:r>
      <w:proofErr w:type="spellEnd"/>
      <w:r w:rsidR="00ED0421" w:rsidRPr="00BC5F1D">
        <w:rPr>
          <w:rFonts w:ascii="Arial" w:hAnsi="Arial" w:cs="Arial"/>
          <w:sz w:val="20"/>
          <w:szCs w:val="20"/>
          <w:lang w:val="en-US"/>
        </w:rPr>
        <w:t xml:space="preserve"> and </w:t>
      </w:r>
      <w:r w:rsidRPr="00BC5F1D">
        <w:rPr>
          <w:rFonts w:ascii="Arial" w:hAnsi="Arial" w:cs="Arial"/>
          <w:sz w:val="20"/>
          <w:szCs w:val="20"/>
          <w:lang w:val="en-US"/>
        </w:rPr>
        <w:t xml:space="preserve">quercetin have effects on GLUT4 translocation from the extracts of the powders of </w:t>
      </w:r>
      <w:r w:rsidRPr="00BC5F1D">
        <w:rPr>
          <w:rFonts w:ascii="Arial" w:hAnsi="Arial" w:cs="Arial"/>
          <w:i/>
          <w:iCs/>
          <w:sz w:val="20"/>
          <w:szCs w:val="20"/>
          <w:lang w:val="en-US"/>
        </w:rPr>
        <w:t>A. digitata</w:t>
      </w:r>
      <w:r w:rsidRPr="00BC5F1D">
        <w:rPr>
          <w:rFonts w:ascii="Arial" w:hAnsi="Arial" w:cs="Arial"/>
          <w:sz w:val="20"/>
          <w:szCs w:val="20"/>
          <w:lang w:val="en-US"/>
        </w:rPr>
        <w:t xml:space="preserve"> and </w:t>
      </w:r>
      <w:r w:rsidRPr="00BC5F1D">
        <w:rPr>
          <w:rFonts w:ascii="Arial" w:hAnsi="Arial" w:cs="Arial"/>
          <w:i/>
          <w:iCs/>
          <w:sz w:val="20"/>
          <w:szCs w:val="20"/>
          <w:lang w:val="en-US"/>
        </w:rPr>
        <w:t>C. olitorius</w:t>
      </w:r>
      <w:r w:rsidRPr="00BC5F1D">
        <w:rPr>
          <w:rFonts w:ascii="Arial" w:hAnsi="Arial" w:cs="Arial"/>
          <w:sz w:val="20"/>
          <w:szCs w:val="20"/>
          <w:lang w:val="en-US"/>
        </w:rPr>
        <w:t xml:space="preserve"> of 90.61 and 92.52%</w:t>
      </w:r>
      <w:r w:rsidR="00ED0421" w:rsidRPr="00BC5F1D">
        <w:rPr>
          <w:rFonts w:ascii="Arial" w:hAnsi="Arial" w:cs="Arial"/>
          <w:sz w:val="20"/>
          <w:szCs w:val="20"/>
          <w:lang w:val="en-US"/>
        </w:rPr>
        <w:t>I</w:t>
      </w:r>
      <w:r w:rsidRPr="00BC5F1D">
        <w:rPr>
          <w:rFonts w:ascii="Arial" w:hAnsi="Arial" w:cs="Arial"/>
          <w:sz w:val="20"/>
          <w:szCs w:val="20"/>
          <w:lang w:val="en-US"/>
        </w:rPr>
        <w:t xml:space="preserve">nsulin, respectively. These activities are closely dependent on calcium content. The powder of </w:t>
      </w:r>
      <w:r w:rsidRPr="00BC5F1D">
        <w:rPr>
          <w:rFonts w:ascii="Arial" w:hAnsi="Arial" w:cs="Arial"/>
          <w:i/>
          <w:iCs/>
          <w:sz w:val="20"/>
          <w:szCs w:val="20"/>
          <w:lang w:val="en-US"/>
        </w:rPr>
        <w:t>C</w:t>
      </w:r>
      <w:r w:rsidR="00ED0421" w:rsidRPr="00BC5F1D">
        <w:rPr>
          <w:rFonts w:ascii="Arial" w:hAnsi="Arial" w:cs="Arial"/>
          <w:i/>
          <w:iCs/>
          <w:sz w:val="20"/>
          <w:szCs w:val="20"/>
          <w:lang w:val="en-US"/>
        </w:rPr>
        <w:t>.</w:t>
      </w:r>
      <w:r w:rsidRPr="00BC5F1D">
        <w:rPr>
          <w:rFonts w:ascii="Arial" w:hAnsi="Arial" w:cs="Arial"/>
          <w:i/>
          <w:iCs/>
          <w:sz w:val="20"/>
          <w:szCs w:val="20"/>
          <w:lang w:val="en-US"/>
        </w:rPr>
        <w:t xml:space="preserve"> olitorius</w:t>
      </w:r>
      <w:r w:rsidRPr="00BC5F1D">
        <w:rPr>
          <w:rFonts w:ascii="Arial" w:hAnsi="Arial" w:cs="Arial"/>
          <w:sz w:val="20"/>
          <w:szCs w:val="20"/>
          <w:lang w:val="en-US"/>
        </w:rPr>
        <w:t xml:space="preserve"> demonstrates the best nutritional and bioactive potential and may be recommended for the management of T2D patients.</w:t>
      </w:r>
    </w:p>
    <w:p w14:paraId="1DB81747" w14:textId="77777777" w:rsidR="00432551" w:rsidRPr="00BC5F1D" w:rsidRDefault="00432551" w:rsidP="00752DD6">
      <w:pPr>
        <w:spacing w:line="360" w:lineRule="auto"/>
        <w:jc w:val="both"/>
        <w:rPr>
          <w:rFonts w:ascii="Arial" w:hAnsi="Arial" w:cs="Arial"/>
          <w:sz w:val="20"/>
          <w:szCs w:val="20"/>
          <w:lang w:val="en-US"/>
        </w:rPr>
      </w:pPr>
    </w:p>
    <w:p w14:paraId="208C3017" w14:textId="74990833" w:rsidR="00C75334" w:rsidRDefault="00C75334" w:rsidP="00380BA4">
      <w:pPr>
        <w:spacing w:line="360" w:lineRule="auto"/>
        <w:jc w:val="both"/>
        <w:rPr>
          <w:rFonts w:ascii="Arial" w:hAnsi="Arial" w:cs="Arial"/>
          <w:i/>
          <w:iCs/>
          <w:sz w:val="20"/>
          <w:szCs w:val="20"/>
          <w:lang w:val="en-US"/>
        </w:rPr>
      </w:pPr>
      <w:r w:rsidRPr="00380BA4">
        <w:rPr>
          <w:rFonts w:ascii="Arial" w:hAnsi="Arial" w:cs="Arial"/>
          <w:b/>
          <w:bCs/>
          <w:i/>
          <w:iCs/>
          <w:sz w:val="20"/>
          <w:szCs w:val="20"/>
          <w:lang w:val="en-US"/>
        </w:rPr>
        <w:t>Keywords:</w:t>
      </w:r>
      <w:r w:rsidRPr="00380BA4">
        <w:rPr>
          <w:rFonts w:ascii="Arial" w:hAnsi="Arial" w:cs="Arial"/>
          <w:i/>
          <w:iCs/>
          <w:sz w:val="20"/>
          <w:szCs w:val="20"/>
          <w:lang w:val="en-US"/>
        </w:rPr>
        <w:t xml:space="preserve"> Type 2 </w:t>
      </w:r>
      <w:r w:rsidR="00FD17F0" w:rsidRPr="00380BA4">
        <w:rPr>
          <w:rFonts w:ascii="Arial" w:hAnsi="Arial" w:cs="Arial"/>
          <w:i/>
          <w:iCs/>
          <w:sz w:val="20"/>
          <w:szCs w:val="20"/>
          <w:lang w:val="en-US"/>
        </w:rPr>
        <w:t>diabetes</w:t>
      </w:r>
      <w:r w:rsidRPr="00380BA4">
        <w:rPr>
          <w:rFonts w:ascii="Arial" w:hAnsi="Arial" w:cs="Arial"/>
          <w:i/>
          <w:iCs/>
          <w:sz w:val="20"/>
          <w:szCs w:val="20"/>
          <w:lang w:val="en-US"/>
        </w:rPr>
        <w:t>; Plant powders; Nutritional composition; Bioactive compounds; GLUT4 translocation</w:t>
      </w:r>
    </w:p>
    <w:p w14:paraId="1A380071" w14:textId="77777777" w:rsidR="00854A90" w:rsidRDefault="00854A90" w:rsidP="00380BA4">
      <w:pPr>
        <w:spacing w:line="360" w:lineRule="auto"/>
        <w:jc w:val="both"/>
        <w:rPr>
          <w:rFonts w:ascii="Arial" w:hAnsi="Arial" w:cs="Arial"/>
          <w:i/>
          <w:iCs/>
          <w:sz w:val="20"/>
          <w:szCs w:val="20"/>
          <w:lang w:val="en-US"/>
        </w:rPr>
      </w:pPr>
    </w:p>
    <w:p w14:paraId="1832DE10" w14:textId="77777777" w:rsidR="00854A90" w:rsidRDefault="00854A90" w:rsidP="00380BA4">
      <w:pPr>
        <w:spacing w:line="360" w:lineRule="auto"/>
        <w:jc w:val="both"/>
        <w:rPr>
          <w:rFonts w:ascii="Arial" w:hAnsi="Arial" w:cs="Arial"/>
          <w:i/>
          <w:iCs/>
          <w:sz w:val="20"/>
          <w:szCs w:val="20"/>
          <w:lang w:val="en-US"/>
        </w:rPr>
      </w:pPr>
    </w:p>
    <w:p w14:paraId="47E9123A" w14:textId="77777777" w:rsidR="00854A90" w:rsidRPr="00380BA4" w:rsidRDefault="00854A90" w:rsidP="00380BA4">
      <w:pPr>
        <w:spacing w:line="360" w:lineRule="auto"/>
        <w:jc w:val="both"/>
        <w:rPr>
          <w:rFonts w:ascii="Arial" w:hAnsi="Arial" w:cs="Arial"/>
          <w:i/>
          <w:iCs/>
          <w:sz w:val="20"/>
          <w:szCs w:val="20"/>
          <w:lang w:val="en-US"/>
        </w:rPr>
      </w:pPr>
    </w:p>
    <w:p w14:paraId="10F99560" w14:textId="066F2C4B" w:rsidR="00245B33" w:rsidRPr="00380BA4" w:rsidRDefault="003730C8" w:rsidP="000C6D82">
      <w:pPr>
        <w:pStyle w:val="ListParagraph"/>
        <w:numPr>
          <w:ilvl w:val="0"/>
          <w:numId w:val="1"/>
        </w:numPr>
        <w:spacing w:line="360" w:lineRule="auto"/>
        <w:jc w:val="both"/>
        <w:rPr>
          <w:rFonts w:ascii="Arial" w:hAnsi="Arial" w:cs="Arial"/>
          <w:b/>
          <w:bCs/>
        </w:rPr>
      </w:pPr>
      <w:r w:rsidRPr="00380BA4">
        <w:rPr>
          <w:rFonts w:ascii="Arial" w:hAnsi="Arial" w:cs="Arial"/>
          <w:b/>
          <w:bCs/>
        </w:rPr>
        <w:t xml:space="preserve">INTRODUCTION </w:t>
      </w:r>
    </w:p>
    <w:p w14:paraId="7C8DB19A" w14:textId="13A8603E" w:rsidR="00FD680F" w:rsidRPr="00380BA4" w:rsidRDefault="00FD680F" w:rsidP="00FD680F">
      <w:pPr>
        <w:spacing w:line="360" w:lineRule="auto"/>
        <w:jc w:val="both"/>
        <w:rPr>
          <w:rFonts w:ascii="Arial" w:hAnsi="Arial" w:cs="Arial"/>
          <w:sz w:val="20"/>
          <w:szCs w:val="20"/>
          <w:lang w:val="en-US"/>
        </w:rPr>
      </w:pPr>
      <w:r w:rsidRPr="00380BA4">
        <w:rPr>
          <w:rFonts w:ascii="Arial" w:hAnsi="Arial" w:cs="Arial"/>
          <w:sz w:val="20"/>
          <w:szCs w:val="20"/>
          <w:lang w:val="en-US"/>
        </w:rPr>
        <w:lastRenderedPageBreak/>
        <w:t xml:space="preserve">The high consumption of medicinal plants by populations is increasingly observed and encouraged by many therapists in Africa in general and in Cameroon in particular. This situation has worsened with the various health crises that have affected Africa, notably COVID-19, the measles epidemic, monkeypox (mpox), malnutrition, food insecurity, and the rising prevalence of chronic diseases </w:t>
      </w:r>
      <w:r w:rsidRPr="00380BA4">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{"citationItems":[{"id":"ITEM-1","itemData":{"DOI":"10.1039/d2ra07406k","ISSN":"20462069","abstract":"Corchorus olitorius L. is a nutritious green leafy vegetable that is eaten as a viscous soup in African and Middle Eastern cultures. The purpose of this review is to highlight the nutritional and nutraceutical potential of this plant. The leaves of C. olitorius are rich providers of minerals as calcium and iron in addition to vitamins B1, B2, folic acid C and E. The leaves contain numerous compounds having several biological effects including antidiabetic and antioxidant properties. Besides, the leaves comprise other phytochemicals such as cardiac glycosides, terpenes, flavonoids, fatty acids, hydrocarbons and phenolics. Various extracts of C. olitorius were shown to exhibit antioxidant, anti-inflammatory, hepatoprotective, antihyperlipidemic, immunostimulant, antitumor, antimicrobial, antidiabetic, analgesic, wound-healing properties and cardioprotective activities.","author":[{"dropping-particle":"","family":"Abdel-Razek","given":"Marwa A.M.","non-dropping-particle":"","parse-names":false,"suffix":""},{"dropping-particle":"","family":"Abdelwahab","given":"Miada F.","non-dropping-particle":"","parse-names":false,"suffix":""},{"dropping-particle":"","family":"Abdelmohsen","given":"Usama Ramadan","non-dropping-particle":"","parse-names":false,"suffix":""},{"dropping-particle":"","family":"Hamed","given":"Ashraf N.E.","non-dropping-particle":"","parse-names":false,"suffix":""}],"container-title":"RSC Advances","id":"ITEM-1","issue":"54","issued":{"date-parts":[["2022"]]},"page":"35103-35114","publisher":"Royal Society of Chemistry","title":"Pharmacological and phytochemical biodiversity of Corchorus olitorius","type":"article-journal","volume":"12"},"uris":["http://www.mendeley.com/documents/?uuid=969b0581-6feb-4d3b-81e1-acc2d9097206"]}],"mendeley":{"formattedCitation":"(Abdel-Razek et al., 2022)","manualFormatting":"(Abdel-Razek et al., 2022;","plainTextFormattedCitation":"(Abdel-Razek et al., 2022)","previouslyFormattedCitation":"(Abdel-Razek et al., 2022)"},"properties":{"noteIndex":0},"schema":"https://github.com/citation-style-language/schema/raw/master/csl-citation.json"}</w:instrText>
      </w:r>
      <w:r w:rsidRPr="00380BA4">
        <w:rPr>
          <w:rFonts w:ascii="Arial" w:hAnsi="Arial" w:cs="Arial"/>
          <w:sz w:val="20"/>
          <w:szCs w:val="20"/>
        </w:rPr>
        <w:fldChar w:fldCharType="separate"/>
      </w:r>
      <w:r w:rsidRPr="003400A2">
        <w:rPr>
          <w:rFonts w:ascii="Arial" w:hAnsi="Arial" w:cs="Arial"/>
          <w:noProof/>
          <w:sz w:val="20"/>
          <w:szCs w:val="20"/>
          <w:lang w:val="en-US"/>
        </w:rPr>
        <w:t>(Abdel-Razek et al., 2022</w:t>
      </w:r>
      <w:r w:rsidR="00A075F3">
        <w:rPr>
          <w:rFonts w:ascii="Arial" w:hAnsi="Arial" w:cs="Arial"/>
          <w:noProof/>
          <w:sz w:val="20"/>
          <w:szCs w:val="20"/>
          <w:lang w:val="en-US"/>
        </w:rPr>
        <w:t>;</w:t>
      </w:r>
      <w:r w:rsidRPr="00380BA4">
        <w:rPr>
          <w:rFonts w:ascii="Arial" w:hAnsi="Arial" w:cs="Arial"/>
          <w:sz w:val="20"/>
          <w:szCs w:val="20"/>
        </w:rPr>
        <w:fldChar w:fldCharType="end"/>
      </w:r>
      <w:r w:rsidRPr="003400A2">
        <w:rPr>
          <w:rFonts w:ascii="Arial" w:hAnsi="Arial" w:cs="Arial"/>
          <w:sz w:val="20"/>
          <w:szCs w:val="20"/>
          <w:lang w:val="en-US"/>
        </w:rPr>
        <w:t xml:space="preserve"> </w:t>
      </w:r>
      <w:r w:rsidRPr="00380BA4">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ISBN":"2126762319","author":[{"dropping-particle":"","family":"Saddari","given":"Abderrazak","non-dropping-particle":"","parse-names":false,"suffix":""},{"dropping-particle":"","family":"Yahyaoui","given":"Abir","non-dropping-particle":"","parse-names":false,"suffix":""},{"dropping-particle":"","family":"Sbibih","given":"Yousra","non-dropping-particle":"","parse-names":false,"suffix":""},{"dropping-particle":"","family":"Zrouri","given":"Hajar","non-dropping-particle":"","parse-names":false,"suffix":""},{"dropping-particle":"","family":"Azizi","given":"Wissame","non-dropping-particle":"","parse-names":false,"suffix":""},{"dropping-particle":"","family":"Hamdani","given":"Oumayma","non-dropping-particle":"","parse-names":false,"suffix":""},{"dropping-particle":"","family":"Abderrahmani","given":"Jalal","non-dropping-particle":"","parse-names":false,"suffix":""},{"dropping-particle":"","family":"Harrandou","given":"Mouad","non-dropping-particle":"","parse-names":false,"suffix":""},{"dropping-particle":"","family":"Sebbar","given":"El Houcine","non-dropping-particle":"","parse-names":false,"suffix":""},{"dropping-particle":"","family":"Choukri","given":"Mohammed","non-dropping-particle":"","parse-names":false,"suffix":""}],"container-title":"New Journal for Science Vulgarization","id":"ITEM-1","issue":"1","issued":{"date-parts":[["2022"]]},"page":"47-51","title":"Micronutriments &amp; Covid-19","type":"article-journal","volume":"2"},"uris":["http://www.mendeley.com/documents/?uuid=0f6ad724-b186-4c64-b496-3d4765f7cac7"]}],"mendeley":{"formattedCitation":"(Saddari et al., 2022)","manualFormatting":"Saddari et al., 2022)","plainTextFormattedCitation":"(Saddari et al., 2022)","previouslyFormattedCitation":"(Saddari et al., 2022)"},"properties":{"noteIndex":0},"schema":"https://github.com/citation-style-language/schema/raw/master/csl-citation.json"}</w:instrText>
      </w:r>
      <w:r w:rsidRPr="00380BA4">
        <w:rPr>
          <w:rFonts w:ascii="Arial" w:hAnsi="Arial" w:cs="Arial"/>
          <w:sz w:val="20"/>
          <w:szCs w:val="20"/>
        </w:rPr>
        <w:fldChar w:fldCharType="separate"/>
      </w:r>
      <w:r w:rsidRPr="00B148EB">
        <w:rPr>
          <w:rFonts w:ascii="Arial" w:hAnsi="Arial" w:cs="Arial"/>
          <w:noProof/>
          <w:sz w:val="20"/>
          <w:szCs w:val="20"/>
          <w:lang w:val="en-US"/>
        </w:rPr>
        <w:t>Saddari et al., 2022)</w:t>
      </w:r>
      <w:r w:rsidRPr="00380BA4">
        <w:rPr>
          <w:rFonts w:ascii="Arial" w:hAnsi="Arial" w:cs="Arial"/>
          <w:sz w:val="20"/>
          <w:szCs w:val="20"/>
        </w:rPr>
        <w:fldChar w:fldCharType="end"/>
      </w:r>
      <w:r w:rsidRPr="00B148EB">
        <w:rPr>
          <w:rFonts w:ascii="Arial" w:hAnsi="Arial" w:cs="Arial"/>
          <w:sz w:val="20"/>
          <w:szCs w:val="20"/>
          <w:lang w:val="en-US"/>
        </w:rPr>
        <w:t xml:space="preserve">. Many plant matrices commonly consumed as traditional dishes and used in various therapies have seen their prices double or even triple in markets. </w:t>
      </w:r>
      <w:r w:rsidRPr="00380BA4">
        <w:rPr>
          <w:rFonts w:ascii="Arial" w:hAnsi="Arial" w:cs="Arial"/>
          <w:sz w:val="20"/>
          <w:szCs w:val="20"/>
          <w:lang w:val="en-US"/>
        </w:rPr>
        <w:t xml:space="preserve">This situation has raised numerous concerns among researchers and health agents regarding the necessity to master the multiple potentials, whether nutritional, medicinal, or even therapeutic, of our plants </w:t>
      </w:r>
      <w:r w:rsidRPr="00380BA4">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{"citationItems":[{"id":"ITEM-1","itemData":{"DOI":"10.18006/2024.12(2).203.217","ISSN":"23208694","abstract":"This study investigates the bioactive compound content and biological activities of raw powder extracts and particle size fractions from Solanum torvum leaves. The leaves, harvested from Douala, were processed into powders and subsequently divided into different fractions. Methanolic extracts of these powders were analyzed for their content of bioactive compounds (total polyphenols, total flavonoids, and condensed tannins), antioxidant (DPPH, ABTS, FRAP assays), and antimicrobial (bacterial and fungal) activities. The particle size fraction of 250-400 µm constitutes the largest proportion (33.41%) of the raw powder. The highest contents of bioactive compounds are found in the 200-250, 400-500, and &lt; 125 µm fractions for total polyphenols (44.62 ± 0.19 mg GEA/100 ml extract), total flavonoids (14.47 ± 0.37 mg QE/100 ml extract), and condensed tannins (22.79 ± 0.12 mg CE/100 ml extract), respectively. The antioxidant activity of extracts from 500-800µm fraction improved their DPPH and ABTS assays by 31.50% and 40.44% compared to the raw powder. The same fraction (500-800 µm) and the raw powder extracts demonstrated bactericidal activities, while the 125-200, 200-250, and ≥ 800 µm fraction extracts exhibited moderate and significant antifungal activities against several bacterial and fungal strains, respectively. These biological activities are primarily attributed to the average flavonoid contents, which become more accessible in extracts after fractionation. This method of processing powder suggests that no plant powder should be disregarded or rejected due to its low content of bioactive compounds.","author":[{"dropping-particle":"","family":"Assiéné","given":"Agamou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Serge","non-dropping-particle":"","parse-names":false,"suffix":""},{"dropping-particle":"","family":"Tize","given":"Zra","non-dropping-particle":"","parse-names":false,"suffix":""},{"dropping-part</w:instrText>
      </w:r>
      <w:r w:rsidR="00A075F3" w:rsidRPr="00A075F3">
        <w:rPr>
          <w:rFonts w:ascii="Arial" w:hAnsi="Arial" w:cs="Arial"/>
          <w:sz w:val="20"/>
          <w:szCs w:val="20"/>
        </w:rPr>
        <w:instrText>icle":"","family":"Obono","given":"NdongTatiana Léa","non-dropping-particle":"","parse-names":false,"suffix":""},{"dropping-particle":"","family":"Mbango","given":"Eke Pauline","non-dropping-particle":"","parse-names":false,"suffix":""},{"dropping-particle":"","family":"Mboube","given":"Ngongang Oriane","non-dropping-particle":"","parse-names":false,"suffix":""},{"dropping-particle":"","family":"Keubing","given":"Feudjio Suzanne Rose","non-dropping-particle":"","parse-names":false,"suffix":""},{"dropping-particle":"","family":"Fongnzossie","given":"Fedoung Evariste","non-dropping-particle":"","parse-names":false,"suffix":""}],"container-title":"Journal of Experimental Biology and Agricultural Sciences","id":"ITEM-1","issue":"2","issued":{"date-parts":[["2024"]]},"page":"203-217","title":"Influence of particle size fraction and bioactive compound contents on the biological activities of Solanum torvum L. leaf powder extracts","type":"article-journal","volume":"12"},"uris":["http://www.mendeley.com/documents/?uuid=525e65e2-dadf-41e6-a150-3a587026cce5"]}],"mendeley":{"formattedCitation":"(Assiéné, Djeukeu, Assiéné, Tize, et al., 2024)","manualFormatting":"(Assiéné, Djeukeu, Assiéné, Tize, et al., 2024;","plainTextFormattedCitation":"(Assiéné, Djeukeu, Assiéné, Tize, et al., 2024)","previouslyFormattedCitation":"(Assiéné, Djeukeu, Assiéné, Tize, et al., 2024)"},"properties":{"noteIndex":0},"schema":"https://github.com/citation-style-language/schema/raw/master/csl-citation.json"}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rPr>
        <w:t>(Assiéné, Djeukeu, Assiéné, Tize, et al., 2024</w:t>
      </w:r>
      <w:r w:rsidR="00A075F3">
        <w:rPr>
          <w:rFonts w:ascii="Arial" w:hAnsi="Arial" w:cs="Arial"/>
          <w:noProof/>
          <w:sz w:val="20"/>
          <w:szCs w:val="20"/>
        </w:rPr>
        <w:t>;</w:t>
      </w:r>
      <w:r w:rsidRPr="00380BA4">
        <w:rPr>
          <w:rFonts w:ascii="Arial" w:hAnsi="Arial" w:cs="Arial"/>
          <w:sz w:val="20"/>
          <w:szCs w:val="20"/>
        </w:rPr>
        <w:fldChar w:fldCharType="end"/>
      </w:r>
      <w:r w:rsidRPr="00380BA4">
        <w:rPr>
          <w:rFonts w:ascii="Arial" w:hAnsi="Arial" w:cs="Arial"/>
          <w:sz w:val="20"/>
          <w:szCs w:val="20"/>
        </w:rPr>
        <w:fldChar w:fldCharType="begin" w:fldLock="1"/>
      </w:r>
      <w:r w:rsidR="00A075F3">
        <w:rPr>
          <w:rFonts w:ascii="Arial" w:hAnsi="Arial" w:cs="Arial"/>
          <w:sz w:val="20"/>
          <w:szCs w:val="20"/>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 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380BA4">
        <w:rPr>
          <w:rFonts w:ascii="Arial" w:hAnsi="Arial" w:cs="Arial"/>
          <w:sz w:val="20"/>
          <w:szCs w:val="20"/>
        </w:rPr>
        <w:fldChar w:fldCharType="separate"/>
      </w:r>
      <w:r w:rsidR="00A075F3">
        <w:rPr>
          <w:rFonts w:ascii="Arial" w:hAnsi="Arial" w:cs="Arial"/>
          <w:noProof/>
          <w:sz w:val="20"/>
          <w:szCs w:val="20"/>
        </w:rPr>
        <w:t xml:space="preserve"> </w:t>
      </w:r>
      <w:r w:rsidRPr="00380BA4">
        <w:rPr>
          <w:rFonts w:ascii="Arial" w:hAnsi="Arial" w:cs="Arial"/>
          <w:noProof/>
          <w:sz w:val="20"/>
          <w:szCs w:val="20"/>
        </w:rPr>
        <w:t>Assiéné, Djeukeu, Assiéné, Mbida-Mbida, et al., 2024)</w:t>
      </w:r>
      <w:r w:rsidRPr="00380BA4">
        <w:rPr>
          <w:rFonts w:ascii="Arial" w:hAnsi="Arial" w:cs="Arial"/>
          <w:sz w:val="20"/>
          <w:szCs w:val="20"/>
        </w:rPr>
        <w:fldChar w:fldCharType="end"/>
      </w:r>
      <w:r w:rsidRPr="00380BA4">
        <w:rPr>
          <w:rFonts w:ascii="Arial" w:hAnsi="Arial" w:cs="Arial"/>
          <w:sz w:val="20"/>
          <w:szCs w:val="20"/>
        </w:rPr>
        <w:t xml:space="preserve">. </w:t>
      </w:r>
      <w:r w:rsidRPr="00380BA4">
        <w:rPr>
          <w:rFonts w:ascii="Arial" w:hAnsi="Arial" w:cs="Arial"/>
          <w:sz w:val="20"/>
          <w:szCs w:val="20"/>
          <w:lang w:val="en-US"/>
        </w:rPr>
        <w:t xml:space="preserve">Among these are the leaves of </w:t>
      </w:r>
      <w:r w:rsidRPr="00380BA4">
        <w:rPr>
          <w:rFonts w:ascii="Arial" w:hAnsi="Arial" w:cs="Arial"/>
          <w:i/>
          <w:iCs/>
          <w:sz w:val="20"/>
          <w:szCs w:val="20"/>
          <w:lang w:val="en-US"/>
        </w:rPr>
        <w:t>Adansonia digitata, Corchorus olitorius,</w:t>
      </w:r>
      <w:r w:rsidRPr="00380BA4">
        <w:rPr>
          <w:rFonts w:ascii="Arial" w:hAnsi="Arial" w:cs="Arial"/>
          <w:sz w:val="20"/>
          <w:szCs w:val="20"/>
          <w:lang w:val="en-US"/>
        </w:rPr>
        <w:t xml:space="preserve"> and the bark of </w:t>
      </w:r>
      <w:proofErr w:type="spellStart"/>
      <w:r w:rsidRPr="00380BA4">
        <w:rPr>
          <w:rFonts w:ascii="Arial" w:hAnsi="Arial" w:cs="Arial"/>
          <w:i/>
          <w:iCs/>
          <w:sz w:val="20"/>
          <w:szCs w:val="20"/>
          <w:lang w:val="en-US"/>
        </w:rPr>
        <w:t>Triumfetta</w:t>
      </w:r>
      <w:proofErr w:type="spellEnd"/>
      <w:r w:rsidRPr="00380BA4">
        <w:rPr>
          <w:rFonts w:ascii="Arial" w:hAnsi="Arial" w:cs="Arial"/>
          <w:i/>
          <w:iCs/>
          <w:sz w:val="20"/>
          <w:szCs w:val="20"/>
          <w:lang w:val="en-US"/>
        </w:rPr>
        <w:t xml:space="preserve"> </w:t>
      </w:r>
      <w:proofErr w:type="spellStart"/>
      <w:r w:rsidRPr="00380BA4">
        <w:rPr>
          <w:rFonts w:ascii="Arial" w:hAnsi="Arial" w:cs="Arial"/>
          <w:i/>
          <w:iCs/>
          <w:sz w:val="20"/>
          <w:szCs w:val="20"/>
          <w:lang w:val="en-US"/>
        </w:rPr>
        <w:t>cordifolia</w:t>
      </w:r>
      <w:proofErr w:type="spellEnd"/>
      <w:r w:rsidRPr="00380BA4">
        <w:rPr>
          <w:rFonts w:ascii="Arial" w:hAnsi="Arial" w:cs="Arial"/>
          <w:sz w:val="20"/>
          <w:szCs w:val="20"/>
          <w:lang w:val="en-US"/>
        </w:rPr>
        <w:t>.</w:t>
      </w:r>
    </w:p>
    <w:p w14:paraId="62E362B8" w14:textId="2F6C39B4" w:rsidR="00FD680F" w:rsidRPr="003400A2" w:rsidRDefault="00FD680F" w:rsidP="00FD680F">
      <w:pPr>
        <w:spacing w:line="360" w:lineRule="auto"/>
        <w:jc w:val="both"/>
        <w:rPr>
          <w:rFonts w:ascii="Arial" w:hAnsi="Arial" w:cs="Arial"/>
          <w:sz w:val="20"/>
          <w:szCs w:val="20"/>
        </w:rPr>
      </w:pPr>
      <w:r w:rsidRPr="00380BA4">
        <w:rPr>
          <w:rFonts w:ascii="Arial" w:hAnsi="Arial" w:cs="Arial"/>
          <w:i/>
          <w:iCs/>
          <w:sz w:val="20"/>
          <w:szCs w:val="20"/>
          <w:lang w:val="en-US"/>
        </w:rPr>
        <w:t>A. digitata</w:t>
      </w:r>
      <w:r w:rsidRPr="00380BA4">
        <w:rPr>
          <w:rFonts w:ascii="Arial" w:hAnsi="Arial" w:cs="Arial"/>
          <w:sz w:val="20"/>
          <w:szCs w:val="20"/>
          <w:lang w:val="en-US"/>
        </w:rPr>
        <w:t xml:space="preserve"> L. (Bombacaceae), commonly known as baobab, is a tree found in the dry and hot regions of tropical Africa (Cameroon, Nigeria, Ghana, </w:t>
      </w:r>
      <w:r w:rsidR="00743DD4">
        <w:rPr>
          <w:rFonts w:ascii="Arial" w:hAnsi="Arial" w:cs="Arial"/>
          <w:sz w:val="20"/>
          <w:szCs w:val="20"/>
          <w:lang w:val="en-US"/>
        </w:rPr>
        <w:t>Ivory Coast</w:t>
      </w:r>
      <w:r w:rsidRPr="00380BA4">
        <w:rPr>
          <w:rFonts w:ascii="Arial" w:hAnsi="Arial" w:cs="Arial"/>
          <w:sz w:val="20"/>
          <w:szCs w:val="20"/>
          <w:lang w:val="en-US"/>
        </w:rPr>
        <w:t xml:space="preserve">, etc.). It is a massive and majestic tree that can reach over 25 meters in height and can live for more than a century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2014)","plainTextFormattedCitation":"(Abioye et al., 2014)","previouslyFormattedCitation":"(Abioye et al., 2014)"},"properties":{"noteIndex":0},"schema":"https://github.com/citation-style-language/schema/raw/master/csl-citation.json"}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(Abioye et al., 2014)</w:t>
      </w:r>
      <w:r w:rsidRPr="00380BA4">
        <w:rPr>
          <w:rFonts w:ascii="Arial" w:hAnsi="Arial" w:cs="Arial"/>
          <w:sz w:val="20"/>
          <w:szCs w:val="20"/>
        </w:rPr>
        <w:fldChar w:fldCharType="end"/>
      </w:r>
      <w:r w:rsidRPr="00380BA4">
        <w:rPr>
          <w:rFonts w:ascii="Arial" w:hAnsi="Arial" w:cs="Arial"/>
          <w:sz w:val="20"/>
          <w:szCs w:val="20"/>
          <w:lang w:val="en-US"/>
        </w:rPr>
        <w:t xml:space="preserve">. The leaves of this tree are composed of several leaflets and have a digitated shape. They are consumed fresh or dried and are rich in proteins, vitamins (particularly vitamin C), minerals, fibers, and antioxidants (phenolic compounds, flavonoids, etc.) </w:t>
      </w:r>
      <w:r w:rsidRPr="00380BA4">
        <w:rPr>
          <w:rFonts w:ascii="Arial" w:hAnsi="Arial" w:cs="Arial"/>
          <w:sz w:val="20"/>
          <w:szCs w:val="20"/>
        </w:rPr>
        <w:fldChar w:fldCharType="begin" w:fldLock="1"/>
      </w:r>
      <w:r w:rsidR="00085CF4">
        <w:rPr>
          <w:rFonts w:ascii="Arial" w:hAnsi="Arial" w:cs="Arial"/>
          <w:sz w:val="20"/>
          <w:szCs w:val="20"/>
          <w:lang w:val="en-US"/>
        </w:rPr>
        <w:instrText>ADDIN CSL_CITATION {"citationItems":[{"id":"ITEM-1","itemData":{"DOI":"10.9790/5736-08516065","abstract":"Baobab (Adansonia digitata L.) is known in Africa as the tree of life because there are many traditional uses for every part of it, from the leaves to the roots. This study carried out the proximate analysis of baobab leaves, screened the phytochemicals present and determined the leaves' aqueous extract antimicrobial activity to suit the traditional way of preparation and use. Phytochemicals screening was carried out on the ethanolic, methanolic and aqueous extracts of the leaves. The phytochemicals screened were reducing sugar, flavonoids, terpenoids, saponins, tannins, alkaloids, anthraquinones, steroids, resins, phenols, cardiac-active glycosides. The aqueous extract of baobab leaves was tested for its antimicrobial activity against the following organisms; Staphylococcus aureus, Esherichia coli, Bacillus subtilis, Pseudomonas aeruginosa, Saimonelle typhi, Klebsiellae pneumonae, Candida albicans, Aspergillus niger, Rhizopus stolomifer, Penicillum rotatumat at different concentrations of 200, 100, 50, 25, 12.5, 6.25 mg/ml, with water, gentamycin 10 µg/ml(Bacterial), tioconazole70% (fungi) as negative and positive controls respectively. The proximate analysis revealed baobab leaves contain protein (13.6%), fat (2.71`%), sugar(0.01%), ash(4.08%), crude fibre (2.45%), Moisture content(78.2%),Vitamin C</w:instrText>
      </w:r>
      <w:r w:rsidR="00085CF4" w:rsidRPr="00B148EB">
        <w:rPr>
          <w:rFonts w:ascii="Arial" w:hAnsi="Arial" w:cs="Arial"/>
          <w:sz w:val="20"/>
          <w:szCs w:val="20"/>
        </w:rPr>
        <w:instrText xml:space="preserve"> (14.98mg/100g). All phytochemicals screened were found to be present. The result showed that the aqueous extract of the baobab leaves was active against the tested organisms except klebsiellae pneumonae. Staphylococcus aureus is more sensitive to the antimicrobial activity of the extract. The aqueous extract displayed broad spectrum effect because it has activities on Grams positive and Grams negative bacteria and fungi.","author":[{"dropping-particle":"","family":"Abiona","given":"DL","non-dropping-particle":"","parse-names":false,"suffix":""},{"dropping-particle":"","family":"Adedapo","given":"Z","non-dropping-particle":"","parse-names":false,"suffix":""},{"dropping-particle":"","family":"Suleiman","given":"MK","non-dropping-particle":"","parse-names":false,"suffix":""}],"container-title":"IOSR Journal of Applied Chemistry (IOSR-JAC","id":"ITEM-1","issue":"5","issued":{"date-parts":[["2015"]]},"page":"60-65","title":"Proximate Analysis, Phytochemical Screening and Antimicrobial Activity of Baobab (Adansonia digitata) Leaves","type":"article-journal","volume":"8"},"uris":["http://www.mendeley.com/documents/?uuid=9219ffc0-2fc8-3b17-a6b6-84299018697f"]}],"mendeley":{"formattedCitation":"(Abiona et al., 2015)","manualFormatting":"(Abiona et al., 2015;","plainTextFormattedCitation":"(Abiona et al., 2015)","previouslyFormattedCitation":"(Abiona et al., 2015)"},"properties":{"noteIndex":0},"schema":"https://github.com/citation-style-language/schema/raw/master/csl-citation.json"}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rPr>
        <w:t>(Abiona et al., 2015</w:t>
      </w:r>
      <w:r w:rsidR="00A075F3">
        <w:rPr>
          <w:rFonts w:ascii="Arial" w:hAnsi="Arial" w:cs="Arial"/>
          <w:noProof/>
          <w:sz w:val="20"/>
          <w:szCs w:val="20"/>
        </w:rPr>
        <w:t>;</w:t>
      </w:r>
      <w:r w:rsidRPr="00380BA4">
        <w:rPr>
          <w:rFonts w:ascii="Arial" w:hAnsi="Arial" w:cs="Arial"/>
          <w:sz w:val="20"/>
          <w:szCs w:val="20"/>
        </w:rPr>
        <w:fldChar w:fldCharType="end"/>
      </w:r>
      <w:r w:rsidR="00A075F3">
        <w:rPr>
          <w:rFonts w:ascii="Arial" w:hAnsi="Arial" w:cs="Arial"/>
          <w:sz w:val="20"/>
          <w:szCs w:val="20"/>
        </w:rPr>
        <w:t xml:space="preserve"> </w:t>
      </w:r>
      <w:r w:rsidRPr="00380BA4">
        <w:rPr>
          <w:rFonts w:ascii="Arial" w:hAnsi="Arial" w:cs="Arial"/>
          <w:sz w:val="20"/>
          <w:szCs w:val="20"/>
        </w:rPr>
        <w:fldChar w:fldCharType="begin" w:fldLock="1"/>
      </w:r>
      <w:r w:rsidR="00A075F3">
        <w:rPr>
          <w:rFonts w:ascii="Arial" w:hAnsi="Arial" w:cs="Arial"/>
          <w:sz w:val="20"/>
          <w:szCs w:val="20"/>
        </w:rPr>
        <w:instrText>ADDIN CSL_CITATION {"citationItems":[{"id":"ITEM-1","itemData":{"DOI":"10.26855/ijfsa.2021.09.019","ISSN":"25783467","author":[{"dropping-particle":"","family":"Habte","given":"T. Y.","non-dropping-particle":"","parse-names":false,"suffix":""},{"dropping-particle":"","family":"Suleiman","given":"I.","non-dropping-particle":"","parse-names":false,"suffix":""},{"dropping-particle":"","family":"Ahmed","given":"A. I.","non-dropping-particle":"","parse-names":false,"suffix":""},{"dropping-particle":"","family":"Latif","given":"S.","non-dropping-particle":"","parse-names":false,"suffix":""},{"dropping-particle":"","family":"Krawinkel","given":"M. B.","non-dropping-particle":"","parse-names":false,"suffix":""}],"container-title":"International Journal of Food Science and Agriculture","id":"ITEM-1","issue":"3","issued":{"date-parts":[["2021"]]},"page":"482-491","title":"Nutritional Value of Baobab Leaves (Adansonia digitata L.) from North- and West-Kordofan in Sudan: In-Vitro Minerals Bioavailability and Protein Quality","type":"article-journal","volume":"5"},"uris":["http://www.mendeley.com/documents/?uuid=74501f67-425f-4ed0-9766-b4a72188db74"]}],"mendeley":{"formattedCitation":"(Habte et al., 2021)","manualFormatting":"Habte et al., 2021)","plainTextFormattedCitation":"(Habte et al., 2021)","previouslyFormattedCitation":"(Habte et al., 2021)"},"properties":{"noteIndex":0},"schema":"https://github.com/citation-style-language/schema/raw/master/csl-citation.json"}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rPr>
        <w:t>Habte et al., 2021)</w:t>
      </w:r>
      <w:r w:rsidRPr="00380BA4">
        <w:rPr>
          <w:rFonts w:ascii="Arial" w:hAnsi="Arial" w:cs="Arial"/>
          <w:sz w:val="20"/>
          <w:szCs w:val="20"/>
        </w:rPr>
        <w:fldChar w:fldCharType="end"/>
      </w:r>
      <w:r w:rsidRPr="00380BA4">
        <w:rPr>
          <w:rFonts w:ascii="Arial" w:hAnsi="Arial" w:cs="Arial"/>
          <w:sz w:val="20"/>
          <w:szCs w:val="20"/>
        </w:rPr>
        <w:t xml:space="preserve">. </w:t>
      </w:r>
      <w:r w:rsidRPr="003400A2">
        <w:rPr>
          <w:rFonts w:ascii="Arial" w:hAnsi="Arial" w:cs="Arial"/>
          <w:sz w:val="20"/>
          <w:szCs w:val="20"/>
        </w:rPr>
        <w:t xml:space="preserve">Baobab </w:t>
      </w:r>
      <w:proofErr w:type="spellStart"/>
      <w:r w:rsidRPr="003400A2">
        <w:rPr>
          <w:rFonts w:ascii="Arial" w:hAnsi="Arial" w:cs="Arial"/>
          <w:sz w:val="20"/>
          <w:szCs w:val="20"/>
        </w:rPr>
        <w:t>leaves</w:t>
      </w:r>
      <w:proofErr w:type="spellEnd"/>
      <w:r w:rsidRPr="003400A2">
        <w:rPr>
          <w:rFonts w:ascii="Arial" w:hAnsi="Arial" w:cs="Arial"/>
          <w:sz w:val="20"/>
          <w:szCs w:val="20"/>
        </w:rPr>
        <w:t xml:space="preserve"> are </w:t>
      </w:r>
      <w:proofErr w:type="spellStart"/>
      <w:r w:rsidRPr="003400A2">
        <w:rPr>
          <w:rFonts w:ascii="Arial" w:hAnsi="Arial" w:cs="Arial"/>
          <w:sz w:val="20"/>
          <w:szCs w:val="20"/>
        </w:rPr>
        <w:t>also</w:t>
      </w:r>
      <w:proofErr w:type="spellEnd"/>
      <w:r w:rsidRPr="003400A2">
        <w:rPr>
          <w:rFonts w:ascii="Arial" w:hAnsi="Arial" w:cs="Arial"/>
          <w:sz w:val="20"/>
          <w:szCs w:val="20"/>
        </w:rPr>
        <w:t xml:space="preserve"> </w:t>
      </w:r>
      <w:proofErr w:type="spellStart"/>
      <w:r w:rsidRPr="003400A2">
        <w:rPr>
          <w:rFonts w:ascii="Arial" w:hAnsi="Arial" w:cs="Arial"/>
          <w:sz w:val="20"/>
          <w:szCs w:val="20"/>
        </w:rPr>
        <w:t>recommended</w:t>
      </w:r>
      <w:proofErr w:type="spellEnd"/>
      <w:r w:rsidRPr="003400A2">
        <w:rPr>
          <w:rFonts w:ascii="Arial" w:hAnsi="Arial" w:cs="Arial"/>
          <w:sz w:val="20"/>
          <w:szCs w:val="20"/>
        </w:rPr>
        <w:t xml:space="preserve"> for </w:t>
      </w:r>
      <w:proofErr w:type="spellStart"/>
      <w:r w:rsidRPr="003400A2">
        <w:rPr>
          <w:rFonts w:ascii="Arial" w:hAnsi="Arial" w:cs="Arial"/>
          <w:sz w:val="20"/>
          <w:szCs w:val="20"/>
        </w:rPr>
        <w:t>combating</w:t>
      </w:r>
      <w:proofErr w:type="spellEnd"/>
      <w:r w:rsidRPr="003400A2">
        <w:rPr>
          <w:rFonts w:ascii="Arial" w:hAnsi="Arial" w:cs="Arial"/>
          <w:sz w:val="20"/>
          <w:szCs w:val="20"/>
        </w:rPr>
        <w:t xml:space="preserve"> </w:t>
      </w:r>
      <w:proofErr w:type="spellStart"/>
      <w:r w:rsidRPr="003400A2">
        <w:rPr>
          <w:rFonts w:ascii="Arial" w:hAnsi="Arial" w:cs="Arial"/>
          <w:sz w:val="20"/>
          <w:szCs w:val="20"/>
        </w:rPr>
        <w:t>gastroenteritis</w:t>
      </w:r>
      <w:proofErr w:type="spellEnd"/>
      <w:r w:rsidRPr="003400A2">
        <w:rPr>
          <w:rFonts w:ascii="Arial" w:hAnsi="Arial" w:cs="Arial"/>
          <w:sz w:val="20"/>
          <w:szCs w:val="20"/>
        </w:rPr>
        <w:t xml:space="preserve">, </w:t>
      </w:r>
      <w:proofErr w:type="spellStart"/>
      <w:r w:rsidRPr="003400A2">
        <w:rPr>
          <w:rFonts w:ascii="Arial" w:hAnsi="Arial" w:cs="Arial"/>
          <w:sz w:val="20"/>
          <w:szCs w:val="20"/>
        </w:rPr>
        <w:t>fevers</w:t>
      </w:r>
      <w:proofErr w:type="spellEnd"/>
      <w:r w:rsidRPr="003400A2">
        <w:rPr>
          <w:rFonts w:ascii="Arial" w:hAnsi="Arial" w:cs="Arial"/>
          <w:sz w:val="20"/>
          <w:szCs w:val="20"/>
        </w:rPr>
        <w:t xml:space="preserve">, and </w:t>
      </w:r>
      <w:proofErr w:type="spellStart"/>
      <w:r w:rsidRPr="003400A2">
        <w:rPr>
          <w:rFonts w:ascii="Arial" w:hAnsi="Arial" w:cs="Arial"/>
          <w:sz w:val="20"/>
          <w:szCs w:val="20"/>
        </w:rPr>
        <w:t>infectious</w:t>
      </w:r>
      <w:proofErr w:type="spellEnd"/>
      <w:r w:rsidRPr="003400A2">
        <w:rPr>
          <w:rFonts w:ascii="Arial" w:hAnsi="Arial" w:cs="Arial"/>
          <w:sz w:val="20"/>
          <w:szCs w:val="20"/>
        </w:rPr>
        <w:t xml:space="preserve"> </w:t>
      </w:r>
      <w:proofErr w:type="spellStart"/>
      <w:r w:rsidRPr="003400A2">
        <w:rPr>
          <w:rFonts w:ascii="Arial" w:hAnsi="Arial" w:cs="Arial"/>
          <w:sz w:val="20"/>
          <w:szCs w:val="20"/>
        </w:rPr>
        <w:t>diseases</w:t>
      </w:r>
      <w:proofErr w:type="spellEnd"/>
      <w:r w:rsidRPr="003400A2">
        <w:rPr>
          <w:rFonts w:ascii="Arial" w:hAnsi="Arial" w:cs="Arial"/>
          <w:sz w:val="20"/>
          <w:szCs w:val="20"/>
        </w:rPr>
        <w:t>.</w:t>
      </w:r>
    </w:p>
    <w:p w14:paraId="484F1DC3" w14:textId="77777777" w:rsidR="00FD680F" w:rsidRPr="00380BA4" w:rsidRDefault="00FD680F" w:rsidP="00FD680F">
      <w:pPr>
        <w:spacing w:line="360" w:lineRule="auto"/>
        <w:jc w:val="both"/>
        <w:rPr>
          <w:rFonts w:ascii="Arial" w:hAnsi="Arial" w:cs="Arial"/>
          <w:sz w:val="20"/>
          <w:szCs w:val="20"/>
          <w:lang w:val="en-US"/>
        </w:rPr>
      </w:pPr>
      <w:r w:rsidRPr="00380BA4">
        <w:rPr>
          <w:rFonts w:ascii="Arial" w:hAnsi="Arial" w:cs="Arial"/>
          <w:i/>
          <w:iCs/>
          <w:sz w:val="20"/>
          <w:szCs w:val="20"/>
          <w:lang w:val="en-US"/>
        </w:rPr>
        <w:t xml:space="preserve">C. </w:t>
      </w:r>
      <w:proofErr w:type="spellStart"/>
      <w:r w:rsidRPr="00380BA4">
        <w:rPr>
          <w:rFonts w:ascii="Arial" w:hAnsi="Arial" w:cs="Arial"/>
          <w:i/>
          <w:iCs/>
          <w:sz w:val="20"/>
          <w:szCs w:val="20"/>
          <w:lang w:val="en-US"/>
        </w:rPr>
        <w:t>olitorius</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Malvaceae</w:t>
      </w:r>
      <w:proofErr w:type="spellEnd"/>
      <w:r w:rsidRPr="00380BA4">
        <w:rPr>
          <w:rFonts w:ascii="Arial" w:hAnsi="Arial" w:cs="Arial"/>
          <w:sz w:val="20"/>
          <w:szCs w:val="20"/>
          <w:lang w:val="en-US"/>
        </w:rPr>
        <w:t>), also known as jute or "</w:t>
      </w:r>
      <w:proofErr w:type="spellStart"/>
      <w:r w:rsidRPr="00380BA4">
        <w:rPr>
          <w:rFonts w:ascii="Arial" w:hAnsi="Arial" w:cs="Arial"/>
          <w:sz w:val="20"/>
          <w:szCs w:val="20"/>
          <w:lang w:val="en-US"/>
        </w:rPr>
        <w:t>corète</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potagère</w:t>
      </w:r>
      <w:proofErr w:type="spellEnd"/>
      <w:r w:rsidRPr="00380BA4">
        <w:rPr>
          <w:rFonts w:ascii="Arial" w:hAnsi="Arial" w:cs="Arial"/>
          <w:sz w:val="20"/>
          <w:szCs w:val="20"/>
          <w:lang w:val="en-US"/>
        </w:rPr>
        <w:t>" in French and "</w:t>
      </w:r>
      <w:proofErr w:type="spellStart"/>
      <w:r w:rsidRPr="00380BA4">
        <w:rPr>
          <w:rFonts w:ascii="Arial" w:hAnsi="Arial" w:cs="Arial"/>
          <w:sz w:val="20"/>
          <w:szCs w:val="20"/>
          <w:lang w:val="en-US"/>
        </w:rPr>
        <w:t>kelen</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kelen</w:t>
      </w:r>
      <w:proofErr w:type="spellEnd"/>
      <w:r w:rsidRPr="00380BA4">
        <w:rPr>
          <w:rFonts w:ascii="Arial" w:hAnsi="Arial" w:cs="Arial"/>
          <w:sz w:val="20"/>
          <w:szCs w:val="20"/>
          <w:lang w:val="en-US"/>
        </w:rPr>
        <w:t xml:space="preserve">" in the local Bafia language, is an annual herbaceous plant characterized by a slender stem. It is found in tropical regions of Africa (Cameroon, Nigeria, Ghana, Benin, etc.) and subtropical regions (Zimbabwe, Namibia, South Africa, etc.) due to its popularity as a leafy soup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{"citationItems":[{"id":"ITEM-1","itemData":{"DOI":"10.1039/d2ra07406k","ISSN":"20462069","abstract":"Corchorus olitorius L. is a nutritious green leafy vegetable that is eaten as a viscous soup in African and Middle Eastern cultures. The purpose of this review is to highlight the nutritional and nutraceutical potential of this plant. The leaves of C. olitorius are rich providers of minerals as calcium and iron in addition to vitamins B1, B2, folic acid C and E. The leaves contain numerous compounds having several biological effects including antidiabetic and antioxidant properties. Besides, the leaves comprise other phytochemicals such as cardiac glycosides, terpenes, flavonoids, fatty acids, hydrocarbons and phenolics. Various extracts of C. olitorius were shown to exhibit antioxidant, anti-inflammatory, hepatoprotective, antihyperlipidemic, immunostimulant, antitumor, antimicrobial, antidiabetic, analgesic, wound-healing properties and cardioprotective activities.","author":[{"dropping-particle":"","family":"Abdel-Razek","given":"Marwa A.M.","non-dropping-particle":"","parse-names":false,"suffix":""},{"dropping-particle":"","family":"Abdelwahab","given":"Miada F.","non-dropping-particle":"","parse-names":false,"suffix":""},{"dropping-particle":"","family":"Abdelmohsen","given":"Usama Ramadan","non-dropping-particle":"","parse-names":false,"suffix":""},{"dropping-particle":"","family":"Hamed","given":"Ashraf N.E.","non-dropping-particle":"","parse-names":false,"suffix":""}],"container-title":"RSC Advances","id":"ITEM-1","issue":"54","issued":{"date-parts":[["2022"]]},"page":"35103-35114","publisher":"Royal Society of Chemistry","title":"Pharmacological and phytochemical biodiversity of Corchorus olitorius","type":"article-journal","volume":"12"},"uris":["http://www.mendeley.com/documents/?uuid=969b0581-6feb-4d3b-81e1-acc2d9097206"]}],"mendeley":{"formattedCitation":"(Abdel-Razek et al., 2022)","plainTextFormattedCitation":"(Abdel-Razek et al., 2022)","previouslyFormattedCitation":"(Abdel-Razek et al., 2022)"},"properties":{"noteIndex":0},"schema":"https://github.com/citation-style-language/schema/raw/master/csl-citation.json"}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(Abdel-Razek et al., 2022)</w:t>
      </w:r>
      <w:r w:rsidRPr="00380BA4">
        <w:rPr>
          <w:rFonts w:ascii="Arial" w:hAnsi="Arial" w:cs="Arial"/>
          <w:sz w:val="20"/>
          <w:szCs w:val="20"/>
        </w:rPr>
        <w:fldChar w:fldCharType="end"/>
      </w:r>
      <w:r w:rsidRPr="00380BA4">
        <w:rPr>
          <w:rFonts w:ascii="Arial" w:hAnsi="Arial" w:cs="Arial"/>
          <w:sz w:val="20"/>
          <w:szCs w:val="20"/>
          <w:lang w:val="en-US"/>
        </w:rPr>
        <w:t xml:space="preserve">. The leaves of this plant are rich in vitamins, minerals, and phenolic compounds. In addition to its culinary uses, these leaves are utilized in the treatment of typhoid and malaria fevers, dysentery, constipation, childhood malnutrition, and various pains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{"citationItems":[{"id":"ITEM-1","itemData":{"ISSN":"2152-4114","PMID":"37214488","abstract":"INTRODUCTION In Ghana, Corchorus olitorius, Solanum macrocarpon and Amaranthus cruentus are green leafy vegetables that are customarily eaten together with a starchy staple food. The present study aimed at assessing the ethanolic leaf extract of C. olitorius, S. macrocarpon and A. cruentus for antioxidant capacity, phytochemical property, nutritional and anti-nutrient content. METHOD Phytochemical constituent and proximate analysis were determined using standard protocols. The DPPH scavenging activity was used to determine the antioxidant activity of the ethanolic leaf extracts from the three vegetables. The antinutrients phytate and oxalate were determined by titrimetric methods of analysis. RESULTS Pytochemical screening revealed the presence of tannins and flavonoids in C. olitorius, S. macrocarpon and A. cruentus. Alkaloids and saponins were present in C. olitorius and S. macrocarpon but not in A. cruentus. Terpenoids, steroids, carotenoids and coumarins were absent in all the three vegetables. Proximate analysis revealed varying levels of moisture, fat, protein, ash, crude fibre and carbohydrates in the three leafy vegetables. The DPPH scavenging showed 86.71%, 71.72% and 38.86% activity</w:instrText>
      </w:r>
      <w:r w:rsidRPr="00380BA4">
        <w:rPr>
          <w:rFonts w:ascii="Arial" w:hAnsi="Arial" w:cs="Arial"/>
          <w:sz w:val="20"/>
          <w:szCs w:val="20"/>
        </w:rPr>
        <w:instrText xml:space="preserve"> for S. macrocarpon, C. olitorius and A. cruentus respectively. The antinutrient results revealed an oxalate level of 2.7 ± 0.13% for C. olitorius, 6.43 ± 0.06% for A. cruentus and 12.32 ± 0.13% for S. macrocarpon. For levels of phytates, our results revealed a 3.084 ± 0.54%, 1.14 ± 0.26% and 1.71 ± 0.27% for C. olitorius, A. cruentus and S. macrocarpon, respectively. CONCLUSION The current study has shown that C. olitorius, A. cruentus and S. macrocarpon possess important phytochemicals, nutrients and significant antioxidant activity, suggesting a potential of these vegetables against diverse disease, if eaten by humans.","author":[{"dropping-particle":"","family":"Osei-Owusu","given":"Jonathan","non-dropping-particle":"","parse-names":false,"suffix":""},{"dropping-particle":"","family":"Kokro","given":"Kwabena Boakye","non-dropping-particle":"","parse-names":false,"suffix":""},{"dropping-particle":"","family":"Ofori","given":"Andrew","non-dropping-particle":"","parse-names":false,"suffix":""},{"dropping-particle":"","family":"Apau","given":"Joseph","non-dropping-particle":"","parse-names":false,"suffix":""},{"dropping-particle":"","family":"Dofuor","given":"Aboagye Kwarteng","non-dropping-particle":"","parse-names":</w:instrText>
      </w:r>
      <w:r w:rsidRPr="00380BA4">
        <w:rPr>
          <w:rFonts w:ascii="Arial" w:hAnsi="Arial" w:cs="Arial"/>
          <w:sz w:val="20"/>
          <w:szCs w:val="20"/>
          <w:lang w:val="en-US"/>
        </w:rPr>
        <w:instrText>false,"suffix":""},{"dropping-particle":"","family":"Vigbedor","given":"Bright Yaw","non-dropping-particle":"","parse-names":false,"suffix":""},{"dropping-particle":"","family":"Aniagyei","given":"Albert","non-dropping-particle":"","parse-names":false,"suffix":""},{"dropping-particle":"","family":"Kwakye","given":"Ralph","non-dropping-particle":"","parse-names":false,"suffix":""},{"dropping-particle":"","family":"Edusei","given":"George","non-dropping-particle":"","parse-names":false,"suffix":""},{"dropping-particle":"","family":"Antwi","given":"Boniface Yeboah","non-dropping-particle":"","parse-names":false,"suffix":""},{"dropping-particle":"","family":"Okyere","given":"Harry","non-dropping-particle":"","parse-names":false,"suffix":""}],"container-title":"International journal of biochemistry and molecular biology","id":"ITEM-1","issue":"2","issued":{"date-parts":[["2023"]]},"page":"17-24","title":"Evaluation of phytochemical, proximate, antioxidant, and anti-nutrient properties of Corchorus olitorius, Solanum macrocarpon and Amaranthus cruentus in Ghana.","type":"article-journal","volume":"14"},"uris":["http://www.mendeley.com/documents/?uuid=7a5c51cc-7cbf-4ca1-b62b-4317e61b9fde"]}],"mendeley":{"formattedCitation":"(Osei-Owusu et al., 2023)","plainTextFormattedCitation":"(Osei-Owusu et al., 2023)","previouslyFormattedCitation":"(Osei-Owusu et al., 2023)"},"properties":{"noteIndex":0},"schema":"https://github.com/citation-style-language/schema/raw/master/csl-citation.json"}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(Osei-Owusu et al., 2023)</w:t>
      </w:r>
      <w:r w:rsidRPr="00380BA4">
        <w:rPr>
          <w:rFonts w:ascii="Arial" w:hAnsi="Arial" w:cs="Arial"/>
          <w:sz w:val="20"/>
          <w:szCs w:val="20"/>
        </w:rPr>
        <w:fldChar w:fldCharType="end"/>
      </w:r>
      <w:r w:rsidRPr="00380BA4">
        <w:rPr>
          <w:rFonts w:ascii="Arial" w:hAnsi="Arial" w:cs="Arial"/>
          <w:sz w:val="20"/>
          <w:szCs w:val="20"/>
          <w:lang w:val="en-US"/>
        </w:rPr>
        <w:t xml:space="preserve">. </w:t>
      </w:r>
    </w:p>
    <w:p w14:paraId="1E35916B" w14:textId="154B3D00" w:rsidR="00FD680F" w:rsidRPr="00380BA4" w:rsidRDefault="00FD680F" w:rsidP="00FD680F">
      <w:pPr>
        <w:spacing w:line="360" w:lineRule="auto"/>
        <w:jc w:val="both"/>
        <w:rPr>
          <w:rFonts w:ascii="Arial" w:hAnsi="Arial" w:cs="Arial"/>
          <w:sz w:val="20"/>
          <w:szCs w:val="20"/>
          <w:lang w:val="en-US"/>
        </w:rPr>
      </w:pPr>
      <w:r w:rsidRPr="00380BA4">
        <w:rPr>
          <w:rFonts w:ascii="Arial" w:hAnsi="Arial" w:cs="Arial"/>
          <w:i/>
          <w:iCs/>
          <w:sz w:val="20"/>
          <w:szCs w:val="20"/>
          <w:lang w:val="en-US"/>
        </w:rPr>
        <w:t xml:space="preserve">T. </w:t>
      </w:r>
      <w:proofErr w:type="spellStart"/>
      <w:r w:rsidRPr="00380BA4">
        <w:rPr>
          <w:rFonts w:ascii="Arial" w:hAnsi="Arial" w:cs="Arial"/>
          <w:i/>
          <w:iCs/>
          <w:sz w:val="20"/>
          <w:szCs w:val="20"/>
          <w:lang w:val="en-US"/>
        </w:rPr>
        <w:t>cordifolia</w:t>
      </w:r>
      <w:proofErr w:type="spellEnd"/>
      <w:r w:rsidRPr="00380BA4">
        <w:rPr>
          <w:rFonts w:ascii="Arial" w:hAnsi="Arial" w:cs="Arial"/>
          <w:sz w:val="20"/>
          <w:szCs w:val="20"/>
          <w:lang w:val="en-US"/>
        </w:rPr>
        <w:t xml:space="preserve"> (</w:t>
      </w:r>
      <w:proofErr w:type="spellStart"/>
      <w:r w:rsidR="00B148EB" w:rsidRPr="00380BA4">
        <w:rPr>
          <w:rFonts w:ascii="Arial" w:hAnsi="Arial" w:cs="Arial"/>
          <w:sz w:val="20"/>
          <w:szCs w:val="20"/>
          <w:lang w:val="en-US"/>
        </w:rPr>
        <w:t>Malvaceae</w:t>
      </w:r>
      <w:proofErr w:type="spellEnd"/>
      <w:r w:rsidRPr="00380BA4">
        <w:rPr>
          <w:rFonts w:ascii="Arial" w:hAnsi="Arial" w:cs="Arial"/>
          <w:sz w:val="20"/>
          <w:szCs w:val="20"/>
          <w:lang w:val="en-US"/>
        </w:rPr>
        <w:t xml:space="preserve">), known as </w:t>
      </w:r>
      <w:proofErr w:type="spellStart"/>
      <w:r w:rsidRPr="00380BA4">
        <w:rPr>
          <w:rFonts w:ascii="Arial" w:hAnsi="Arial" w:cs="Arial"/>
          <w:sz w:val="20"/>
          <w:szCs w:val="20"/>
          <w:lang w:val="en-US"/>
        </w:rPr>
        <w:t>Nkui</w:t>
      </w:r>
      <w:proofErr w:type="spellEnd"/>
      <w:r w:rsidRPr="00380BA4">
        <w:rPr>
          <w:rFonts w:ascii="Arial" w:hAnsi="Arial" w:cs="Arial"/>
          <w:sz w:val="20"/>
          <w:szCs w:val="20"/>
          <w:lang w:val="en-US"/>
        </w:rPr>
        <w:t xml:space="preserve"> in the </w:t>
      </w:r>
      <w:proofErr w:type="spellStart"/>
      <w:r w:rsidRPr="00380BA4">
        <w:rPr>
          <w:rFonts w:ascii="Arial" w:hAnsi="Arial" w:cs="Arial"/>
          <w:sz w:val="20"/>
          <w:szCs w:val="20"/>
          <w:lang w:val="en-US"/>
        </w:rPr>
        <w:t>Bamiléké</w:t>
      </w:r>
      <w:proofErr w:type="spellEnd"/>
      <w:r w:rsidRPr="00380BA4">
        <w:rPr>
          <w:rFonts w:ascii="Arial" w:hAnsi="Arial" w:cs="Arial"/>
          <w:sz w:val="20"/>
          <w:szCs w:val="20"/>
          <w:lang w:val="en-US"/>
        </w:rPr>
        <w:t xml:space="preserve"> language, is a woody plant characterized by a relatively short and remarkably ribbed trunk. It is also found in tropical regions of Africa (Cameroon, Gabon, Nigeria, Equatorial Guinea, Kenya, etc.). It can be perennial or annual, erect, and about 1 to 2 meters tall. The mature stem has a diameter of 1.5 to 2.5 cm and is generally greenish with star-shaped hairs, entire or lobed with frequently dentate margins </w:t>
      </w:r>
      <w:r w:rsidRPr="00380BA4">
        <w:rPr>
          <w:rFonts w:ascii="Arial" w:hAnsi="Arial" w:cs="Arial"/>
          <w:color w:val="000000" w:themeColor="text1"/>
          <w:sz w:val="20"/>
          <w:szCs w:val="20"/>
        </w:rPr>
        <w:fldChar w:fldCharType="begin" w:fldLock="1"/>
      </w:r>
      <w:r w:rsidRPr="00380BA4">
        <w:rPr>
          <w:rFonts w:ascii="Arial" w:hAnsi="Arial" w:cs="Arial"/>
          <w:color w:val="000000" w:themeColor="text1"/>
          <w:sz w:val="20"/>
          <w:szCs w:val="20"/>
          <w:lang w:val="en-US"/>
        </w:rPr>
        <w:instrText>ADDIN CSL_CITATION {"citationItems":[{"id":"ITEM-1","itemData":{"author":[{"dropping-particle":"","family":"Saidou","given":"Clément","non-dropping-particle":"","parse-names":false,"suffix":""}],"id":"ITEM-1","issued":{"date-parts":[["2012"]]},"number-of-pages":"234","publisher":"University of Ngaoundere/ University of Grenoble","title":"Propriétés physico-chimiques et fonctionnelles des gommes hydrocolloïdes des écorces de Triumfetta cordifolia (tiliacée) et de Bridelia thermifolia (Euphorbiacée)","type":"thesis"},"uris":["http://www.mendeley.com/documents/?uuid=5029f23b-8844-4411-8fac-e8ac5b76f2a9"]}],"mendeley":{"formattedCitation":"(Saidou, 2012)","plainTextFormattedCitation":"(Saidou, 2012)","previouslyFormattedCitation":"(Saidou, 2012)"},"properties":{"noteIndex":0},"schema":"https://github.com/citation-style-language/schema/raw/master/csl-citation.json"}</w:instrText>
      </w:r>
      <w:r w:rsidRPr="00380BA4">
        <w:rPr>
          <w:rFonts w:ascii="Arial" w:hAnsi="Arial" w:cs="Arial"/>
          <w:color w:val="000000" w:themeColor="text1"/>
          <w:sz w:val="20"/>
          <w:szCs w:val="20"/>
        </w:rPr>
        <w:fldChar w:fldCharType="separate"/>
      </w:r>
      <w:r w:rsidRPr="00380BA4">
        <w:rPr>
          <w:rFonts w:ascii="Arial" w:hAnsi="Arial" w:cs="Arial"/>
          <w:noProof/>
          <w:color w:val="000000" w:themeColor="text1"/>
          <w:sz w:val="20"/>
          <w:szCs w:val="20"/>
          <w:lang w:val="en-US"/>
        </w:rPr>
        <w:t>(Saidou, 2012)</w:t>
      </w:r>
      <w:r w:rsidRPr="00380BA4">
        <w:rPr>
          <w:rFonts w:ascii="Arial" w:hAnsi="Arial" w:cs="Arial"/>
          <w:color w:val="000000" w:themeColor="text1"/>
          <w:sz w:val="20"/>
          <w:szCs w:val="20"/>
        </w:rPr>
        <w:fldChar w:fldCharType="end"/>
      </w:r>
      <w:r w:rsidRPr="00380BA4">
        <w:rPr>
          <w:rFonts w:ascii="Arial" w:hAnsi="Arial" w:cs="Arial"/>
          <w:color w:val="000000" w:themeColor="text1"/>
          <w:sz w:val="20"/>
          <w:szCs w:val="20"/>
          <w:lang w:val="en-US"/>
        </w:rPr>
        <w:t>.</w:t>
      </w:r>
      <w:r w:rsidRPr="00380BA4">
        <w:rPr>
          <w:rFonts w:ascii="Arial" w:hAnsi="Arial" w:cs="Arial"/>
          <w:sz w:val="20"/>
          <w:szCs w:val="20"/>
          <w:lang w:val="en-US"/>
        </w:rPr>
        <w:t xml:space="preserve"> The bark of this plant is particularly valued for its techno-functional potential due to its high fiber content </w:t>
      </w:r>
      <w:r w:rsidRPr="00380BA4">
        <w:rPr>
          <w:rFonts w:ascii="Arial" w:hAnsi="Arial" w:cs="Arial"/>
          <w:color w:val="000000" w:themeColor="text1"/>
          <w:sz w:val="20"/>
          <w:szCs w:val="20"/>
        </w:rPr>
        <w:fldChar w:fldCharType="begin" w:fldLock="1"/>
      </w:r>
      <w:r w:rsidRPr="00380BA4">
        <w:rPr>
          <w:rFonts w:ascii="Arial" w:hAnsi="Arial" w:cs="Arial"/>
          <w:color w:val="000000" w:themeColor="text1"/>
          <w:sz w:val="20"/>
          <w:szCs w:val="20"/>
          <w:lang w:val="en-US"/>
        </w:rPr>
        <w:instrText>ADDIN CSL_CITATION {"citationItems":[{"id":"ITEM-1","itemData":{"DOI":"10.15376/BIORES.13.4.7671-7682","ISSN":"19302126","abstract":"The tradition of using naturally occurring plant fibers is still alive in Africa. In the Uíge province of northern Angola, bast fibers from Triumfetta cordifolia serve as the basis for everyday objects, such as baskets, mats, fishing nets, and traditional clothing. The fibers exhibit a Young’s modulus of 53.4 GPa and average tensile strength of 916.3 MPa, which are comparable to those of commercial kenaf fibers. These values indicate a high potential for use as a reinforcement in biocomposites. Based on this promising mechanical and physical profile of individual fibers, different biocomposites were produced with polylactide (PLA) as a matrix. The obtained composites were analyzed mechanically, physically, and visually. Unidirectionally arranged PLA/33% T. cordifolia composites with continuous fibers showed the highest Young’s modulus (10.79 GPa ± 1.52 GPa) and tensile strength (79.37 MPa ± 14.01 MPa). These composites were comparable to those of PLA/30% hemp composites (10.9 GPa and 82.9 MPa, respectively) and therefore have economic potential.","author":[{"dropping-particle":"","family":"Grosser","given":"Peter","non-dropping-particle":"","parse-names":false,"suffix":""},{"dropping-particle":"","family":"Siegel","given":"Carolin","non-dropping-particle":"","parse-names":false,"suffix":""},{"dropping-particle":"","family":"Neinhuis","given":"Christoph","non-dropping-particle":"","parse-names":false,"suffix":""},{"dropping-particle":"","family":"Lautenschläger","given":"Thea","non-dropping-particle":"","parse-names":false,"suffix":""}],"container-title":"BioResources","id":"ITEM-1","issue":"4","issued":{"date-parts":[["2018"]]},"page":"7671-7682","title":"Triumfetta cordifolia: A Valuable (African) Source for Biocomposites","type":"article-journal","volume":"13"},"uris":["http://www.mendeley.com/documents/?uuid=652ec3b9-27a9-4602-ab73-5fa593704e92"]}],"mendeley":{"formattedCitation":"(Grosser et al., 2018)","plainTextFormattedCitation":"(Grosser et al., 2018)","previouslyFormattedCitation":"(Grosser et al., 2018)"},"properties":{"noteIndex":0},"schema":"https://github.com/citation-style-language/schema/raw/master/csl-citation.json"}</w:instrText>
      </w:r>
      <w:r w:rsidRPr="00380BA4">
        <w:rPr>
          <w:rFonts w:ascii="Arial" w:hAnsi="Arial" w:cs="Arial"/>
          <w:color w:val="000000" w:themeColor="text1"/>
          <w:sz w:val="20"/>
          <w:szCs w:val="20"/>
        </w:rPr>
        <w:fldChar w:fldCharType="separate"/>
      </w:r>
      <w:r w:rsidRPr="00380BA4">
        <w:rPr>
          <w:rFonts w:ascii="Arial" w:hAnsi="Arial" w:cs="Arial"/>
          <w:noProof/>
          <w:color w:val="000000" w:themeColor="text1"/>
          <w:sz w:val="20"/>
          <w:szCs w:val="20"/>
          <w:lang w:val="en-US"/>
        </w:rPr>
        <w:t>(Grosser et al., 2018)</w:t>
      </w:r>
      <w:r w:rsidRPr="00380BA4">
        <w:rPr>
          <w:rFonts w:ascii="Arial" w:hAnsi="Arial" w:cs="Arial"/>
          <w:color w:val="000000" w:themeColor="text1"/>
          <w:sz w:val="20"/>
          <w:szCs w:val="20"/>
        </w:rPr>
        <w:fldChar w:fldCharType="end"/>
      </w:r>
      <w:r w:rsidRPr="00380BA4">
        <w:rPr>
          <w:rFonts w:ascii="Arial" w:hAnsi="Arial" w:cs="Arial"/>
          <w:color w:val="000000" w:themeColor="text1"/>
          <w:sz w:val="20"/>
          <w:szCs w:val="20"/>
          <w:lang w:val="en-US"/>
        </w:rPr>
        <w:t>.</w:t>
      </w:r>
      <w:r w:rsidRPr="00380BA4">
        <w:rPr>
          <w:rFonts w:ascii="Arial" w:hAnsi="Arial" w:cs="Arial"/>
          <w:sz w:val="20"/>
          <w:szCs w:val="20"/>
          <w:lang w:val="en-US"/>
        </w:rPr>
        <w:t xml:space="preserve"> Extracts from this bark are used to prepare a traditional and therapeutic dish (</w:t>
      </w:r>
      <w:proofErr w:type="spellStart"/>
      <w:r w:rsidRPr="00380BA4">
        <w:rPr>
          <w:rFonts w:ascii="Arial" w:hAnsi="Arial" w:cs="Arial"/>
          <w:sz w:val="20"/>
          <w:szCs w:val="20"/>
          <w:lang w:val="en-US"/>
        </w:rPr>
        <w:t>Nkui</w:t>
      </w:r>
      <w:proofErr w:type="spellEnd"/>
      <w:r w:rsidRPr="00380BA4">
        <w:rPr>
          <w:rFonts w:ascii="Arial" w:hAnsi="Arial" w:cs="Arial"/>
          <w:sz w:val="20"/>
          <w:szCs w:val="20"/>
          <w:lang w:val="en-US"/>
        </w:rPr>
        <w:t xml:space="preserve">) highly prized in the </w:t>
      </w:r>
      <w:proofErr w:type="spellStart"/>
      <w:r w:rsidRPr="00380BA4">
        <w:rPr>
          <w:rFonts w:ascii="Arial" w:hAnsi="Arial" w:cs="Arial"/>
          <w:sz w:val="20"/>
          <w:szCs w:val="20"/>
          <w:lang w:val="en-US"/>
        </w:rPr>
        <w:t>Bamiléké</w:t>
      </w:r>
      <w:proofErr w:type="spellEnd"/>
      <w:r w:rsidRPr="00380BA4">
        <w:rPr>
          <w:rFonts w:ascii="Arial" w:hAnsi="Arial" w:cs="Arial"/>
          <w:sz w:val="20"/>
          <w:szCs w:val="20"/>
          <w:lang w:val="en-US"/>
        </w:rPr>
        <w:t xml:space="preserve"> region, and as an additive to improve dough volume in traditional baking.</w:t>
      </w:r>
    </w:p>
    <w:p w14:paraId="0818659B" w14:textId="52FB61A0" w:rsidR="00FD680F" w:rsidRPr="00380BA4" w:rsidRDefault="00FD680F" w:rsidP="00FD680F">
      <w:pPr>
        <w:spacing w:line="360" w:lineRule="auto"/>
        <w:jc w:val="both"/>
        <w:rPr>
          <w:rFonts w:ascii="Arial" w:hAnsi="Arial" w:cs="Arial"/>
          <w:sz w:val="20"/>
          <w:szCs w:val="20"/>
          <w:lang w:val="en-US"/>
        </w:rPr>
      </w:pPr>
      <w:r w:rsidRPr="00380BA4">
        <w:rPr>
          <w:rFonts w:ascii="Arial" w:hAnsi="Arial" w:cs="Arial"/>
          <w:sz w:val="20"/>
          <w:szCs w:val="20"/>
          <w:lang w:val="en-US"/>
        </w:rPr>
        <w:t xml:space="preserve">It is therefore well established how important these various medicinal plants are for the nutrition and healthcare of African populations. However, one of the biggest problems that limits the actions of many therapists when recommending the use of these plants' organs in their various forms (powders, decoctions, infusions, etc.) and remains a major topic of reflection for many researchers is the lack of understanding of the effects of the constituents on the desired biological activities. Knowing that these activities are closely linked not only to the presence but also to the concentrations of each constituent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{"citationItems":[{"id":"ITEM-1","itemData":{"author":[{"dropping-particle":"","family":"Cavalcante","given":"Marília De A","non-dropping-particle":"","parse-names":false,"suffix":""},{"dropping-particle":"","family":"Oliveira","given":"Janyna S","non-dropping-particle":"","parse-names":false,"suffix":""},{"dropping-particle":"","family":"Barreto","given":"Mayra S S","non-dropping-particle":"","parse-names":false,"suffix":""},{"dropping-particle":"","family":"Pinheiro","given":"Lucas P","non-dropping-particle":"","parse-names":false,"suffix":""},{"dropping-particle":"","family":"Cantuária","given":"Patrick De C","non-dropping-particle":"","parse-names":false,"suffix":""},{"dropping-particle":"","family":"Borges","given":"Wardsson L","non-dropping-particle":"","parse-names":false,"suffix":""},{"dropping-particle":"","family":"Silva","given":"Gabriel A","non-dropping-particle":"","parse-names":false,"suffix":""},{"dropping-particle":"De","family":"Souza","given":"Tiago Marcolino","non-dropping-particle":"","parse-names":false,"suffix":""},{"dropping-particle":"","family":"Cavalcante","given":"Marília De A","non-dropping-particle":"","parse-names":false,"suffix":""},{"dropping-particle":"","family":"Pinheiro","given":"Lucas P","non-dropping-particle":"","parse-names":false,"suffix":""},{"dropping-particle":"","family":"Cantuária","given":"De C","non-dropping-particle":"","parse-names":false,"suffix":""},{"dropping-particle":"","family":"Borges","given":"L","non-dropping-particle":"","parse-names":false,"suffix":""},{"dropping-particle":"","family":"Gabriel","given":"A","non-dropping-particle":"","parse-names":false,"suffix":""},{"dropping-particle":"","family":"De","given":"Tiago Marcolino","non-dropping-particle":"","parse-names":false,"suffix":""},{"dropping-particle":"","family":"Eryngium","given":"L","non-dropping-particle":"","parse-names":false,"suffix":""},{"dropping-particle":"","family":"Mart","given":"Inga","non-dropping-particle":"","parse-names":false,"suffix":""}],"id":"ITEM-1","issue":"4","issued":{"date-parts":[["2022"]]},"page":"395-404","title":"An HPLC Method to Determine Phenolic Compounds of Plant Extracts : Application to Byrsonima crassifolia and Senna alata Leaves","type":"article-journal","volume":"14"},"uris":["http://www.mendeley.com/documents/?uuid=b456299b-503b-478f-ad45-bdd6853b7915"]}],"mendeley":{"formattedCitation":"(Cavalcante et al., 2022)","plainTextFormattedCitation":"(Cavalcante et al., 2022)","previouslyFormattedCitation":"(Cavalcante et al., 2022)"},"properties":{"noteIndex":0},"schema":"https://github.com/citation-style-language/schema/raw/master/csl-citation.json"}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(Cavalcante et al., 2022)</w:t>
      </w:r>
      <w:r w:rsidRPr="00380BA4">
        <w:rPr>
          <w:rFonts w:ascii="Arial" w:hAnsi="Arial" w:cs="Arial"/>
          <w:sz w:val="20"/>
          <w:szCs w:val="20"/>
        </w:rPr>
        <w:fldChar w:fldCharType="end"/>
      </w:r>
      <w:r w:rsidRPr="00380BA4">
        <w:rPr>
          <w:rFonts w:ascii="Arial" w:hAnsi="Arial" w:cs="Arial"/>
          <w:sz w:val="20"/>
          <w:szCs w:val="20"/>
          <w:lang w:val="en-US"/>
        </w:rPr>
        <w:t xml:space="preserve">, this work </w:t>
      </w:r>
      <w:r w:rsidR="00B148EB">
        <w:rPr>
          <w:rFonts w:ascii="Arial" w:hAnsi="Arial" w:cs="Arial"/>
          <w:sz w:val="20"/>
          <w:szCs w:val="20"/>
          <w:lang w:val="en-US"/>
        </w:rPr>
        <w:t>seek</w:t>
      </w:r>
      <w:r w:rsidRPr="00380BA4">
        <w:rPr>
          <w:rFonts w:ascii="Arial" w:hAnsi="Arial" w:cs="Arial"/>
          <w:sz w:val="20"/>
          <w:szCs w:val="20"/>
          <w:lang w:val="en-US"/>
        </w:rPr>
        <w:t xml:space="preserve">s to highlight the influence of these two main factors (presence </w:t>
      </w:r>
      <w:r w:rsidRPr="00380BA4">
        <w:rPr>
          <w:rFonts w:ascii="Arial" w:hAnsi="Arial" w:cs="Arial"/>
          <w:sz w:val="20"/>
          <w:szCs w:val="20"/>
          <w:lang w:val="en-US"/>
        </w:rPr>
        <w:lastRenderedPageBreak/>
        <w:t>and con</w:t>
      </w:r>
      <w:r w:rsidR="00B148EB">
        <w:rPr>
          <w:rFonts w:ascii="Arial" w:hAnsi="Arial" w:cs="Arial"/>
          <w:sz w:val="20"/>
          <w:szCs w:val="20"/>
          <w:lang w:val="en-US"/>
        </w:rPr>
        <w:t>tent</w:t>
      </w:r>
      <w:r w:rsidRPr="00380BA4">
        <w:rPr>
          <w:rFonts w:ascii="Arial" w:hAnsi="Arial" w:cs="Arial"/>
          <w:sz w:val="20"/>
          <w:szCs w:val="20"/>
          <w:lang w:val="en-US"/>
        </w:rPr>
        <w:t>s) specific to nutrients (macro and micronutrients) and bioactive compounds (polyphenols, flavonoids, etc.) on the biological activities of the powders. One of the biological activities least associated with the three medicinal plants presented above is the translocation of the glucose storage protein type 4 (GLUT4).</w:t>
      </w:r>
    </w:p>
    <w:p w14:paraId="64A62C38" w14:textId="7D1786CD" w:rsidR="00FD680F" w:rsidRPr="00380BA4" w:rsidRDefault="00FD680F" w:rsidP="00245B33">
      <w:pPr>
        <w:spacing w:line="360" w:lineRule="auto"/>
        <w:jc w:val="both"/>
        <w:rPr>
          <w:rFonts w:ascii="Arial" w:hAnsi="Arial" w:cs="Arial"/>
          <w:sz w:val="20"/>
          <w:szCs w:val="20"/>
          <w:lang w:val="en-US"/>
        </w:rPr>
      </w:pPr>
      <w:r w:rsidRPr="00380BA4">
        <w:rPr>
          <w:rFonts w:ascii="Arial" w:hAnsi="Arial" w:cs="Arial"/>
          <w:sz w:val="20"/>
          <w:szCs w:val="20"/>
          <w:lang w:val="en-US"/>
        </w:rPr>
        <w:t xml:space="preserve">The glucose transporter type 4 (GLUT4) plays a crucial role in glucose metabolism by facilitating its transport from the blood to muscle and adipose cells, where it is used to produce energy. When glucose enters the bloodstream after a meal, a precise concentration of insulin (ranging from 20 to 50 µunits/ml) is released by the pancreas and binds to its receptors on muscle and fat cells, triggering a cascade of cellular signals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{"citationItems":[{"id":"ITEM-1","itemData":{"DOI":"10.4331/wjbc.v11.i3.76","ISBN":"0003366383","ISSN":"1949-8454","abstract":"Glucose is used aerobically and anaerobically to generate energy for cells. Glucose transporters (GLUTs) are transmembrane proteins that transport glucose across the cell membrane. Insulin promotes glucose utilization in part through promoting glucose entry into the skeletal and adipose tissues. This has been thought to be achieved through insulin-induced GLUT4 translocation from intracellular compartments to the cell membrane, which increases the overall rate of glucose flux into a cell. The insulin-induced GLUT4 translocation has been investigated extensively. Recently, significant progress has been made in our understanding of GLUT4 expression and translocation. Here, we summarized the methods and reagents used to determine the expression levels of Slc2a4 mRNA and GLUT4 protein, and GLUT4 translocation in the skeletal muscle, adipose tissues, heart and brain. Overall, a variety of methods such real-time polymerase chain reaction, immunohistochemistry, fluorescence microscopy, fusion proteins, stable cell line and transgenic animals have been used to answer particular questions related to GLUT4 system and insulin action. It seems that insulin-induced GLUT4 translocation can be observed in the heart and brain in addition to the skeletal muscle and adipocytes. Hormones other than insulin can induce GLUT4 translocation. Clearly, more studies of GLUT4 are warranted in the future to advance of our understanding of glucose homeostasis.","author":[{"dropping-particle":"","family":"Wang","given":"Tiannan","non-dropping-particle":"","parse-names":false,"suffix":""},{"dropping-particle":"","family":"Wang","given":"Jing","non-dropping-particle":"","parse-names":false,"suffix":""},{"dropping-particle":"","family":"Hu","given":"Xinge","non-dropping-particle":"","parse-names":false,"suffix":""},{"dropping-particle":"","family":"Huang","given":"Xianju","non-dropping-particle":"","parse-names":false,"suffix":""},{"dropping-particle":"","family":"Chen","given":"Guo-Xun","non-dropping-particle":"","parse-names":false,"suffix":""}],"container-title":"World Journal of Biological Chemistry","id":"ITEM-1","issue":"3","issued":{"date-parts":[["2020"]]},"page":"76-98","title":"Current understanding of glucose transporter 4 expression and functional mechanisms","type":"article-journal","volume":"11"},"uris":["http://www.mendeley.com/documents/?uuid=593e3099-980b-438a-9c74-3e098efc2078"]}],"mendeley":{"formattedCitation":"(Wang et al., 2020)","plainTextFormattedCitation":"(Wang et al., 2020)","previouslyFormattedCitation":"(Wang et al., 2020)"},"properties":{"noteIndex":0},"schema":"https://github.com/citation-style-language/schema/raw/master/csl-citation.json"}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(Wang et al., 2020)</w:t>
      </w:r>
      <w:r w:rsidRPr="00380BA4">
        <w:rPr>
          <w:rFonts w:ascii="Arial" w:hAnsi="Arial" w:cs="Arial"/>
          <w:sz w:val="20"/>
          <w:szCs w:val="20"/>
        </w:rPr>
        <w:fldChar w:fldCharType="end"/>
      </w:r>
      <w:r w:rsidRPr="00380BA4">
        <w:rPr>
          <w:rFonts w:ascii="Arial" w:hAnsi="Arial" w:cs="Arial"/>
          <w:sz w:val="20"/>
          <w:szCs w:val="20"/>
          <w:lang w:val="en-US"/>
        </w:rPr>
        <w:t xml:space="preserve">. This leads to the translocation of GLUT4 to the cell membrane, meaning the movement of GLUT4 storage vesicles to the plasma membrane of the cell. Once GLUT4 is sufficiently present on the cell surface, it allows glucose to pass from the blood into the cell, thereby reducing blood glucose levels (glycemia) </w:t>
      </w:r>
      <w:r w:rsidRPr="00380BA4">
        <w:rPr>
          <w:rFonts w:ascii="Arial" w:hAnsi="Arial" w:cs="Arial"/>
          <w:color w:val="000000" w:themeColor="text1"/>
          <w:sz w:val="20"/>
          <w:szCs w:val="20"/>
        </w:rPr>
        <w:fldChar w:fldCharType="begin" w:fldLock="1"/>
      </w:r>
      <w:r w:rsidRPr="00380BA4">
        <w:rPr>
          <w:rFonts w:ascii="Arial" w:hAnsi="Arial" w:cs="Arial"/>
          <w:color w:val="000000" w:themeColor="text1"/>
          <w:sz w:val="20"/>
          <w:szCs w:val="20"/>
          <w:lang w:val="en-US"/>
        </w:rPr>
        <w:instrText>ADDIN CSL_CITATION {"citationItems":[{"id":"ITEM-1","itemData":{"DOI":"10.1002/mnfr.201400414","ISSN":"16134133","PMID":"25215442","abstract":"Chronic insulin resistance can lead to type II diabetes mellitus, which is also directly influenced by an individual's genetics as well as their lifestyle. Under normal circumstances, insulin facilitates glucose uptake in skeletal muscle and adipose tissue by stimulating glucose transporter 4 (GLUT4) translocation and activity. GLUT4 activity is directly correlated with the ability to clear elevated blood glucose and insulin sensitivity. In diabetes, energy excess and prolonged hyperinsulinemia suppress muscle and adipose response to insulin, in part through reduced GLUT4 membrane levels. This work uniquely describes much of the experimental data demonstrating the effects of various dietary components on GLUT4 expression and translocation in skeletal muscle. These observations implicate several individual dietary chemicals as potential adjuvant therapies in the maintenance of diabetes and insulin resistance.","author":[{"dropping-particle":"","family":"Gannon","given":"Nicholas P.","non-dropping-particle":"","parse-names":false,"suffix":""},{"dropping-particle":"","family":"Conn","given":"Carole A.","non-dropping-particle":"","parse-names":false,"suffix":""},{"dropping-particle":"","family":"Vaughan","given":"Roger A.","non-dropping-particle":"","parse-names":false,"suffix":""}],"container-title":"Molecular Nutrition and Food Research","id":"ITEM-1","issue":"1","issued":{"date-parts":[["2014"]]},"page":"48-64","title":"Dietary stimulators of GLUT4 expression and translocation in skeletal muscle: A mini-review","type":"article-journal","volume":"59"},"uris":["http://www.mendeley.com/documents/?uuid=1872a428-730a-4446-8b98-b6864ee79f1e"]}],"mendeley":{"formattedCitation":"(Gannon et al., 2014)","plainTextFormattedCitation":"(Gannon et al., 2014)","previouslyFormattedCitation":"(Gannon et al., 2014)"},"properties":{"noteIndex":0},"schema":"https://github.com/citation-style-language/schema/raw/master/csl-citation.json"}</w:instrText>
      </w:r>
      <w:r w:rsidRPr="00380BA4">
        <w:rPr>
          <w:rFonts w:ascii="Arial" w:hAnsi="Arial" w:cs="Arial"/>
          <w:color w:val="000000" w:themeColor="text1"/>
          <w:sz w:val="20"/>
          <w:szCs w:val="20"/>
        </w:rPr>
        <w:fldChar w:fldCharType="separate"/>
      </w:r>
      <w:r w:rsidRPr="00380BA4">
        <w:rPr>
          <w:rFonts w:ascii="Arial" w:hAnsi="Arial" w:cs="Arial"/>
          <w:noProof/>
          <w:color w:val="000000" w:themeColor="text1"/>
          <w:sz w:val="20"/>
          <w:szCs w:val="20"/>
          <w:lang w:val="en-US"/>
        </w:rPr>
        <w:t>(Gannon et al., 2014)</w:t>
      </w:r>
      <w:r w:rsidRPr="00380BA4">
        <w:rPr>
          <w:rFonts w:ascii="Arial" w:hAnsi="Arial" w:cs="Arial"/>
          <w:color w:val="000000" w:themeColor="text1"/>
          <w:sz w:val="20"/>
          <w:szCs w:val="20"/>
        </w:rPr>
        <w:fldChar w:fldCharType="end"/>
      </w:r>
      <w:r w:rsidRPr="00380BA4">
        <w:rPr>
          <w:rFonts w:ascii="Arial" w:hAnsi="Arial" w:cs="Arial"/>
          <w:color w:val="000000" w:themeColor="text1"/>
          <w:sz w:val="20"/>
          <w:szCs w:val="20"/>
          <w:lang w:val="en-US"/>
        </w:rPr>
        <w:t>.</w:t>
      </w:r>
      <w:r w:rsidRPr="00380BA4">
        <w:rPr>
          <w:rFonts w:ascii="Arial" w:hAnsi="Arial" w:cs="Arial"/>
          <w:sz w:val="20"/>
          <w:szCs w:val="20"/>
          <w:lang w:val="en-US"/>
        </w:rPr>
        <w:t xml:space="preserve"> This reduction in glycemia due to insulin action begins almost immediately after food consumption. It is therefore evident that insulin is the primary trigger for GLUT4 translocation. However, several other bioactive molecules derived from medicinal plants have shown their ability to induce GLUT4 translocation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{"citationItems":[{"id":"ITEM-1","itemData":{"DOI":"10.14421/biomedich.2023.121.289-293","ISSN":"2089-6514","abstract":"WHO reported 1.9 million death cases of diabetes patients in 2019. Diabetes is caused by damage in the pancreas which resulted in a lack of insulin or insulin resistance. Medication for T2DM mainly focuses on lowering blood glucose and treating affected organs. Current medications are still lacking, thus research is needed in finding novel medications to accommodate T2DM. This paper aims to present the current research on potential plant extract in increasing GLUT4 translocation in diabetes conditions. insulin resistance state affecting GLUT4 translocation which is important in affecting glucose uptake. Some research shows that plant extract proved to be potential in increasing the translocation of GLUT4 and helping lowering blood glucose levels.","author":[{"dropping-particle":"","family":"Sutandar","given":"Vivi Hendra","non-dropping-particle":"","parse-names":false,"suffix":""},{"dropping-particle":"","family":"Saleh","given":"Mgs. Irsan","non-dropping-particle":"","parse-names":false,"suffix":""},{"dropping-particle":"","family":"Maritska","given":"Ziske","non-dropping-particle":"","parse-names":false,"suffix":""}],"container-title":"Biology, Medicine, &amp; Natural Product Chemistry","id":"ITEM-1","issue":"1","issued":{"date-parts":[["2023"]]},"page":"289-293","title":"GLUT4 as A Protein Target for T2DM Therapy with Natural Compounds","type":"article-journal","volume":"12"},"uris":["http://www.mendeley.com/documents/?uuid=90379f2a-10d1-4092-88b4-73a60ca3c460"]}],"mendeley":{"formattedCitation":"(Sutandar et al., 2023)","plainTextFormattedCitation":"(Sutandar et al., 2023)","previouslyFormattedCitation":"(Sutandar et al., 2023)"},"properties":{"noteIndex":0},"schema":"https://github.com/citation-style-language/schema/raw/master/csl-citation.json"}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(Sutandar et al., 2023)</w:t>
      </w:r>
      <w:r w:rsidRPr="00380BA4">
        <w:rPr>
          <w:rFonts w:ascii="Arial" w:hAnsi="Arial" w:cs="Arial"/>
          <w:sz w:val="20"/>
          <w:szCs w:val="20"/>
        </w:rPr>
        <w:fldChar w:fldCharType="end"/>
      </w:r>
      <w:r w:rsidRPr="00380BA4">
        <w:rPr>
          <w:rFonts w:ascii="Arial" w:hAnsi="Arial" w:cs="Arial"/>
          <w:sz w:val="20"/>
          <w:szCs w:val="20"/>
          <w:lang w:val="en-US"/>
        </w:rPr>
        <w:t xml:space="preserve">. Nonetheless, very few of these molecules are related to the powders of the three medicinal plants mentioned above. Thus, the objective of this study was to determine the nutritional and bioactive composition of the powders from the leaves of </w:t>
      </w:r>
      <w:r w:rsidRPr="00380BA4">
        <w:rPr>
          <w:rFonts w:ascii="Arial" w:hAnsi="Arial" w:cs="Arial"/>
          <w:i/>
          <w:iCs/>
          <w:sz w:val="20"/>
          <w:szCs w:val="20"/>
          <w:lang w:val="en-US"/>
        </w:rPr>
        <w:t>A. digitata</w:t>
      </w:r>
      <w:r w:rsidRPr="00380BA4">
        <w:rPr>
          <w:rFonts w:ascii="Arial" w:hAnsi="Arial" w:cs="Arial"/>
          <w:sz w:val="20"/>
          <w:szCs w:val="20"/>
          <w:lang w:val="en-US"/>
        </w:rPr>
        <w:t xml:space="preserve">, </w:t>
      </w:r>
      <w:r w:rsidRPr="00380BA4">
        <w:rPr>
          <w:rFonts w:ascii="Arial" w:hAnsi="Arial" w:cs="Arial"/>
          <w:i/>
          <w:iCs/>
          <w:sz w:val="20"/>
          <w:szCs w:val="20"/>
          <w:lang w:val="en-US"/>
        </w:rPr>
        <w:t>C. olitorius</w:t>
      </w:r>
      <w:r w:rsidRPr="00380BA4">
        <w:rPr>
          <w:rFonts w:ascii="Arial" w:hAnsi="Arial" w:cs="Arial"/>
          <w:sz w:val="20"/>
          <w:szCs w:val="20"/>
          <w:lang w:val="en-US"/>
        </w:rPr>
        <w:t xml:space="preserve">, and the bark of </w:t>
      </w:r>
      <w:r w:rsidRPr="00380BA4">
        <w:rPr>
          <w:rFonts w:ascii="Arial" w:hAnsi="Arial" w:cs="Arial"/>
          <w:i/>
          <w:iCs/>
          <w:sz w:val="20"/>
          <w:szCs w:val="20"/>
          <w:lang w:val="en-US"/>
        </w:rPr>
        <w:t>T. cordifolia</w:t>
      </w:r>
      <w:r w:rsidRPr="00380BA4">
        <w:rPr>
          <w:rFonts w:ascii="Arial" w:hAnsi="Arial" w:cs="Arial"/>
          <w:sz w:val="20"/>
          <w:szCs w:val="20"/>
          <w:lang w:val="en-US"/>
        </w:rPr>
        <w:t>, and their effects on GLUT4 translocation activity.</w:t>
      </w:r>
    </w:p>
    <w:p w14:paraId="16409FF4" w14:textId="0CDB45B6" w:rsidR="00337711" w:rsidRPr="00380BA4" w:rsidRDefault="003730C8" w:rsidP="00F921B0">
      <w:pPr>
        <w:pStyle w:val="ListParagraph"/>
        <w:numPr>
          <w:ilvl w:val="0"/>
          <w:numId w:val="1"/>
        </w:numPr>
        <w:spacing w:before="240" w:line="360" w:lineRule="auto"/>
        <w:jc w:val="both"/>
        <w:rPr>
          <w:rFonts w:ascii="Arial" w:hAnsi="Arial" w:cs="Arial"/>
          <w:b/>
          <w:bCs/>
          <w:sz w:val="24"/>
          <w:szCs w:val="24"/>
          <w:lang w:val="en-US"/>
        </w:rPr>
      </w:pPr>
      <w:r w:rsidRPr="00380BA4">
        <w:rPr>
          <w:rFonts w:ascii="Arial" w:hAnsi="Arial" w:cs="Arial"/>
          <w:b/>
          <w:bCs/>
          <w:lang w:val="en-US"/>
        </w:rPr>
        <w:t xml:space="preserve">MATERIAL AND METHODS </w:t>
      </w:r>
    </w:p>
    <w:p w14:paraId="62761CC2" w14:textId="77777777" w:rsidR="00337711" w:rsidRDefault="00337711" w:rsidP="006614BF">
      <w:pPr>
        <w:pStyle w:val="ListParagraph"/>
        <w:spacing w:before="240" w:after="0"/>
        <w:ind w:left="420"/>
        <w:jc w:val="both"/>
        <w:rPr>
          <w:rFonts w:ascii="Times New Roman" w:hAnsi="Times New Roman" w:cs="Times New Roman"/>
          <w:b/>
          <w:bCs/>
          <w:sz w:val="24"/>
          <w:szCs w:val="24"/>
          <w:lang w:val="en-US"/>
        </w:rPr>
      </w:pPr>
    </w:p>
    <w:p w14:paraId="7B529F2B" w14:textId="5C632458" w:rsidR="009A731B" w:rsidRPr="00380BA4" w:rsidRDefault="009A731B" w:rsidP="009A731B">
      <w:pPr>
        <w:pStyle w:val="ListParagraph"/>
        <w:numPr>
          <w:ilvl w:val="1"/>
          <w:numId w:val="3"/>
        </w:numPr>
        <w:spacing w:before="240"/>
        <w:jc w:val="both"/>
        <w:rPr>
          <w:rFonts w:ascii="Arial" w:hAnsi="Arial" w:cs="Arial"/>
          <w:b/>
          <w:bCs/>
          <w:sz w:val="20"/>
          <w:szCs w:val="20"/>
          <w:lang w:val="en-US"/>
        </w:rPr>
      </w:pPr>
      <w:r w:rsidRPr="00380BA4">
        <w:rPr>
          <w:rFonts w:ascii="Arial" w:hAnsi="Arial" w:cs="Arial"/>
          <w:b/>
          <w:bCs/>
          <w:sz w:val="20"/>
          <w:szCs w:val="20"/>
          <w:lang w:val="en-US"/>
        </w:rPr>
        <w:t>Sampling</w:t>
      </w:r>
      <w:r w:rsidR="003B6966" w:rsidRPr="00380BA4">
        <w:rPr>
          <w:rFonts w:ascii="Arial" w:hAnsi="Arial" w:cs="Arial"/>
          <w:b/>
          <w:bCs/>
          <w:sz w:val="20"/>
          <w:szCs w:val="20"/>
          <w:lang w:val="en-US"/>
        </w:rPr>
        <w:t xml:space="preserve">, </w:t>
      </w:r>
      <w:r w:rsidR="00273BB9" w:rsidRPr="00380BA4">
        <w:rPr>
          <w:rFonts w:ascii="Arial" w:hAnsi="Arial" w:cs="Arial"/>
          <w:b/>
          <w:bCs/>
          <w:sz w:val="20"/>
          <w:szCs w:val="20"/>
          <w:lang w:val="en-US"/>
        </w:rPr>
        <w:t>identification</w:t>
      </w:r>
      <w:r w:rsidR="003B6966" w:rsidRPr="00380BA4">
        <w:rPr>
          <w:rFonts w:ascii="Arial" w:hAnsi="Arial" w:cs="Arial"/>
          <w:b/>
          <w:bCs/>
          <w:sz w:val="20"/>
          <w:szCs w:val="20"/>
          <w:lang w:val="en-US"/>
        </w:rPr>
        <w:t xml:space="preserve"> and pow</w:t>
      </w:r>
      <w:r w:rsidR="00626488" w:rsidRPr="00380BA4">
        <w:rPr>
          <w:rFonts w:ascii="Arial" w:hAnsi="Arial" w:cs="Arial"/>
          <w:b/>
          <w:bCs/>
          <w:sz w:val="20"/>
          <w:szCs w:val="20"/>
          <w:lang w:val="en-US"/>
        </w:rPr>
        <w:t>d</w:t>
      </w:r>
      <w:r w:rsidR="003B6966" w:rsidRPr="00380BA4">
        <w:rPr>
          <w:rFonts w:ascii="Arial" w:hAnsi="Arial" w:cs="Arial"/>
          <w:b/>
          <w:bCs/>
          <w:sz w:val="20"/>
          <w:szCs w:val="20"/>
          <w:lang w:val="en-US"/>
        </w:rPr>
        <w:t>er production</w:t>
      </w:r>
    </w:p>
    <w:p w14:paraId="5586A6B5" w14:textId="58B77F63" w:rsidR="00794DFB" w:rsidRPr="00380BA4" w:rsidRDefault="00794DFB" w:rsidP="009A731B">
      <w:pPr>
        <w:spacing w:before="240" w:line="360" w:lineRule="auto"/>
        <w:jc w:val="both"/>
        <w:rPr>
          <w:rFonts w:ascii="Arial" w:hAnsi="Arial" w:cs="Arial"/>
          <w:color w:val="FF0000"/>
          <w:sz w:val="20"/>
          <w:szCs w:val="20"/>
          <w:lang w:val="en-US"/>
        </w:rPr>
      </w:pPr>
      <w:r w:rsidRPr="00380BA4">
        <w:rPr>
          <w:rFonts w:ascii="Arial" w:hAnsi="Arial" w:cs="Arial"/>
          <w:sz w:val="20"/>
          <w:szCs w:val="20"/>
          <w:lang w:val="en-US"/>
        </w:rPr>
        <w:t xml:space="preserve">The dry leaves of </w:t>
      </w:r>
      <w:r w:rsidRPr="00380BA4">
        <w:rPr>
          <w:rFonts w:ascii="Arial" w:hAnsi="Arial" w:cs="Arial"/>
          <w:i/>
          <w:iCs/>
          <w:sz w:val="20"/>
          <w:szCs w:val="20"/>
          <w:lang w:val="en-US"/>
        </w:rPr>
        <w:t>A</w:t>
      </w:r>
      <w:r w:rsidR="004E2C49">
        <w:rPr>
          <w:rFonts w:ascii="Arial" w:hAnsi="Arial" w:cs="Arial"/>
          <w:i/>
          <w:iCs/>
          <w:sz w:val="20"/>
          <w:szCs w:val="20"/>
          <w:lang w:val="en-US"/>
        </w:rPr>
        <w:t>.</w:t>
      </w:r>
      <w:r w:rsidRPr="00380BA4">
        <w:rPr>
          <w:rFonts w:ascii="Arial" w:hAnsi="Arial" w:cs="Arial"/>
          <w:i/>
          <w:iCs/>
          <w:sz w:val="20"/>
          <w:szCs w:val="20"/>
          <w:lang w:val="en-US"/>
        </w:rPr>
        <w:t xml:space="preserve"> digitata</w:t>
      </w:r>
      <w:r w:rsidRPr="00380BA4">
        <w:rPr>
          <w:rFonts w:ascii="Arial" w:hAnsi="Arial" w:cs="Arial"/>
          <w:sz w:val="20"/>
          <w:szCs w:val="20"/>
          <w:lang w:val="en-US"/>
        </w:rPr>
        <w:t xml:space="preserve"> and the dry bark of </w:t>
      </w:r>
      <w:r w:rsidR="00481778" w:rsidRPr="00380BA4">
        <w:rPr>
          <w:rFonts w:ascii="Arial" w:hAnsi="Arial" w:cs="Arial"/>
          <w:i/>
          <w:iCs/>
          <w:sz w:val="20"/>
          <w:szCs w:val="20"/>
          <w:lang w:val="en-US"/>
        </w:rPr>
        <w:t>T</w:t>
      </w:r>
      <w:r w:rsidR="004E2C49">
        <w:rPr>
          <w:rFonts w:ascii="Arial" w:hAnsi="Arial" w:cs="Arial"/>
          <w:i/>
          <w:iCs/>
          <w:sz w:val="20"/>
          <w:szCs w:val="20"/>
          <w:lang w:val="en-US"/>
        </w:rPr>
        <w:t>.</w:t>
      </w:r>
      <w:r w:rsidR="00481778" w:rsidRPr="00380BA4">
        <w:rPr>
          <w:rFonts w:ascii="Arial" w:hAnsi="Arial" w:cs="Arial"/>
          <w:i/>
          <w:iCs/>
          <w:sz w:val="20"/>
          <w:szCs w:val="20"/>
          <w:lang w:val="en-US"/>
        </w:rPr>
        <w:t xml:space="preserve"> cordifolia </w:t>
      </w:r>
      <w:r w:rsidRPr="00380BA4">
        <w:rPr>
          <w:rFonts w:ascii="Arial" w:hAnsi="Arial" w:cs="Arial"/>
          <w:sz w:val="20"/>
          <w:szCs w:val="20"/>
          <w:lang w:val="en-US"/>
        </w:rPr>
        <w:t xml:space="preserve">were purchased at the local market in </w:t>
      </w:r>
      <w:proofErr w:type="spellStart"/>
      <w:r w:rsidRPr="00380BA4">
        <w:rPr>
          <w:rFonts w:ascii="Arial" w:hAnsi="Arial" w:cs="Arial"/>
          <w:sz w:val="20"/>
          <w:szCs w:val="20"/>
          <w:lang w:val="en-US"/>
        </w:rPr>
        <w:t>Ngaoundéré</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Adamaoua</w:t>
      </w:r>
      <w:proofErr w:type="spellEnd"/>
      <w:r w:rsidRPr="00380BA4">
        <w:rPr>
          <w:rFonts w:ascii="Arial" w:hAnsi="Arial" w:cs="Arial"/>
          <w:sz w:val="20"/>
          <w:szCs w:val="20"/>
          <w:lang w:val="en-US"/>
        </w:rPr>
        <w:t xml:space="preserve"> Region, while the leaves of </w:t>
      </w:r>
      <w:r w:rsidRPr="00380BA4">
        <w:rPr>
          <w:rFonts w:ascii="Arial" w:hAnsi="Arial" w:cs="Arial"/>
          <w:i/>
          <w:iCs/>
          <w:sz w:val="20"/>
          <w:szCs w:val="20"/>
          <w:lang w:val="en-US"/>
        </w:rPr>
        <w:t>C</w:t>
      </w:r>
      <w:r w:rsidR="004E2C49">
        <w:rPr>
          <w:rFonts w:ascii="Arial" w:hAnsi="Arial" w:cs="Arial"/>
          <w:i/>
          <w:iCs/>
          <w:sz w:val="20"/>
          <w:szCs w:val="20"/>
          <w:lang w:val="en-US"/>
        </w:rPr>
        <w:t>.</w:t>
      </w:r>
      <w:r w:rsidRPr="00380BA4">
        <w:rPr>
          <w:rFonts w:ascii="Arial" w:hAnsi="Arial" w:cs="Arial"/>
          <w:i/>
          <w:iCs/>
          <w:sz w:val="20"/>
          <w:szCs w:val="20"/>
          <w:lang w:val="en-US"/>
        </w:rPr>
        <w:t xml:space="preserve"> olitorius</w:t>
      </w:r>
      <w:r w:rsidRPr="00380BA4">
        <w:rPr>
          <w:rFonts w:ascii="Arial" w:hAnsi="Arial" w:cs="Arial"/>
          <w:sz w:val="20"/>
          <w:szCs w:val="20"/>
          <w:lang w:val="en-US"/>
        </w:rPr>
        <w:t xml:space="preserve"> were harvested early in the fields from vegetable gardens near </w:t>
      </w:r>
      <w:proofErr w:type="spellStart"/>
      <w:r w:rsidRPr="00380BA4">
        <w:rPr>
          <w:rFonts w:ascii="Arial" w:hAnsi="Arial" w:cs="Arial"/>
          <w:sz w:val="20"/>
          <w:szCs w:val="20"/>
          <w:lang w:val="en-US"/>
        </w:rPr>
        <w:t>Dibamba</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Sanaga</w:t>
      </w:r>
      <w:proofErr w:type="spellEnd"/>
      <w:r w:rsidRPr="00380BA4">
        <w:rPr>
          <w:rFonts w:ascii="Arial" w:hAnsi="Arial" w:cs="Arial"/>
          <w:sz w:val="20"/>
          <w:szCs w:val="20"/>
          <w:lang w:val="en-US"/>
        </w:rPr>
        <w:t xml:space="preserve"> Maritime Department, Littoral Region. They were identified by the </w:t>
      </w:r>
      <w:r w:rsidR="00EF45EE" w:rsidRPr="00380BA4">
        <w:rPr>
          <w:rFonts w:ascii="Arial" w:hAnsi="Arial" w:cs="Arial"/>
          <w:sz w:val="20"/>
          <w:szCs w:val="20"/>
          <w:lang w:val="en-US"/>
        </w:rPr>
        <w:t>National C</w:t>
      </w:r>
      <w:r w:rsidRPr="00380BA4">
        <w:rPr>
          <w:rFonts w:ascii="Arial" w:hAnsi="Arial" w:cs="Arial"/>
          <w:sz w:val="20"/>
          <w:szCs w:val="20"/>
          <w:lang w:val="en-US"/>
        </w:rPr>
        <w:t xml:space="preserve">ameroonian </w:t>
      </w:r>
      <w:r w:rsidR="00EF45EE" w:rsidRPr="00380BA4">
        <w:rPr>
          <w:rFonts w:ascii="Arial" w:hAnsi="Arial" w:cs="Arial"/>
          <w:sz w:val="20"/>
          <w:szCs w:val="20"/>
          <w:lang w:val="en-US"/>
        </w:rPr>
        <w:t>H</w:t>
      </w:r>
      <w:r w:rsidRPr="00380BA4">
        <w:rPr>
          <w:rFonts w:ascii="Arial" w:hAnsi="Arial" w:cs="Arial"/>
          <w:sz w:val="20"/>
          <w:szCs w:val="20"/>
          <w:lang w:val="en-US"/>
        </w:rPr>
        <w:t>erbarium:</w:t>
      </w:r>
    </w:p>
    <w:p w14:paraId="7E5F3172" w14:textId="335872E2" w:rsidR="003B6203" w:rsidRPr="00380BA4" w:rsidRDefault="003B6203" w:rsidP="003B6203">
      <w:pPr>
        <w:pStyle w:val="ListParagraph"/>
        <w:numPr>
          <w:ilvl w:val="0"/>
          <w:numId w:val="4"/>
        </w:numPr>
        <w:spacing w:line="360" w:lineRule="auto"/>
        <w:jc w:val="both"/>
        <w:rPr>
          <w:rFonts w:ascii="Arial" w:hAnsi="Arial" w:cs="Arial"/>
          <w:sz w:val="20"/>
          <w:szCs w:val="20"/>
          <w:lang w:val="en-US"/>
        </w:rPr>
      </w:pPr>
      <w:r w:rsidRPr="00380BA4">
        <w:rPr>
          <w:rFonts w:ascii="Arial" w:hAnsi="Arial" w:cs="Arial"/>
          <w:i/>
          <w:iCs/>
          <w:sz w:val="20"/>
          <w:szCs w:val="20"/>
          <w:lang w:val="en-US"/>
        </w:rPr>
        <w:t>A. digitata</w:t>
      </w:r>
      <w:r w:rsidRPr="00380BA4">
        <w:rPr>
          <w:rFonts w:ascii="Arial" w:hAnsi="Arial" w:cs="Arial"/>
          <w:sz w:val="20"/>
          <w:szCs w:val="20"/>
          <w:lang w:val="en-US"/>
        </w:rPr>
        <w:t>: The s</w:t>
      </w:r>
      <w:r w:rsidR="00CF1B3E" w:rsidRPr="00380BA4">
        <w:rPr>
          <w:rFonts w:ascii="Arial" w:hAnsi="Arial" w:cs="Arial"/>
          <w:sz w:val="20"/>
          <w:szCs w:val="20"/>
          <w:lang w:val="en-US"/>
        </w:rPr>
        <w:t>ample</w:t>
      </w:r>
      <w:r w:rsidRPr="00380BA4">
        <w:rPr>
          <w:rFonts w:ascii="Arial" w:hAnsi="Arial" w:cs="Arial"/>
          <w:sz w:val="20"/>
          <w:szCs w:val="20"/>
          <w:lang w:val="en-US"/>
        </w:rPr>
        <w:t xml:space="preserve"> was identified </w:t>
      </w:r>
      <w:r w:rsidRPr="002461EE">
        <w:rPr>
          <w:rFonts w:ascii="Arial" w:hAnsi="Arial" w:cs="Arial"/>
          <w:color w:val="FF0000"/>
          <w:sz w:val="20"/>
          <w:szCs w:val="20"/>
          <w:lang w:val="en-US"/>
        </w:rPr>
        <w:t>by compari</w:t>
      </w:r>
      <w:r w:rsidR="002461EE" w:rsidRPr="002461EE">
        <w:rPr>
          <w:rFonts w:ascii="Arial" w:hAnsi="Arial" w:cs="Arial"/>
          <w:color w:val="FF0000"/>
          <w:sz w:val="20"/>
          <w:szCs w:val="20"/>
          <w:lang w:val="en-US"/>
        </w:rPr>
        <w:t>ng</w:t>
      </w:r>
      <w:r w:rsidRPr="002461EE">
        <w:rPr>
          <w:rFonts w:ascii="Arial" w:hAnsi="Arial" w:cs="Arial"/>
          <w:color w:val="FF0000"/>
          <w:sz w:val="20"/>
          <w:szCs w:val="20"/>
          <w:lang w:val="en-US"/>
        </w:rPr>
        <w:t xml:space="preserve"> </w:t>
      </w:r>
      <w:r w:rsidR="002E0DF6" w:rsidRPr="00380BA4">
        <w:rPr>
          <w:rFonts w:ascii="Arial" w:hAnsi="Arial" w:cs="Arial"/>
          <w:sz w:val="20"/>
          <w:szCs w:val="20"/>
          <w:lang w:val="en-US"/>
        </w:rPr>
        <w:t xml:space="preserve">it </w:t>
      </w:r>
      <w:r w:rsidRPr="00380BA4">
        <w:rPr>
          <w:rFonts w:ascii="Arial" w:hAnsi="Arial" w:cs="Arial"/>
          <w:sz w:val="20"/>
          <w:szCs w:val="20"/>
          <w:lang w:val="en-US"/>
        </w:rPr>
        <w:t xml:space="preserve">with material from collector </w:t>
      </w:r>
      <w:proofErr w:type="spellStart"/>
      <w:r w:rsidRPr="00380BA4">
        <w:rPr>
          <w:rFonts w:ascii="Arial" w:hAnsi="Arial" w:cs="Arial"/>
          <w:sz w:val="20"/>
          <w:szCs w:val="20"/>
          <w:lang w:val="en-US"/>
        </w:rPr>
        <w:t>Letouzey</w:t>
      </w:r>
      <w:proofErr w:type="spellEnd"/>
      <w:r w:rsidRPr="00380BA4">
        <w:rPr>
          <w:rFonts w:ascii="Arial" w:hAnsi="Arial" w:cs="Arial"/>
          <w:sz w:val="20"/>
          <w:szCs w:val="20"/>
          <w:lang w:val="en-US"/>
        </w:rPr>
        <w:t xml:space="preserve"> R n</w:t>
      </w:r>
      <w:r w:rsidR="002166EF" w:rsidRPr="00380BA4">
        <w:rPr>
          <w:rFonts w:ascii="Arial" w:hAnsi="Arial" w:cs="Arial"/>
          <w:sz w:val="20"/>
          <w:szCs w:val="20"/>
          <w:lang w:val="en-US"/>
        </w:rPr>
        <w:t>umber</w:t>
      </w:r>
      <w:r w:rsidRPr="00380BA4">
        <w:rPr>
          <w:rFonts w:ascii="Arial" w:hAnsi="Arial" w:cs="Arial"/>
          <w:sz w:val="20"/>
          <w:szCs w:val="20"/>
          <w:lang w:val="en-US"/>
        </w:rPr>
        <w:t xml:space="preserve"> 7314 of specimen from Herbarium collection n</w:t>
      </w:r>
      <w:r w:rsidR="002166EF" w:rsidRPr="00380BA4">
        <w:rPr>
          <w:rFonts w:ascii="Arial" w:hAnsi="Arial" w:cs="Arial"/>
          <w:sz w:val="20"/>
          <w:szCs w:val="20"/>
          <w:lang w:val="en-US"/>
        </w:rPr>
        <w:t>umber</w:t>
      </w:r>
      <w:r w:rsidRPr="00380BA4">
        <w:rPr>
          <w:rFonts w:ascii="Arial" w:hAnsi="Arial" w:cs="Arial"/>
          <w:sz w:val="20"/>
          <w:szCs w:val="20"/>
          <w:lang w:val="en-US"/>
        </w:rPr>
        <w:t>. 7815 SRF/Cam</w:t>
      </w:r>
    </w:p>
    <w:p w14:paraId="2E5D2741" w14:textId="77777777" w:rsidR="003B6203" w:rsidRPr="00380BA4" w:rsidRDefault="003B6203" w:rsidP="003B6203">
      <w:pPr>
        <w:pStyle w:val="ListParagraph"/>
        <w:spacing w:line="360" w:lineRule="auto"/>
        <w:rPr>
          <w:rFonts w:ascii="Arial" w:hAnsi="Arial" w:cs="Arial"/>
          <w:sz w:val="20"/>
          <w:szCs w:val="20"/>
          <w:lang w:val="en-US"/>
        </w:rPr>
      </w:pPr>
    </w:p>
    <w:p w14:paraId="784A9440" w14:textId="3D26C569" w:rsidR="002E0DF6" w:rsidRPr="00380BA4" w:rsidRDefault="009A731B" w:rsidP="002E0DF6">
      <w:pPr>
        <w:pStyle w:val="ListParagraph"/>
        <w:numPr>
          <w:ilvl w:val="0"/>
          <w:numId w:val="4"/>
        </w:numPr>
        <w:spacing w:before="240" w:line="360" w:lineRule="auto"/>
        <w:jc w:val="both"/>
        <w:rPr>
          <w:rFonts w:ascii="Arial" w:hAnsi="Arial" w:cs="Arial"/>
          <w:sz w:val="20"/>
          <w:szCs w:val="20"/>
          <w:lang w:val="en-US"/>
        </w:rPr>
      </w:pPr>
      <w:r w:rsidRPr="00380BA4">
        <w:rPr>
          <w:rFonts w:ascii="Arial" w:hAnsi="Arial" w:cs="Arial"/>
          <w:i/>
          <w:iCs/>
          <w:sz w:val="20"/>
          <w:szCs w:val="20"/>
          <w:lang w:val="en-US"/>
        </w:rPr>
        <w:t>C. olitorius</w:t>
      </w:r>
      <w:r w:rsidRPr="00380BA4">
        <w:rPr>
          <w:rFonts w:ascii="Arial" w:hAnsi="Arial" w:cs="Arial"/>
          <w:sz w:val="20"/>
          <w:szCs w:val="20"/>
          <w:lang w:val="en-US"/>
        </w:rPr>
        <w:t>: The s</w:t>
      </w:r>
      <w:r w:rsidR="00CF1B3E" w:rsidRPr="00380BA4">
        <w:rPr>
          <w:rFonts w:ascii="Arial" w:hAnsi="Arial" w:cs="Arial"/>
          <w:sz w:val="20"/>
          <w:szCs w:val="20"/>
          <w:lang w:val="en-US"/>
        </w:rPr>
        <w:t>ample</w:t>
      </w:r>
      <w:r w:rsidRPr="00380BA4">
        <w:rPr>
          <w:rFonts w:ascii="Arial" w:hAnsi="Arial" w:cs="Arial"/>
          <w:sz w:val="20"/>
          <w:szCs w:val="20"/>
          <w:lang w:val="en-US"/>
        </w:rPr>
        <w:t xml:space="preserve"> was identified </w:t>
      </w:r>
      <w:r w:rsidRPr="002461EE">
        <w:rPr>
          <w:rFonts w:ascii="Arial" w:hAnsi="Arial" w:cs="Arial"/>
          <w:color w:val="FF0000"/>
          <w:sz w:val="20"/>
          <w:szCs w:val="20"/>
          <w:lang w:val="en-US"/>
        </w:rPr>
        <w:t>by compari</w:t>
      </w:r>
      <w:r w:rsidR="002461EE" w:rsidRPr="002461EE">
        <w:rPr>
          <w:rFonts w:ascii="Arial" w:hAnsi="Arial" w:cs="Arial"/>
          <w:color w:val="FF0000"/>
          <w:sz w:val="20"/>
          <w:szCs w:val="20"/>
          <w:lang w:val="en-US"/>
        </w:rPr>
        <w:t>ng</w:t>
      </w:r>
      <w:r w:rsidRPr="002461EE">
        <w:rPr>
          <w:rFonts w:ascii="Arial" w:hAnsi="Arial" w:cs="Arial"/>
          <w:color w:val="FF0000"/>
          <w:sz w:val="20"/>
          <w:szCs w:val="20"/>
          <w:lang w:val="en-US"/>
        </w:rPr>
        <w:t xml:space="preserve"> </w:t>
      </w:r>
      <w:r w:rsidR="002E0DF6" w:rsidRPr="00380BA4">
        <w:rPr>
          <w:rFonts w:ascii="Arial" w:hAnsi="Arial" w:cs="Arial"/>
          <w:sz w:val="20"/>
          <w:szCs w:val="20"/>
          <w:lang w:val="en-US"/>
        </w:rPr>
        <w:t xml:space="preserve">it </w:t>
      </w:r>
      <w:r w:rsidRPr="00380BA4">
        <w:rPr>
          <w:rFonts w:ascii="Arial" w:hAnsi="Arial" w:cs="Arial"/>
          <w:sz w:val="20"/>
          <w:szCs w:val="20"/>
          <w:lang w:val="en-US"/>
        </w:rPr>
        <w:t xml:space="preserve">with the herbarium material of Westphal collector 10077 from </w:t>
      </w:r>
      <w:r w:rsidR="002E0DF6" w:rsidRPr="00380BA4">
        <w:rPr>
          <w:rFonts w:ascii="Arial" w:hAnsi="Arial" w:cs="Arial"/>
          <w:sz w:val="20"/>
          <w:szCs w:val="20"/>
          <w:lang w:val="en-US"/>
        </w:rPr>
        <w:t>H</w:t>
      </w:r>
      <w:r w:rsidRPr="00380BA4">
        <w:rPr>
          <w:rFonts w:ascii="Arial" w:hAnsi="Arial" w:cs="Arial"/>
          <w:sz w:val="20"/>
          <w:szCs w:val="20"/>
          <w:lang w:val="en-US"/>
        </w:rPr>
        <w:t>erbarium collection specimen number 44871 SRF</w:t>
      </w:r>
      <w:r w:rsidR="00CF1B3E" w:rsidRPr="00380BA4">
        <w:rPr>
          <w:rFonts w:ascii="Arial" w:hAnsi="Arial" w:cs="Arial"/>
          <w:sz w:val="20"/>
          <w:szCs w:val="20"/>
          <w:lang w:val="en-US"/>
        </w:rPr>
        <w:t>/</w:t>
      </w:r>
      <w:r w:rsidRPr="00380BA4">
        <w:rPr>
          <w:rFonts w:ascii="Arial" w:hAnsi="Arial" w:cs="Arial"/>
          <w:sz w:val="20"/>
          <w:szCs w:val="20"/>
          <w:lang w:val="en-US"/>
        </w:rPr>
        <w:t>Cam</w:t>
      </w:r>
    </w:p>
    <w:p w14:paraId="60264965" w14:textId="77777777" w:rsidR="002E0DF6" w:rsidRPr="00380BA4" w:rsidRDefault="002E0DF6" w:rsidP="002E0DF6">
      <w:pPr>
        <w:pStyle w:val="ListParagraph"/>
        <w:rPr>
          <w:rFonts w:ascii="Arial" w:hAnsi="Arial" w:cs="Arial"/>
          <w:i/>
          <w:iCs/>
          <w:sz w:val="20"/>
          <w:szCs w:val="20"/>
          <w:lang w:val="en-US"/>
        </w:rPr>
      </w:pPr>
    </w:p>
    <w:p w14:paraId="136E1000" w14:textId="59EDE025" w:rsidR="002E0DF6" w:rsidRPr="00380BA4" w:rsidRDefault="00481778" w:rsidP="002E0DF6">
      <w:pPr>
        <w:pStyle w:val="ListParagraph"/>
        <w:numPr>
          <w:ilvl w:val="0"/>
          <w:numId w:val="4"/>
        </w:numPr>
        <w:spacing w:before="240" w:line="360" w:lineRule="auto"/>
        <w:jc w:val="both"/>
        <w:rPr>
          <w:rFonts w:ascii="Arial" w:hAnsi="Arial" w:cs="Arial"/>
          <w:sz w:val="20"/>
          <w:szCs w:val="20"/>
          <w:lang w:val="en-US"/>
        </w:rPr>
      </w:pPr>
      <w:r w:rsidRPr="00380BA4">
        <w:rPr>
          <w:rFonts w:ascii="Arial" w:hAnsi="Arial" w:cs="Arial"/>
          <w:i/>
          <w:iCs/>
          <w:sz w:val="20"/>
          <w:szCs w:val="20"/>
          <w:lang w:val="en-US"/>
        </w:rPr>
        <w:t xml:space="preserve">T. </w:t>
      </w:r>
      <w:r w:rsidR="002E0DF6" w:rsidRPr="00380BA4">
        <w:rPr>
          <w:rFonts w:ascii="Arial" w:hAnsi="Arial" w:cs="Arial"/>
          <w:i/>
          <w:iCs/>
          <w:sz w:val="20"/>
          <w:szCs w:val="20"/>
          <w:lang w:val="en-US"/>
        </w:rPr>
        <w:t xml:space="preserve">cordifolia:  </w:t>
      </w:r>
      <w:r w:rsidR="002E0DF6" w:rsidRPr="00380BA4">
        <w:rPr>
          <w:rFonts w:ascii="Arial" w:hAnsi="Arial" w:cs="Arial"/>
          <w:sz w:val="20"/>
          <w:szCs w:val="20"/>
          <w:lang w:val="en-US"/>
        </w:rPr>
        <w:t xml:space="preserve">The sample was identified by comparing it with the </w:t>
      </w:r>
      <w:proofErr w:type="spellStart"/>
      <w:r w:rsidR="002E0DF6" w:rsidRPr="00380BA4">
        <w:rPr>
          <w:rFonts w:ascii="Arial" w:hAnsi="Arial" w:cs="Arial"/>
          <w:sz w:val="20"/>
          <w:szCs w:val="20"/>
          <w:lang w:val="en-US"/>
        </w:rPr>
        <w:t>Satabié</w:t>
      </w:r>
      <w:proofErr w:type="spellEnd"/>
      <w:r w:rsidR="002E0DF6" w:rsidRPr="00380BA4">
        <w:rPr>
          <w:rFonts w:ascii="Arial" w:hAnsi="Arial" w:cs="Arial"/>
          <w:sz w:val="20"/>
          <w:szCs w:val="20"/>
          <w:lang w:val="en-US"/>
        </w:rPr>
        <w:t xml:space="preserve"> material number 125 from the Herbarium specimen collection number 35712/HNC.</w:t>
      </w:r>
    </w:p>
    <w:p w14:paraId="1307E222" w14:textId="77777777" w:rsidR="00F6397A" w:rsidRPr="00380BA4" w:rsidRDefault="00F6397A" w:rsidP="00CF1B3E">
      <w:pPr>
        <w:pStyle w:val="ListParagraph"/>
        <w:spacing w:after="0"/>
        <w:rPr>
          <w:rFonts w:ascii="Arial" w:hAnsi="Arial" w:cs="Arial"/>
          <w:color w:val="FF0000"/>
          <w:sz w:val="20"/>
          <w:szCs w:val="20"/>
          <w:lang w:val="en-US"/>
        </w:rPr>
      </w:pPr>
    </w:p>
    <w:p w14:paraId="73CDBC18" w14:textId="22B4EFFD" w:rsidR="009A731B" w:rsidRPr="00380BA4" w:rsidRDefault="009A731B" w:rsidP="00590C8F">
      <w:pPr>
        <w:spacing w:line="360" w:lineRule="auto"/>
        <w:jc w:val="both"/>
        <w:rPr>
          <w:rFonts w:ascii="Arial" w:hAnsi="Arial" w:cs="Arial"/>
          <w:color w:val="000000" w:themeColor="text1"/>
          <w:sz w:val="20"/>
          <w:szCs w:val="20"/>
          <w:lang w:val="en-US"/>
        </w:rPr>
      </w:pPr>
      <w:r w:rsidRPr="00380BA4">
        <w:rPr>
          <w:rFonts w:ascii="Arial" w:hAnsi="Arial" w:cs="Arial"/>
          <w:color w:val="000000" w:themeColor="text1"/>
          <w:sz w:val="20"/>
          <w:szCs w:val="20"/>
          <w:lang w:val="en-US"/>
        </w:rPr>
        <w:t xml:space="preserve">The powders were produced according to the requirements of therapists involved in the development of functional foods for the management of chronic diseases </w:t>
      </w:r>
      <w:r w:rsidRPr="00380BA4">
        <w:rPr>
          <w:rFonts w:ascii="Arial" w:hAnsi="Arial" w:cs="Arial"/>
          <w:color w:val="000000" w:themeColor="text1"/>
          <w:sz w:val="20"/>
          <w:szCs w:val="20"/>
          <w:lang w:val="en-US"/>
        </w:rPr>
        <w:fldChar w:fldCharType="begin" w:fldLock="1"/>
      </w:r>
      <w:r w:rsidR="00B2079D" w:rsidRPr="00380BA4">
        <w:rPr>
          <w:rFonts w:ascii="Arial" w:hAnsi="Arial" w:cs="Arial"/>
          <w:color w:val="000000" w:themeColor="text1"/>
          <w:sz w:val="20"/>
          <w:szCs w:val="20"/>
          <w:lang w:val="en-US"/>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380BA4">
        <w:rPr>
          <w:rFonts w:ascii="Arial" w:hAnsi="Arial" w:cs="Arial"/>
          <w:color w:val="000000" w:themeColor="text1"/>
          <w:sz w:val="20"/>
          <w:szCs w:val="20"/>
          <w:lang w:val="en-US"/>
        </w:rPr>
        <w:fldChar w:fldCharType="separate"/>
      </w:r>
      <w:r w:rsidR="00B2079D" w:rsidRPr="00380BA4">
        <w:rPr>
          <w:rFonts w:ascii="Arial" w:hAnsi="Arial" w:cs="Arial"/>
          <w:noProof/>
          <w:color w:val="000000" w:themeColor="text1"/>
          <w:sz w:val="20"/>
          <w:szCs w:val="20"/>
          <w:lang w:val="en-US"/>
        </w:rPr>
        <w:t>(Assiéné, Djeukeu, Assiéné, Mbida-Mbida, et al., 2024)</w:t>
      </w:r>
      <w:r w:rsidRPr="00380BA4">
        <w:rPr>
          <w:rFonts w:ascii="Arial" w:hAnsi="Arial" w:cs="Arial"/>
          <w:color w:val="000000" w:themeColor="text1"/>
          <w:sz w:val="20"/>
          <w:szCs w:val="20"/>
          <w:lang w:val="en-US"/>
        </w:rPr>
        <w:fldChar w:fldCharType="end"/>
      </w:r>
      <w:r w:rsidRPr="00380BA4">
        <w:rPr>
          <w:rFonts w:ascii="Arial" w:hAnsi="Arial" w:cs="Arial"/>
          <w:color w:val="000000" w:themeColor="text1"/>
          <w:sz w:val="20"/>
          <w:szCs w:val="20"/>
          <w:lang w:val="en-US"/>
        </w:rPr>
        <w:t>. Fresh leaves</w:t>
      </w:r>
      <w:r w:rsidR="00273BB9" w:rsidRPr="00380BA4">
        <w:rPr>
          <w:rFonts w:ascii="Arial" w:hAnsi="Arial" w:cs="Arial"/>
          <w:color w:val="000000" w:themeColor="text1"/>
          <w:sz w:val="20"/>
          <w:szCs w:val="20"/>
          <w:lang w:val="en-US"/>
        </w:rPr>
        <w:t xml:space="preserve"> of </w:t>
      </w:r>
      <w:r w:rsidR="00273BB9" w:rsidRPr="00380BA4">
        <w:rPr>
          <w:rFonts w:ascii="Arial" w:hAnsi="Arial" w:cs="Arial"/>
          <w:i/>
          <w:iCs/>
          <w:color w:val="000000" w:themeColor="text1"/>
          <w:sz w:val="20"/>
          <w:szCs w:val="20"/>
          <w:lang w:val="en-US"/>
        </w:rPr>
        <w:t>C. olitorius</w:t>
      </w:r>
      <w:r w:rsidRPr="00380BA4">
        <w:rPr>
          <w:rFonts w:ascii="Arial" w:hAnsi="Arial" w:cs="Arial"/>
          <w:i/>
          <w:iCs/>
          <w:color w:val="000000" w:themeColor="text1"/>
          <w:sz w:val="20"/>
          <w:szCs w:val="20"/>
          <w:lang w:val="en-US"/>
        </w:rPr>
        <w:t xml:space="preserve"> </w:t>
      </w:r>
      <w:r w:rsidRPr="00380BA4">
        <w:rPr>
          <w:rFonts w:ascii="Arial" w:hAnsi="Arial" w:cs="Arial"/>
          <w:color w:val="000000" w:themeColor="text1"/>
          <w:sz w:val="20"/>
          <w:szCs w:val="20"/>
          <w:lang w:val="en-US"/>
        </w:rPr>
        <w:t xml:space="preserve">were cleaned, washed, and cut into pieces approximately 5 mm in size. They were dried at 35°C for 10 hours in a </w:t>
      </w:r>
      <w:proofErr w:type="spellStart"/>
      <w:r w:rsidRPr="00380BA4">
        <w:rPr>
          <w:rFonts w:ascii="Arial" w:hAnsi="Arial" w:cs="Arial"/>
          <w:color w:val="000000" w:themeColor="text1"/>
          <w:sz w:val="20"/>
          <w:szCs w:val="20"/>
          <w:lang w:val="en-US"/>
        </w:rPr>
        <w:t>Stockli</w:t>
      </w:r>
      <w:proofErr w:type="spellEnd"/>
      <w:r w:rsidRPr="00380BA4">
        <w:rPr>
          <w:rFonts w:ascii="Arial" w:hAnsi="Arial" w:cs="Arial"/>
          <w:color w:val="000000" w:themeColor="text1"/>
          <w:sz w:val="20"/>
          <w:szCs w:val="20"/>
          <w:lang w:val="en-US"/>
        </w:rPr>
        <w:t xml:space="preserve"> dehydrator (</w:t>
      </w:r>
      <w:proofErr w:type="spellStart"/>
      <w:r w:rsidRPr="00380BA4">
        <w:rPr>
          <w:rFonts w:ascii="Arial" w:hAnsi="Arial" w:cs="Arial"/>
          <w:color w:val="000000" w:themeColor="text1"/>
          <w:sz w:val="20"/>
          <w:szCs w:val="20"/>
          <w:lang w:val="en-US"/>
        </w:rPr>
        <w:t>Dorrex</w:t>
      </w:r>
      <w:proofErr w:type="spellEnd"/>
      <w:r w:rsidRPr="00380BA4">
        <w:rPr>
          <w:rFonts w:ascii="Arial" w:hAnsi="Arial" w:cs="Arial"/>
          <w:color w:val="000000" w:themeColor="text1"/>
          <w:sz w:val="20"/>
          <w:szCs w:val="20"/>
          <w:lang w:val="en-US"/>
        </w:rPr>
        <w:t xml:space="preserve">, France) and then ground </w:t>
      </w:r>
      <w:r w:rsidRPr="00380BA4">
        <w:rPr>
          <w:rFonts w:ascii="Arial" w:hAnsi="Arial" w:cs="Arial"/>
          <w:color w:val="000000" w:themeColor="text1"/>
          <w:sz w:val="20"/>
          <w:szCs w:val="20"/>
          <w:lang w:val="en-US"/>
        </w:rPr>
        <w:lastRenderedPageBreak/>
        <w:t xml:space="preserve">into powders (particle size less than 500 µm) using a Philips blender (Model HR2058/00, 450W, 220–240 V~50–60 Hz, manufactured in China). </w:t>
      </w:r>
      <w:r w:rsidR="00590C8F" w:rsidRPr="00380BA4">
        <w:rPr>
          <w:rFonts w:ascii="Arial" w:hAnsi="Arial" w:cs="Arial"/>
          <w:color w:val="000000" w:themeColor="text1"/>
          <w:sz w:val="20"/>
          <w:szCs w:val="20"/>
          <w:lang w:val="en-US"/>
        </w:rPr>
        <w:t xml:space="preserve">The dry leaves of </w:t>
      </w:r>
      <w:r w:rsidR="00007542">
        <w:rPr>
          <w:rFonts w:ascii="Arial" w:hAnsi="Arial" w:cs="Arial"/>
          <w:i/>
          <w:iCs/>
          <w:color w:val="000000" w:themeColor="text1"/>
          <w:sz w:val="20"/>
          <w:szCs w:val="20"/>
          <w:lang w:val="en-US"/>
        </w:rPr>
        <w:t>A.</w:t>
      </w:r>
      <w:r w:rsidR="00590C8F" w:rsidRPr="00380BA4">
        <w:rPr>
          <w:rFonts w:ascii="Arial" w:hAnsi="Arial" w:cs="Arial"/>
          <w:i/>
          <w:iCs/>
          <w:color w:val="000000" w:themeColor="text1"/>
          <w:sz w:val="20"/>
          <w:szCs w:val="20"/>
          <w:lang w:val="en-US"/>
        </w:rPr>
        <w:t xml:space="preserve"> digitata</w:t>
      </w:r>
      <w:r w:rsidR="00590C8F" w:rsidRPr="00380BA4">
        <w:rPr>
          <w:rFonts w:ascii="Arial" w:hAnsi="Arial" w:cs="Arial"/>
          <w:color w:val="000000" w:themeColor="text1"/>
          <w:sz w:val="20"/>
          <w:szCs w:val="20"/>
          <w:lang w:val="en-US"/>
        </w:rPr>
        <w:t xml:space="preserve"> and the dry </w:t>
      </w:r>
      <w:r w:rsidR="00590C8F" w:rsidRPr="00380BA4">
        <w:rPr>
          <w:rFonts w:ascii="Arial" w:hAnsi="Arial" w:cs="Arial"/>
          <w:sz w:val="20"/>
          <w:szCs w:val="20"/>
          <w:lang w:val="en-US"/>
        </w:rPr>
        <w:t xml:space="preserve">bark of </w:t>
      </w:r>
      <w:r w:rsidR="00481778" w:rsidRPr="00380BA4">
        <w:rPr>
          <w:rFonts w:ascii="Arial" w:hAnsi="Arial" w:cs="Arial"/>
          <w:i/>
          <w:iCs/>
          <w:sz w:val="20"/>
          <w:szCs w:val="20"/>
          <w:lang w:val="en-US"/>
        </w:rPr>
        <w:t>T</w:t>
      </w:r>
      <w:r w:rsidR="00007542">
        <w:rPr>
          <w:rFonts w:ascii="Arial" w:hAnsi="Arial" w:cs="Arial"/>
          <w:i/>
          <w:iCs/>
          <w:sz w:val="20"/>
          <w:szCs w:val="20"/>
          <w:lang w:val="en-US"/>
        </w:rPr>
        <w:t>.</w:t>
      </w:r>
      <w:r w:rsidR="00481778" w:rsidRPr="00380BA4">
        <w:rPr>
          <w:rFonts w:ascii="Arial" w:hAnsi="Arial" w:cs="Arial"/>
          <w:i/>
          <w:iCs/>
          <w:sz w:val="20"/>
          <w:szCs w:val="20"/>
          <w:lang w:val="en-US"/>
        </w:rPr>
        <w:t xml:space="preserve"> cordifolia </w:t>
      </w:r>
      <w:r w:rsidR="00590C8F" w:rsidRPr="00380BA4">
        <w:rPr>
          <w:rFonts w:ascii="Arial" w:hAnsi="Arial" w:cs="Arial"/>
          <w:sz w:val="20"/>
          <w:szCs w:val="20"/>
          <w:lang w:val="en-US"/>
        </w:rPr>
        <w:t xml:space="preserve">were directly ground under the same conditions. </w:t>
      </w:r>
      <w:r w:rsidRPr="00380BA4">
        <w:rPr>
          <w:rFonts w:ascii="Arial" w:hAnsi="Arial" w:cs="Arial"/>
          <w:color w:val="000000" w:themeColor="text1"/>
          <w:sz w:val="20"/>
          <w:szCs w:val="20"/>
          <w:lang w:val="en-US"/>
        </w:rPr>
        <w:t>The obtained powders were stored in an opaque glass container away from light at ambient temperature.</w:t>
      </w:r>
    </w:p>
    <w:p w14:paraId="464BF419" w14:textId="59881715" w:rsidR="00617A5C" w:rsidRPr="00380BA4" w:rsidRDefault="00590C8F" w:rsidP="003B6966">
      <w:pPr>
        <w:pStyle w:val="ListParagraph"/>
        <w:numPr>
          <w:ilvl w:val="1"/>
          <w:numId w:val="3"/>
        </w:numPr>
        <w:spacing w:line="480" w:lineRule="auto"/>
        <w:jc w:val="both"/>
        <w:rPr>
          <w:rFonts w:ascii="Arial" w:hAnsi="Arial" w:cs="Arial"/>
          <w:b/>
          <w:bCs/>
          <w:sz w:val="24"/>
          <w:szCs w:val="24"/>
          <w:lang w:val="en-US"/>
        </w:rPr>
      </w:pPr>
      <w:r w:rsidRPr="00380BA4">
        <w:rPr>
          <w:rFonts w:ascii="Arial" w:hAnsi="Arial" w:cs="Arial"/>
          <w:b/>
          <w:bCs/>
          <w:sz w:val="24"/>
          <w:szCs w:val="24"/>
          <w:lang w:val="en-US"/>
        </w:rPr>
        <w:t xml:space="preserve">Determination of proximate composition </w:t>
      </w:r>
    </w:p>
    <w:p w14:paraId="4B90582A" w14:textId="77777777" w:rsidR="003B6966" w:rsidRPr="00380BA4" w:rsidRDefault="00583389" w:rsidP="003B6966">
      <w:pPr>
        <w:pStyle w:val="ListParagraph"/>
        <w:numPr>
          <w:ilvl w:val="2"/>
          <w:numId w:val="3"/>
        </w:numPr>
        <w:spacing w:after="0" w:line="480" w:lineRule="auto"/>
        <w:jc w:val="both"/>
        <w:rPr>
          <w:rFonts w:ascii="Arial" w:hAnsi="Arial" w:cs="Arial"/>
          <w:b/>
          <w:bCs/>
          <w:lang w:val="en-US"/>
        </w:rPr>
      </w:pPr>
      <w:r w:rsidRPr="00380BA4">
        <w:rPr>
          <w:rFonts w:ascii="Arial" w:hAnsi="Arial" w:cs="Arial"/>
          <w:b/>
          <w:bCs/>
          <w:lang w:val="en-US"/>
        </w:rPr>
        <w:t xml:space="preserve">Moisture content </w:t>
      </w:r>
    </w:p>
    <w:p w14:paraId="3DA37BF6" w14:textId="123AC75D" w:rsidR="00583389" w:rsidRPr="00380BA4" w:rsidRDefault="00583389" w:rsidP="003B6966">
      <w:pPr>
        <w:spacing w:line="360" w:lineRule="auto"/>
        <w:jc w:val="both"/>
        <w:rPr>
          <w:rFonts w:ascii="Arial" w:hAnsi="Arial" w:cs="Arial"/>
          <w:b/>
          <w:bCs/>
          <w:sz w:val="20"/>
          <w:szCs w:val="20"/>
          <w:lang w:val="en-US"/>
        </w:rPr>
      </w:pPr>
      <w:r w:rsidRPr="00380BA4">
        <w:rPr>
          <w:rFonts w:ascii="Arial" w:hAnsi="Arial" w:cs="Arial"/>
          <w:sz w:val="20"/>
          <w:szCs w:val="20"/>
          <w:lang w:val="en-US"/>
        </w:rPr>
        <w:t xml:space="preserve">The moisture content of the powders was determined using the method of </w:t>
      </w:r>
      <w:r w:rsidR="00FD17F0">
        <w:rPr>
          <w:rFonts w:ascii="Arial" w:hAnsi="Arial" w:cs="Arial"/>
          <w:sz w:val="20"/>
          <w:szCs w:val="20"/>
          <w:lang w:val="en-US"/>
        </w:rPr>
        <w:fldChar w:fldCharType="begin" w:fldLock="1"/>
      </w:r>
      <w:r w:rsidR="009A02E1">
        <w:rPr>
          <w:rFonts w:ascii="Arial" w:hAnsi="Arial" w:cs="Arial"/>
          <w:sz w:val="20"/>
          <w:szCs w:val="20"/>
          <w:lang w:val="en-US"/>
        </w:rPr>
        <w:instrText>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1999)","manualFormatting":"AOAC (1999)","plainTextFormattedCitation":"(AOAC, 1999)","previouslyFormattedCitation":"(AOAC, 1999)"},"properties":{"noteIndex":0},"schema":"https://github.com/citation-style-language/schema/raw/master/csl-citation.json"}</w:instrText>
      </w:r>
      <w:r w:rsidR="00FD17F0">
        <w:rPr>
          <w:rFonts w:ascii="Arial" w:hAnsi="Arial" w:cs="Arial"/>
          <w:sz w:val="20"/>
          <w:szCs w:val="20"/>
          <w:lang w:val="en-US"/>
        </w:rPr>
        <w:fldChar w:fldCharType="separate"/>
      </w:r>
      <w:r w:rsidR="00FD17F0" w:rsidRPr="00FD17F0">
        <w:rPr>
          <w:rFonts w:ascii="Arial" w:hAnsi="Arial" w:cs="Arial"/>
          <w:noProof/>
          <w:sz w:val="20"/>
          <w:szCs w:val="20"/>
          <w:lang w:val="en-US"/>
        </w:rPr>
        <w:t xml:space="preserve">AOAC </w:t>
      </w:r>
      <w:r w:rsidR="00FD17F0">
        <w:rPr>
          <w:rFonts w:ascii="Arial" w:hAnsi="Arial" w:cs="Arial"/>
          <w:noProof/>
          <w:sz w:val="20"/>
          <w:szCs w:val="20"/>
          <w:lang w:val="en-US"/>
        </w:rPr>
        <w:t>(</w:t>
      </w:r>
      <w:r w:rsidR="00FD17F0" w:rsidRPr="00FD17F0">
        <w:rPr>
          <w:rFonts w:ascii="Arial" w:hAnsi="Arial" w:cs="Arial"/>
          <w:noProof/>
          <w:sz w:val="20"/>
          <w:szCs w:val="20"/>
          <w:lang w:val="en-US"/>
        </w:rPr>
        <w:t>1999)</w:t>
      </w:r>
      <w:r w:rsidR="00FD17F0">
        <w:rPr>
          <w:rFonts w:ascii="Arial" w:hAnsi="Arial" w:cs="Arial"/>
          <w:sz w:val="20"/>
          <w:szCs w:val="20"/>
          <w:lang w:val="en-US"/>
        </w:rPr>
        <w:fldChar w:fldCharType="end"/>
      </w:r>
      <w:r w:rsidRPr="00380BA4">
        <w:rPr>
          <w:rFonts w:ascii="Arial" w:hAnsi="Arial" w:cs="Arial"/>
          <w:color w:val="FF0000"/>
          <w:sz w:val="20"/>
          <w:szCs w:val="20"/>
          <w:lang w:val="en-US"/>
        </w:rPr>
        <w:t xml:space="preserve"> </w:t>
      </w:r>
      <w:r w:rsidRPr="00380BA4">
        <w:rPr>
          <w:rFonts w:ascii="Arial" w:hAnsi="Arial" w:cs="Arial"/>
          <w:sz w:val="20"/>
          <w:szCs w:val="20"/>
          <w:lang w:val="en-US"/>
        </w:rPr>
        <w:t>with slight modifications. Approximately 10 g of powder (M</w:t>
      </w:r>
      <w:r w:rsidRPr="00380BA4">
        <w:rPr>
          <w:rFonts w:ascii="Arial" w:hAnsi="Arial" w:cs="Arial"/>
          <w:sz w:val="20"/>
          <w:szCs w:val="20"/>
          <w:vertAlign w:val="subscript"/>
          <w:lang w:val="en-US"/>
        </w:rPr>
        <w:t>1</w:t>
      </w:r>
      <w:r w:rsidRPr="00380BA4">
        <w:rPr>
          <w:rFonts w:ascii="Arial" w:hAnsi="Arial" w:cs="Arial"/>
          <w:sz w:val="20"/>
          <w:szCs w:val="20"/>
          <w:lang w:val="en-US"/>
        </w:rPr>
        <w:t xml:space="preserve">) was placed in a pre-weighed capsule after being dried at 105 °C for 3 h and cooled in a desiccator. The whole (capsule and powder) was then dried in an oven (Model </w:t>
      </w:r>
      <w:proofErr w:type="spellStart"/>
      <w:r w:rsidRPr="00380BA4">
        <w:rPr>
          <w:rFonts w:ascii="Arial" w:hAnsi="Arial" w:cs="Arial"/>
          <w:sz w:val="20"/>
          <w:szCs w:val="20"/>
          <w:lang w:val="en-US"/>
        </w:rPr>
        <w:t>Memmert</w:t>
      </w:r>
      <w:proofErr w:type="spellEnd"/>
      <w:r w:rsidRPr="00380BA4">
        <w:rPr>
          <w:rFonts w:ascii="Arial" w:hAnsi="Arial" w:cs="Arial"/>
          <w:sz w:val="20"/>
          <w:szCs w:val="20"/>
          <w:lang w:val="en-US"/>
        </w:rPr>
        <w:t xml:space="preserve">®, D 91,107 </w:t>
      </w:r>
      <w:proofErr w:type="spellStart"/>
      <w:r w:rsidRPr="00380BA4">
        <w:rPr>
          <w:rFonts w:ascii="Arial" w:hAnsi="Arial" w:cs="Arial"/>
          <w:sz w:val="20"/>
          <w:szCs w:val="20"/>
          <w:lang w:val="en-US"/>
        </w:rPr>
        <w:t>Schwabach</w:t>
      </w:r>
      <w:proofErr w:type="spellEnd"/>
      <w:r w:rsidRPr="00380BA4">
        <w:rPr>
          <w:rFonts w:ascii="Arial" w:hAnsi="Arial" w:cs="Arial"/>
          <w:sz w:val="20"/>
          <w:szCs w:val="20"/>
          <w:lang w:val="en-US"/>
        </w:rPr>
        <w:t>, Germany) at 105 ± 2 °C for 18 to 24 h, followed by cooling to ambient temperature in a desiccator until it reached a constant weight of the powder (M</w:t>
      </w:r>
      <w:r w:rsidRPr="00380BA4">
        <w:rPr>
          <w:rFonts w:ascii="Arial" w:hAnsi="Arial" w:cs="Arial"/>
          <w:sz w:val="20"/>
          <w:szCs w:val="20"/>
          <w:vertAlign w:val="subscript"/>
          <w:lang w:val="en-US"/>
        </w:rPr>
        <w:t>2</w:t>
      </w:r>
      <w:r w:rsidRPr="00380BA4">
        <w:rPr>
          <w:rFonts w:ascii="Arial" w:hAnsi="Arial" w:cs="Arial"/>
          <w:sz w:val="20"/>
          <w:szCs w:val="20"/>
          <w:lang w:val="en-US"/>
        </w:rPr>
        <w:t>). The moisture content (M</w:t>
      </w:r>
      <w:r w:rsidRPr="00380BA4">
        <w:rPr>
          <w:rFonts w:ascii="Arial" w:hAnsi="Arial" w:cs="Arial"/>
          <w:sz w:val="20"/>
          <w:szCs w:val="20"/>
          <w:vertAlign w:val="subscript"/>
          <w:lang w:val="en-US"/>
        </w:rPr>
        <w:t>C</w:t>
      </w:r>
      <w:r w:rsidRPr="00380BA4">
        <w:rPr>
          <w:rFonts w:ascii="Arial" w:hAnsi="Arial" w:cs="Arial"/>
          <w:sz w:val="20"/>
          <w:szCs w:val="20"/>
          <w:lang w:val="en-US"/>
        </w:rPr>
        <w:t>) is calculated according to the formula:</w:t>
      </w:r>
    </w:p>
    <w:p w14:paraId="06D92474" w14:textId="7CE918CF" w:rsidR="00583389" w:rsidRPr="00025C75" w:rsidRDefault="00741B89" w:rsidP="00583389">
      <w:pPr>
        <w:spacing w:before="240" w:line="360" w:lineRule="auto"/>
        <w:jc w:val="both"/>
        <w:rPr>
          <w:rFonts w:ascii="Arial" w:hAnsi="Arial" w:cs="Arial"/>
          <w:sz w:val="20"/>
          <w:szCs w:val="20"/>
          <w:lang w:val="en-US"/>
        </w:rPr>
      </w:pPr>
      <m:oMathPara>
        <m:oMath>
          <m:sSub>
            <m:sSubPr>
              <m:ctrlPr>
                <w:rPr>
                  <w:rFonts w:ascii="Cambria Math" w:hAnsi="Cambria Math" w:cs="Arial"/>
                  <w:i/>
                  <w:color w:val="FF0000"/>
                  <w:sz w:val="20"/>
                  <w:szCs w:val="20"/>
                  <w:lang w:val="en-US"/>
                </w:rPr>
              </m:ctrlPr>
            </m:sSubPr>
            <m:e>
              <m:r>
                <w:rPr>
                  <w:rFonts w:ascii="Cambria Math" w:hAnsi="Cambria Math" w:cs="Arial"/>
                  <w:color w:val="FF0000"/>
                  <w:sz w:val="20"/>
                  <w:szCs w:val="20"/>
                  <w:lang w:val="en-US"/>
                </w:rPr>
                <m:t>M</m:t>
              </m:r>
            </m:e>
            <m:sub>
              <m:r>
                <w:rPr>
                  <w:rFonts w:ascii="Cambria Math" w:hAnsi="Cambria Math" w:cs="Arial"/>
                  <w:color w:val="FF0000"/>
                  <w:sz w:val="20"/>
                  <w:szCs w:val="20"/>
                  <w:lang w:val="en-US"/>
                </w:rPr>
                <m:t>c</m:t>
              </m:r>
            </m:sub>
          </m:sSub>
          <m:r>
            <w:rPr>
              <w:rFonts w:ascii="Cambria Math" w:hAnsi="Cambria Math" w:cs="Arial"/>
              <w:color w:val="FF0000"/>
              <w:sz w:val="20"/>
              <w:szCs w:val="20"/>
              <w:lang w:val="en-US"/>
            </w:rPr>
            <m:t>=</m:t>
          </m:r>
          <m:f>
            <m:fPr>
              <m:ctrlPr>
                <w:rPr>
                  <w:rFonts w:ascii="Cambria Math" w:hAnsi="Cambria Math" w:cs="Arial"/>
                  <w:i/>
                  <w:color w:val="FF0000"/>
                  <w:sz w:val="20"/>
                  <w:szCs w:val="20"/>
                  <w:lang w:val="en-US"/>
                </w:rPr>
              </m:ctrlPr>
            </m:fPr>
            <m:num>
              <m:r>
                <w:rPr>
                  <w:rFonts w:ascii="Cambria Math" w:hAnsi="Cambria Math" w:cs="Arial"/>
                  <w:color w:val="FF0000"/>
                  <w:sz w:val="20"/>
                  <w:szCs w:val="20"/>
                  <w:lang w:val="en-US"/>
                </w:rPr>
                <m:t>(</m:t>
              </m:r>
              <m:sSub>
                <m:sSubPr>
                  <m:ctrlPr>
                    <w:rPr>
                      <w:rFonts w:ascii="Cambria Math" w:hAnsi="Cambria Math" w:cs="Arial"/>
                      <w:i/>
                      <w:color w:val="FF0000"/>
                      <w:sz w:val="20"/>
                      <w:szCs w:val="20"/>
                      <w:lang w:val="en-US"/>
                    </w:rPr>
                  </m:ctrlPr>
                </m:sSubPr>
                <m:e>
                  <m:r>
                    <w:rPr>
                      <w:rFonts w:ascii="Cambria Math" w:hAnsi="Cambria Math" w:cs="Arial"/>
                      <w:color w:val="FF0000"/>
                      <w:sz w:val="20"/>
                      <w:szCs w:val="20"/>
                      <w:lang w:val="en-US"/>
                    </w:rPr>
                    <m:t>M</m:t>
                  </m:r>
                </m:e>
                <m:sub>
                  <m:r>
                    <w:rPr>
                      <w:rFonts w:ascii="Cambria Math" w:hAnsi="Cambria Math" w:cs="Arial"/>
                      <w:color w:val="FF0000"/>
                      <w:sz w:val="20"/>
                      <w:szCs w:val="20"/>
                      <w:lang w:val="en-US"/>
                    </w:rPr>
                    <m:t>1</m:t>
                  </m:r>
                </m:sub>
              </m:sSub>
              <m:r>
                <w:rPr>
                  <w:rFonts w:ascii="Cambria Math" w:hAnsi="Cambria Math" w:cs="Arial"/>
                  <w:color w:val="FF0000"/>
                  <w:sz w:val="20"/>
                  <w:szCs w:val="20"/>
                  <w:lang w:val="en-US"/>
                </w:rPr>
                <m:t>-</m:t>
              </m:r>
              <m:sSub>
                <m:sSubPr>
                  <m:ctrlPr>
                    <w:rPr>
                      <w:rFonts w:ascii="Cambria Math" w:hAnsi="Cambria Math" w:cs="Arial"/>
                      <w:i/>
                      <w:color w:val="FF0000"/>
                      <w:sz w:val="20"/>
                      <w:szCs w:val="20"/>
                      <w:lang w:val="en-US"/>
                    </w:rPr>
                  </m:ctrlPr>
                </m:sSubPr>
                <m:e>
                  <m:r>
                    <w:rPr>
                      <w:rFonts w:ascii="Cambria Math" w:hAnsi="Cambria Math" w:cs="Arial"/>
                      <w:color w:val="FF0000"/>
                      <w:sz w:val="20"/>
                      <w:szCs w:val="20"/>
                      <w:lang w:val="en-US"/>
                    </w:rPr>
                    <m:t>M</m:t>
                  </m:r>
                </m:e>
                <m:sub>
                  <m:r>
                    <w:rPr>
                      <w:rFonts w:ascii="Cambria Math" w:hAnsi="Cambria Math" w:cs="Arial"/>
                      <w:color w:val="FF0000"/>
                      <w:sz w:val="20"/>
                      <w:szCs w:val="20"/>
                      <w:lang w:val="en-US"/>
                    </w:rPr>
                    <m:t>2</m:t>
                  </m:r>
                </m:sub>
              </m:sSub>
              <m:r>
                <w:rPr>
                  <w:rFonts w:ascii="Cambria Math" w:hAnsi="Cambria Math" w:cs="Arial"/>
                  <w:color w:val="FF0000"/>
                  <w:sz w:val="20"/>
                  <w:szCs w:val="20"/>
                  <w:lang w:val="en-US"/>
                </w:rPr>
                <m:t>)</m:t>
              </m:r>
            </m:num>
            <m:den>
              <m:sSub>
                <m:sSubPr>
                  <m:ctrlPr>
                    <w:rPr>
                      <w:rFonts w:ascii="Cambria Math" w:hAnsi="Cambria Math" w:cs="Arial"/>
                      <w:i/>
                      <w:color w:val="FF0000"/>
                      <w:sz w:val="20"/>
                      <w:szCs w:val="20"/>
                      <w:lang w:val="en-US"/>
                    </w:rPr>
                  </m:ctrlPr>
                </m:sSubPr>
                <m:e>
                  <m:r>
                    <w:rPr>
                      <w:rFonts w:ascii="Cambria Math" w:hAnsi="Cambria Math" w:cs="Arial"/>
                      <w:color w:val="FF0000"/>
                      <w:sz w:val="20"/>
                      <w:szCs w:val="20"/>
                      <w:lang w:val="en-US"/>
                    </w:rPr>
                    <m:t>M</m:t>
                  </m:r>
                </m:e>
                <m:sub>
                  <m:r>
                    <w:rPr>
                      <w:rFonts w:ascii="Cambria Math" w:hAnsi="Cambria Math" w:cs="Arial"/>
                      <w:color w:val="FF0000"/>
                      <w:sz w:val="20"/>
                      <w:szCs w:val="20"/>
                      <w:lang w:val="en-US"/>
                    </w:rPr>
                    <m:t>1</m:t>
                  </m:r>
                </m:sub>
              </m:sSub>
            </m:den>
          </m:f>
          <m:r>
            <w:rPr>
              <w:rFonts w:ascii="Cambria Math" w:hAnsi="Cambria Math" w:cs="Arial"/>
              <w:color w:val="FF0000"/>
              <w:sz w:val="20"/>
              <w:szCs w:val="20"/>
              <w:lang w:val="en-US"/>
            </w:rPr>
            <m:t>*</m:t>
          </m:r>
          <m:r>
            <w:rPr>
              <w:rFonts w:ascii="Cambria Math" w:hAnsi="Cambria Math" w:cs="Arial"/>
              <w:color w:val="FF0000"/>
              <w:sz w:val="20"/>
              <w:szCs w:val="20"/>
              <w:lang w:val="en-US"/>
            </w:rPr>
            <m:t>100</m:t>
          </m:r>
        </m:oMath>
      </m:oMathPara>
    </w:p>
    <w:p w14:paraId="7A102F3F" w14:textId="6C1844CA" w:rsidR="00583389" w:rsidRPr="00380BA4" w:rsidRDefault="00617A5C" w:rsidP="00617A5C">
      <w:pPr>
        <w:pStyle w:val="ListParagraph"/>
        <w:numPr>
          <w:ilvl w:val="2"/>
          <w:numId w:val="3"/>
        </w:numPr>
        <w:spacing w:before="240" w:line="360" w:lineRule="auto"/>
        <w:jc w:val="both"/>
        <w:rPr>
          <w:rFonts w:ascii="Arial" w:hAnsi="Arial" w:cs="Arial"/>
          <w:b/>
          <w:bCs/>
          <w:lang w:val="en-US"/>
        </w:rPr>
      </w:pPr>
      <w:r w:rsidRPr="00380BA4">
        <w:rPr>
          <w:rFonts w:ascii="Arial" w:hAnsi="Arial" w:cs="Arial"/>
          <w:b/>
          <w:bCs/>
          <w:lang w:val="en-US"/>
        </w:rPr>
        <w:t xml:space="preserve">Available carbohydrates </w:t>
      </w:r>
    </w:p>
    <w:p w14:paraId="6333CD74" w14:textId="13B1255A" w:rsidR="00617A5C" w:rsidRPr="00380BA4" w:rsidRDefault="00617A5C" w:rsidP="00617A5C">
      <w:pPr>
        <w:spacing w:line="360" w:lineRule="auto"/>
        <w:jc w:val="both"/>
        <w:rPr>
          <w:rFonts w:ascii="Arial" w:hAnsi="Arial" w:cs="Arial"/>
          <w:sz w:val="20"/>
          <w:szCs w:val="20"/>
          <w:lang w:val="en-US"/>
        </w:rPr>
      </w:pPr>
      <w:r w:rsidRPr="00380BA4">
        <w:rPr>
          <w:rFonts w:ascii="Arial" w:hAnsi="Arial" w:cs="Arial"/>
          <w:sz w:val="20"/>
          <w:szCs w:val="20"/>
          <w:lang w:val="en-US"/>
        </w:rPr>
        <w:t xml:space="preserve">The available carbohydrates were quantified using the method of </w:t>
      </w:r>
      <w:r w:rsidR="00FD17F0">
        <w:rPr>
          <w:rFonts w:ascii="Arial" w:hAnsi="Arial" w:cs="Arial"/>
          <w:sz w:val="20"/>
          <w:szCs w:val="20"/>
          <w:lang w:val="en-US"/>
        </w:rPr>
        <w:fldChar w:fldCharType="begin" w:fldLock="1"/>
      </w:r>
      <w:r w:rsidR="00FD17F0">
        <w:rPr>
          <w:rFonts w:ascii="Arial" w:hAnsi="Arial" w:cs="Arial"/>
          <w:sz w:val="20"/>
          <w:szCs w:val="20"/>
          <w:lang w:val="en-US"/>
        </w:rPr>
        <w:instrText>ADDIN CSL_CITATION {"citationItems":[{"id":"ITEM-1","itemData":{"author":[{"dropping-particle":"","family":"Fischer","given":"E","non-dropping-particle":"","parse-names":false,"suffix":""},{"dropping-particle":"","family":"Stein","given":"E A","non-dropping-particle":"","parse-names":false,"suffix":""}],"container-title":"Biochemical Preparation","id":"ITEM-1","issued":{"date-parts":[["1961"]]},"page":"30-37","title":"DNS colorimetric determination of available carbohydrates in foods","type":"article-journal","volume":"8"},"uris":["http://www.mendeley.com/documents/?uuid=b37fa618-6951-4a5c-8314-3032e5997043"]}],"mendeley":{"formattedCitation":"(Fischer &amp; Stein, 1961)","manualFormatting":"Fischer &amp; Stein (1961)","plainTextFormattedCitation":"(Fischer &amp; Stein, 1961)","previouslyFormattedCitation":"(Fischer &amp; Stein, 1961)"},"properties":{"noteIndex":0},"schema":"https://github.com/citation-style-language/schema/raw/master/csl-citation.json"}</w:instrText>
      </w:r>
      <w:r w:rsidR="00FD17F0">
        <w:rPr>
          <w:rFonts w:ascii="Arial" w:hAnsi="Arial" w:cs="Arial"/>
          <w:sz w:val="20"/>
          <w:szCs w:val="20"/>
          <w:lang w:val="en-US"/>
        </w:rPr>
        <w:fldChar w:fldCharType="separate"/>
      </w:r>
      <w:r w:rsidR="00FD17F0" w:rsidRPr="00FD17F0">
        <w:rPr>
          <w:rFonts w:ascii="Arial" w:hAnsi="Arial" w:cs="Arial"/>
          <w:noProof/>
          <w:sz w:val="20"/>
          <w:szCs w:val="20"/>
          <w:lang w:val="en-US"/>
        </w:rPr>
        <w:t>Fischer &amp; Stein</w:t>
      </w:r>
      <w:r w:rsidR="00FD17F0">
        <w:rPr>
          <w:rFonts w:ascii="Arial" w:hAnsi="Arial" w:cs="Arial"/>
          <w:noProof/>
          <w:sz w:val="20"/>
          <w:szCs w:val="20"/>
          <w:lang w:val="en-US"/>
        </w:rPr>
        <w:t xml:space="preserve"> (</w:t>
      </w:r>
      <w:r w:rsidR="00FD17F0" w:rsidRPr="00FD17F0">
        <w:rPr>
          <w:rFonts w:ascii="Arial" w:hAnsi="Arial" w:cs="Arial"/>
          <w:noProof/>
          <w:sz w:val="20"/>
          <w:szCs w:val="20"/>
          <w:lang w:val="en-US"/>
        </w:rPr>
        <w:t>1961)</w:t>
      </w:r>
      <w:r w:rsidR="00FD17F0">
        <w:rPr>
          <w:rFonts w:ascii="Arial" w:hAnsi="Arial" w:cs="Arial"/>
          <w:sz w:val="20"/>
          <w:szCs w:val="20"/>
          <w:lang w:val="en-US"/>
        </w:rPr>
        <w:fldChar w:fldCharType="end"/>
      </w:r>
      <w:r w:rsidR="00FD17F0" w:rsidRPr="00FD17F0">
        <w:rPr>
          <w:rFonts w:ascii="Arial" w:hAnsi="Arial" w:cs="Arial"/>
          <w:b/>
          <w:bCs/>
          <w:color w:val="000000" w:themeColor="text1"/>
          <w:sz w:val="20"/>
          <w:szCs w:val="20"/>
          <w:lang w:val="en-US"/>
        </w:rPr>
        <w:t>.</w:t>
      </w:r>
      <w:r w:rsidRPr="00FD17F0">
        <w:rPr>
          <w:rFonts w:ascii="Arial" w:hAnsi="Arial" w:cs="Arial"/>
          <w:color w:val="000000" w:themeColor="text1"/>
          <w:sz w:val="20"/>
          <w:szCs w:val="20"/>
          <w:lang w:val="en-US"/>
        </w:rPr>
        <w:t xml:space="preserve"> </w:t>
      </w:r>
      <w:r w:rsidRPr="00380BA4">
        <w:rPr>
          <w:rFonts w:ascii="Arial" w:hAnsi="Arial" w:cs="Arial"/>
          <w:sz w:val="20"/>
          <w:szCs w:val="20"/>
          <w:lang w:val="en-US"/>
        </w:rPr>
        <w:t>0.5 g of the sample were precisely weighed into an Erlenmeyer flask equipped with a stopper and a delivery tube. Subsequently</w:t>
      </w:r>
      <w:r w:rsidRPr="00380BA4">
        <w:rPr>
          <w:rFonts w:ascii="Arial" w:hAnsi="Arial" w:cs="Arial"/>
          <w:b/>
          <w:bCs/>
          <w:sz w:val="20"/>
          <w:szCs w:val="20"/>
          <w:lang w:val="en-US"/>
        </w:rPr>
        <w:t xml:space="preserve">, </w:t>
      </w:r>
      <w:r w:rsidRPr="00380BA4">
        <w:rPr>
          <w:rFonts w:ascii="Arial" w:hAnsi="Arial" w:cs="Arial"/>
          <w:sz w:val="20"/>
          <w:szCs w:val="20"/>
          <w:lang w:val="en-US"/>
        </w:rPr>
        <w:t>10 ml of 1.5 N sulfuric acid (H</w:t>
      </w:r>
      <w:r w:rsidRPr="00380BA4">
        <w:rPr>
          <w:rFonts w:ascii="Arial" w:hAnsi="Arial" w:cs="Arial"/>
          <w:sz w:val="20"/>
          <w:szCs w:val="20"/>
          <w:vertAlign w:val="subscript"/>
          <w:lang w:val="en-US"/>
        </w:rPr>
        <w:t>2</w:t>
      </w:r>
      <w:r w:rsidRPr="00380BA4">
        <w:rPr>
          <w:rFonts w:ascii="Arial" w:hAnsi="Arial" w:cs="Arial"/>
          <w:sz w:val="20"/>
          <w:szCs w:val="20"/>
          <w:lang w:val="en-US"/>
        </w:rPr>
        <w:t>SO</w:t>
      </w:r>
      <w:r w:rsidRPr="00380BA4">
        <w:rPr>
          <w:rFonts w:ascii="Arial" w:hAnsi="Arial" w:cs="Arial"/>
          <w:sz w:val="20"/>
          <w:szCs w:val="20"/>
          <w:vertAlign w:val="subscript"/>
          <w:lang w:val="en-US"/>
        </w:rPr>
        <w:t>4</w:t>
      </w:r>
      <w:r w:rsidRPr="00380BA4">
        <w:rPr>
          <w:rFonts w:ascii="Arial" w:hAnsi="Arial" w:cs="Arial"/>
          <w:sz w:val="20"/>
          <w:szCs w:val="20"/>
          <w:lang w:val="en-US"/>
        </w:rPr>
        <w:t>) was added. The mixture was heated to boiling for 45 min in a water bath and then allowed to cool to room temperature. Next, 10 ml of 70 % ethanol</w:t>
      </w:r>
      <w:r w:rsidRPr="00380BA4">
        <w:rPr>
          <w:rFonts w:ascii="Arial" w:hAnsi="Arial" w:cs="Arial"/>
          <w:b/>
          <w:bCs/>
          <w:sz w:val="20"/>
          <w:szCs w:val="20"/>
          <w:lang w:val="en-US"/>
        </w:rPr>
        <w:t xml:space="preserve">, </w:t>
      </w:r>
      <w:r w:rsidRPr="00380BA4">
        <w:rPr>
          <w:rFonts w:ascii="Arial" w:hAnsi="Arial" w:cs="Arial"/>
          <w:sz w:val="20"/>
          <w:szCs w:val="20"/>
          <w:lang w:val="en-US"/>
        </w:rPr>
        <w:t>0.5 ml of zinc sulfate (2 g/100 ml), and 0.5 ml of potassium ferrocyanide (0.106 g/ml) were introduced. The resulting solution was filtered into a 50 ml volumetric flask and adjusted to the calibration mark. 0.25 ml of diluted glucose solution or glucose standard (0.25 to 1 mg</w:t>
      </w:r>
      <w:r w:rsidRPr="00380BA4">
        <w:rPr>
          <w:rFonts w:ascii="Arial" w:hAnsi="Arial" w:cs="Arial"/>
          <w:b/>
          <w:bCs/>
          <w:sz w:val="20"/>
          <w:szCs w:val="20"/>
          <w:lang w:val="en-US"/>
        </w:rPr>
        <w:t xml:space="preserve">) </w:t>
      </w:r>
      <w:r w:rsidRPr="00380BA4">
        <w:rPr>
          <w:rFonts w:ascii="Arial" w:hAnsi="Arial" w:cs="Arial"/>
          <w:sz w:val="20"/>
          <w:szCs w:val="20"/>
          <w:lang w:val="en-US"/>
        </w:rPr>
        <w:t xml:space="preserve">was pipetted into a test tube, followed by the addition of 0.5 ml of distilled water and 0.25 ml of DNS (3,5 </w:t>
      </w:r>
      <w:proofErr w:type="spellStart"/>
      <w:r w:rsidRPr="00380BA4">
        <w:rPr>
          <w:rFonts w:ascii="Arial" w:hAnsi="Arial" w:cs="Arial"/>
          <w:sz w:val="20"/>
          <w:szCs w:val="20"/>
          <w:lang w:val="en-US"/>
        </w:rPr>
        <w:t>Dinitrosalicylic</w:t>
      </w:r>
      <w:proofErr w:type="spellEnd"/>
      <w:r w:rsidRPr="00380BA4">
        <w:rPr>
          <w:rFonts w:ascii="Arial" w:hAnsi="Arial" w:cs="Arial"/>
          <w:sz w:val="20"/>
          <w:szCs w:val="20"/>
          <w:lang w:val="en-US"/>
        </w:rPr>
        <w:t xml:space="preserve"> acid). The entire solution was then heated in a water bath for 5 min, and the volume was subsequently adjusted to 5 ml with distilled water. After thorough mixing, optical densities were measured at 540 nm after cooling. The regression equa</w:t>
      </w:r>
      <w:r w:rsidRPr="00380BA4">
        <w:rPr>
          <w:rFonts w:ascii="Arial" w:hAnsi="Arial" w:cs="Arial"/>
          <w:sz w:val="20"/>
          <w:szCs w:val="20"/>
          <w:lang w:val="en-US"/>
        </w:rPr>
        <w:softHyphen/>
        <w:t>tion derived from the glucose concentration range facilitated the necessary calculations, and the carbohydrate content is expressed as gram per 100 g</w:t>
      </w:r>
      <w:r w:rsidR="001D3FD8">
        <w:rPr>
          <w:rFonts w:ascii="Arial" w:hAnsi="Arial" w:cs="Arial"/>
          <w:sz w:val="20"/>
          <w:szCs w:val="20"/>
          <w:lang w:val="en-US"/>
        </w:rPr>
        <w:t>ram</w:t>
      </w:r>
      <w:r w:rsidRPr="00380BA4">
        <w:rPr>
          <w:rFonts w:ascii="Arial" w:hAnsi="Arial" w:cs="Arial"/>
          <w:sz w:val="20"/>
          <w:szCs w:val="20"/>
          <w:lang w:val="en-US"/>
        </w:rPr>
        <w:t>s of dry matter (g/100 g DM).</w:t>
      </w:r>
    </w:p>
    <w:p w14:paraId="49B70142" w14:textId="023DD8D5" w:rsidR="00617A5C" w:rsidRPr="00380BA4" w:rsidRDefault="00617A5C" w:rsidP="00617A5C">
      <w:pPr>
        <w:pStyle w:val="ListParagraph"/>
        <w:numPr>
          <w:ilvl w:val="2"/>
          <w:numId w:val="3"/>
        </w:numPr>
        <w:spacing w:line="360" w:lineRule="auto"/>
        <w:jc w:val="both"/>
        <w:rPr>
          <w:rFonts w:ascii="Arial" w:hAnsi="Arial" w:cs="Arial"/>
          <w:b/>
          <w:bCs/>
          <w:sz w:val="20"/>
          <w:szCs w:val="20"/>
          <w:lang w:val="en-US"/>
        </w:rPr>
      </w:pPr>
      <w:r w:rsidRPr="00380BA4">
        <w:rPr>
          <w:rFonts w:ascii="Arial" w:hAnsi="Arial" w:cs="Arial"/>
          <w:b/>
          <w:bCs/>
          <w:sz w:val="20"/>
          <w:szCs w:val="20"/>
          <w:lang w:val="en-US"/>
        </w:rPr>
        <w:t>Total protein and ash</w:t>
      </w:r>
    </w:p>
    <w:p w14:paraId="1FA1EC7C" w14:textId="565B5A37" w:rsidR="00583389" w:rsidRPr="00380BA4" w:rsidRDefault="00617A5C" w:rsidP="00583389">
      <w:pPr>
        <w:spacing w:before="240" w:line="360" w:lineRule="auto"/>
        <w:jc w:val="both"/>
        <w:rPr>
          <w:rFonts w:ascii="Arial" w:hAnsi="Arial" w:cs="Arial"/>
          <w:sz w:val="20"/>
          <w:szCs w:val="20"/>
          <w:lang w:val="en-US"/>
        </w:rPr>
      </w:pPr>
      <w:r w:rsidRPr="00380BA4">
        <w:rPr>
          <w:rFonts w:ascii="Arial" w:hAnsi="Arial" w:cs="Arial"/>
          <w:sz w:val="20"/>
          <w:szCs w:val="20"/>
          <w:lang w:val="en-US"/>
        </w:rPr>
        <w:t>Total protein content was determined by the Kjeldahl method</w:t>
      </w:r>
      <w:r w:rsidR="00FD17F0">
        <w:rPr>
          <w:rFonts w:ascii="Arial" w:hAnsi="Arial" w:cs="Arial"/>
          <w:sz w:val="20"/>
          <w:szCs w:val="20"/>
          <w:lang w:val="en-US"/>
        </w:rPr>
        <w:t xml:space="preserve"> </w:t>
      </w:r>
      <w:r w:rsidR="00FD17F0">
        <w:rPr>
          <w:rFonts w:ascii="Arial" w:hAnsi="Arial" w:cs="Arial"/>
          <w:sz w:val="20"/>
          <w:szCs w:val="20"/>
          <w:lang w:val="en-US"/>
        </w:rPr>
        <w:fldChar w:fldCharType="begin" w:fldLock="1"/>
      </w:r>
      <w:r w:rsidR="009A02E1">
        <w:rPr>
          <w:rFonts w:ascii="Arial" w:hAnsi="Arial" w:cs="Arial"/>
          <w:sz w:val="20"/>
          <w:szCs w:val="20"/>
          <w:lang w:val="en-US"/>
        </w:rPr>
        <w:instrText>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1999)","plainTextFormattedCitation":"(AOAC, 1999)","previouslyFormattedCitation":"(AOAC, 1999)"},"properties":{"noteIndex":0},"schema":"https://github.com/citation-style-language/schema/raw/master/csl-citation.json"}</w:instrText>
      </w:r>
      <w:r w:rsidR="00FD17F0">
        <w:rPr>
          <w:rFonts w:ascii="Arial" w:hAnsi="Arial" w:cs="Arial"/>
          <w:sz w:val="20"/>
          <w:szCs w:val="20"/>
          <w:lang w:val="en-US"/>
        </w:rPr>
        <w:fldChar w:fldCharType="separate"/>
      </w:r>
      <w:r w:rsidR="00FD17F0" w:rsidRPr="00FD17F0">
        <w:rPr>
          <w:rFonts w:ascii="Arial" w:hAnsi="Arial" w:cs="Arial"/>
          <w:noProof/>
          <w:sz w:val="20"/>
          <w:szCs w:val="20"/>
          <w:lang w:val="en-US"/>
        </w:rPr>
        <w:t>(AOAC, 1999)</w:t>
      </w:r>
      <w:r w:rsidR="00FD17F0">
        <w:rPr>
          <w:rFonts w:ascii="Arial" w:hAnsi="Arial" w:cs="Arial"/>
          <w:sz w:val="20"/>
          <w:szCs w:val="20"/>
          <w:lang w:val="en-US"/>
        </w:rPr>
        <w:fldChar w:fldCharType="end"/>
      </w:r>
      <w:r w:rsidR="00FD17F0">
        <w:rPr>
          <w:rFonts w:ascii="Arial" w:hAnsi="Arial" w:cs="Arial"/>
          <w:sz w:val="20"/>
          <w:szCs w:val="20"/>
          <w:lang w:val="en-US"/>
        </w:rPr>
        <w:t xml:space="preserve">. </w:t>
      </w:r>
      <w:r w:rsidRPr="00380BA4">
        <w:rPr>
          <w:rFonts w:ascii="Arial" w:hAnsi="Arial" w:cs="Arial"/>
          <w:sz w:val="20"/>
          <w:szCs w:val="20"/>
          <w:lang w:val="en-US"/>
        </w:rPr>
        <w:t>Total ash content was determined after incineration of the powders according to the protocol described by</w:t>
      </w:r>
      <w:r w:rsidR="00FD17F0">
        <w:rPr>
          <w:rFonts w:ascii="Arial" w:hAnsi="Arial" w:cs="Arial"/>
          <w:sz w:val="20"/>
          <w:szCs w:val="20"/>
          <w:lang w:val="en-US"/>
        </w:rPr>
        <w:t xml:space="preserve"> </w:t>
      </w:r>
      <w:r w:rsidR="00FD17F0">
        <w:rPr>
          <w:rFonts w:ascii="Arial" w:hAnsi="Arial" w:cs="Arial"/>
          <w:sz w:val="20"/>
          <w:szCs w:val="20"/>
          <w:lang w:val="en-US"/>
        </w:rPr>
        <w:fldChar w:fldCharType="begin" w:fldLock="1"/>
      </w:r>
      <w:r w:rsidR="009A02E1">
        <w:rPr>
          <w:rFonts w:ascii="Arial" w:hAnsi="Arial" w:cs="Arial"/>
          <w:sz w:val="20"/>
          <w:szCs w:val="20"/>
          <w:lang w:val="en-US"/>
        </w:rPr>
        <w:instrText>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1999)","manualFormatting":"AOAC (1999)","plainTextFormattedCitation":"(AOAC, 1999)","previouslyFormattedCitation":"(AOAC, 1999)"},"properties":{"noteIndex":0},"schema":"https://github.com/citation-style-language/schema/raw/master/csl-citation.json"}</w:instrText>
      </w:r>
      <w:r w:rsidR="00FD17F0">
        <w:rPr>
          <w:rFonts w:ascii="Arial" w:hAnsi="Arial" w:cs="Arial"/>
          <w:sz w:val="20"/>
          <w:szCs w:val="20"/>
          <w:lang w:val="en-US"/>
        </w:rPr>
        <w:fldChar w:fldCharType="separate"/>
      </w:r>
      <w:r w:rsidR="00FD17F0" w:rsidRPr="00FD17F0">
        <w:rPr>
          <w:rFonts w:ascii="Arial" w:hAnsi="Arial" w:cs="Arial"/>
          <w:noProof/>
          <w:sz w:val="20"/>
          <w:szCs w:val="20"/>
          <w:lang w:val="en-US"/>
        </w:rPr>
        <w:t xml:space="preserve">AOAC </w:t>
      </w:r>
      <w:r w:rsidR="00FD17F0">
        <w:rPr>
          <w:rFonts w:ascii="Arial" w:hAnsi="Arial" w:cs="Arial"/>
          <w:noProof/>
          <w:sz w:val="20"/>
          <w:szCs w:val="20"/>
          <w:lang w:val="en-US"/>
        </w:rPr>
        <w:t>(</w:t>
      </w:r>
      <w:r w:rsidR="00FD17F0" w:rsidRPr="00FD17F0">
        <w:rPr>
          <w:rFonts w:ascii="Arial" w:hAnsi="Arial" w:cs="Arial"/>
          <w:noProof/>
          <w:sz w:val="20"/>
          <w:szCs w:val="20"/>
          <w:lang w:val="en-US"/>
        </w:rPr>
        <w:t>1999)</w:t>
      </w:r>
      <w:r w:rsidR="00FD17F0">
        <w:rPr>
          <w:rFonts w:ascii="Arial" w:hAnsi="Arial" w:cs="Arial"/>
          <w:sz w:val="20"/>
          <w:szCs w:val="20"/>
          <w:lang w:val="en-US"/>
        </w:rPr>
        <w:fldChar w:fldCharType="end"/>
      </w:r>
      <w:r w:rsidR="00FD17F0">
        <w:rPr>
          <w:rFonts w:ascii="Arial" w:hAnsi="Arial" w:cs="Arial"/>
          <w:sz w:val="20"/>
          <w:szCs w:val="20"/>
          <w:lang w:val="en-US"/>
        </w:rPr>
        <w:t>.</w:t>
      </w:r>
    </w:p>
    <w:p w14:paraId="11C32545" w14:textId="2C22C64F" w:rsidR="00617A5C" w:rsidRPr="00380BA4" w:rsidRDefault="00617A5C" w:rsidP="00617A5C">
      <w:pPr>
        <w:pStyle w:val="ListParagraph"/>
        <w:numPr>
          <w:ilvl w:val="2"/>
          <w:numId w:val="3"/>
        </w:numPr>
        <w:spacing w:before="240" w:line="360" w:lineRule="auto"/>
        <w:jc w:val="both"/>
        <w:rPr>
          <w:rFonts w:ascii="Arial" w:hAnsi="Arial" w:cs="Arial"/>
          <w:b/>
          <w:bCs/>
          <w:sz w:val="20"/>
          <w:szCs w:val="20"/>
          <w:lang w:val="en-US"/>
        </w:rPr>
      </w:pPr>
      <w:r w:rsidRPr="00380BA4">
        <w:rPr>
          <w:rFonts w:ascii="Arial" w:hAnsi="Arial" w:cs="Arial"/>
          <w:b/>
          <w:bCs/>
          <w:sz w:val="20"/>
          <w:szCs w:val="20"/>
          <w:lang w:val="en-US"/>
        </w:rPr>
        <w:t>Total lipids</w:t>
      </w:r>
    </w:p>
    <w:p w14:paraId="575DFAF9" w14:textId="60F53E8D" w:rsidR="00617A5C" w:rsidRPr="00380BA4" w:rsidRDefault="00617A5C" w:rsidP="004F2892">
      <w:pPr>
        <w:spacing w:after="0" w:line="360" w:lineRule="auto"/>
        <w:jc w:val="both"/>
        <w:rPr>
          <w:rFonts w:ascii="Arial" w:hAnsi="Arial" w:cs="Arial"/>
          <w:sz w:val="20"/>
          <w:szCs w:val="20"/>
          <w:lang w:val="en-US"/>
        </w:rPr>
      </w:pPr>
      <w:r w:rsidRPr="00380BA4">
        <w:rPr>
          <w:rFonts w:ascii="Arial" w:hAnsi="Arial" w:cs="Arial"/>
          <w:sz w:val="20"/>
          <w:szCs w:val="20"/>
          <w:lang w:val="en-US"/>
        </w:rPr>
        <w:t xml:space="preserve">The total lipid content is determined using the hot extraction method in a </w:t>
      </w:r>
      <w:r w:rsidR="003B6966" w:rsidRPr="00380BA4">
        <w:rPr>
          <w:rFonts w:ascii="Arial" w:hAnsi="Arial" w:cs="Arial"/>
          <w:sz w:val="20"/>
          <w:szCs w:val="20"/>
          <w:lang w:val="en-US"/>
        </w:rPr>
        <w:t>S</w:t>
      </w:r>
      <w:r w:rsidRPr="00380BA4">
        <w:rPr>
          <w:rFonts w:ascii="Arial" w:hAnsi="Arial" w:cs="Arial"/>
          <w:sz w:val="20"/>
          <w:szCs w:val="20"/>
          <w:lang w:val="en-US"/>
        </w:rPr>
        <w:t>oxhlet apparatus, as described by</w:t>
      </w:r>
      <w:r w:rsidR="001F6256">
        <w:rPr>
          <w:rFonts w:ascii="Arial" w:hAnsi="Arial" w:cs="Arial"/>
          <w:sz w:val="20"/>
          <w:szCs w:val="20"/>
          <w:lang w:val="en-US"/>
        </w:rPr>
        <w:t xml:space="preserve"> </w:t>
      </w:r>
      <w:r w:rsidR="001F6256">
        <w:rPr>
          <w:rFonts w:ascii="Arial" w:hAnsi="Arial" w:cs="Arial"/>
          <w:sz w:val="20"/>
          <w:szCs w:val="20"/>
          <w:lang w:val="en-US"/>
        </w:rPr>
        <w:fldChar w:fldCharType="begin" w:fldLock="1"/>
      </w:r>
      <w:r w:rsidR="00044E0A">
        <w:rPr>
          <w:rFonts w:ascii="Arial" w:hAnsi="Arial" w:cs="Arial"/>
          <w:sz w:val="20"/>
          <w:szCs w:val="20"/>
          <w:lang w:val="en-US"/>
        </w:rPr>
        <w:instrText>ADDIN CSL_CITATION {"citationItems":[{"id":"ITEM-1","itemData":{"author":[{"dropping-particle":"","family":"Bourely","given":"","non-dropping-particle":"","parse-names":false,"suffix":""}],"container-title":"Coton et Fibres Tropicales","id":"ITEM-1","issued":{"date-parts":[["1982"]]},"page":"183-196","title":"Observation sur le dosage de l’huile des graines de cotonnie","type":"article-journal","volume":"27"},"uris":["http://www.mendeley.com/documents/?uuid=7cef7f43-278c-4286-9512-295dedb6eeda"]}],"mendeley":{"formattedCitation":"(Bourely, 1982)","manualFormatting":"Bourely (1982)","plainTextFormattedCitation":"(Bourely, 1982)","previouslyFormattedCitation":"(Bourely, 1982)"},"properties":{"noteIndex":0},"schema":"https://github.com/citation-style-language/schema/raw/master/csl-citation.json"}</w:instrText>
      </w:r>
      <w:r w:rsidR="001F6256">
        <w:rPr>
          <w:rFonts w:ascii="Arial" w:hAnsi="Arial" w:cs="Arial"/>
          <w:sz w:val="20"/>
          <w:szCs w:val="20"/>
          <w:lang w:val="en-US"/>
        </w:rPr>
        <w:fldChar w:fldCharType="separate"/>
      </w:r>
      <w:r w:rsidR="001F6256" w:rsidRPr="001F6256">
        <w:rPr>
          <w:rFonts w:ascii="Arial" w:hAnsi="Arial" w:cs="Arial"/>
          <w:noProof/>
          <w:sz w:val="20"/>
          <w:szCs w:val="20"/>
          <w:lang w:val="en-US"/>
        </w:rPr>
        <w:t>Bourely</w:t>
      </w:r>
      <w:r w:rsidR="001F6256">
        <w:rPr>
          <w:rFonts w:ascii="Arial" w:hAnsi="Arial" w:cs="Arial"/>
          <w:noProof/>
          <w:sz w:val="20"/>
          <w:szCs w:val="20"/>
          <w:lang w:val="en-US"/>
        </w:rPr>
        <w:t xml:space="preserve"> (</w:t>
      </w:r>
      <w:r w:rsidR="001F6256" w:rsidRPr="001F6256">
        <w:rPr>
          <w:rFonts w:ascii="Arial" w:hAnsi="Arial" w:cs="Arial"/>
          <w:noProof/>
          <w:sz w:val="20"/>
          <w:szCs w:val="20"/>
          <w:lang w:val="en-US"/>
        </w:rPr>
        <w:t>1982)</w:t>
      </w:r>
      <w:r w:rsidR="001F6256">
        <w:rPr>
          <w:rFonts w:ascii="Arial" w:hAnsi="Arial" w:cs="Arial"/>
          <w:sz w:val="20"/>
          <w:szCs w:val="20"/>
          <w:lang w:val="en-US"/>
        </w:rPr>
        <w:fldChar w:fldCharType="end"/>
      </w:r>
      <w:r w:rsidR="001F6256">
        <w:rPr>
          <w:rFonts w:ascii="Arial" w:hAnsi="Arial" w:cs="Arial"/>
          <w:sz w:val="20"/>
          <w:szCs w:val="20"/>
          <w:lang w:val="en-US"/>
        </w:rPr>
        <w:t>.</w:t>
      </w:r>
      <w:r w:rsidRPr="00380BA4">
        <w:rPr>
          <w:rFonts w:ascii="Arial" w:hAnsi="Arial" w:cs="Arial"/>
          <w:sz w:val="20"/>
          <w:szCs w:val="20"/>
          <w:lang w:val="en-US"/>
        </w:rPr>
        <w:t xml:space="preserve"> The dried powders, obtained by drying at 105</w:t>
      </w:r>
      <w:r w:rsidR="003B6966" w:rsidRPr="00380BA4">
        <w:rPr>
          <w:rFonts w:ascii="Arial" w:hAnsi="Arial" w:cs="Arial"/>
          <w:sz w:val="20"/>
          <w:szCs w:val="20"/>
          <w:lang w:val="en-US"/>
        </w:rPr>
        <w:t xml:space="preserve"> °</w:t>
      </w:r>
      <w:r w:rsidRPr="00380BA4">
        <w:rPr>
          <w:rFonts w:ascii="Arial" w:hAnsi="Arial" w:cs="Arial"/>
          <w:sz w:val="20"/>
          <w:szCs w:val="20"/>
          <w:lang w:val="en-US"/>
        </w:rPr>
        <w:t xml:space="preserve">C, are placed in numbered filter papers, dried, and weighed. Oil extraction is carried out using hexane in the Soxhlet apparatus for a duration of 12 h. The oil content is calculated relative to the dry matter by the weight difference of the </w:t>
      </w:r>
      <w:r w:rsidRPr="00380BA4">
        <w:rPr>
          <w:rFonts w:ascii="Arial" w:hAnsi="Arial" w:cs="Arial"/>
          <w:sz w:val="20"/>
          <w:szCs w:val="20"/>
          <w:lang w:val="en-US"/>
        </w:rPr>
        <w:lastRenderedPageBreak/>
        <w:t>sachet before and after complete lipid extraction. The oil content (</w:t>
      </w:r>
      <w:proofErr w:type="spellStart"/>
      <w:r w:rsidRPr="00380BA4">
        <w:rPr>
          <w:rFonts w:ascii="Arial" w:hAnsi="Arial" w:cs="Arial"/>
          <w:sz w:val="20"/>
          <w:szCs w:val="20"/>
          <w:lang w:val="en-US"/>
        </w:rPr>
        <w:t>Oc</w:t>
      </w:r>
      <w:proofErr w:type="spellEnd"/>
      <w:r w:rsidRPr="00380BA4">
        <w:rPr>
          <w:rFonts w:ascii="Arial" w:hAnsi="Arial" w:cs="Arial"/>
          <w:sz w:val="20"/>
          <w:szCs w:val="20"/>
          <w:lang w:val="en-US"/>
        </w:rPr>
        <w:t>) per 100 g of dry powder is given by the following formula:</w:t>
      </w:r>
    </w:p>
    <w:p w14:paraId="6ED7820E" w14:textId="0F5DB8DC" w:rsidR="00617A5C" w:rsidRPr="00380BA4" w:rsidRDefault="00741B89" w:rsidP="00617A5C">
      <w:pPr>
        <w:spacing w:before="240" w:line="360" w:lineRule="auto"/>
        <w:jc w:val="both"/>
        <w:rPr>
          <w:rFonts w:ascii="Arial" w:eastAsiaTheme="minorEastAsia" w:hAnsi="Arial" w:cs="Arial"/>
          <w:iCs/>
          <w:lang w:val="en-US"/>
        </w:rPr>
      </w:pPr>
      <m:oMathPara>
        <m:oMath>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O</m:t>
              </m:r>
            </m:e>
            <m:sub>
              <m:r>
                <m:rPr>
                  <m:sty m:val="p"/>
                </m:rPr>
                <w:rPr>
                  <w:rFonts w:ascii="Cambria Math" w:hAnsi="Cambria Math" w:cs="Arial"/>
                  <w:sz w:val="20"/>
                  <w:szCs w:val="20"/>
                  <w:lang w:val="en-US"/>
                </w:rPr>
                <m:t>c</m:t>
              </m:r>
            </m:sub>
          </m:sSub>
          <m:r>
            <m:rPr>
              <m:sty m:val="p"/>
            </m:rPr>
            <w:rPr>
              <w:rFonts w:ascii="Cambria Math" w:hAnsi="Cambria Math" w:cs="Arial"/>
              <w:sz w:val="20"/>
              <w:szCs w:val="20"/>
              <w:lang w:val="en-US"/>
            </w:rPr>
            <m:t xml:space="preserve">= </m:t>
          </m:r>
          <m:f>
            <m:fPr>
              <m:ctrlPr>
                <w:rPr>
                  <w:rFonts w:ascii="Cambria Math" w:hAnsi="Cambria Math" w:cs="Arial"/>
                  <w:iCs/>
                  <w:sz w:val="20"/>
                  <w:szCs w:val="20"/>
                  <w:lang w:val="en-US"/>
                </w:rPr>
              </m:ctrlPr>
            </m:fPr>
            <m:num>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1</m:t>
                  </m:r>
                </m:sub>
              </m:sSub>
              <m:r>
                <m:rPr>
                  <m:sty m:val="p"/>
                </m:rPr>
                <w:rPr>
                  <w:rFonts w:ascii="Cambria Math" w:hAnsi="Cambria Math" w:cs="Arial"/>
                  <w:sz w:val="20"/>
                  <w:szCs w:val="20"/>
                  <w:lang w:val="en-US"/>
                </w:rPr>
                <m:t>-</m:t>
              </m:r>
              <m:r>
                <m:rPr>
                  <m:sty m:val="p"/>
                </m:rPr>
                <w:rPr>
                  <w:rFonts w:ascii="Cambria Math" w:hAnsi="Cambria Math" w:cs="Arial"/>
                  <w:sz w:val="20"/>
                  <w:szCs w:val="20"/>
                  <w:lang w:val="en-US"/>
                </w:rPr>
                <m:t>M)</m:t>
              </m:r>
            </m:num>
            <m:den>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1</m:t>
                  </m:r>
                </m:sub>
              </m:sSub>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2</m:t>
                  </m:r>
                </m:sub>
              </m:sSub>
              <m:r>
                <m:rPr>
                  <m:sty m:val="p"/>
                </m:rPr>
                <w:rPr>
                  <w:rFonts w:ascii="Cambria Math" w:hAnsi="Cambria Math" w:cs="Arial"/>
                  <w:sz w:val="20"/>
                  <w:szCs w:val="20"/>
                  <w:lang w:val="en-US"/>
                </w:rPr>
                <m:t>)</m:t>
              </m:r>
            </m:den>
          </m:f>
          <m:r>
            <m:rPr>
              <m:sty m:val="p"/>
            </m:rPr>
            <w:rPr>
              <w:rFonts w:ascii="Cambria Math" w:hAnsi="Cambria Math" w:cs="Arial"/>
              <w:sz w:val="20"/>
              <w:szCs w:val="20"/>
              <w:lang w:val="en-US"/>
            </w:rPr>
            <m:t>*</m:t>
          </m:r>
          <m:r>
            <m:rPr>
              <m:sty m:val="p"/>
            </m:rPr>
            <w:rPr>
              <w:rFonts w:ascii="Cambria Math" w:hAnsi="Cambria Math" w:cs="Arial"/>
              <w:sz w:val="20"/>
              <w:szCs w:val="20"/>
              <w:lang w:val="en-US"/>
            </w:rPr>
            <m:t>100</m:t>
          </m:r>
        </m:oMath>
      </m:oMathPara>
    </w:p>
    <w:p w14:paraId="0638A40B" w14:textId="198AB0AB" w:rsidR="004F2892" w:rsidRPr="00380BA4" w:rsidRDefault="004F2892" w:rsidP="004F2892">
      <w:pPr>
        <w:spacing w:after="0" w:line="360" w:lineRule="auto"/>
        <w:jc w:val="both"/>
        <w:rPr>
          <w:rFonts w:ascii="Arial" w:eastAsiaTheme="minorEastAsia" w:hAnsi="Arial" w:cs="Arial"/>
          <w:sz w:val="20"/>
          <w:szCs w:val="20"/>
          <w:lang w:val="en-US"/>
        </w:rPr>
      </w:pPr>
      <w:r w:rsidRPr="00380BA4">
        <w:rPr>
          <w:rFonts w:ascii="Arial" w:eastAsiaTheme="minorEastAsia" w:hAnsi="Arial" w:cs="Arial"/>
          <w:sz w:val="20"/>
          <w:szCs w:val="20"/>
          <w:lang w:val="en-US"/>
        </w:rPr>
        <w:t>M</w:t>
      </w:r>
      <w:r w:rsidR="009422D6" w:rsidRPr="00380BA4">
        <w:rPr>
          <w:rFonts w:ascii="Arial" w:eastAsiaTheme="minorEastAsia" w:hAnsi="Arial" w:cs="Arial"/>
          <w:sz w:val="20"/>
          <w:szCs w:val="20"/>
          <w:vertAlign w:val="subscript"/>
          <w:lang w:val="en-US"/>
        </w:rPr>
        <w:t>1:</w:t>
      </w:r>
      <w:r w:rsidRPr="00380BA4">
        <w:rPr>
          <w:rFonts w:ascii="Arial" w:eastAsiaTheme="minorEastAsia" w:hAnsi="Arial" w:cs="Arial"/>
          <w:sz w:val="20"/>
          <w:szCs w:val="20"/>
          <w:lang w:val="en-US"/>
        </w:rPr>
        <w:t xml:space="preserve"> Weight of the filter paper sachet containing the powder before oil extraction</w:t>
      </w:r>
    </w:p>
    <w:p w14:paraId="36AB7DD0" w14:textId="1DFFBF95" w:rsidR="004F2892" w:rsidRPr="00380BA4" w:rsidRDefault="004F2892" w:rsidP="004F2892">
      <w:pPr>
        <w:spacing w:after="0" w:line="360" w:lineRule="auto"/>
        <w:jc w:val="both"/>
        <w:rPr>
          <w:rFonts w:ascii="Arial" w:eastAsiaTheme="minorEastAsia" w:hAnsi="Arial" w:cs="Arial"/>
          <w:sz w:val="20"/>
          <w:szCs w:val="20"/>
          <w:lang w:val="en-US"/>
        </w:rPr>
      </w:pPr>
      <w:r w:rsidRPr="00380BA4">
        <w:rPr>
          <w:rFonts w:ascii="Arial" w:eastAsiaTheme="minorEastAsia" w:hAnsi="Arial" w:cs="Arial"/>
          <w:sz w:val="20"/>
          <w:szCs w:val="20"/>
          <w:lang w:val="en-US"/>
        </w:rPr>
        <w:t>M: Weight of the filter paper sachet containing the powder after oil extraction</w:t>
      </w:r>
    </w:p>
    <w:p w14:paraId="094D0742" w14:textId="6AAAE1BB" w:rsidR="004F2892" w:rsidRPr="00380BA4" w:rsidRDefault="004F2892" w:rsidP="004F2892">
      <w:pPr>
        <w:spacing w:after="0" w:line="360" w:lineRule="auto"/>
        <w:jc w:val="both"/>
        <w:rPr>
          <w:rFonts w:ascii="Arial" w:hAnsi="Arial" w:cs="Arial"/>
          <w:sz w:val="18"/>
          <w:szCs w:val="18"/>
          <w:lang w:val="en-US"/>
        </w:rPr>
      </w:pPr>
      <w:r w:rsidRPr="00380BA4">
        <w:rPr>
          <w:rFonts w:ascii="Arial" w:eastAsiaTheme="minorEastAsia" w:hAnsi="Arial" w:cs="Arial"/>
          <w:sz w:val="20"/>
          <w:szCs w:val="20"/>
          <w:lang w:val="en-US"/>
        </w:rPr>
        <w:t>M</w:t>
      </w:r>
      <w:r w:rsidR="009422D6" w:rsidRPr="00380BA4">
        <w:rPr>
          <w:rFonts w:ascii="Arial" w:eastAsiaTheme="minorEastAsia" w:hAnsi="Arial" w:cs="Arial"/>
          <w:sz w:val="20"/>
          <w:szCs w:val="20"/>
          <w:vertAlign w:val="subscript"/>
          <w:lang w:val="en-US"/>
        </w:rPr>
        <w:t>2:</w:t>
      </w:r>
      <w:r w:rsidRPr="00380BA4">
        <w:rPr>
          <w:rFonts w:ascii="Arial" w:eastAsiaTheme="minorEastAsia" w:hAnsi="Arial" w:cs="Arial"/>
          <w:sz w:val="20"/>
          <w:szCs w:val="20"/>
          <w:lang w:val="en-US"/>
        </w:rPr>
        <w:t xml:space="preserve"> Weight of the empty filter paper sachet</w:t>
      </w:r>
    </w:p>
    <w:p w14:paraId="4893294F" w14:textId="18A7A556" w:rsidR="00617A5C" w:rsidRPr="00380BA4" w:rsidRDefault="003B6966" w:rsidP="003B6966">
      <w:pPr>
        <w:pStyle w:val="ListParagraph"/>
        <w:numPr>
          <w:ilvl w:val="2"/>
          <w:numId w:val="3"/>
        </w:numPr>
        <w:spacing w:before="240" w:line="360" w:lineRule="auto"/>
        <w:jc w:val="both"/>
        <w:rPr>
          <w:rFonts w:ascii="Arial" w:hAnsi="Arial" w:cs="Arial"/>
          <w:b/>
          <w:bCs/>
          <w:lang w:val="en-US"/>
        </w:rPr>
      </w:pPr>
      <w:r w:rsidRPr="00380BA4">
        <w:rPr>
          <w:rFonts w:ascii="Arial" w:hAnsi="Arial" w:cs="Arial"/>
          <w:b/>
          <w:bCs/>
          <w:lang w:val="en-US"/>
        </w:rPr>
        <w:t xml:space="preserve">Crude fibers </w:t>
      </w:r>
    </w:p>
    <w:p w14:paraId="7ECFE64B" w14:textId="2247D11B" w:rsidR="00617A5C" w:rsidRPr="00380BA4" w:rsidRDefault="003B6966" w:rsidP="00583389">
      <w:pPr>
        <w:spacing w:before="240" w:line="360" w:lineRule="auto"/>
        <w:jc w:val="both"/>
        <w:rPr>
          <w:rFonts w:ascii="Arial" w:hAnsi="Arial" w:cs="Arial"/>
          <w:sz w:val="20"/>
          <w:szCs w:val="20"/>
          <w:lang w:val="en-US"/>
        </w:rPr>
      </w:pPr>
      <w:r w:rsidRPr="00380BA4">
        <w:rPr>
          <w:rFonts w:ascii="Arial" w:hAnsi="Arial" w:cs="Arial"/>
          <w:sz w:val="20"/>
          <w:szCs w:val="20"/>
          <w:lang w:val="en-US"/>
        </w:rPr>
        <w:t xml:space="preserve">The crude fiber content of the powders was determined using the </w:t>
      </w:r>
      <w:proofErr w:type="spellStart"/>
      <w:r w:rsidRPr="00380BA4">
        <w:rPr>
          <w:rFonts w:ascii="Arial" w:hAnsi="Arial" w:cs="Arial"/>
          <w:sz w:val="20"/>
          <w:szCs w:val="20"/>
          <w:lang w:val="en-US"/>
        </w:rPr>
        <w:t>Weende</w:t>
      </w:r>
      <w:proofErr w:type="spellEnd"/>
      <w:r w:rsidRPr="00380BA4">
        <w:rPr>
          <w:rFonts w:ascii="Arial" w:hAnsi="Arial" w:cs="Arial"/>
          <w:sz w:val="20"/>
          <w:szCs w:val="20"/>
          <w:lang w:val="en-US"/>
        </w:rPr>
        <w:t xml:space="preserve"> method</w:t>
      </w:r>
      <w:r w:rsidR="00044E0A">
        <w:rPr>
          <w:rFonts w:ascii="Arial" w:hAnsi="Arial" w:cs="Arial"/>
          <w:sz w:val="20"/>
          <w:szCs w:val="20"/>
          <w:lang w:val="en-US"/>
        </w:rPr>
        <w:t xml:space="preserve"> </w:t>
      </w:r>
      <w:r w:rsidR="00044E0A">
        <w:rPr>
          <w:rFonts w:ascii="Arial" w:hAnsi="Arial" w:cs="Arial"/>
          <w:sz w:val="20"/>
          <w:szCs w:val="20"/>
          <w:lang w:val="en-US"/>
        </w:rPr>
        <w:fldChar w:fldCharType="begin" w:fldLock="1"/>
      </w:r>
      <w:r w:rsidR="00FD077F">
        <w:rPr>
          <w:rFonts w:ascii="Arial" w:hAnsi="Arial" w:cs="Arial"/>
          <w:sz w:val="20"/>
          <w:szCs w:val="20"/>
          <w:lang w:val="en-US"/>
        </w:rPr>
        <w:instrText>ADDIN CSL_CITATION {"citationItems":[{"id":"ITEM-1","itemData":{"author":[{"dropping-particle":"","family":"Wolff","given":"JP","non-dropping-particle":"","parse-names":false,"suffix":""}],"id":"ITEM-1","issued":{"date-parts":[["1968"]]},"number-of-pages":"552","publisher":"Azoulay","publisher-place":"Paris","title":"Manuel d’analyse des corps gras","type":"book"},"uris":["http://www.mendeley.com/documents/?uuid=824112ad-9227-4f03-a3e1-7b8275e59921"]}],"mendeley":{"formattedCitation":"(Wolff, 1968)","plainTextFormattedCitation":"(Wolff, 1968)","previouslyFormattedCitation":"(Wolff, 1968)"},"properties":{"noteIndex":0},"schema":"https://github.com/citation-style-language/schema/raw/master/csl-citation.json"}</w:instrText>
      </w:r>
      <w:r w:rsidR="00044E0A">
        <w:rPr>
          <w:rFonts w:ascii="Arial" w:hAnsi="Arial" w:cs="Arial"/>
          <w:sz w:val="20"/>
          <w:szCs w:val="20"/>
          <w:lang w:val="en-US"/>
        </w:rPr>
        <w:fldChar w:fldCharType="separate"/>
      </w:r>
      <w:r w:rsidR="00044E0A" w:rsidRPr="00044E0A">
        <w:rPr>
          <w:rFonts w:ascii="Arial" w:hAnsi="Arial" w:cs="Arial"/>
          <w:noProof/>
          <w:sz w:val="20"/>
          <w:szCs w:val="20"/>
          <w:lang w:val="en-US"/>
        </w:rPr>
        <w:t>(Wolff, 1968)</w:t>
      </w:r>
      <w:r w:rsidR="00044E0A">
        <w:rPr>
          <w:rFonts w:ascii="Arial" w:hAnsi="Arial" w:cs="Arial"/>
          <w:sz w:val="20"/>
          <w:szCs w:val="20"/>
          <w:lang w:val="en-US"/>
        </w:rPr>
        <w:fldChar w:fldCharType="end"/>
      </w:r>
      <w:r w:rsidR="00044E0A">
        <w:rPr>
          <w:rFonts w:ascii="Arial" w:hAnsi="Arial" w:cs="Arial"/>
          <w:sz w:val="20"/>
          <w:szCs w:val="20"/>
          <w:lang w:val="en-US"/>
        </w:rPr>
        <w:t>.</w:t>
      </w:r>
      <w:r w:rsidRPr="00380BA4">
        <w:rPr>
          <w:rFonts w:ascii="Arial" w:hAnsi="Arial" w:cs="Arial"/>
          <w:color w:val="FF0000"/>
          <w:sz w:val="20"/>
          <w:szCs w:val="20"/>
          <w:lang w:val="en-US"/>
        </w:rPr>
        <w:t xml:space="preserve"> </w:t>
      </w:r>
      <w:r w:rsidRPr="00380BA4">
        <w:rPr>
          <w:rFonts w:ascii="Arial" w:hAnsi="Arial" w:cs="Arial"/>
          <w:sz w:val="20"/>
          <w:szCs w:val="20"/>
          <w:lang w:val="en-US"/>
        </w:rPr>
        <w:t>Approximately 20 g of powder (M) was introduced into a beaker containing 0.255 N sulfuric acid (H</w:t>
      </w:r>
      <w:r w:rsidRPr="003400A2">
        <w:rPr>
          <w:rFonts w:ascii="Arial" w:hAnsi="Arial" w:cs="Arial"/>
          <w:sz w:val="20"/>
          <w:szCs w:val="20"/>
          <w:vertAlign w:val="subscript"/>
          <w:lang w:val="en-US"/>
        </w:rPr>
        <w:t>2</w:t>
      </w:r>
      <w:r w:rsidRPr="00380BA4">
        <w:rPr>
          <w:rFonts w:ascii="Arial" w:hAnsi="Arial" w:cs="Arial"/>
          <w:sz w:val="20"/>
          <w:szCs w:val="20"/>
          <w:lang w:val="en-US"/>
        </w:rPr>
        <w:t>SO</w:t>
      </w:r>
      <w:r w:rsidRPr="003400A2">
        <w:rPr>
          <w:rFonts w:ascii="Arial" w:hAnsi="Arial" w:cs="Arial"/>
          <w:sz w:val="20"/>
          <w:szCs w:val="20"/>
          <w:vertAlign w:val="subscript"/>
          <w:lang w:val="en-US"/>
        </w:rPr>
        <w:t>4</w:t>
      </w:r>
      <w:r w:rsidRPr="00380BA4">
        <w:rPr>
          <w:rFonts w:ascii="Arial" w:hAnsi="Arial" w:cs="Arial"/>
          <w:sz w:val="20"/>
          <w:szCs w:val="20"/>
          <w:lang w:val="en-US"/>
        </w:rPr>
        <w:t>)</w:t>
      </w:r>
      <w:r w:rsidRPr="00380BA4">
        <w:rPr>
          <w:rFonts w:ascii="Arial" w:hAnsi="Arial" w:cs="Arial"/>
          <w:b/>
          <w:bCs/>
          <w:sz w:val="20"/>
          <w:szCs w:val="20"/>
          <w:lang w:val="en-US"/>
        </w:rPr>
        <w:t xml:space="preserve">. </w:t>
      </w:r>
      <w:r w:rsidRPr="00380BA4">
        <w:rPr>
          <w:rFonts w:ascii="Arial" w:hAnsi="Arial" w:cs="Arial"/>
          <w:sz w:val="20"/>
          <w:szCs w:val="20"/>
          <w:lang w:val="en-US"/>
        </w:rPr>
        <w:t>The mixture was brought to a boil for 30 min and then filtered. To the resulting residue, 0.313 N sodium hydroxide (NaOH) was added, and the entire mixture was boiled again for 30 min</w:t>
      </w:r>
      <w:r w:rsidRPr="00380BA4">
        <w:rPr>
          <w:rFonts w:ascii="Arial" w:hAnsi="Arial" w:cs="Arial"/>
          <w:b/>
          <w:bCs/>
          <w:sz w:val="20"/>
          <w:szCs w:val="20"/>
          <w:lang w:val="en-US"/>
        </w:rPr>
        <w:t xml:space="preserve">. </w:t>
      </w:r>
      <w:r w:rsidRPr="00380BA4">
        <w:rPr>
          <w:rFonts w:ascii="Arial" w:hAnsi="Arial" w:cs="Arial"/>
          <w:sz w:val="20"/>
          <w:szCs w:val="20"/>
          <w:lang w:val="en-US"/>
        </w:rPr>
        <w:t>After filtration, the residue was washed 3 times with hot distilled water and 2 times with acetone</w:t>
      </w:r>
      <w:r w:rsidRPr="00380BA4">
        <w:rPr>
          <w:rFonts w:ascii="Arial" w:hAnsi="Arial" w:cs="Arial"/>
          <w:b/>
          <w:bCs/>
          <w:sz w:val="20"/>
          <w:szCs w:val="20"/>
          <w:lang w:val="en-US"/>
        </w:rPr>
        <w:t xml:space="preserve">. </w:t>
      </w:r>
      <w:r w:rsidRPr="00380BA4">
        <w:rPr>
          <w:rFonts w:ascii="Arial" w:hAnsi="Arial" w:cs="Arial"/>
          <w:sz w:val="20"/>
          <w:szCs w:val="20"/>
          <w:lang w:val="en-US"/>
        </w:rPr>
        <w:t>The insoluble material obtained was dried at 105 ± 2 °C in an oven (</w:t>
      </w:r>
      <w:proofErr w:type="spellStart"/>
      <w:r w:rsidRPr="00380BA4">
        <w:rPr>
          <w:rFonts w:ascii="Arial" w:hAnsi="Arial" w:cs="Arial"/>
          <w:sz w:val="20"/>
          <w:szCs w:val="20"/>
          <w:lang w:val="en-US"/>
        </w:rPr>
        <w:t>Memmert</w:t>
      </w:r>
      <w:proofErr w:type="spellEnd"/>
      <w:r w:rsidRPr="00380BA4">
        <w:rPr>
          <w:rFonts w:ascii="Arial" w:hAnsi="Arial" w:cs="Arial"/>
          <w:sz w:val="20"/>
          <w:szCs w:val="20"/>
          <w:lang w:val="en-US"/>
        </w:rPr>
        <w:t xml:space="preserve">®, D 91,107 </w:t>
      </w:r>
      <w:proofErr w:type="spellStart"/>
      <w:r w:rsidRPr="00380BA4">
        <w:rPr>
          <w:rFonts w:ascii="Arial" w:hAnsi="Arial" w:cs="Arial"/>
          <w:sz w:val="20"/>
          <w:szCs w:val="20"/>
          <w:lang w:val="en-US"/>
        </w:rPr>
        <w:t>Schwabach</w:t>
      </w:r>
      <w:proofErr w:type="spellEnd"/>
      <w:r w:rsidRPr="00380BA4">
        <w:rPr>
          <w:rFonts w:ascii="Arial" w:hAnsi="Arial" w:cs="Arial"/>
          <w:sz w:val="20"/>
          <w:szCs w:val="20"/>
          <w:lang w:val="en-US"/>
        </w:rPr>
        <w:t>, Germany) for 8 h and weighed (M</w:t>
      </w:r>
      <w:r w:rsidRPr="00380BA4">
        <w:rPr>
          <w:rFonts w:ascii="Arial" w:hAnsi="Arial" w:cs="Arial"/>
          <w:sz w:val="20"/>
          <w:szCs w:val="20"/>
          <w:vertAlign w:val="subscript"/>
          <w:lang w:val="en-US"/>
        </w:rPr>
        <w:t>1</w:t>
      </w:r>
      <w:r w:rsidRPr="00380BA4">
        <w:rPr>
          <w:rFonts w:ascii="Arial" w:hAnsi="Arial" w:cs="Arial"/>
          <w:sz w:val="20"/>
          <w:szCs w:val="20"/>
          <w:lang w:val="en-US"/>
        </w:rPr>
        <w:t>). The resulting dry residue was incinerated at 550</w:t>
      </w:r>
      <w:r w:rsidR="006D53B3" w:rsidRPr="00380BA4">
        <w:rPr>
          <w:rFonts w:ascii="Arial" w:hAnsi="Arial" w:cs="Arial"/>
          <w:sz w:val="20"/>
          <w:szCs w:val="20"/>
          <w:lang w:val="en-US"/>
        </w:rPr>
        <w:t xml:space="preserve"> °</w:t>
      </w:r>
      <w:r w:rsidRPr="00380BA4">
        <w:rPr>
          <w:rFonts w:ascii="Arial" w:hAnsi="Arial" w:cs="Arial"/>
          <w:sz w:val="20"/>
          <w:szCs w:val="20"/>
          <w:lang w:val="en-US"/>
        </w:rPr>
        <w:t>C for 3 h in a muffle furnace, and the obtained ashes were weighed (M</w:t>
      </w:r>
      <w:r w:rsidRPr="00380BA4">
        <w:rPr>
          <w:rFonts w:ascii="Arial" w:hAnsi="Arial" w:cs="Arial"/>
          <w:sz w:val="20"/>
          <w:szCs w:val="20"/>
          <w:vertAlign w:val="subscript"/>
          <w:lang w:val="en-US"/>
        </w:rPr>
        <w:t>2</w:t>
      </w:r>
      <w:r w:rsidRPr="00380BA4">
        <w:rPr>
          <w:rFonts w:ascii="Arial" w:hAnsi="Arial" w:cs="Arial"/>
          <w:sz w:val="20"/>
          <w:szCs w:val="20"/>
          <w:lang w:val="en-US"/>
        </w:rPr>
        <w:t>). The Crude fiber content (C</w:t>
      </w:r>
      <w:r w:rsidRPr="00380BA4">
        <w:rPr>
          <w:rFonts w:ascii="Arial" w:hAnsi="Arial" w:cs="Arial"/>
          <w:sz w:val="20"/>
          <w:szCs w:val="20"/>
          <w:vertAlign w:val="subscript"/>
          <w:lang w:val="en-US"/>
        </w:rPr>
        <w:t>F</w:t>
      </w:r>
      <w:r w:rsidRPr="00380BA4">
        <w:rPr>
          <w:rFonts w:ascii="Arial" w:hAnsi="Arial" w:cs="Arial"/>
          <w:sz w:val="20"/>
          <w:szCs w:val="20"/>
          <w:lang w:val="en-US"/>
        </w:rPr>
        <w:t>), expressed in gram per 100 g of dry matter (g/100 g DM), was calculated using the following formula:</w:t>
      </w:r>
    </w:p>
    <w:p w14:paraId="5A2055DE" w14:textId="4BD5DF12" w:rsidR="003B6966" w:rsidRPr="00380BA4" w:rsidRDefault="00741B89" w:rsidP="00583389">
      <w:pPr>
        <w:spacing w:before="240" w:line="360" w:lineRule="auto"/>
        <w:jc w:val="both"/>
        <w:rPr>
          <w:rFonts w:ascii="Arial" w:hAnsi="Arial" w:cs="Arial"/>
          <w:lang w:val="en-US"/>
        </w:rPr>
      </w:pPr>
      <m:oMathPara>
        <m:oMath>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C</m:t>
              </m:r>
            </m:e>
            <m:sub>
              <m:r>
                <m:rPr>
                  <m:sty m:val="p"/>
                </m:rPr>
                <w:rPr>
                  <w:rFonts w:ascii="Cambria Math" w:hAnsi="Cambria Math" w:cs="Arial"/>
                  <w:sz w:val="20"/>
                  <w:szCs w:val="20"/>
                  <w:lang w:val="en-US"/>
                </w:rPr>
                <m:t>F</m:t>
              </m:r>
            </m:sub>
          </m:sSub>
          <m:r>
            <w:rPr>
              <w:rFonts w:ascii="Cambria Math" w:hAnsi="Cambria Math" w:cs="Arial"/>
              <w:sz w:val="20"/>
              <w:szCs w:val="20"/>
              <w:lang w:val="en-US"/>
            </w:rPr>
            <m:t>=</m:t>
          </m:r>
          <m:f>
            <m:fPr>
              <m:ctrlPr>
                <w:rPr>
                  <w:rFonts w:ascii="Cambria Math" w:hAnsi="Cambria Math" w:cs="Arial"/>
                  <w:iCs/>
                  <w:sz w:val="20"/>
                  <w:szCs w:val="20"/>
                  <w:lang w:val="en-US"/>
                </w:rPr>
              </m:ctrlPr>
            </m:fPr>
            <m:num>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1</m:t>
                  </m:r>
                </m:sub>
              </m:sSub>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2</m:t>
                  </m:r>
                </m:sub>
              </m:sSub>
              <m:r>
                <m:rPr>
                  <m:sty m:val="p"/>
                </m:rPr>
                <w:rPr>
                  <w:rFonts w:ascii="Cambria Math" w:hAnsi="Cambria Math" w:cs="Arial"/>
                  <w:sz w:val="20"/>
                  <w:szCs w:val="20"/>
                  <w:lang w:val="en-US"/>
                </w:rPr>
                <m:t>)</m:t>
              </m:r>
            </m:num>
            <m:den>
              <m:r>
                <m:rPr>
                  <m:sty m:val="p"/>
                </m:rPr>
                <w:rPr>
                  <w:rFonts w:ascii="Cambria Math" w:hAnsi="Cambria Math" w:cs="Arial"/>
                  <w:sz w:val="20"/>
                  <w:szCs w:val="20"/>
                  <w:lang w:val="en-US"/>
                </w:rPr>
                <m:t>[M*</m:t>
              </m:r>
              <m:d>
                <m:dPr>
                  <m:ctrlPr>
                    <w:rPr>
                      <w:rFonts w:ascii="Cambria Math" w:hAnsi="Cambria Math" w:cs="Arial"/>
                      <w:iCs/>
                      <w:sz w:val="20"/>
                      <w:szCs w:val="20"/>
                      <w:lang w:val="en-US"/>
                    </w:rPr>
                  </m:ctrlPr>
                </m:dPr>
                <m:e>
                  <m:r>
                    <m:rPr>
                      <m:sty m:val="p"/>
                    </m:rPr>
                    <w:rPr>
                      <w:rFonts w:ascii="Cambria Math" w:hAnsi="Cambria Math" w:cs="Arial"/>
                      <w:sz w:val="20"/>
                      <w:szCs w:val="20"/>
                      <w:lang w:val="en-US"/>
                    </w:rPr>
                    <m:t>100-</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c</m:t>
                      </m:r>
                    </m:sub>
                  </m:sSub>
                </m:e>
              </m:d>
              <m:r>
                <m:rPr>
                  <m:sty m:val="p"/>
                </m:rPr>
                <w:rPr>
                  <w:rFonts w:ascii="Cambria Math" w:hAnsi="Cambria Math" w:cs="Arial"/>
                  <w:sz w:val="20"/>
                  <w:szCs w:val="20"/>
                  <w:lang w:val="en-US"/>
                </w:rPr>
                <m:t>]</m:t>
              </m:r>
            </m:den>
          </m:f>
          <m:r>
            <m:rPr>
              <m:sty m:val="p"/>
            </m:rPr>
            <w:rPr>
              <w:rFonts w:ascii="Cambria Math" w:hAnsi="Cambria Math" w:cs="Arial"/>
              <w:sz w:val="20"/>
              <w:szCs w:val="20"/>
              <w:lang w:val="en-US"/>
            </w:rPr>
            <m:t>*</m:t>
          </m:r>
          <m:r>
            <w:rPr>
              <w:rFonts w:ascii="Cambria Math" w:hAnsi="Cambria Math" w:cs="Arial"/>
              <w:sz w:val="20"/>
              <w:szCs w:val="20"/>
              <w:lang w:val="en-US"/>
            </w:rPr>
            <m:t>100</m:t>
          </m:r>
        </m:oMath>
      </m:oMathPara>
    </w:p>
    <w:p w14:paraId="5F899AD0" w14:textId="3EA97C7D" w:rsidR="003B6966" w:rsidRPr="00380BA4" w:rsidRDefault="006D53B3" w:rsidP="00583389">
      <w:pPr>
        <w:spacing w:before="240" w:line="360" w:lineRule="auto"/>
        <w:jc w:val="both"/>
        <w:rPr>
          <w:rFonts w:ascii="Arial" w:hAnsi="Arial" w:cs="Arial"/>
          <w:sz w:val="20"/>
          <w:szCs w:val="20"/>
          <w:lang w:val="en-US"/>
        </w:rPr>
      </w:pPr>
      <w:r w:rsidRPr="00380BA4">
        <w:rPr>
          <w:rFonts w:ascii="Arial" w:hAnsi="Arial" w:cs="Arial"/>
          <w:sz w:val="20"/>
          <w:szCs w:val="20"/>
          <w:lang w:val="en-US"/>
        </w:rPr>
        <w:t>M</w:t>
      </w:r>
      <w:r w:rsidRPr="00380BA4">
        <w:rPr>
          <w:rFonts w:ascii="Arial" w:hAnsi="Arial" w:cs="Arial"/>
          <w:sz w:val="20"/>
          <w:szCs w:val="20"/>
          <w:vertAlign w:val="subscript"/>
          <w:lang w:val="en-US"/>
        </w:rPr>
        <w:t>c</w:t>
      </w:r>
      <w:r w:rsidRPr="00380BA4">
        <w:rPr>
          <w:rFonts w:ascii="Arial" w:hAnsi="Arial" w:cs="Arial"/>
          <w:sz w:val="20"/>
          <w:szCs w:val="20"/>
          <w:lang w:val="en-US"/>
        </w:rPr>
        <w:t>= Moisture content</w:t>
      </w:r>
    </w:p>
    <w:p w14:paraId="49B89006" w14:textId="5353484A" w:rsidR="006D53B3" w:rsidRPr="00380BA4" w:rsidRDefault="006D53B3" w:rsidP="006D53B3">
      <w:pPr>
        <w:pStyle w:val="ListParagraph"/>
        <w:numPr>
          <w:ilvl w:val="1"/>
          <w:numId w:val="3"/>
        </w:numPr>
        <w:spacing w:before="240" w:line="360" w:lineRule="auto"/>
        <w:jc w:val="both"/>
        <w:rPr>
          <w:rFonts w:ascii="Arial" w:hAnsi="Arial" w:cs="Arial"/>
          <w:b/>
          <w:bCs/>
          <w:lang w:val="en-US"/>
        </w:rPr>
      </w:pPr>
      <w:r w:rsidRPr="00380BA4">
        <w:rPr>
          <w:rFonts w:ascii="Arial" w:hAnsi="Arial" w:cs="Arial"/>
          <w:b/>
          <w:bCs/>
          <w:lang w:val="en-US"/>
        </w:rPr>
        <w:t>Determination of mineral content</w:t>
      </w:r>
      <w:r w:rsidR="004F2892" w:rsidRPr="00380BA4">
        <w:rPr>
          <w:rFonts w:ascii="Arial" w:hAnsi="Arial" w:cs="Arial"/>
          <w:b/>
          <w:bCs/>
          <w:lang w:val="en-US"/>
        </w:rPr>
        <w:t>s</w:t>
      </w:r>
    </w:p>
    <w:p w14:paraId="732F9356" w14:textId="059F1EB9" w:rsidR="004F2892" w:rsidRPr="00380BA4" w:rsidRDefault="006D53B3" w:rsidP="004F2892">
      <w:pPr>
        <w:spacing w:after="0" w:line="360" w:lineRule="auto"/>
        <w:jc w:val="both"/>
        <w:rPr>
          <w:rFonts w:ascii="Arial" w:eastAsia="Times New Roman" w:hAnsi="Arial" w:cs="Arial"/>
          <w:b/>
          <w:bCs/>
          <w:color w:val="000000"/>
          <w:kern w:val="0"/>
          <w:sz w:val="20"/>
          <w:szCs w:val="20"/>
          <w:lang w:val="en-US" w:eastAsia="fr-FR"/>
          <w14:ligatures w14:val="none"/>
        </w:rPr>
      </w:pPr>
      <w:r w:rsidRPr="00380BA4">
        <w:rPr>
          <w:rFonts w:ascii="Arial" w:eastAsia="Times New Roman" w:hAnsi="Arial" w:cs="Arial"/>
          <w:color w:val="000000"/>
          <w:kern w:val="0"/>
          <w:sz w:val="20"/>
          <w:szCs w:val="20"/>
          <w:lang w:val="en-US" w:eastAsia="fr-FR"/>
          <w14:ligatures w14:val="none"/>
        </w:rPr>
        <w:t xml:space="preserve">The mineral extraction process for calcium (Ca), potassium (K), sodium (Na), copper (Cu), zinc (Zn), and iron (Fe) involves the following steps: Approximately 3 g of the powdered sample are subjected to dry </w:t>
      </w:r>
      <w:proofErr w:type="spellStart"/>
      <w:r w:rsidRPr="00380BA4">
        <w:rPr>
          <w:rFonts w:ascii="Arial" w:eastAsia="Times New Roman" w:hAnsi="Arial" w:cs="Arial"/>
          <w:color w:val="000000"/>
          <w:kern w:val="0"/>
          <w:sz w:val="20"/>
          <w:szCs w:val="20"/>
          <w:lang w:val="en-US" w:eastAsia="fr-FR"/>
          <w14:ligatures w14:val="none"/>
        </w:rPr>
        <w:t>ashing</w:t>
      </w:r>
      <w:proofErr w:type="spellEnd"/>
      <w:r w:rsidRPr="00380BA4">
        <w:rPr>
          <w:rFonts w:ascii="Arial" w:eastAsia="Times New Roman" w:hAnsi="Arial" w:cs="Arial"/>
          <w:color w:val="000000"/>
          <w:kern w:val="0"/>
          <w:sz w:val="20"/>
          <w:szCs w:val="20"/>
          <w:lang w:val="en-US" w:eastAsia="fr-FR"/>
          <w14:ligatures w14:val="none"/>
        </w:rPr>
        <w:t xml:space="preserve"> in a muffle furnace at a temperature of 500 </w:t>
      </w:r>
      <w:r w:rsidR="001356B3" w:rsidRPr="00380BA4">
        <w:rPr>
          <w:rFonts w:ascii="Arial" w:eastAsia="Times New Roman" w:hAnsi="Arial" w:cs="Arial"/>
          <w:color w:val="000000"/>
          <w:kern w:val="0"/>
          <w:sz w:val="20"/>
          <w:szCs w:val="20"/>
          <w:lang w:val="en-US" w:eastAsia="fr-FR"/>
          <w14:ligatures w14:val="none"/>
        </w:rPr>
        <w:t>°</w:t>
      </w:r>
      <w:r w:rsidRPr="00380BA4">
        <w:rPr>
          <w:rFonts w:ascii="Arial" w:eastAsia="Times New Roman" w:hAnsi="Arial" w:cs="Arial"/>
          <w:color w:val="000000"/>
          <w:kern w:val="0"/>
          <w:sz w:val="20"/>
          <w:szCs w:val="20"/>
          <w:lang w:val="en-US" w:eastAsia="fr-FR"/>
          <w14:ligatures w14:val="none"/>
        </w:rPr>
        <w:t xml:space="preserve">C for a duration of </w:t>
      </w:r>
      <w:r w:rsidRPr="00380BA4">
        <w:rPr>
          <w:rFonts w:ascii="Arial" w:eastAsia="Times New Roman" w:hAnsi="Arial" w:cs="Arial"/>
          <w:b/>
          <w:bCs/>
          <w:color w:val="000000"/>
          <w:kern w:val="0"/>
          <w:sz w:val="20"/>
          <w:szCs w:val="20"/>
          <w:lang w:val="en-US" w:eastAsia="fr-FR"/>
          <w14:ligatures w14:val="none"/>
        </w:rPr>
        <w:t>6 h</w:t>
      </w:r>
      <w:r w:rsidRPr="00380BA4">
        <w:rPr>
          <w:rFonts w:ascii="Arial" w:eastAsia="Times New Roman" w:hAnsi="Arial" w:cs="Arial"/>
          <w:color w:val="000000"/>
          <w:kern w:val="0"/>
          <w:sz w:val="20"/>
          <w:szCs w:val="20"/>
          <w:lang w:val="en-US" w:eastAsia="fr-FR"/>
          <w14:ligatures w14:val="none"/>
        </w:rPr>
        <w:t>. This process ensures com</w:t>
      </w:r>
      <w:r w:rsidRPr="00380BA4">
        <w:rPr>
          <w:rFonts w:ascii="Arial" w:eastAsia="Times New Roman" w:hAnsi="Arial" w:cs="Arial"/>
          <w:color w:val="000000"/>
          <w:kern w:val="0"/>
          <w:sz w:val="20"/>
          <w:szCs w:val="20"/>
          <w:lang w:val="en-US" w:eastAsia="fr-FR"/>
          <w14:ligatures w14:val="none"/>
        </w:rPr>
        <w:softHyphen/>
        <w:t>plete combustion, leaving behind the mineral ash. The resulting ash is then diluted using a mixture of dilute hydrochloric acid (HCl) and nitric acid (HNO</w:t>
      </w:r>
      <w:r w:rsidRPr="00380BA4">
        <w:rPr>
          <w:rFonts w:ascii="Arial" w:eastAsia="Times New Roman" w:hAnsi="Arial" w:cs="Arial"/>
          <w:color w:val="000000"/>
          <w:kern w:val="0"/>
          <w:sz w:val="20"/>
          <w:szCs w:val="20"/>
          <w:vertAlign w:val="subscript"/>
          <w:lang w:val="en-US" w:eastAsia="fr-FR"/>
          <w14:ligatures w14:val="none"/>
        </w:rPr>
        <w:t>3</w:t>
      </w:r>
      <w:r w:rsidRPr="00380BA4">
        <w:rPr>
          <w:rFonts w:ascii="Arial" w:eastAsia="Times New Roman" w:hAnsi="Arial" w:cs="Arial"/>
          <w:color w:val="000000"/>
          <w:kern w:val="0"/>
          <w:sz w:val="20"/>
          <w:szCs w:val="20"/>
          <w:lang w:val="en-US" w:eastAsia="fr-FR"/>
          <w14:ligatures w14:val="none"/>
        </w:rPr>
        <w:t>)</w:t>
      </w:r>
      <w:r w:rsidRPr="00380BA4">
        <w:rPr>
          <w:rFonts w:ascii="Arial" w:eastAsia="Times New Roman" w:hAnsi="Arial" w:cs="Arial"/>
          <w:b/>
          <w:bCs/>
          <w:color w:val="000000"/>
          <w:kern w:val="0"/>
          <w:sz w:val="20"/>
          <w:szCs w:val="20"/>
          <w:lang w:val="en-US" w:eastAsia="fr-FR"/>
          <w14:ligatures w14:val="none"/>
        </w:rPr>
        <w:t xml:space="preserve">. </w:t>
      </w:r>
      <w:r w:rsidRPr="00380BA4">
        <w:rPr>
          <w:rFonts w:ascii="Arial" w:eastAsia="Times New Roman" w:hAnsi="Arial" w:cs="Arial"/>
          <w:color w:val="000000"/>
          <w:kern w:val="0"/>
          <w:sz w:val="20"/>
          <w:szCs w:val="20"/>
          <w:lang w:val="en-US" w:eastAsia="fr-FR"/>
          <w14:ligatures w14:val="none"/>
        </w:rPr>
        <w:t xml:space="preserve">This step prepares the sample for subsequent analysis. </w:t>
      </w:r>
      <w:r w:rsidRPr="00925E6C">
        <w:rPr>
          <w:rFonts w:ascii="Arial" w:eastAsia="Times New Roman" w:hAnsi="Arial" w:cs="Arial"/>
          <w:kern w:val="0"/>
          <w:sz w:val="20"/>
          <w:szCs w:val="20"/>
          <w:lang w:val="en-US" w:eastAsia="fr-FR"/>
          <w14:ligatures w14:val="none"/>
        </w:rPr>
        <w:t>The analysis is performed using</w:t>
      </w:r>
      <w:r w:rsidR="009521BA" w:rsidRPr="00925E6C">
        <w:rPr>
          <w:rFonts w:ascii="Arial" w:eastAsia="Times New Roman" w:hAnsi="Arial" w:cs="Arial"/>
          <w:kern w:val="0"/>
          <w:sz w:val="20"/>
          <w:szCs w:val="20"/>
          <w:lang w:val="en-US" w:eastAsia="fr-FR"/>
          <w14:ligatures w14:val="none"/>
        </w:rPr>
        <w:t xml:space="preserve"> flame emission spectrometry (K, Na) and</w:t>
      </w:r>
      <w:r w:rsidRPr="00925E6C">
        <w:rPr>
          <w:rFonts w:ascii="Arial" w:eastAsia="Times New Roman" w:hAnsi="Arial" w:cs="Arial"/>
          <w:kern w:val="0"/>
          <w:sz w:val="20"/>
          <w:szCs w:val="20"/>
          <w:lang w:val="en-US" w:eastAsia="fr-FR"/>
          <w14:ligatures w14:val="none"/>
        </w:rPr>
        <w:t xml:space="preserve"> atomic absorption spectroscopy</w:t>
      </w:r>
      <w:r w:rsidR="009521BA" w:rsidRPr="00925E6C">
        <w:rPr>
          <w:rFonts w:ascii="Arial" w:eastAsia="Times New Roman" w:hAnsi="Arial" w:cs="Arial"/>
          <w:kern w:val="0"/>
          <w:sz w:val="20"/>
          <w:szCs w:val="20"/>
          <w:lang w:val="en-US" w:eastAsia="fr-FR"/>
          <w14:ligatures w14:val="none"/>
        </w:rPr>
        <w:t xml:space="preserve"> (Ca, Cu, Zn, Fe)</w:t>
      </w:r>
      <w:r w:rsidR="008A28A8" w:rsidRPr="00925E6C">
        <w:rPr>
          <w:rFonts w:ascii="Arial" w:eastAsia="Times New Roman" w:hAnsi="Arial" w:cs="Arial"/>
          <w:kern w:val="0"/>
          <w:sz w:val="20"/>
          <w:szCs w:val="20"/>
          <w:lang w:val="en-US" w:eastAsia="fr-FR"/>
          <w14:ligatures w14:val="none"/>
        </w:rPr>
        <w:t xml:space="preserve"> </w:t>
      </w:r>
      <w:r w:rsidR="008A28A8">
        <w:rPr>
          <w:rFonts w:ascii="Arial" w:eastAsia="Times New Roman" w:hAnsi="Arial" w:cs="Arial"/>
          <w:color w:val="000000"/>
          <w:kern w:val="0"/>
          <w:sz w:val="20"/>
          <w:szCs w:val="20"/>
          <w:lang w:val="en-US" w:eastAsia="fr-FR"/>
          <w14:ligatures w14:val="none"/>
        </w:rPr>
        <w:fldChar w:fldCharType="begin" w:fldLock="1"/>
      </w:r>
      <w:r w:rsidR="00F66F85">
        <w:rPr>
          <w:rFonts w:ascii="Arial" w:eastAsia="Times New Roman" w:hAnsi="Arial" w:cs="Arial"/>
          <w:color w:val="000000"/>
          <w:kern w:val="0"/>
          <w:sz w:val="20"/>
          <w:szCs w:val="20"/>
          <w:lang w:val="en-US" w:eastAsia="fr-FR"/>
          <w14:ligatures w14:val="none"/>
        </w:rPr>
        <w:instrText>ADDIN CSL_CITATION {"citationItems":[{"id":"ITEM-1","itemData":{"DOI":"https://doi.org/10.2136/sssabookser3.3ed.c15","author":[{"dropping-particle":"","family":"Jones","given":"B J","non-dropping-particle":"","parse-names":false,"suffix":""},{"dropping-particle":"","family":"Venon","given":"C W","non-dropping-particle":"","parse-names":false,"suffix":""}],"container-title":"Soil Testing and Plant Analysis","edition":"Third edit","editor":[{"dropping-particle":"","family":"Westerman","given":"R.L.","non-dropping-particle":"","parse-names":false,"suffix":""}],"id":"ITEM-1","issue":"3","issued":{"date-parts":[["1990"]]},"page":"389-425","title":"Sampling, handling and analyzing plant tissue samples","type":"chapter"},"uris":["http://www.mendeley.com/documents/?uuid=9bd23ed6-dd51-436d-a0af-a2aa667b18f4"]}],"mendeley":{"formattedCitation":"(Jones &amp; Venon, 1990)","plainTextFormattedCitation":"(Jones &amp; Venon, 1990)","previouslyFormattedCitation":"(Jones &amp; Venon, 1990)"},"properties":{"noteIndex":0},"schema":"https://github.com/citation-style-language/schema/raw/master/csl-citation.json"}</w:instrText>
      </w:r>
      <w:r w:rsidR="008A28A8">
        <w:rPr>
          <w:rFonts w:ascii="Arial" w:eastAsia="Times New Roman" w:hAnsi="Arial" w:cs="Arial"/>
          <w:color w:val="000000"/>
          <w:kern w:val="0"/>
          <w:sz w:val="20"/>
          <w:szCs w:val="20"/>
          <w:lang w:val="en-US" w:eastAsia="fr-FR"/>
          <w14:ligatures w14:val="none"/>
        </w:rPr>
        <w:fldChar w:fldCharType="separate"/>
      </w:r>
      <w:r w:rsidR="008A28A8" w:rsidRPr="008A28A8">
        <w:rPr>
          <w:rFonts w:ascii="Arial" w:eastAsia="Times New Roman" w:hAnsi="Arial" w:cs="Arial"/>
          <w:noProof/>
          <w:color w:val="000000"/>
          <w:kern w:val="0"/>
          <w:sz w:val="20"/>
          <w:szCs w:val="20"/>
          <w:lang w:val="en-US" w:eastAsia="fr-FR"/>
          <w14:ligatures w14:val="none"/>
        </w:rPr>
        <w:t>(Jones &amp; Venon, 1990)</w:t>
      </w:r>
      <w:r w:rsidR="008A28A8">
        <w:rPr>
          <w:rFonts w:ascii="Arial" w:eastAsia="Times New Roman" w:hAnsi="Arial" w:cs="Arial"/>
          <w:color w:val="000000"/>
          <w:kern w:val="0"/>
          <w:sz w:val="20"/>
          <w:szCs w:val="20"/>
          <w:lang w:val="en-US" w:eastAsia="fr-FR"/>
          <w14:ligatures w14:val="none"/>
        </w:rPr>
        <w:fldChar w:fldCharType="end"/>
      </w:r>
      <w:r w:rsidR="003400A2">
        <w:rPr>
          <w:rFonts w:ascii="Arial" w:eastAsia="Times New Roman" w:hAnsi="Arial" w:cs="Arial"/>
          <w:color w:val="000000"/>
          <w:kern w:val="0"/>
          <w:sz w:val="20"/>
          <w:szCs w:val="20"/>
          <w:lang w:val="en-US" w:eastAsia="fr-FR"/>
          <w14:ligatures w14:val="none"/>
        </w:rPr>
        <w:t>.</w:t>
      </w:r>
      <w:r w:rsidRPr="00380BA4">
        <w:rPr>
          <w:rFonts w:ascii="Arial" w:eastAsia="Times New Roman" w:hAnsi="Arial" w:cs="Arial"/>
          <w:color w:val="FF0000"/>
          <w:kern w:val="0"/>
          <w:sz w:val="20"/>
          <w:szCs w:val="20"/>
          <w:lang w:val="en-US" w:eastAsia="fr-FR"/>
          <w14:ligatures w14:val="none"/>
        </w:rPr>
        <w:t xml:space="preserve"> </w:t>
      </w:r>
      <w:r w:rsidRPr="00380BA4">
        <w:rPr>
          <w:rFonts w:ascii="Arial" w:eastAsia="Times New Roman" w:hAnsi="Arial" w:cs="Arial"/>
          <w:color w:val="000000"/>
          <w:kern w:val="0"/>
          <w:sz w:val="20"/>
          <w:szCs w:val="20"/>
          <w:lang w:val="en-US" w:eastAsia="fr-FR"/>
          <w14:ligatures w14:val="none"/>
        </w:rPr>
        <w:t xml:space="preserve">Specifically, an atomic absorption spectrophotometer (Model GBC, Sens AA, Dual, manufactured in the USA) is employed. This technique allows for the quantification of each mineral present in the sample. Phosphorus (P) is also extracted using the same dry </w:t>
      </w:r>
      <w:proofErr w:type="spellStart"/>
      <w:r w:rsidRPr="00380BA4">
        <w:rPr>
          <w:rFonts w:ascii="Arial" w:eastAsia="Times New Roman" w:hAnsi="Arial" w:cs="Arial"/>
          <w:color w:val="000000"/>
          <w:kern w:val="0"/>
          <w:sz w:val="20"/>
          <w:szCs w:val="20"/>
          <w:lang w:val="en-US" w:eastAsia="fr-FR"/>
          <w14:ligatures w14:val="none"/>
        </w:rPr>
        <w:t>ashing</w:t>
      </w:r>
      <w:proofErr w:type="spellEnd"/>
      <w:r w:rsidRPr="00380BA4">
        <w:rPr>
          <w:rFonts w:ascii="Arial" w:eastAsia="Times New Roman" w:hAnsi="Arial" w:cs="Arial"/>
          <w:color w:val="000000"/>
          <w:kern w:val="0"/>
          <w:sz w:val="20"/>
          <w:szCs w:val="20"/>
          <w:lang w:val="en-US" w:eastAsia="fr-FR"/>
          <w14:ligatures w14:val="none"/>
        </w:rPr>
        <w:t xml:space="preserve"> method. Subsequently, it is analyzed using the Murphy Riley reagent</w:t>
      </w:r>
      <w:r w:rsidR="003400A2">
        <w:rPr>
          <w:rFonts w:ascii="Arial" w:eastAsia="Times New Roman" w:hAnsi="Arial" w:cs="Arial"/>
          <w:color w:val="000000"/>
          <w:kern w:val="0"/>
          <w:sz w:val="20"/>
          <w:szCs w:val="20"/>
          <w:lang w:val="en-US" w:eastAsia="fr-FR"/>
          <w14:ligatures w14:val="none"/>
        </w:rPr>
        <w:t xml:space="preserve"> </w:t>
      </w:r>
      <w:r w:rsidR="003400A2">
        <w:rPr>
          <w:rFonts w:ascii="Arial" w:eastAsia="Times New Roman" w:hAnsi="Arial" w:cs="Arial"/>
          <w:color w:val="000000"/>
          <w:kern w:val="0"/>
          <w:sz w:val="20"/>
          <w:szCs w:val="20"/>
          <w:lang w:val="en-US" w:eastAsia="fr-FR"/>
          <w14:ligatures w14:val="none"/>
        </w:rPr>
        <w:fldChar w:fldCharType="begin" w:fldLock="1"/>
      </w:r>
      <w:r w:rsidR="003400A2">
        <w:rPr>
          <w:rFonts w:ascii="Arial" w:eastAsia="Times New Roman" w:hAnsi="Arial" w:cs="Arial"/>
          <w:color w:val="000000"/>
          <w:kern w:val="0"/>
          <w:sz w:val="20"/>
          <w:szCs w:val="20"/>
          <w:lang w:val="en-US" w:eastAsia="fr-FR"/>
          <w14:ligatures w14:val="none"/>
        </w:rPr>
        <w:instrText>ADDIN CSL_CITATION {"citationItems":[{"id":"ITEM-1","itemData":{"DOI":"10.1016/S0003-2670(00)88444-5.","author":[{"dropping-particle":"","family":"Murphy","given":"J.","non-dropping-particle":"","parse-names":false,"suffix":""},{"dropping-particle":"","family":"Riley","given":"J.P.","non-dropping-particle":"","parse-names":false,"suffix":""}],"container-title":"Analytica Chimica Acta","id":"ITEM-1","issued":{"date-parts":[["1962"]]},"page":"31-36","title":"A modified single solution method for determination of phosphate in natural waters","type":"article-journal","volume":"27"},"uris":["http://www.mendeley.com/documents/?uuid=51143001-140b-406e-a449-28fdb8b90fa2"]}],"mendeley":{"formattedCitation":"(Murphy &amp; Riley, 1962)","plainTextFormattedCitation":"(Murphy &amp; Riley, 1962)","previouslyFormattedCitation":"(Murphy &amp; Riley, 1962)"},"properties":{"noteIndex":0},"schema":"https://github.com/citation-style-language/schema/raw/master/csl-citation.json"}</w:instrText>
      </w:r>
      <w:r w:rsidR="003400A2">
        <w:rPr>
          <w:rFonts w:ascii="Arial" w:eastAsia="Times New Roman" w:hAnsi="Arial" w:cs="Arial"/>
          <w:color w:val="000000"/>
          <w:kern w:val="0"/>
          <w:sz w:val="20"/>
          <w:szCs w:val="20"/>
          <w:lang w:val="en-US" w:eastAsia="fr-FR"/>
          <w14:ligatures w14:val="none"/>
        </w:rPr>
        <w:fldChar w:fldCharType="separate"/>
      </w:r>
      <w:r w:rsidR="003400A2" w:rsidRPr="003400A2">
        <w:rPr>
          <w:rFonts w:ascii="Arial" w:eastAsia="Times New Roman" w:hAnsi="Arial" w:cs="Arial"/>
          <w:noProof/>
          <w:color w:val="000000"/>
          <w:kern w:val="0"/>
          <w:sz w:val="20"/>
          <w:szCs w:val="20"/>
          <w:lang w:val="en-US" w:eastAsia="fr-FR"/>
          <w14:ligatures w14:val="none"/>
        </w:rPr>
        <w:t>(Murphy &amp; Riley, 1962)</w:t>
      </w:r>
      <w:r w:rsidR="003400A2">
        <w:rPr>
          <w:rFonts w:ascii="Arial" w:eastAsia="Times New Roman" w:hAnsi="Arial" w:cs="Arial"/>
          <w:color w:val="000000"/>
          <w:kern w:val="0"/>
          <w:sz w:val="20"/>
          <w:szCs w:val="20"/>
          <w:lang w:val="en-US" w:eastAsia="fr-FR"/>
          <w14:ligatures w14:val="none"/>
        </w:rPr>
        <w:fldChar w:fldCharType="end"/>
      </w:r>
      <w:r w:rsidRPr="00380BA4">
        <w:rPr>
          <w:rFonts w:ascii="Arial" w:eastAsia="Times New Roman" w:hAnsi="Arial" w:cs="Arial"/>
          <w:color w:val="FF0000"/>
          <w:kern w:val="0"/>
          <w:sz w:val="20"/>
          <w:szCs w:val="20"/>
          <w:lang w:val="en-US" w:eastAsia="fr-FR"/>
          <w14:ligatures w14:val="none"/>
        </w:rPr>
        <w:t xml:space="preserve"> </w:t>
      </w:r>
      <w:r w:rsidRPr="00380BA4">
        <w:rPr>
          <w:rFonts w:ascii="Arial" w:eastAsia="Times New Roman" w:hAnsi="Arial" w:cs="Arial"/>
          <w:color w:val="000000"/>
          <w:kern w:val="0"/>
          <w:sz w:val="20"/>
          <w:szCs w:val="20"/>
          <w:lang w:val="en-US" w:eastAsia="fr-FR"/>
          <w14:ligatures w14:val="none"/>
        </w:rPr>
        <w:t xml:space="preserve">and read </w:t>
      </w:r>
      <w:proofErr w:type="spellStart"/>
      <w:r w:rsidRPr="00380BA4">
        <w:rPr>
          <w:rFonts w:ascii="Arial" w:eastAsia="Times New Roman" w:hAnsi="Arial" w:cs="Arial"/>
          <w:color w:val="000000"/>
          <w:kern w:val="0"/>
          <w:sz w:val="20"/>
          <w:szCs w:val="20"/>
          <w:lang w:val="en-US" w:eastAsia="fr-FR"/>
          <w14:ligatures w14:val="none"/>
        </w:rPr>
        <w:t>colorimetrically</w:t>
      </w:r>
      <w:proofErr w:type="spellEnd"/>
      <w:r w:rsidRPr="00380BA4">
        <w:rPr>
          <w:rFonts w:ascii="Arial" w:eastAsia="Times New Roman" w:hAnsi="Arial" w:cs="Arial"/>
          <w:color w:val="000000"/>
          <w:kern w:val="0"/>
          <w:sz w:val="20"/>
          <w:szCs w:val="20"/>
          <w:lang w:val="en-US" w:eastAsia="fr-FR"/>
          <w14:ligatures w14:val="none"/>
        </w:rPr>
        <w:t>. The results are expressed in milligrams per 100 g of dry matter (mg/100 g DM) and grams per 100 g of dry matter (g/100 g DM) for trace element and macro-element, respectively</w:t>
      </w:r>
      <w:r w:rsidRPr="00380BA4">
        <w:rPr>
          <w:rFonts w:ascii="Arial" w:eastAsia="Times New Roman" w:hAnsi="Arial" w:cs="Arial"/>
          <w:b/>
          <w:bCs/>
          <w:color w:val="000000"/>
          <w:kern w:val="0"/>
          <w:sz w:val="20"/>
          <w:szCs w:val="20"/>
          <w:lang w:val="en-US" w:eastAsia="fr-FR"/>
          <w14:ligatures w14:val="none"/>
        </w:rPr>
        <w:t>.</w:t>
      </w:r>
    </w:p>
    <w:p w14:paraId="0838DEA2" w14:textId="77777777" w:rsidR="001356B3" w:rsidRPr="00380BA4" w:rsidRDefault="001356B3" w:rsidP="001356B3">
      <w:pPr>
        <w:pStyle w:val="ListParagraph"/>
        <w:numPr>
          <w:ilvl w:val="1"/>
          <w:numId w:val="3"/>
        </w:numPr>
        <w:spacing w:line="360" w:lineRule="auto"/>
        <w:jc w:val="both"/>
        <w:rPr>
          <w:rFonts w:ascii="Arial" w:hAnsi="Arial" w:cs="Arial"/>
          <w:b/>
          <w:bCs/>
          <w:sz w:val="24"/>
          <w:szCs w:val="24"/>
          <w:lang w:val="en-US"/>
        </w:rPr>
      </w:pPr>
      <w:r w:rsidRPr="00380BA4">
        <w:rPr>
          <w:rFonts w:ascii="Arial" w:hAnsi="Arial" w:cs="Arial"/>
          <w:b/>
          <w:bCs/>
          <w:sz w:val="24"/>
          <w:szCs w:val="24"/>
          <w:lang w:val="en-US"/>
        </w:rPr>
        <w:t>Preparation of powder extracts</w:t>
      </w:r>
    </w:p>
    <w:p w14:paraId="08C19B63" w14:textId="77777777" w:rsidR="001356B3" w:rsidRPr="00380BA4" w:rsidRDefault="001356B3" w:rsidP="001356B3">
      <w:pPr>
        <w:spacing w:before="240" w:line="360" w:lineRule="auto"/>
        <w:jc w:val="both"/>
        <w:rPr>
          <w:rFonts w:ascii="Arial" w:hAnsi="Arial" w:cs="Arial"/>
          <w:sz w:val="20"/>
          <w:szCs w:val="20"/>
          <w:lang w:val="en-US"/>
        </w:rPr>
      </w:pPr>
      <w:r w:rsidRPr="00380BA4">
        <w:rPr>
          <w:rFonts w:ascii="Arial" w:hAnsi="Arial" w:cs="Arial"/>
          <w:sz w:val="20"/>
          <w:szCs w:val="20"/>
          <w:lang w:val="en-US"/>
        </w:rPr>
        <w:lastRenderedPageBreak/>
        <w:t xml:space="preserve">Twenty-two milliliters (22 ml) of a solvent mixture Water/Ethanol 3:7 (v/v) were added to 1 g of powder, and the mixture was subjected to ultrasonic bath for 30 mins, followed by shaking for 15 mins. This process was repeated twice to maximize the extraction of secondary metabolites. The resulting solution was centrifuged for 10 mins at a speed of 13,400 revolutions per min, and the supernatant was collected, evaporated under reduced pressure, the freeze-drying. </w:t>
      </w:r>
    </w:p>
    <w:p w14:paraId="16D86F77" w14:textId="5FF19E50" w:rsidR="001356B3" w:rsidRPr="00380BA4" w:rsidRDefault="001356B3" w:rsidP="006A76B2">
      <w:pPr>
        <w:pStyle w:val="ListParagraph"/>
        <w:numPr>
          <w:ilvl w:val="1"/>
          <w:numId w:val="3"/>
        </w:numPr>
        <w:spacing w:after="0" w:line="276" w:lineRule="auto"/>
        <w:jc w:val="both"/>
        <w:rPr>
          <w:rFonts w:ascii="Arial" w:eastAsia="Times New Roman" w:hAnsi="Arial" w:cs="Arial"/>
          <w:b/>
          <w:bCs/>
          <w:color w:val="000000"/>
          <w:kern w:val="0"/>
          <w:lang w:val="en-US" w:eastAsia="fr-FR"/>
          <w14:ligatures w14:val="none"/>
        </w:rPr>
      </w:pPr>
      <w:r w:rsidRPr="00380BA4">
        <w:rPr>
          <w:rFonts w:ascii="Arial" w:eastAsia="Times New Roman" w:hAnsi="Arial" w:cs="Arial"/>
          <w:b/>
          <w:bCs/>
          <w:color w:val="000000"/>
          <w:kern w:val="0"/>
          <w:lang w:val="en-US" w:eastAsia="fr-FR"/>
          <w14:ligatures w14:val="none"/>
        </w:rPr>
        <w:t>Determination of bioactive compound content</w:t>
      </w:r>
      <w:r w:rsidR="004F2892" w:rsidRPr="00380BA4">
        <w:rPr>
          <w:rFonts w:ascii="Arial" w:eastAsia="Times New Roman" w:hAnsi="Arial" w:cs="Arial"/>
          <w:b/>
          <w:bCs/>
          <w:color w:val="000000"/>
          <w:kern w:val="0"/>
          <w:lang w:val="en-US" w:eastAsia="fr-FR"/>
          <w14:ligatures w14:val="none"/>
        </w:rPr>
        <w:t>s</w:t>
      </w:r>
      <w:r w:rsidRPr="00380BA4">
        <w:rPr>
          <w:rFonts w:ascii="Arial" w:eastAsia="Times New Roman" w:hAnsi="Arial" w:cs="Arial"/>
          <w:b/>
          <w:bCs/>
          <w:color w:val="000000"/>
          <w:kern w:val="0"/>
          <w:lang w:val="en-US" w:eastAsia="fr-FR"/>
          <w14:ligatures w14:val="none"/>
        </w:rPr>
        <w:t xml:space="preserve"> </w:t>
      </w:r>
    </w:p>
    <w:p w14:paraId="7DBE260A" w14:textId="77777777" w:rsidR="001356B3" w:rsidRPr="00380BA4" w:rsidRDefault="001356B3" w:rsidP="00950DB5">
      <w:pPr>
        <w:spacing w:after="0" w:line="240" w:lineRule="auto"/>
        <w:jc w:val="both"/>
        <w:rPr>
          <w:rFonts w:ascii="Arial" w:eastAsia="Times New Roman" w:hAnsi="Arial" w:cs="Arial"/>
          <w:b/>
          <w:bCs/>
          <w:color w:val="000000"/>
          <w:kern w:val="0"/>
          <w:lang w:val="en-US" w:eastAsia="fr-FR"/>
          <w14:ligatures w14:val="none"/>
        </w:rPr>
      </w:pPr>
    </w:p>
    <w:p w14:paraId="07F6BAD3" w14:textId="3407894C" w:rsidR="00950DB5" w:rsidRPr="00380BA4" w:rsidRDefault="00950DB5" w:rsidP="006A76B2">
      <w:pPr>
        <w:pStyle w:val="ListParagraph"/>
        <w:numPr>
          <w:ilvl w:val="2"/>
          <w:numId w:val="3"/>
        </w:numPr>
        <w:spacing w:after="0" w:line="276" w:lineRule="auto"/>
        <w:jc w:val="both"/>
        <w:rPr>
          <w:rFonts w:ascii="Arial" w:eastAsia="Times New Roman" w:hAnsi="Arial" w:cs="Arial"/>
          <w:b/>
          <w:bCs/>
          <w:color w:val="000000"/>
          <w:kern w:val="0"/>
          <w:lang w:val="en-US" w:eastAsia="fr-FR"/>
          <w14:ligatures w14:val="none"/>
        </w:rPr>
      </w:pPr>
      <w:r w:rsidRPr="00380BA4">
        <w:rPr>
          <w:rFonts w:ascii="Arial" w:eastAsia="Times New Roman" w:hAnsi="Arial" w:cs="Arial"/>
          <w:b/>
          <w:bCs/>
          <w:color w:val="000000"/>
          <w:kern w:val="0"/>
          <w:lang w:val="en-US" w:eastAsia="fr-FR"/>
          <w14:ligatures w14:val="none"/>
        </w:rPr>
        <w:t xml:space="preserve">Total polyphenol </w:t>
      </w:r>
    </w:p>
    <w:p w14:paraId="65905286" w14:textId="77777777" w:rsidR="00950DB5" w:rsidRDefault="00950DB5" w:rsidP="00950DB5">
      <w:pPr>
        <w:spacing w:after="0" w:line="240" w:lineRule="auto"/>
        <w:jc w:val="both"/>
        <w:rPr>
          <w:rFonts w:ascii="Times New Roman" w:eastAsia="Times New Roman" w:hAnsi="Times New Roman" w:cs="Times New Roman"/>
          <w:color w:val="000000"/>
          <w:kern w:val="0"/>
          <w:lang w:val="en-US" w:eastAsia="fr-FR"/>
          <w14:ligatures w14:val="none"/>
        </w:rPr>
      </w:pPr>
    </w:p>
    <w:p w14:paraId="357819A8" w14:textId="5C5EBACD" w:rsidR="006A76B2" w:rsidRPr="00380BA4" w:rsidRDefault="006A76B2" w:rsidP="006A76B2">
      <w:pPr>
        <w:spacing w:line="360" w:lineRule="auto"/>
        <w:jc w:val="both"/>
        <w:rPr>
          <w:rFonts w:ascii="Arial" w:hAnsi="Arial" w:cs="Arial"/>
          <w:sz w:val="20"/>
          <w:szCs w:val="20"/>
          <w:lang w:val="en-US"/>
        </w:rPr>
      </w:pPr>
      <w:r w:rsidRPr="00380BA4">
        <w:rPr>
          <w:rFonts w:ascii="Arial" w:hAnsi="Arial" w:cs="Arial"/>
          <w:sz w:val="20"/>
          <w:szCs w:val="20"/>
          <w:lang w:val="en-US"/>
        </w:rPr>
        <w:t xml:space="preserve">The determination of total polyphenols was performed by spectrophotometry, using the colorimetric method with the </w:t>
      </w:r>
      <w:proofErr w:type="spellStart"/>
      <w:r w:rsidRPr="00380BA4">
        <w:rPr>
          <w:rFonts w:ascii="Arial" w:hAnsi="Arial" w:cs="Arial"/>
          <w:sz w:val="20"/>
          <w:szCs w:val="20"/>
          <w:lang w:val="en-US"/>
        </w:rPr>
        <w:t>Folin-Ciocalteu</w:t>
      </w:r>
      <w:proofErr w:type="spellEnd"/>
      <w:r w:rsidRPr="00380BA4">
        <w:rPr>
          <w:rFonts w:ascii="Arial" w:hAnsi="Arial" w:cs="Arial"/>
          <w:sz w:val="20"/>
          <w:szCs w:val="20"/>
          <w:lang w:val="en-US"/>
        </w:rPr>
        <w:t xml:space="preserve"> reagent</w:t>
      </w:r>
      <w:r w:rsidR="003400A2">
        <w:rPr>
          <w:rFonts w:ascii="Arial" w:hAnsi="Arial" w:cs="Arial"/>
          <w:sz w:val="20"/>
          <w:szCs w:val="20"/>
          <w:lang w:val="en-US"/>
        </w:rPr>
        <w:t xml:space="preserve"> </w:t>
      </w:r>
      <w:r w:rsidR="003400A2">
        <w:rPr>
          <w:rFonts w:ascii="Arial" w:hAnsi="Arial" w:cs="Arial"/>
          <w:sz w:val="20"/>
          <w:szCs w:val="20"/>
          <w:lang w:val="en-US"/>
        </w:rPr>
        <w:fldChar w:fldCharType="begin" w:fldLock="1"/>
      </w:r>
      <w:r w:rsidR="00FD077F">
        <w:rPr>
          <w:rFonts w:ascii="Arial" w:hAnsi="Arial" w:cs="Arial"/>
          <w:sz w:val="20"/>
          <w:szCs w:val="20"/>
          <w:lang w:val="en-US"/>
        </w:rPr>
        <w:instrText>ADDIN CSL_CITATION {"citationItems":[{"id":"ITEM-1","itemData":{"DOI":"0076-6879/99 $30.00","author":[{"dropping-particle":"","family":"Singleton","given":"Vernon L","non-dropping-particle":"","parse-names":false,"suffix":""},{"dropping-particle":"","family":"Orthofer","given":"Rudolf","non-dropping-particle":"","parse-names":false,"suffix":""},{"dropping-particle":"","family":"Lamuela-Raventos","given":"Rosa M","non-dropping-particle":"","parse-names":false,"suffix":""}],"container-title":"Methods in Enzymology","id":"ITEM-1","issue":"1974","issued":{"date-parts":[["1999"]]},"page":"152-178","title":"Analysis of Total Phenols and Other Oxidation Substrates and Antioxidants by Means of Folin-Ciocalteu Reagent","type":"article-journal","volume":"299"},"uris":["http://www.mendeley.com/documents/?uuid=6d85f72c-e27a-4291-acae-29ea3ab5c19d"]}],"mendeley":{"formattedCitation":"(Singleton et al., 1999)","plainTextFormattedCitation":"(Singleton et al., 1999)","previouslyFormattedCitation":"(Singleton et al., 1999)"},"properties":{"noteIndex":0},"schema":"https://github.com/citation-style-language/schema/raw/master/csl-citation.json"}</w:instrText>
      </w:r>
      <w:r w:rsidR="003400A2">
        <w:rPr>
          <w:rFonts w:ascii="Arial" w:hAnsi="Arial" w:cs="Arial"/>
          <w:sz w:val="20"/>
          <w:szCs w:val="20"/>
          <w:lang w:val="en-US"/>
        </w:rPr>
        <w:fldChar w:fldCharType="separate"/>
      </w:r>
      <w:r w:rsidR="00085CF4" w:rsidRPr="00085CF4">
        <w:rPr>
          <w:rFonts w:ascii="Arial" w:hAnsi="Arial" w:cs="Arial"/>
          <w:noProof/>
          <w:sz w:val="20"/>
          <w:szCs w:val="20"/>
          <w:lang w:val="en-US"/>
        </w:rPr>
        <w:t>(Singleton et al., 1999)</w:t>
      </w:r>
      <w:r w:rsidR="003400A2">
        <w:rPr>
          <w:rFonts w:ascii="Arial" w:hAnsi="Arial" w:cs="Arial"/>
          <w:sz w:val="20"/>
          <w:szCs w:val="20"/>
          <w:lang w:val="en-US"/>
        </w:rPr>
        <w:fldChar w:fldCharType="end"/>
      </w:r>
      <w:r w:rsidR="003400A2">
        <w:rPr>
          <w:rFonts w:ascii="Arial" w:hAnsi="Arial" w:cs="Arial"/>
          <w:sz w:val="20"/>
          <w:szCs w:val="20"/>
          <w:lang w:val="en-US"/>
        </w:rPr>
        <w:t xml:space="preserve">. </w:t>
      </w:r>
      <w:r w:rsidRPr="00380BA4">
        <w:rPr>
          <w:rFonts w:ascii="Arial" w:hAnsi="Arial" w:cs="Arial"/>
          <w:sz w:val="20"/>
          <w:szCs w:val="20"/>
          <w:lang w:val="en-US"/>
        </w:rPr>
        <w:t xml:space="preserve">This assay is based on the quantification of the total concentration of hydroxyl groups present in the extract. The protocol used is based on that described by </w:t>
      </w:r>
      <w:r w:rsidR="003400A2">
        <w:rPr>
          <w:rFonts w:ascii="Arial" w:hAnsi="Arial" w:cs="Arial"/>
          <w:sz w:val="20"/>
          <w:szCs w:val="20"/>
          <w:lang w:val="en-US"/>
        </w:rPr>
        <w:fldChar w:fldCharType="begin" w:fldLock="1"/>
      </w:r>
      <w:r w:rsidR="00FD077F">
        <w:rPr>
          <w:rFonts w:ascii="Arial" w:hAnsi="Arial" w:cs="Arial"/>
          <w:sz w:val="20"/>
          <w:szCs w:val="20"/>
          <w:lang w:val="en-US"/>
        </w:rPr>
        <w:instrText>ADDIN CSL_CITATION {"citationItems":[{"id":"ITEM-1","itemData":{"DOI":"10.5344/ajev.1965.16.3.144","author":[{"dropping-particle":"","family":"Singleton","given":"Vernon L","non-dropping-particle":"","parse-names":false,"suffix":""},{"dropping-particle":"","family":"Rossi","given":"J A","non-dropping-particle":"","parse-names":false,"suffix":""}],"container-title":"Am. J. Enol. Vitic","id":"ITEM-1","issued":{"date-parts":[["1965"]]},"page":"144-158","title":"Colorimetry of total phenolics with phosphomolybdicphosphotungstic acid reagents","type":"article-journal","volume":"16"},"uris":["http://www.mendeley.com/documents/?uuid=5b39b4e1-0e37-4b2b-82a3-92da26bc69f7"]}],"mendeley":{"formattedCitation":"(Singleton &amp; Rossi, 1965)","plainTextFormattedCitation":"(Singleton &amp; Rossi, 1965)","previouslyFormattedCitation":"(Singleton &amp; Rossi, 1965)"},"properties":{"noteIndex":0},"schema":"https://github.com/citation-style-language/schema/raw/master/csl-citation.json"}</w:instrText>
      </w:r>
      <w:r w:rsidR="003400A2">
        <w:rPr>
          <w:rFonts w:ascii="Arial" w:hAnsi="Arial" w:cs="Arial"/>
          <w:sz w:val="20"/>
          <w:szCs w:val="20"/>
          <w:lang w:val="en-US"/>
        </w:rPr>
        <w:fldChar w:fldCharType="separate"/>
      </w:r>
      <w:r w:rsidR="00085CF4" w:rsidRPr="00085CF4">
        <w:rPr>
          <w:rFonts w:ascii="Arial" w:hAnsi="Arial" w:cs="Arial"/>
          <w:noProof/>
          <w:sz w:val="20"/>
          <w:szCs w:val="20"/>
          <w:lang w:val="en-US"/>
        </w:rPr>
        <w:t>(Singleton &amp; Rossi, 1965)</w:t>
      </w:r>
      <w:r w:rsidR="003400A2">
        <w:rPr>
          <w:rFonts w:ascii="Arial" w:hAnsi="Arial" w:cs="Arial"/>
          <w:sz w:val="20"/>
          <w:szCs w:val="20"/>
          <w:lang w:val="en-US"/>
        </w:rPr>
        <w:fldChar w:fldCharType="end"/>
      </w:r>
      <w:r w:rsidR="003400A2">
        <w:rPr>
          <w:rFonts w:ascii="Arial" w:hAnsi="Arial" w:cs="Arial"/>
          <w:sz w:val="20"/>
          <w:szCs w:val="20"/>
          <w:lang w:val="en-US"/>
        </w:rPr>
        <w:t>,</w:t>
      </w:r>
      <w:r w:rsidRPr="00380BA4">
        <w:rPr>
          <w:rFonts w:ascii="Arial" w:hAnsi="Arial" w:cs="Arial"/>
          <w:sz w:val="20"/>
          <w:szCs w:val="20"/>
          <w:lang w:val="en-US"/>
        </w:rPr>
        <w:t xml:space="preserve"> with some modifications. Briefly, in glass hemolysis tubes, a volume of 500 µl of each extract was added, along with a mixture of 1 ml of </w:t>
      </w:r>
      <w:proofErr w:type="spellStart"/>
      <w:r w:rsidRPr="00380BA4">
        <w:rPr>
          <w:rFonts w:ascii="Arial" w:hAnsi="Arial" w:cs="Arial"/>
          <w:sz w:val="20"/>
          <w:szCs w:val="20"/>
          <w:lang w:val="en-US"/>
        </w:rPr>
        <w:t>Folin-Ciocalteu</w:t>
      </w:r>
      <w:proofErr w:type="spellEnd"/>
      <w:r w:rsidRPr="00380BA4">
        <w:rPr>
          <w:rFonts w:ascii="Arial" w:hAnsi="Arial" w:cs="Arial"/>
          <w:sz w:val="20"/>
          <w:szCs w:val="20"/>
          <w:lang w:val="en-US"/>
        </w:rPr>
        <w:t xml:space="preserve"> reagent diluted 10 times, and 800 µl of a 7.5% sodium carbonate solution (added 4 minutes later). The tubes were shaken and kept for 30 minutes. The absorbance was measured at 765 nm. A calibration curve was prepared in parallel under the same operating conditions using gallic acid at different concentrations (0 to </w:t>
      </w:r>
      <w:r w:rsidR="008E46ED" w:rsidRPr="00380BA4">
        <w:rPr>
          <w:rFonts w:ascii="Arial" w:hAnsi="Arial" w:cs="Arial"/>
          <w:sz w:val="20"/>
          <w:szCs w:val="20"/>
          <w:lang w:val="en-US"/>
        </w:rPr>
        <w:t>1000µg/ml</w:t>
      </w:r>
      <w:r w:rsidRPr="00380BA4">
        <w:rPr>
          <w:rFonts w:ascii="Arial" w:hAnsi="Arial" w:cs="Arial"/>
          <w:sz w:val="20"/>
          <w:szCs w:val="20"/>
          <w:lang w:val="en-US"/>
        </w:rPr>
        <w:t>).</w:t>
      </w:r>
    </w:p>
    <w:p w14:paraId="44BC7374" w14:textId="77777777" w:rsidR="006A76B2" w:rsidRPr="00380BA4" w:rsidRDefault="00950DB5" w:rsidP="006A76B2">
      <w:pPr>
        <w:pStyle w:val="ListParagraph"/>
        <w:numPr>
          <w:ilvl w:val="2"/>
          <w:numId w:val="3"/>
        </w:numPr>
        <w:spacing w:after="0" w:line="276" w:lineRule="auto"/>
        <w:jc w:val="both"/>
        <w:rPr>
          <w:rFonts w:ascii="Arial" w:eastAsia="Times New Roman" w:hAnsi="Arial" w:cs="Arial"/>
          <w:b/>
          <w:bCs/>
          <w:color w:val="000000"/>
          <w:kern w:val="0"/>
          <w:sz w:val="20"/>
          <w:szCs w:val="20"/>
          <w:lang w:val="en-US" w:eastAsia="fr-FR"/>
          <w14:ligatures w14:val="none"/>
        </w:rPr>
      </w:pPr>
      <w:r w:rsidRPr="00380BA4">
        <w:rPr>
          <w:rFonts w:ascii="Arial" w:eastAsia="Times New Roman" w:hAnsi="Arial" w:cs="Arial"/>
          <w:b/>
          <w:bCs/>
          <w:color w:val="000000"/>
          <w:kern w:val="0"/>
          <w:sz w:val="20"/>
          <w:szCs w:val="20"/>
          <w:lang w:val="en-US" w:eastAsia="fr-FR"/>
          <w14:ligatures w14:val="none"/>
        </w:rPr>
        <w:t xml:space="preserve">Total </w:t>
      </w:r>
      <w:r w:rsidR="006A76B2" w:rsidRPr="00380BA4">
        <w:rPr>
          <w:rFonts w:ascii="Arial" w:eastAsia="Times New Roman" w:hAnsi="Arial" w:cs="Arial"/>
          <w:b/>
          <w:bCs/>
          <w:color w:val="000000"/>
          <w:kern w:val="0"/>
          <w:sz w:val="20"/>
          <w:szCs w:val="20"/>
          <w:lang w:val="en-US" w:eastAsia="fr-FR"/>
          <w14:ligatures w14:val="none"/>
        </w:rPr>
        <w:t xml:space="preserve">flavonoids </w:t>
      </w:r>
    </w:p>
    <w:p w14:paraId="6709E46D" w14:textId="2605B9FA" w:rsidR="00950DB5" w:rsidRPr="00380BA4" w:rsidRDefault="00950DB5" w:rsidP="006A76B2">
      <w:pPr>
        <w:spacing w:after="0" w:line="360" w:lineRule="auto"/>
        <w:jc w:val="both"/>
        <w:rPr>
          <w:rFonts w:ascii="Arial" w:eastAsia="Times New Roman" w:hAnsi="Arial" w:cs="Arial"/>
          <w:b/>
          <w:bCs/>
          <w:color w:val="000000"/>
          <w:kern w:val="0"/>
          <w:sz w:val="20"/>
          <w:szCs w:val="20"/>
          <w:lang w:val="en-US" w:eastAsia="fr-FR"/>
          <w14:ligatures w14:val="none"/>
        </w:rPr>
      </w:pPr>
      <w:r w:rsidRPr="00380BA4">
        <w:rPr>
          <w:rFonts w:ascii="Arial" w:eastAsia="Times New Roman" w:hAnsi="Arial" w:cs="Arial"/>
          <w:b/>
          <w:bCs/>
          <w:color w:val="000000"/>
          <w:kern w:val="0"/>
          <w:sz w:val="20"/>
          <w:szCs w:val="20"/>
          <w:lang w:val="en-US" w:eastAsia="fr-FR"/>
          <w14:ligatures w14:val="none"/>
        </w:rPr>
        <w:t xml:space="preserve"> </w:t>
      </w:r>
    </w:p>
    <w:p w14:paraId="5236201A" w14:textId="517692F7" w:rsidR="006A76B2" w:rsidRPr="00380BA4" w:rsidRDefault="006A76B2" w:rsidP="006A76B2">
      <w:pPr>
        <w:spacing w:line="360" w:lineRule="auto"/>
        <w:jc w:val="both"/>
        <w:rPr>
          <w:rFonts w:ascii="Arial" w:hAnsi="Arial" w:cs="Arial"/>
          <w:sz w:val="20"/>
          <w:szCs w:val="20"/>
          <w:lang w:val="en-US"/>
        </w:rPr>
      </w:pPr>
      <w:r w:rsidRPr="00380BA4">
        <w:rPr>
          <w:rFonts w:ascii="Arial" w:hAnsi="Arial" w:cs="Arial"/>
          <w:sz w:val="20"/>
          <w:szCs w:val="20"/>
          <w:lang w:val="en-US"/>
        </w:rPr>
        <w:t>The determination of flavonoids was performed using a method based on the formation of a very stable complex between aluminum chloride and the oxygen atoms present on carbons 4 and 5 of flavonoids. The protocol used is based on that described by</w:t>
      </w:r>
      <w:r w:rsidR="003253AB">
        <w:rPr>
          <w:rFonts w:ascii="Arial" w:hAnsi="Arial" w:cs="Arial"/>
          <w:sz w:val="20"/>
          <w:szCs w:val="20"/>
          <w:lang w:val="en-US"/>
        </w:rPr>
        <w:t xml:space="preserve"> </w:t>
      </w:r>
      <w:r w:rsidR="003253AB">
        <w:rPr>
          <w:rFonts w:ascii="Arial" w:hAnsi="Arial" w:cs="Arial"/>
          <w:sz w:val="20"/>
          <w:szCs w:val="20"/>
          <w:lang w:val="en-US"/>
        </w:rPr>
        <w:fldChar w:fldCharType="begin" w:fldLock="1"/>
      </w:r>
      <w:r w:rsidR="00641873">
        <w:rPr>
          <w:rFonts w:ascii="Arial" w:hAnsi="Arial" w:cs="Arial"/>
          <w:sz w:val="20"/>
          <w:szCs w:val="20"/>
          <w:lang w:val="en-US"/>
        </w:rPr>
        <w:instrText>ADDIN CSL_CITATION {"citationItems":[{"id":"ITEM-1","itemData":{"DOI":"S0308-8l46(98)00102-2-2","author":[{"dropping-particle":"","family":"Zhishen","given":"Jia","non-dropping-particle":"","parse-names":false,"suffix":""},{"dropping-particle":"","family":"Mengcheng","given":"Tang","non-dropping-particle":"","parse-names":false,"suffix":""},{"dropping-particle":"","family":"Jianming","given":"Wu","non-dropping-particle":"","parse-names":false,"suffix":""}],"container-title":"Food Chemistry","id":"ITEM-1","issued":{"date-parts":[["1999"]]},"page":"555-559","title":"Food Chemistry The determination of flavonoid contents in mulberry and their scavenging effects on superoxide radicals","type":"article-journal","volume":"64"},"uris":["http://www.mendeley.com/documents/?uuid=0c0f5c89-5a13-49e2-aff6-7d59b6af3bab"]}],"mendeley":{"formattedCitation":"(Zhishen et al., 1999)","manualFormatting":"Zhishen et al. (1999)","plainTextFormattedCitation":"(Zhishen et al., 1999)","previouslyFormattedCitation":"(Zhishen et al., 1999)"},"properties":{"noteIndex":0},"schema":"https://github.com/citation-style-language/schema/raw/master/csl-citation.json"}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Zhishen et al.</w:t>
      </w:r>
      <w:r w:rsidR="003253AB">
        <w:rPr>
          <w:rFonts w:ascii="Arial" w:hAnsi="Arial" w:cs="Arial"/>
          <w:noProof/>
          <w:sz w:val="20"/>
          <w:szCs w:val="20"/>
          <w:lang w:val="en-US"/>
        </w:rPr>
        <w:t xml:space="preserve"> (</w:t>
      </w:r>
      <w:r w:rsidR="003253AB" w:rsidRPr="003253AB">
        <w:rPr>
          <w:rFonts w:ascii="Arial" w:hAnsi="Arial" w:cs="Arial"/>
          <w:noProof/>
          <w:sz w:val="20"/>
          <w:szCs w:val="20"/>
          <w:lang w:val="en-US"/>
        </w:rPr>
        <w:t>1999)</w:t>
      </w:r>
      <w:r w:rsidR="003253AB">
        <w:rPr>
          <w:rFonts w:ascii="Arial" w:hAnsi="Arial" w:cs="Arial"/>
          <w:sz w:val="20"/>
          <w:szCs w:val="20"/>
          <w:lang w:val="en-US"/>
        </w:rPr>
        <w:fldChar w:fldCharType="end"/>
      </w:r>
      <w:r w:rsidRPr="00380BA4">
        <w:rPr>
          <w:rFonts w:ascii="Arial" w:hAnsi="Arial" w:cs="Arial"/>
          <w:sz w:val="20"/>
          <w:szCs w:val="20"/>
          <w:lang w:val="en-US"/>
        </w:rPr>
        <w:t xml:space="preserve"> </w:t>
      </w:r>
      <w:r w:rsidR="003253AB">
        <w:rPr>
          <w:rFonts w:ascii="Arial" w:hAnsi="Arial" w:cs="Arial"/>
          <w:sz w:val="20"/>
          <w:szCs w:val="20"/>
          <w:lang w:val="en-US"/>
        </w:rPr>
        <w:t xml:space="preserve">and </w:t>
      </w:r>
      <w:r w:rsidR="003253AB">
        <w:rPr>
          <w:rFonts w:ascii="Arial" w:hAnsi="Arial" w:cs="Arial"/>
          <w:sz w:val="20"/>
          <w:szCs w:val="20"/>
          <w:lang w:val="en-US"/>
        </w:rPr>
        <w:fldChar w:fldCharType="begin" w:fldLock="1"/>
      </w:r>
      <w:r w:rsidR="00F66F85">
        <w:rPr>
          <w:rFonts w:ascii="Arial" w:hAnsi="Arial" w:cs="Arial"/>
          <w:sz w:val="20"/>
          <w:szCs w:val="20"/>
          <w:lang w:val="en-US"/>
        </w:rPr>
        <w:instrText>ADDIN CSL_CITATION {"citationItems":[{"id":"ITEM-1","itemData":{"DOI":"https://doi.org/10.1021/jf0343074","author":[{"dropping-particle":"","family":"Chun","given":"DK","non-dropping-particle":"","parse-names":false,"suffix":""},{"dropping-particle":"","family":"Kim","given":"Y.","non-dropping-particle":"","parse-names":false,"suffix":""},{"dropping-particle":"","family":"Moon","given":"H.","non-dropping-particle":"","parse-names":false,"suffix":""},{"dropping-particle":"","family":"Lee","given":"C.","non-dropping-particle":"","parse-names":false,"suffix":""}],"container-title":"Journal of Agricultural and Food Chemistry","id":"ITEM-1","issue":"6509","issued":{"date-parts":[["2003"]]},"title":"Quantification of phenolics and their antioxydant capacity in fresh plums","type":"article-journal","volume":"51"},"uris":["http://www.mendeley.com/documents/?uuid=8004ead1-8579-4c1a-bc45-4883ab449d39"]}],"mendeley":{"formattedCitation":"(Chun et al., 2003)","manualFormatting":"Chun et al. (2003)","plainTextFormattedCitation":"(Chun et al., 2003)","previouslyFormattedCitation":"(Chun et al., 2003)"},"properties":{"noteIndex":0},"schema":"https://github.com/citation-style-language/schema/raw/master/csl-citation.json"}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Chun et al.</w:t>
      </w:r>
      <w:r w:rsidR="003253AB">
        <w:rPr>
          <w:rFonts w:ascii="Arial" w:hAnsi="Arial" w:cs="Arial"/>
          <w:noProof/>
          <w:sz w:val="20"/>
          <w:szCs w:val="20"/>
          <w:lang w:val="en-US"/>
        </w:rPr>
        <w:t xml:space="preserve"> (</w:t>
      </w:r>
      <w:r w:rsidR="003253AB" w:rsidRPr="003253AB">
        <w:rPr>
          <w:rFonts w:ascii="Arial" w:hAnsi="Arial" w:cs="Arial"/>
          <w:noProof/>
          <w:sz w:val="20"/>
          <w:szCs w:val="20"/>
          <w:lang w:val="en-US"/>
        </w:rPr>
        <w:t>2003)</w:t>
      </w:r>
      <w:r w:rsidR="003253AB">
        <w:rPr>
          <w:rFonts w:ascii="Arial" w:hAnsi="Arial" w:cs="Arial"/>
          <w:sz w:val="20"/>
          <w:szCs w:val="20"/>
          <w:lang w:val="en-US"/>
        </w:rPr>
        <w:fldChar w:fldCharType="end"/>
      </w:r>
      <w:r w:rsidR="003253AB">
        <w:rPr>
          <w:rFonts w:ascii="Arial" w:hAnsi="Arial" w:cs="Arial"/>
          <w:sz w:val="20"/>
          <w:szCs w:val="20"/>
          <w:lang w:val="en-US"/>
        </w:rPr>
        <w:t>,</w:t>
      </w:r>
      <w:r w:rsidRPr="00380BA4">
        <w:rPr>
          <w:rFonts w:ascii="Arial" w:hAnsi="Arial" w:cs="Arial"/>
          <w:color w:val="FF0000"/>
          <w:sz w:val="20"/>
          <w:szCs w:val="20"/>
          <w:lang w:val="en-US"/>
        </w:rPr>
        <w:t xml:space="preserve"> </w:t>
      </w:r>
      <w:r w:rsidRPr="00380BA4">
        <w:rPr>
          <w:rFonts w:ascii="Arial" w:hAnsi="Arial" w:cs="Arial"/>
          <w:sz w:val="20"/>
          <w:szCs w:val="20"/>
          <w:lang w:val="en-US"/>
        </w:rPr>
        <w:t>with some modifications. In a glass hemolysis tube, 500 µl of extract, or standard, or distilled water for the control, were added to 200 µl of 5% NaNO</w:t>
      </w:r>
      <w:r w:rsidRPr="00380BA4">
        <w:rPr>
          <w:rFonts w:ascii="Arial" w:hAnsi="Arial" w:cs="Arial"/>
          <w:sz w:val="20"/>
          <w:szCs w:val="20"/>
          <w:vertAlign w:val="subscript"/>
          <w:lang w:val="en-US"/>
        </w:rPr>
        <w:t>2</w:t>
      </w:r>
      <w:r w:rsidRPr="00380BA4">
        <w:rPr>
          <w:rFonts w:ascii="Arial" w:hAnsi="Arial" w:cs="Arial"/>
          <w:sz w:val="20"/>
          <w:szCs w:val="20"/>
          <w:lang w:val="en-US"/>
        </w:rPr>
        <w:t>. After 5 minutes, 200 µl of 10% AlCl</w:t>
      </w:r>
      <w:r w:rsidRPr="00380BA4">
        <w:rPr>
          <w:rFonts w:ascii="Arial" w:hAnsi="Arial" w:cs="Arial"/>
          <w:sz w:val="20"/>
          <w:szCs w:val="20"/>
          <w:vertAlign w:val="subscript"/>
          <w:lang w:val="en-US"/>
        </w:rPr>
        <w:t>3</w:t>
      </w:r>
      <w:r w:rsidRPr="00380BA4">
        <w:rPr>
          <w:rFonts w:ascii="Arial" w:hAnsi="Arial" w:cs="Arial"/>
          <w:sz w:val="20"/>
          <w:szCs w:val="20"/>
          <w:lang w:val="en-US"/>
        </w:rPr>
        <w:t xml:space="preserve"> was added, and the mixture was vigorously stirred. After 6 minutes, a volume of 1000 µl of 1 M NaOH was added to the mixture. The absorbance was read immediately at 510 nm against the control. A methanolic solution of quercetin was prepared. Stock solutions were prepared from the mother solution at different concentrations ranging from 0 to 1</w:t>
      </w:r>
      <w:r w:rsidR="008E46ED" w:rsidRPr="00380BA4">
        <w:rPr>
          <w:rFonts w:ascii="Arial" w:hAnsi="Arial" w:cs="Arial"/>
          <w:sz w:val="20"/>
          <w:szCs w:val="20"/>
          <w:lang w:val="en-US"/>
        </w:rPr>
        <w:t>000µ</w:t>
      </w:r>
      <w:r w:rsidRPr="00380BA4">
        <w:rPr>
          <w:rFonts w:ascii="Arial" w:hAnsi="Arial" w:cs="Arial"/>
          <w:sz w:val="20"/>
          <w:szCs w:val="20"/>
          <w:lang w:val="en-US"/>
        </w:rPr>
        <w:t>g/ml to create the calibration curve.</w:t>
      </w:r>
    </w:p>
    <w:p w14:paraId="52A7D692" w14:textId="658694AD" w:rsidR="006A76B2" w:rsidRPr="00380BA4" w:rsidRDefault="006A76B2" w:rsidP="006A76B2">
      <w:pPr>
        <w:pStyle w:val="ListParagraph"/>
        <w:numPr>
          <w:ilvl w:val="2"/>
          <w:numId w:val="3"/>
        </w:numPr>
        <w:spacing w:line="360" w:lineRule="auto"/>
        <w:jc w:val="both"/>
        <w:rPr>
          <w:rFonts w:ascii="Arial" w:hAnsi="Arial" w:cs="Arial"/>
          <w:b/>
          <w:bCs/>
          <w:sz w:val="20"/>
          <w:szCs w:val="20"/>
          <w:lang w:val="en-US"/>
        </w:rPr>
      </w:pPr>
      <w:r w:rsidRPr="00380BA4">
        <w:rPr>
          <w:rFonts w:ascii="Arial" w:hAnsi="Arial" w:cs="Arial"/>
          <w:b/>
          <w:bCs/>
          <w:sz w:val="20"/>
          <w:szCs w:val="20"/>
          <w:lang w:val="en-US"/>
        </w:rPr>
        <w:t xml:space="preserve">Condensed tannins </w:t>
      </w:r>
    </w:p>
    <w:p w14:paraId="0CF27913" w14:textId="74AB7384" w:rsidR="001356B3" w:rsidRPr="00380BA4" w:rsidRDefault="006A76B2" w:rsidP="006A76B2">
      <w:pPr>
        <w:spacing w:line="360" w:lineRule="auto"/>
        <w:jc w:val="both"/>
        <w:rPr>
          <w:rFonts w:ascii="Arial" w:hAnsi="Arial" w:cs="Arial"/>
          <w:sz w:val="20"/>
          <w:szCs w:val="20"/>
          <w:lang w:val="en-US"/>
        </w:rPr>
      </w:pPr>
      <w:r w:rsidRPr="00380BA4">
        <w:rPr>
          <w:rFonts w:ascii="Arial" w:hAnsi="Arial" w:cs="Arial"/>
          <w:sz w:val="20"/>
          <w:szCs w:val="20"/>
          <w:lang w:val="en-US"/>
        </w:rPr>
        <w:t>This assay was performed using the vanillin method combined with hydrochloric acid. This method relies on the reaction of vanillin with the terminal flavonoid group of condensed tannins, resulting in the formation of red complexes</w:t>
      </w:r>
      <w:r w:rsidR="003253AB">
        <w:rPr>
          <w:rFonts w:ascii="Arial" w:hAnsi="Arial" w:cs="Arial"/>
          <w:sz w:val="20"/>
          <w:szCs w:val="20"/>
          <w:lang w:val="en-US"/>
        </w:rPr>
        <w:t xml:space="preserve"> </w:t>
      </w:r>
      <w:r w:rsidR="003253AB">
        <w:rPr>
          <w:rFonts w:ascii="Arial" w:hAnsi="Arial" w:cs="Arial"/>
          <w:sz w:val="20"/>
          <w:szCs w:val="20"/>
          <w:lang w:val="en-US"/>
        </w:rPr>
        <w:fldChar w:fldCharType="begin" w:fldLock="1"/>
      </w:r>
      <w:r w:rsidR="006C06C3">
        <w:rPr>
          <w:rFonts w:ascii="Arial" w:hAnsi="Arial" w:cs="Arial"/>
          <w:sz w:val="20"/>
          <w:szCs w:val="20"/>
          <w:lang w:val="en-US"/>
        </w:rPr>
        <w:instrText>ADDIN CSL_CITATION {"citationItems":[{"id":"ITEM-1","itemData":{"DOI":"S0377-8401(01)00228-0","author":[{"dropping-particle":"","family":"Schofield","given":"P","non-dropping-particle":"","parse-names":false,"suffix":""},{"dropping-particle":"","family":"Mbugua","given":"D M","non-dropping-particle":"","parse-names":false,"suffix":""},{"dropping-particle":"","family":"Pell","given":"A N","non-dropping-particle":"","parse-names":false,"suffix":""}],"container-title":"Animal Feed Science and Technology","id":"ITEM-1","issued":{"date-parts":[["2001"]]},"page":"21-40","title":"Analysis of condensed tannins : a review","type":"article-journal","volume":"91"},"uris":["http://www.mendeley.com/documents/?uuid=ad9d7dc5-51c2-4eeb-ab37-8ab9710e916d"]}],"mendeley":{"formattedCitation":"(Schofield et al., 2001)","manualFormatting":"(Schofield et al., 2001;","plainTextFormattedCitation":"(Schofield et al., 2001)","previouslyFormattedCitation":"(Schofield et al., 2001)"},"properties":{"noteIndex":0},"schema":"https://github.com/citation-style-language/schema/raw/master/csl-citation.json"}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(Schofield et al., 2001</w:t>
      </w:r>
      <w:r w:rsidR="00E3165B">
        <w:rPr>
          <w:rFonts w:ascii="Arial" w:hAnsi="Arial" w:cs="Arial"/>
          <w:noProof/>
          <w:sz w:val="20"/>
          <w:szCs w:val="20"/>
          <w:lang w:val="en-US"/>
        </w:rPr>
        <w:t>;</w:t>
      </w:r>
      <w:r w:rsidR="003253AB">
        <w:rPr>
          <w:rFonts w:ascii="Arial" w:hAnsi="Arial" w:cs="Arial"/>
          <w:sz w:val="20"/>
          <w:szCs w:val="20"/>
          <w:lang w:val="en-US"/>
        </w:rPr>
        <w:fldChar w:fldCharType="end"/>
      </w:r>
      <w:r w:rsidR="00E3165B">
        <w:rPr>
          <w:rFonts w:ascii="Arial" w:hAnsi="Arial" w:cs="Arial"/>
          <w:sz w:val="20"/>
          <w:szCs w:val="20"/>
          <w:lang w:val="en-US"/>
        </w:rPr>
        <w:t xml:space="preserve"> </w:t>
      </w:r>
      <w:r w:rsidR="003253AB">
        <w:rPr>
          <w:rFonts w:ascii="Arial" w:hAnsi="Arial" w:cs="Arial"/>
          <w:sz w:val="20"/>
          <w:szCs w:val="20"/>
          <w:lang w:val="en-US"/>
        </w:rPr>
        <w:fldChar w:fldCharType="begin" w:fldLock="1"/>
      </w:r>
      <w:r w:rsidR="009A063C">
        <w:rPr>
          <w:rFonts w:ascii="Arial" w:hAnsi="Arial" w:cs="Arial"/>
          <w:sz w:val="20"/>
          <w:szCs w:val="20"/>
          <w:lang w:val="en-US"/>
        </w:rPr>
        <w:instrText>ADDIN CSL_CITATION {"citationItems":[{"id":"ITEM-1","itemData":{"ISBN":"1588299937","abstract":"Annotation Plant Secondary Metabolites provides reliable assays to meet the challenge of fulfilling the huge demand for feed. It details plant-animal interactions and presents methodologies that may also be used to determine plant secondary metabolites in human food. In addition, the volume contains methods for analysis of some important plant secondary metabolites, which are written in a recipe-like format designed for direct practical use. Trypsin inhibitor -- Chymotrypsin inhibitor -- [alpha]-Amylase inhibitor -- Phytohemagglutin/lectin -- Phytic acid -- Oxalic acid -- Nitrate and nitrite -- L-mimosine ([beta]-(3hydroxy-4-pyridone-1-yl)- L-alanine) -- Canavanine -- L-DOPA (L-3, 4-dihydroxyphenylalanine) -- Glucosinolates -- Cyanogenic glucosides/cyanogens -- Tannins -- Gossypol -- Chlorogenic acid -- Saponins -- Phorbol esters -- Alkaloids.","author":[{"dropping-particle":"","family":"Makkar","given":"Harinder P. S.","non-dropping-particle":"","parse-names":false,"suffix":""},{"dropping-particle":"","family":"Siddhuraju","given":"P.","non-dropping-particle":"","parse-names":false,"suffix":""},{"dropping-particle":"","family":"Becker","given":"Klaus.","non-dropping-particle":"","parse-names":false,"suffix":""}],"id":"ITEM-1","issued":{"date-parts":[["2007"]]},"number-of-pages":"130","publisher":"Humana Press Inc., Totowa, New Jersey 07512","publisher-place":"Totowa, New Jersey 07512","title":"Plant secondary metabolites","type":"book"},"uris":["http://www.mendeley.com/documents/?uuid=ba2188ec-2aa6-3854-b5d2-942a114c7dc8"]}],"mendeley":{"formattedCitation":"(Makkar et al., 2007)","manualFormatting":"Makkar et al., 2007)","plainTextFormattedCitation":"(Makkar et al., 2007)","previouslyFormattedCitation":"(Makkar et al., 2007)"},"properties":{"noteIndex":0},"schema":"https://github.com/citation-style-language/schema/raw/master/csl-citation.json"}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Makkar et al., 2007)</w:t>
      </w:r>
      <w:r w:rsidR="003253AB">
        <w:rPr>
          <w:rFonts w:ascii="Arial" w:hAnsi="Arial" w:cs="Arial"/>
          <w:sz w:val="20"/>
          <w:szCs w:val="20"/>
          <w:lang w:val="en-US"/>
        </w:rPr>
        <w:fldChar w:fldCharType="end"/>
      </w:r>
      <w:r w:rsidR="003253AB">
        <w:rPr>
          <w:rFonts w:ascii="Arial" w:hAnsi="Arial" w:cs="Arial"/>
          <w:sz w:val="20"/>
          <w:szCs w:val="20"/>
          <w:lang w:val="en-US"/>
        </w:rPr>
        <w:t>.</w:t>
      </w:r>
      <w:r w:rsidRPr="00380BA4">
        <w:rPr>
          <w:rFonts w:ascii="Arial" w:hAnsi="Arial" w:cs="Arial"/>
          <w:color w:val="FF0000"/>
          <w:sz w:val="20"/>
          <w:szCs w:val="20"/>
          <w:lang w:val="en-US"/>
        </w:rPr>
        <w:t xml:space="preserve"> </w:t>
      </w:r>
      <w:r w:rsidRPr="00380BA4">
        <w:rPr>
          <w:rFonts w:ascii="Arial" w:hAnsi="Arial" w:cs="Arial"/>
          <w:sz w:val="20"/>
          <w:szCs w:val="20"/>
          <w:lang w:val="en-US"/>
        </w:rPr>
        <w:t xml:space="preserve">This phenomenon is explained by the property of tannins to convert into red-colored </w:t>
      </w:r>
      <w:proofErr w:type="spellStart"/>
      <w:r w:rsidRPr="00380BA4">
        <w:rPr>
          <w:rFonts w:ascii="Arial" w:hAnsi="Arial" w:cs="Arial"/>
          <w:sz w:val="20"/>
          <w:szCs w:val="20"/>
          <w:lang w:val="en-US"/>
        </w:rPr>
        <w:t>anthocyanidols</w:t>
      </w:r>
      <w:proofErr w:type="spellEnd"/>
      <w:r w:rsidRPr="00380BA4">
        <w:rPr>
          <w:rFonts w:ascii="Arial" w:hAnsi="Arial" w:cs="Arial"/>
          <w:sz w:val="20"/>
          <w:szCs w:val="20"/>
          <w:lang w:val="en-US"/>
        </w:rPr>
        <w:t xml:space="preserve"> upon reaction with vanillin</w:t>
      </w:r>
      <w:r w:rsidR="000715FE">
        <w:rPr>
          <w:rFonts w:ascii="Arial" w:hAnsi="Arial" w:cs="Arial"/>
          <w:sz w:val="20"/>
          <w:szCs w:val="20"/>
          <w:lang w:val="en-US"/>
        </w:rPr>
        <w:t xml:space="preserve"> </w:t>
      </w:r>
      <w:r w:rsidR="000715FE">
        <w:rPr>
          <w:rFonts w:ascii="Arial" w:hAnsi="Arial" w:cs="Arial"/>
          <w:sz w:val="20"/>
          <w:szCs w:val="20"/>
          <w:lang w:val="en-US"/>
        </w:rPr>
        <w:fldChar w:fldCharType="begin" w:fldLock="1"/>
      </w:r>
      <w:r w:rsidR="00085CF4">
        <w:rPr>
          <w:rFonts w:ascii="Arial" w:hAnsi="Arial" w:cs="Arial"/>
          <w:sz w:val="20"/>
          <w:szCs w:val="20"/>
          <w:lang w:val="en-US"/>
        </w:rPr>
        <w:instrText>ADDIN CSL_CITATION {"citationItems":[{"id":"ITEM-1","itemData":{"DOI":"10.1021/jf980366j","ISSN":"00218561","abstract":"Several parameters mostly affecting the precision and accuracy of vanillin assay were reexamined and optimized. The reexamination was performed both by vanillin reaction with catechins and by vanillin reaction with purified proanthocyanidins. In addition to the acid nature and concentration, the reaction time, the temperature, and the vanillin concentration, other factors such as the water content, the presence of interfering substances, and the standard utilized, for both vanillin reaction with catechins and vanillin reaction with proanthocyanidins, were also important. However, the kinetics of the two types of reactions were markedly different. For estimating accurately catechins or proanthocyanidins that exist simultaneously in plant tissues, it is necessary to preliminarily separate them from each other.","author":[{"dropping-particle":"","family":"Sun","given":"Baoshan","non-dropping-particle":"","parse-names":false,"suffix":""},{"dropping-particle":"","family":"Ricardo-da-Silva","given":"Jorge M.","non-dropping-particle":"","parse-names":false,"suffix":""},{"dropping-particle":"","family":"Spranger","given":"Isabel","non-dropping-particle":"","parse-names":false,"suffix":""}],"container-title":"Journal of Agricultural and Food Chemistry","id":"ITEM-1","issue":"10","issued":{"date-parts":[["1998"]]},"page":"4267-4274","title":"Critical Factors of Vanillin Assay for Catechins and Proanthocyanidins","type":"article-journal","volume":"46"},"uris":["http://www.mendeley.com/documents/?uuid=eacb93bf-d6c8-4da5-bb8e-772a479d6ae2"]}],"mendeley":{"formattedCitation":"(Sun et al., 1998)","plainTextFormattedCitation":"(Sun et al., 1998)","previouslyFormattedCitation":"(Sun et al., 1998)"},"properties":{"noteIndex":0},"schema":"https://github.com/citation-style-language/schema/raw/master/csl-citation.json"}</w:instrText>
      </w:r>
      <w:r w:rsidR="000715FE">
        <w:rPr>
          <w:rFonts w:ascii="Arial" w:hAnsi="Arial" w:cs="Arial"/>
          <w:sz w:val="20"/>
          <w:szCs w:val="20"/>
          <w:lang w:val="en-US"/>
        </w:rPr>
        <w:fldChar w:fldCharType="separate"/>
      </w:r>
      <w:r w:rsidR="000715FE" w:rsidRPr="000715FE">
        <w:rPr>
          <w:rFonts w:ascii="Arial" w:hAnsi="Arial" w:cs="Arial"/>
          <w:noProof/>
          <w:sz w:val="20"/>
          <w:szCs w:val="20"/>
          <w:lang w:val="en-US"/>
        </w:rPr>
        <w:t>(Sun et al., 1998)</w:t>
      </w:r>
      <w:r w:rsidR="000715FE">
        <w:rPr>
          <w:rFonts w:ascii="Arial" w:hAnsi="Arial" w:cs="Arial"/>
          <w:sz w:val="20"/>
          <w:szCs w:val="20"/>
          <w:lang w:val="en-US"/>
        </w:rPr>
        <w:fldChar w:fldCharType="end"/>
      </w:r>
      <w:r w:rsidR="000715FE">
        <w:rPr>
          <w:rFonts w:ascii="Arial" w:hAnsi="Arial" w:cs="Arial"/>
          <w:sz w:val="20"/>
          <w:szCs w:val="20"/>
          <w:lang w:val="en-US"/>
        </w:rPr>
        <w:t>.</w:t>
      </w:r>
      <w:r w:rsidRPr="00380BA4">
        <w:rPr>
          <w:rFonts w:ascii="Arial" w:hAnsi="Arial" w:cs="Arial"/>
          <w:color w:val="FF0000"/>
          <w:sz w:val="20"/>
          <w:szCs w:val="20"/>
          <w:lang w:val="en-US"/>
        </w:rPr>
        <w:t xml:space="preserve"> </w:t>
      </w:r>
      <w:r w:rsidRPr="00380BA4">
        <w:rPr>
          <w:rFonts w:ascii="Arial" w:hAnsi="Arial" w:cs="Arial"/>
          <w:sz w:val="20"/>
          <w:szCs w:val="20"/>
          <w:lang w:val="en-US"/>
        </w:rPr>
        <w:t>The content of condensed tannins was determined using the vanillin method described by</w:t>
      </w:r>
      <w:r w:rsidR="003253AB">
        <w:rPr>
          <w:rFonts w:ascii="Arial" w:hAnsi="Arial" w:cs="Arial"/>
          <w:sz w:val="20"/>
          <w:szCs w:val="20"/>
          <w:lang w:val="en-US"/>
        </w:rPr>
        <w:t xml:space="preserve"> </w:t>
      </w:r>
      <w:r w:rsidR="003253AB">
        <w:rPr>
          <w:rFonts w:ascii="Arial" w:hAnsi="Arial" w:cs="Arial"/>
          <w:sz w:val="20"/>
          <w:szCs w:val="20"/>
          <w:lang w:val="en-US"/>
        </w:rPr>
        <w:fldChar w:fldCharType="begin" w:fldLock="1"/>
      </w:r>
      <w:r w:rsidR="009A063C">
        <w:rPr>
          <w:rFonts w:ascii="Arial" w:hAnsi="Arial" w:cs="Arial"/>
          <w:sz w:val="20"/>
          <w:szCs w:val="20"/>
          <w:lang w:val="en-US"/>
        </w:rPr>
        <w:instrText>ADDIN CSL_CITATION {"citationItems":[{"id":"ITEM-1","itemData":{"DOI":"0021-8561/85/1433-0213$01.50/0","author":[{"dropping-particle":"","family":"Julkunen-Tiitto","given":"Riitta","non-dropping-particle":"","parse-names":false,"suffix":""}],"container-title":"Journal of Agricultural and Food Chemistry","id":"ITEM-1","issue":"92","issued":{"date-parts":[["1985"]]},"page":"448","title":"Phenolic Constituents in the Leaves of Northern Willows: Methods for the Analysis of Certain Phenolics","type":"article-journal","volume":"33"},"uris":["http://www.mendeley.com/documents/?uuid=31dd1449-3b1f-4d0e-a6f3-3ebe633a6aa7"]}],"mendeley":{"formattedCitation":"(Julkunen-Tiitto, 1985)","manualFormatting":"Julkunen-Tiitto (1985)","plainTextFormattedCitation":"(Julkunen-Tiitto, 1985)","previouslyFormattedCitation":"(Julkunen-Tiitto, 1985)"},"properties":{"noteIndex":0},"schema":"https://github.com/citation-style-language/schema/raw/master/csl-citation.json"}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Julkunen-Tiitto</w:t>
      </w:r>
      <w:r w:rsidR="00E66301">
        <w:rPr>
          <w:rFonts w:ascii="Arial" w:hAnsi="Arial" w:cs="Arial"/>
          <w:noProof/>
          <w:sz w:val="20"/>
          <w:szCs w:val="20"/>
          <w:lang w:val="en-US"/>
        </w:rPr>
        <w:t xml:space="preserve"> </w:t>
      </w:r>
      <w:r w:rsidR="003253AB">
        <w:rPr>
          <w:rFonts w:ascii="Arial" w:hAnsi="Arial" w:cs="Arial"/>
          <w:noProof/>
          <w:sz w:val="20"/>
          <w:szCs w:val="20"/>
          <w:lang w:val="en-US"/>
        </w:rPr>
        <w:t>(</w:t>
      </w:r>
      <w:r w:rsidR="003253AB" w:rsidRPr="003253AB">
        <w:rPr>
          <w:rFonts w:ascii="Arial" w:hAnsi="Arial" w:cs="Arial"/>
          <w:noProof/>
          <w:sz w:val="20"/>
          <w:szCs w:val="20"/>
          <w:lang w:val="en-US"/>
        </w:rPr>
        <w:t>1985)</w:t>
      </w:r>
      <w:r w:rsidR="003253AB">
        <w:rPr>
          <w:rFonts w:ascii="Arial" w:hAnsi="Arial" w:cs="Arial"/>
          <w:sz w:val="20"/>
          <w:szCs w:val="20"/>
          <w:lang w:val="en-US"/>
        </w:rPr>
        <w:fldChar w:fldCharType="end"/>
      </w:r>
      <w:r w:rsidR="003253AB">
        <w:rPr>
          <w:rFonts w:ascii="Arial" w:hAnsi="Arial" w:cs="Arial"/>
          <w:sz w:val="20"/>
          <w:szCs w:val="20"/>
          <w:lang w:val="en-US"/>
        </w:rPr>
        <w:t>.</w:t>
      </w:r>
      <w:r w:rsidRPr="00380BA4">
        <w:rPr>
          <w:rFonts w:ascii="Arial" w:hAnsi="Arial" w:cs="Arial"/>
          <w:sz w:val="20"/>
          <w:szCs w:val="20"/>
          <w:lang w:val="en-US"/>
        </w:rPr>
        <w:t xml:space="preserve">A volume of 500 µl of each extract was added to 1500 µl of the 4% vanillin/methanol solution and then mixed vigorously. Next, a volume of 750 µl of concentrated hydrochloric acid (HCl) was added. The resulting mixture was allowed to react at room temperature for 20 minutes. The absorbance was measured at 550 nm against a blank. Different concentrations ranging from 0 to </w:t>
      </w:r>
      <w:r w:rsidR="008E46ED" w:rsidRPr="00380BA4">
        <w:rPr>
          <w:rFonts w:ascii="Arial" w:hAnsi="Arial" w:cs="Arial"/>
          <w:sz w:val="20"/>
          <w:szCs w:val="20"/>
          <w:lang w:val="en-US"/>
        </w:rPr>
        <w:t xml:space="preserve">1000µg/ml </w:t>
      </w:r>
      <w:r w:rsidRPr="00380BA4">
        <w:rPr>
          <w:rFonts w:ascii="Arial" w:hAnsi="Arial" w:cs="Arial"/>
          <w:sz w:val="20"/>
          <w:szCs w:val="20"/>
          <w:lang w:val="en-US"/>
        </w:rPr>
        <w:t>prepared from a stock solution of catechin were used to create the calibration curve.</w:t>
      </w:r>
    </w:p>
    <w:p w14:paraId="4F916060" w14:textId="77777777" w:rsidR="006D53B3" w:rsidRPr="006D53B3" w:rsidRDefault="006D53B3" w:rsidP="006D53B3">
      <w:pPr>
        <w:spacing w:after="0" w:line="240" w:lineRule="auto"/>
        <w:rPr>
          <w:rFonts w:ascii="CharisSIL" w:eastAsia="Times New Roman" w:hAnsi="CharisSIL" w:cs="Times New Roman"/>
          <w:color w:val="000000"/>
          <w:kern w:val="0"/>
          <w:sz w:val="16"/>
          <w:szCs w:val="16"/>
          <w:lang w:val="en-US" w:eastAsia="fr-FR"/>
          <w14:ligatures w14:val="none"/>
        </w:rPr>
      </w:pPr>
    </w:p>
    <w:p w14:paraId="61633E81" w14:textId="60F689FC" w:rsidR="009A731B" w:rsidRPr="00380BA4" w:rsidRDefault="009A731B" w:rsidP="009A731B">
      <w:pPr>
        <w:pStyle w:val="NormalWeb"/>
        <w:numPr>
          <w:ilvl w:val="1"/>
          <w:numId w:val="3"/>
        </w:numPr>
        <w:spacing w:before="0" w:beforeAutospacing="0" w:line="360" w:lineRule="auto"/>
        <w:rPr>
          <w:rFonts w:ascii="Arial" w:hAnsi="Arial" w:cs="Arial"/>
          <w:b/>
          <w:bCs/>
          <w:color w:val="000000" w:themeColor="text1"/>
          <w:sz w:val="22"/>
          <w:szCs w:val="22"/>
          <w:lang w:val="en-US"/>
        </w:rPr>
      </w:pPr>
      <w:r w:rsidRPr="00380BA4">
        <w:rPr>
          <w:rFonts w:ascii="Arial" w:hAnsi="Arial" w:cs="Arial"/>
          <w:b/>
          <w:bCs/>
          <w:color w:val="000000" w:themeColor="text1"/>
          <w:sz w:val="22"/>
          <w:szCs w:val="22"/>
          <w:lang w:val="en-US"/>
        </w:rPr>
        <w:t xml:space="preserve">Evaluation of GLUT4 translocation </w:t>
      </w:r>
      <w:r w:rsidR="000452B1" w:rsidRPr="00380BA4">
        <w:rPr>
          <w:rFonts w:ascii="Arial" w:hAnsi="Arial" w:cs="Arial"/>
          <w:b/>
          <w:bCs/>
          <w:color w:val="000000" w:themeColor="text1"/>
          <w:sz w:val="22"/>
          <w:szCs w:val="22"/>
          <w:lang w:val="en-US"/>
        </w:rPr>
        <w:t>activity</w:t>
      </w:r>
    </w:p>
    <w:p w14:paraId="3761C6FC" w14:textId="77777777" w:rsidR="009A731B" w:rsidRPr="00380BA4" w:rsidRDefault="009A731B" w:rsidP="009A731B">
      <w:pPr>
        <w:pStyle w:val="NormalWeb"/>
        <w:spacing w:before="0" w:beforeAutospacing="0" w:line="360" w:lineRule="auto"/>
        <w:rPr>
          <w:rFonts w:ascii="Arial" w:hAnsi="Arial" w:cs="Arial"/>
          <w:sz w:val="20"/>
          <w:szCs w:val="20"/>
          <w:lang w:val="en-US"/>
        </w:rPr>
      </w:pPr>
      <w:r w:rsidRPr="00380BA4">
        <w:rPr>
          <w:rFonts w:ascii="Arial" w:hAnsi="Arial" w:cs="Arial"/>
          <w:color w:val="000000" w:themeColor="text1"/>
          <w:sz w:val="20"/>
          <w:szCs w:val="20"/>
          <w:lang w:val="en-US"/>
        </w:rPr>
        <w:t xml:space="preserve">GLUT4-myc-GFP cells were cultivated in 96-well imaging plates overnight to avoid light disturbances. The cell culture medium was aspirated, and after washing the cells with HBSS, it was replaced with HBSS for 3 h. The cells were incubated with insulin or the dissolved samples at different concentrations (extracts, fractions, and pure compounds) in KRPH buffer and imaged on an Olympus IX-81 inverted microscope in </w:t>
      </w:r>
      <w:r w:rsidRPr="00380BA4">
        <w:rPr>
          <w:rFonts w:ascii="Arial" w:hAnsi="Arial" w:cs="Arial"/>
          <w:sz w:val="20"/>
          <w:szCs w:val="20"/>
          <w:lang w:val="en-US"/>
        </w:rPr>
        <w:t>a total internal reflection (TIR) configuration via a Plan-Apochromat Olympus 60 NA = 1.49 objective lens</w:t>
      </w:r>
      <w:r w:rsidRPr="00380BA4">
        <w:rPr>
          <w:rFonts w:ascii="Arial" w:hAnsi="Arial" w:cs="Arial"/>
          <w:color w:val="000000" w:themeColor="text1"/>
          <w:sz w:val="20"/>
          <w:szCs w:val="20"/>
          <w:lang w:val="en-US"/>
        </w:rPr>
        <w:t xml:space="preserve">. The 96-well plates were placed on an x–y stage (CMR-STG-MHIX2 motorized table). Scanning of larger areas was supported by </w:t>
      </w:r>
      <w:r w:rsidRPr="00380BA4">
        <w:rPr>
          <w:rFonts w:ascii="Arial" w:hAnsi="Arial" w:cs="Arial"/>
          <w:sz w:val="20"/>
          <w:szCs w:val="20"/>
          <w:lang w:val="en-US"/>
        </w:rPr>
        <w:t>an automated focus maintenance system guided by laser</w:t>
      </w:r>
      <w:r w:rsidRPr="00380BA4">
        <w:rPr>
          <w:rFonts w:ascii="Arial" w:hAnsi="Arial" w:cs="Arial"/>
          <w:color w:val="000000" w:themeColor="text1"/>
          <w:sz w:val="20"/>
          <w:szCs w:val="20"/>
          <w:lang w:val="en-US"/>
        </w:rPr>
        <w:t xml:space="preserve"> (ZDC2). </w:t>
      </w:r>
      <w:r w:rsidRPr="00380BA4">
        <w:rPr>
          <w:rFonts w:ascii="Arial" w:hAnsi="Arial" w:cs="Arial"/>
          <w:sz w:val="20"/>
          <w:szCs w:val="20"/>
          <w:lang w:val="en-US"/>
        </w:rPr>
        <w:t xml:space="preserve">Emission at 488 nm from a diode laser was used to image the fluorescence of the green fluorescent protein (GFP). After appropriate filtering, the fluorescence signal was recorded using an Orca-R2 CCD camera, allowing for the deduction of transporter percentages. Human insulin (Sigma Aldrich, </w:t>
      </w:r>
      <w:proofErr w:type="spellStart"/>
      <w:r w:rsidRPr="00380BA4">
        <w:rPr>
          <w:rFonts w:ascii="Arial" w:hAnsi="Arial" w:cs="Arial"/>
          <w:sz w:val="20"/>
          <w:szCs w:val="20"/>
          <w:lang w:val="en-US"/>
        </w:rPr>
        <w:t>Schnelldorf</w:t>
      </w:r>
      <w:proofErr w:type="spellEnd"/>
      <w:r w:rsidRPr="00380BA4">
        <w:rPr>
          <w:rFonts w:ascii="Arial" w:hAnsi="Arial" w:cs="Arial"/>
          <w:sz w:val="20"/>
          <w:szCs w:val="20"/>
          <w:lang w:val="en-US"/>
        </w:rPr>
        <w:t>, Germany) was used as the reference hormone. The results obtained were expressed as a percentage of insulin (%Insulin).</w:t>
      </w:r>
    </w:p>
    <w:p w14:paraId="3D1B8F82" w14:textId="2C0828BD" w:rsidR="009A731B" w:rsidRPr="00380BA4" w:rsidRDefault="009A731B" w:rsidP="009A731B">
      <w:pPr>
        <w:pStyle w:val="NormalWeb"/>
        <w:numPr>
          <w:ilvl w:val="1"/>
          <w:numId w:val="3"/>
        </w:numPr>
        <w:spacing w:line="360" w:lineRule="auto"/>
        <w:rPr>
          <w:rFonts w:ascii="Arial" w:hAnsi="Arial" w:cs="Arial"/>
          <w:b/>
          <w:bCs/>
          <w:color w:val="000000" w:themeColor="text1"/>
          <w:sz w:val="22"/>
          <w:szCs w:val="22"/>
          <w:lang w:val="en-US"/>
        </w:rPr>
      </w:pPr>
      <w:r w:rsidRPr="00380BA4">
        <w:rPr>
          <w:rFonts w:ascii="Arial" w:hAnsi="Arial" w:cs="Arial"/>
          <w:b/>
          <w:bCs/>
          <w:color w:val="000000" w:themeColor="text1"/>
          <w:sz w:val="22"/>
          <w:szCs w:val="22"/>
          <w:lang w:val="en-US"/>
        </w:rPr>
        <w:t xml:space="preserve">UPLC-UV-ESI-TOF-MS analysis of extract  </w:t>
      </w:r>
    </w:p>
    <w:p w14:paraId="535274BF" w14:textId="12B8B4F5" w:rsidR="006163FB" w:rsidRPr="00380BA4" w:rsidRDefault="009A731B" w:rsidP="006A76B2">
      <w:pPr>
        <w:pStyle w:val="NormalWeb"/>
        <w:spacing w:line="360" w:lineRule="auto"/>
        <w:rPr>
          <w:rFonts w:ascii="Arial" w:hAnsi="Arial" w:cs="Arial"/>
          <w:sz w:val="20"/>
          <w:szCs w:val="20"/>
          <w:lang w:val="en-US"/>
        </w:rPr>
      </w:pPr>
      <w:r w:rsidRPr="00380BA4">
        <w:rPr>
          <w:rFonts w:ascii="Arial" w:hAnsi="Arial" w:cs="Arial"/>
          <w:sz w:val="20"/>
          <w:szCs w:val="20"/>
          <w:lang w:val="en-US"/>
        </w:rPr>
        <w:t xml:space="preserve">Aliquots of the extracts (1 ml each) were analyzed using UPLC/ESI-TOF-MS on a mass spectrometer coupled with an </w:t>
      </w:r>
      <w:proofErr w:type="spellStart"/>
      <w:r w:rsidRPr="00380BA4">
        <w:rPr>
          <w:rFonts w:ascii="Arial" w:hAnsi="Arial" w:cs="Arial"/>
          <w:sz w:val="20"/>
          <w:szCs w:val="20"/>
          <w:lang w:val="en-US"/>
        </w:rPr>
        <w:t>Acquity</w:t>
      </w:r>
      <w:proofErr w:type="spellEnd"/>
      <w:r w:rsidRPr="00380BA4">
        <w:rPr>
          <w:rFonts w:ascii="Arial" w:hAnsi="Arial" w:cs="Arial"/>
          <w:sz w:val="20"/>
          <w:szCs w:val="20"/>
          <w:lang w:val="en-US"/>
        </w:rPr>
        <w:t xml:space="preserve"> UPLC central system (Waters, Milford, MA, USA) equipped with a BEH C18 column (2 × 150 mm, 1.7 </w:t>
      </w:r>
      <w:r w:rsidRPr="00380BA4">
        <w:rPr>
          <w:rFonts w:ascii="Arial" w:hAnsi="Arial" w:cs="Arial"/>
          <w:sz w:val="20"/>
          <w:szCs w:val="20"/>
        </w:rPr>
        <w:t>μ</w:t>
      </w:r>
      <w:r w:rsidRPr="00380BA4">
        <w:rPr>
          <w:rFonts w:ascii="Arial" w:hAnsi="Arial" w:cs="Arial"/>
          <w:sz w:val="20"/>
          <w:szCs w:val="20"/>
          <w:lang w:val="en-US"/>
        </w:rPr>
        <w:t xml:space="preserve">m) (Waters, Manchester). Operated at a flow rate of 0.5 ml/min at 40 °C, the following gradient was used for chromatography: starting with a mixture (99/1, v/v, A/B) of acetonitrile and aqueous formic acid (0.1% in water; A) and acetonitrile (B), the B content was increased to 100% over 10 mins. The scan time for the </w:t>
      </w:r>
      <w:proofErr w:type="spellStart"/>
      <w:r w:rsidRPr="00380BA4">
        <w:rPr>
          <w:rFonts w:ascii="Arial" w:hAnsi="Arial" w:cs="Arial"/>
          <w:sz w:val="20"/>
          <w:szCs w:val="20"/>
          <w:lang w:val="en-US"/>
        </w:rPr>
        <w:t>MSe</w:t>
      </w:r>
      <w:proofErr w:type="spellEnd"/>
      <w:r w:rsidRPr="00380BA4">
        <w:rPr>
          <w:rFonts w:ascii="Arial" w:hAnsi="Arial" w:cs="Arial"/>
          <w:sz w:val="20"/>
          <w:szCs w:val="20"/>
          <w:lang w:val="en-US"/>
        </w:rPr>
        <w:t xml:space="preserve"> (centroid) method was set to 0.2 seconds. Analyses were performed in negative ESI mode at high resolution using the following ion source parameters: capillary voltage + 2.5 kV, sampling cone 20 V, source offset 40 V, source temperature 120</w:t>
      </w:r>
      <w:r w:rsidR="00A761EA" w:rsidRPr="00380BA4">
        <w:rPr>
          <w:rFonts w:ascii="Arial" w:hAnsi="Arial" w:cs="Arial"/>
          <w:sz w:val="20"/>
          <w:szCs w:val="20"/>
          <w:lang w:val="en-US"/>
        </w:rPr>
        <w:t xml:space="preserve"> </w:t>
      </w:r>
      <w:r w:rsidRPr="00380BA4">
        <w:rPr>
          <w:rFonts w:ascii="Arial" w:hAnsi="Arial" w:cs="Arial"/>
          <w:sz w:val="20"/>
          <w:szCs w:val="20"/>
          <w:lang w:val="en-US"/>
        </w:rPr>
        <w:t xml:space="preserve">°C, </w:t>
      </w:r>
      <w:proofErr w:type="spellStart"/>
      <w:r w:rsidRPr="00380BA4">
        <w:rPr>
          <w:rFonts w:ascii="Arial" w:hAnsi="Arial" w:cs="Arial"/>
          <w:sz w:val="20"/>
          <w:szCs w:val="20"/>
          <w:lang w:val="en-US"/>
        </w:rPr>
        <w:t>desolvation</w:t>
      </w:r>
      <w:proofErr w:type="spellEnd"/>
      <w:r w:rsidRPr="00380BA4">
        <w:rPr>
          <w:rFonts w:ascii="Arial" w:hAnsi="Arial" w:cs="Arial"/>
          <w:sz w:val="20"/>
          <w:szCs w:val="20"/>
          <w:lang w:val="en-US"/>
        </w:rPr>
        <w:t xml:space="preserve"> temperature 450 °C, cone gas flow 2 L/h, nebulizer 6.5 bar, and </w:t>
      </w:r>
      <w:proofErr w:type="spellStart"/>
      <w:r w:rsidRPr="00380BA4">
        <w:rPr>
          <w:rFonts w:ascii="Arial" w:hAnsi="Arial" w:cs="Arial"/>
          <w:sz w:val="20"/>
          <w:szCs w:val="20"/>
          <w:lang w:val="en-US"/>
        </w:rPr>
        <w:t>desolvation</w:t>
      </w:r>
      <w:proofErr w:type="spellEnd"/>
      <w:r w:rsidRPr="00380BA4">
        <w:rPr>
          <w:rFonts w:ascii="Arial" w:hAnsi="Arial" w:cs="Arial"/>
          <w:sz w:val="20"/>
          <w:szCs w:val="20"/>
          <w:lang w:val="en-US"/>
        </w:rPr>
        <w:t xml:space="preserve"> gas 850 L/h. Data processing was performed using </w:t>
      </w:r>
      <w:proofErr w:type="spellStart"/>
      <w:r w:rsidRPr="00380BA4">
        <w:rPr>
          <w:rFonts w:ascii="Arial" w:hAnsi="Arial" w:cs="Arial"/>
          <w:sz w:val="20"/>
          <w:szCs w:val="20"/>
          <w:lang w:val="en-US"/>
        </w:rPr>
        <w:t>MassLynx</w:t>
      </w:r>
      <w:proofErr w:type="spellEnd"/>
      <w:r w:rsidRPr="00380BA4">
        <w:rPr>
          <w:rFonts w:ascii="Arial" w:hAnsi="Arial" w:cs="Arial"/>
          <w:sz w:val="20"/>
          <w:szCs w:val="20"/>
          <w:lang w:val="en-US"/>
        </w:rPr>
        <w:t xml:space="preserve"> 4.1 SCN 9.16 (Waters, Manchester) and the elemental composition tool to determine accurate mass. The structures of the compounds were determined using elemental compositions combined with </w:t>
      </w:r>
      <w:proofErr w:type="spellStart"/>
      <w:r w:rsidRPr="00380BA4">
        <w:rPr>
          <w:rFonts w:ascii="Arial" w:hAnsi="Arial" w:cs="Arial"/>
          <w:sz w:val="20"/>
          <w:szCs w:val="20"/>
          <w:lang w:val="en-US"/>
        </w:rPr>
        <w:t>ChemSpider</w:t>
      </w:r>
      <w:proofErr w:type="spellEnd"/>
      <w:r w:rsidRPr="00380BA4">
        <w:rPr>
          <w:rFonts w:ascii="Arial" w:hAnsi="Arial" w:cs="Arial"/>
          <w:sz w:val="20"/>
          <w:szCs w:val="20"/>
          <w:lang w:val="en-US"/>
        </w:rPr>
        <w:t>, along with phytochemical studies.</w:t>
      </w:r>
    </w:p>
    <w:p w14:paraId="204F18AD" w14:textId="29CA34C6" w:rsidR="006A76B2" w:rsidRPr="00380BA4" w:rsidRDefault="006A76B2" w:rsidP="006A76B2">
      <w:pPr>
        <w:pStyle w:val="NormalWeb"/>
        <w:numPr>
          <w:ilvl w:val="1"/>
          <w:numId w:val="3"/>
        </w:numPr>
        <w:spacing w:line="360" w:lineRule="auto"/>
        <w:rPr>
          <w:rFonts w:ascii="Arial" w:hAnsi="Arial" w:cs="Arial"/>
          <w:b/>
          <w:bCs/>
          <w:sz w:val="20"/>
          <w:szCs w:val="20"/>
          <w:lang w:val="en-US"/>
        </w:rPr>
      </w:pPr>
      <w:r w:rsidRPr="00380BA4">
        <w:rPr>
          <w:rFonts w:ascii="Arial" w:hAnsi="Arial" w:cs="Arial"/>
          <w:b/>
          <w:bCs/>
          <w:sz w:val="22"/>
          <w:szCs w:val="22"/>
          <w:lang w:val="en-US"/>
        </w:rPr>
        <w:t xml:space="preserve">Statistical analysis </w:t>
      </w:r>
    </w:p>
    <w:p w14:paraId="2A1A836D" w14:textId="5302CFC1" w:rsidR="006A76B2" w:rsidRPr="00380BA4" w:rsidRDefault="006A76B2" w:rsidP="006A76B2">
      <w:pPr>
        <w:pStyle w:val="NormalWeb"/>
        <w:spacing w:line="360" w:lineRule="auto"/>
        <w:rPr>
          <w:rFonts w:ascii="Arial" w:hAnsi="Arial" w:cs="Arial"/>
          <w:sz w:val="20"/>
          <w:szCs w:val="20"/>
          <w:lang w:val="en-US"/>
        </w:rPr>
      </w:pPr>
      <w:r w:rsidRPr="00380BA4">
        <w:rPr>
          <w:rFonts w:ascii="Arial" w:hAnsi="Arial" w:cs="Arial"/>
          <w:sz w:val="20"/>
          <w:szCs w:val="20"/>
          <w:lang w:val="en-US"/>
        </w:rPr>
        <w:t>All analyses were conducted in triplicate (</w:t>
      </w:r>
      <w:r w:rsidRPr="00380BA4">
        <w:rPr>
          <w:rFonts w:ascii="Arial" w:hAnsi="Arial" w:cs="Arial"/>
          <w:i/>
          <w:iCs/>
          <w:sz w:val="20"/>
          <w:szCs w:val="20"/>
          <w:lang w:val="en-US"/>
        </w:rPr>
        <w:t xml:space="preserve">n </w:t>
      </w:r>
      <w:r w:rsidRPr="00380BA4">
        <w:rPr>
          <w:rFonts w:ascii="Arial" w:hAnsi="Arial" w:cs="Arial"/>
          <w:sz w:val="20"/>
          <w:szCs w:val="20"/>
          <w:lang w:val="en-US"/>
        </w:rPr>
        <w:t>= 3). Microsoft Excel 2016 software was employed for calculating means and standard de</w:t>
      </w:r>
      <w:r w:rsidRPr="00380BA4">
        <w:rPr>
          <w:rFonts w:ascii="Arial" w:hAnsi="Arial" w:cs="Arial"/>
          <w:sz w:val="20"/>
          <w:szCs w:val="20"/>
          <w:lang w:val="en-US"/>
        </w:rPr>
        <w:softHyphen/>
        <w:t xml:space="preserve">viations. </w:t>
      </w:r>
      <w:proofErr w:type="spellStart"/>
      <w:r w:rsidRPr="00380BA4">
        <w:rPr>
          <w:rFonts w:ascii="Arial" w:hAnsi="Arial" w:cs="Arial"/>
          <w:sz w:val="20"/>
          <w:szCs w:val="20"/>
          <w:lang w:val="en-US"/>
        </w:rPr>
        <w:t>Statgraphic</w:t>
      </w:r>
      <w:proofErr w:type="spellEnd"/>
      <w:r w:rsidRPr="00380BA4">
        <w:rPr>
          <w:rFonts w:ascii="Arial" w:hAnsi="Arial" w:cs="Arial"/>
          <w:sz w:val="20"/>
          <w:szCs w:val="20"/>
          <w:lang w:val="en-US"/>
        </w:rPr>
        <w:t xml:space="preserve"> Centurion 15.2 software (</w:t>
      </w:r>
      <w:proofErr w:type="spellStart"/>
      <w:r w:rsidRPr="00380BA4">
        <w:rPr>
          <w:rFonts w:ascii="Arial" w:hAnsi="Arial" w:cs="Arial"/>
          <w:sz w:val="20"/>
          <w:szCs w:val="20"/>
          <w:lang w:val="en-US"/>
        </w:rPr>
        <w:t>StatPoint</w:t>
      </w:r>
      <w:proofErr w:type="spellEnd"/>
      <w:r w:rsidRPr="00380BA4">
        <w:rPr>
          <w:rFonts w:ascii="Arial" w:hAnsi="Arial" w:cs="Arial"/>
          <w:sz w:val="20"/>
          <w:szCs w:val="20"/>
          <w:lang w:val="en-US"/>
        </w:rPr>
        <w:t xml:space="preserve"> Technologies, Inc., Warrenton, Virginia, USA) was utilized for analysis of variance (one </w:t>
      </w:r>
      <w:r w:rsidR="009422D6" w:rsidRPr="00380BA4">
        <w:rPr>
          <w:rFonts w:ascii="Arial" w:hAnsi="Arial" w:cs="Arial"/>
          <w:sz w:val="20"/>
          <w:szCs w:val="20"/>
          <w:lang w:val="en-US"/>
        </w:rPr>
        <w:t xml:space="preserve">way and multiple way </w:t>
      </w:r>
      <w:r w:rsidRPr="00380BA4">
        <w:rPr>
          <w:rFonts w:ascii="Arial" w:hAnsi="Arial" w:cs="Arial"/>
          <w:sz w:val="20"/>
          <w:szCs w:val="20"/>
          <w:lang w:val="en-US"/>
        </w:rPr>
        <w:t xml:space="preserve">Anova), and means were separated using the Duncan multiple range test at a significance threshold of </w:t>
      </w:r>
      <w:r w:rsidRPr="00380BA4">
        <w:rPr>
          <w:rFonts w:ascii="Arial" w:hAnsi="Arial" w:cs="Arial"/>
          <w:i/>
          <w:iCs/>
          <w:sz w:val="20"/>
          <w:szCs w:val="20"/>
          <w:lang w:val="en-US"/>
        </w:rPr>
        <w:t xml:space="preserve">P &lt; </w:t>
      </w:r>
      <w:r w:rsidRPr="00380BA4">
        <w:rPr>
          <w:rFonts w:ascii="Arial" w:hAnsi="Arial" w:cs="Arial"/>
          <w:sz w:val="20"/>
          <w:szCs w:val="20"/>
          <w:lang w:val="en-US"/>
        </w:rPr>
        <w:t xml:space="preserve">0.05. </w:t>
      </w:r>
      <w:proofErr w:type="spellStart"/>
      <w:r w:rsidRPr="00380BA4">
        <w:rPr>
          <w:rFonts w:ascii="Arial" w:hAnsi="Arial" w:cs="Arial"/>
          <w:sz w:val="20"/>
          <w:szCs w:val="20"/>
          <w:lang w:val="en-US"/>
        </w:rPr>
        <w:t>SigmaPlot</w:t>
      </w:r>
      <w:proofErr w:type="spellEnd"/>
      <w:r w:rsidRPr="00380BA4">
        <w:rPr>
          <w:rFonts w:ascii="Arial" w:hAnsi="Arial" w:cs="Arial"/>
          <w:sz w:val="20"/>
          <w:szCs w:val="20"/>
          <w:lang w:val="en-US"/>
        </w:rPr>
        <w:t xml:space="preserve"> 11.0 software (</w:t>
      </w:r>
      <w:proofErr w:type="spellStart"/>
      <w:r w:rsidRPr="00380BA4">
        <w:rPr>
          <w:rFonts w:ascii="Arial" w:hAnsi="Arial" w:cs="Arial"/>
          <w:sz w:val="20"/>
          <w:szCs w:val="20"/>
          <w:lang w:val="en-US"/>
        </w:rPr>
        <w:t>Systat</w:t>
      </w:r>
      <w:proofErr w:type="spellEnd"/>
      <w:r w:rsidRPr="00380BA4">
        <w:rPr>
          <w:rFonts w:ascii="Arial" w:hAnsi="Arial" w:cs="Arial"/>
          <w:sz w:val="20"/>
          <w:szCs w:val="20"/>
          <w:lang w:val="en-US"/>
        </w:rPr>
        <w:t xml:space="preserve"> Software, Inc., 1735 Technology Drive, Suite 430, San Jose, CA 95,110, USA) was employed for graph plotting.</w:t>
      </w:r>
    </w:p>
    <w:p w14:paraId="0475570C" w14:textId="4F7FE0ED" w:rsidR="00BD32E8" w:rsidRPr="00380BA4" w:rsidRDefault="003730C8" w:rsidP="00BD32E8">
      <w:pPr>
        <w:pStyle w:val="ListParagraph"/>
        <w:numPr>
          <w:ilvl w:val="0"/>
          <w:numId w:val="1"/>
        </w:numPr>
        <w:spacing w:line="360" w:lineRule="auto"/>
        <w:jc w:val="both"/>
        <w:rPr>
          <w:rFonts w:ascii="Arial" w:hAnsi="Arial" w:cs="Arial"/>
          <w:b/>
          <w:bCs/>
          <w:lang w:val="en-US"/>
        </w:rPr>
      </w:pPr>
      <w:r w:rsidRPr="00380BA4">
        <w:rPr>
          <w:rFonts w:ascii="Arial" w:hAnsi="Arial" w:cs="Arial"/>
          <w:b/>
          <w:bCs/>
          <w:lang w:val="en-US"/>
        </w:rPr>
        <w:t>RESULTS AND DISCUSSION</w:t>
      </w:r>
    </w:p>
    <w:p w14:paraId="119F7495" w14:textId="09CC7A1D" w:rsidR="006163FB" w:rsidRPr="00380BA4" w:rsidRDefault="000C6D82" w:rsidP="00081A72">
      <w:pPr>
        <w:pStyle w:val="ListParagraph"/>
        <w:spacing w:after="0" w:line="240" w:lineRule="auto"/>
        <w:ind w:left="360"/>
        <w:jc w:val="both"/>
        <w:rPr>
          <w:rFonts w:ascii="Arial" w:hAnsi="Arial" w:cs="Arial"/>
          <w:b/>
          <w:bCs/>
          <w:sz w:val="26"/>
          <w:szCs w:val="26"/>
          <w:lang w:val="en-US"/>
        </w:rPr>
      </w:pPr>
      <w:r w:rsidRPr="00380BA4">
        <w:rPr>
          <w:rFonts w:ascii="Arial" w:hAnsi="Arial" w:cs="Arial"/>
          <w:b/>
          <w:bCs/>
          <w:sz w:val="26"/>
          <w:szCs w:val="26"/>
          <w:lang w:val="en-US"/>
        </w:rPr>
        <w:lastRenderedPageBreak/>
        <w:t xml:space="preserve"> </w:t>
      </w:r>
    </w:p>
    <w:p w14:paraId="43EBD46C" w14:textId="4794C993" w:rsidR="006163FB" w:rsidRPr="00380BA4" w:rsidRDefault="000D5690" w:rsidP="000D5690">
      <w:pPr>
        <w:pStyle w:val="ListParagraph"/>
        <w:numPr>
          <w:ilvl w:val="1"/>
          <w:numId w:val="1"/>
        </w:numPr>
        <w:tabs>
          <w:tab w:val="left" w:pos="567"/>
        </w:tabs>
        <w:spacing w:line="360" w:lineRule="auto"/>
        <w:jc w:val="both"/>
        <w:rPr>
          <w:rFonts w:ascii="Arial" w:hAnsi="Arial" w:cs="Arial"/>
          <w:b/>
          <w:bCs/>
        </w:rPr>
      </w:pPr>
      <w:proofErr w:type="spellStart"/>
      <w:r>
        <w:rPr>
          <w:rFonts w:ascii="Arial" w:hAnsi="Arial" w:cs="Arial"/>
          <w:b/>
          <w:bCs/>
        </w:rPr>
        <w:t>Moisture</w:t>
      </w:r>
      <w:proofErr w:type="spellEnd"/>
      <w:r>
        <w:rPr>
          <w:rFonts w:ascii="Arial" w:hAnsi="Arial" w:cs="Arial"/>
          <w:b/>
          <w:bCs/>
        </w:rPr>
        <w:t xml:space="preserve"> c</w:t>
      </w:r>
      <w:r w:rsidR="00CC42DC" w:rsidRPr="00380BA4">
        <w:rPr>
          <w:rFonts w:ascii="Arial" w:hAnsi="Arial" w:cs="Arial"/>
          <w:b/>
          <w:bCs/>
        </w:rPr>
        <w:t xml:space="preserve">ontent </w:t>
      </w:r>
    </w:p>
    <w:p w14:paraId="7BEB858C" w14:textId="11FE1EE3" w:rsidR="003816B7" w:rsidRPr="00380BA4" w:rsidRDefault="003816B7" w:rsidP="00245B33">
      <w:pPr>
        <w:spacing w:line="360" w:lineRule="auto"/>
        <w:jc w:val="both"/>
        <w:rPr>
          <w:rFonts w:ascii="Arial" w:hAnsi="Arial" w:cs="Arial"/>
          <w:sz w:val="20"/>
          <w:szCs w:val="20"/>
          <w:lang w:val="en-US"/>
        </w:rPr>
      </w:pPr>
      <w:r w:rsidRPr="00380BA4">
        <w:rPr>
          <w:rFonts w:ascii="Arial" w:hAnsi="Arial" w:cs="Arial"/>
          <w:sz w:val="20"/>
          <w:szCs w:val="20"/>
          <w:lang w:val="en-US"/>
        </w:rPr>
        <w:t xml:space="preserve">Moisture content is a key factor that affects the biological stability of a food. This moisture must be removed or significantly reduced to extend the shelf life of the food. To this end, the moisture contents of the powders from the leaves of </w:t>
      </w:r>
      <w:r w:rsidRPr="00380BA4">
        <w:rPr>
          <w:rFonts w:ascii="Arial" w:hAnsi="Arial" w:cs="Arial"/>
          <w:i/>
          <w:iCs/>
          <w:sz w:val="20"/>
          <w:szCs w:val="20"/>
          <w:lang w:val="en-US"/>
        </w:rPr>
        <w:t>A. digitata</w:t>
      </w:r>
      <w:r w:rsidRPr="00380BA4">
        <w:rPr>
          <w:rFonts w:ascii="Arial" w:hAnsi="Arial" w:cs="Arial"/>
          <w:sz w:val="20"/>
          <w:szCs w:val="20"/>
          <w:lang w:val="en-US"/>
        </w:rPr>
        <w:t xml:space="preserve">, </w:t>
      </w:r>
      <w:r w:rsidRPr="00380BA4">
        <w:rPr>
          <w:rFonts w:ascii="Arial" w:hAnsi="Arial" w:cs="Arial"/>
          <w:i/>
          <w:iCs/>
          <w:sz w:val="20"/>
          <w:szCs w:val="20"/>
          <w:lang w:val="en-US"/>
        </w:rPr>
        <w:t>C. olitorius</w:t>
      </w:r>
      <w:r w:rsidRPr="00380BA4">
        <w:rPr>
          <w:rFonts w:ascii="Arial" w:hAnsi="Arial" w:cs="Arial"/>
          <w:sz w:val="20"/>
          <w:szCs w:val="20"/>
          <w:lang w:val="en-US"/>
        </w:rPr>
        <w:t xml:space="preserve">, and the bark of </w:t>
      </w:r>
      <w:r w:rsidRPr="00380BA4">
        <w:rPr>
          <w:rFonts w:ascii="Arial" w:hAnsi="Arial" w:cs="Arial"/>
          <w:i/>
          <w:iCs/>
          <w:sz w:val="20"/>
          <w:szCs w:val="20"/>
          <w:lang w:val="en-US"/>
        </w:rPr>
        <w:t>T. cordifolia</w:t>
      </w:r>
      <w:r w:rsidRPr="00380BA4">
        <w:rPr>
          <w:rFonts w:ascii="Arial" w:hAnsi="Arial" w:cs="Arial"/>
          <w:sz w:val="20"/>
          <w:szCs w:val="20"/>
          <w:lang w:val="en-US"/>
        </w:rPr>
        <w:t xml:space="preserve"> were evaluated and presented in Table 1. It was observed that they varied significantly from 5.89 ± 0.02 to 12.50 ± 1.50 g/100g DM. These values indicate that, regardless of the powder studied, the obtained moisture contents do not favor the development of microorganisms that could degrade the hygienic quality of the powders. They are below 15 g/100g DM, the maximum value beyond which any biological degradation of food is possible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{"citationItems":[{"id":"ITEM-1","itemData":{"DOI":"10.1016/j.lwt.2010.06.036","ISSN":"00236438","abstract":"Extruded snacks were prepared from flour blends made with taro and nixtamalized (TF-NMF) or non-nixtamalized maize (TF-MF) using a single-screw extruder. A central composite design was used to investigate the effects of taro flour proportion in formulations (0-100 g/100 g) and extrusion temperatures (140-180 °C) on the following indices: expansion (EI), water solubility (WSI), water absorption (WAI) and fat absorption (FAI). Moreover, selected TF-NMF and TF-MF extruded products were partially characterized through proximate chemical analysis, resistant starch, color, pH, water activity, apparent density, hardness, and sensory analysis. Results indicated that EI and WSI of both TF-MF and TF-NMF extrudates were significantly increased by the use of higher proportions of taro flour, while the opposite behavior was observed for the FAI (p &lt; 0.05). Taro flour at higher proportions in both extrudates did not produce a significant change of WAI, while the use of higher extrusion temperatures only caused a significant increase of FAI in TF-MF extrudates (p &lt; 0.05). This study showed that flour mixtures made from taro and nixtamalized maize flour produced puffed extruded snacks with good consumer acceptance. © 2010 Elsevier Ltd.","author":[{"dropping-particle":"","family":"Rodríguez-Miranda","given":"J.","non-dropping-particle":"","parse-names":false,"suffix":""},{"dropping-particle":"","family":"Ruiz-López","given":"I. I.","non-dropping-particle":"","parse-names":false,"suffix":""},{"dropping-particle":"","family":"Herman-Lara","given":"E.","non-dropping-particle":"","parse-names":false,"suffix":""},{"dropping-particle":"","family":"Martínez-Sánchez","given":"C. E.","non-dropping-particle":"","parse-names":false,"suffix":""},{"dropping-particle":"","family":"Delgado-Licon","given":"E.","non-dropping-particle":"","parse-names":false,"suffix":""},{"dropping-particle":"","family":"Vivar-Vera","given":"M. A.","non-dropping-particle":"","parse-names":false,"suffix":""}],"container-title":"LWT","id":"ITEM-1","issue":"3","issued":{"date-parts":[["2011"]]},"page":"673-680","publisher":"Academic Press","title":"Development of extruded snacks using taro (Colocasia esculenta) and nixtamalized maize (Zea mays) flour blends","type":"article-journal","volume":"44"},"uris":["http://www.mendeley.com/documents/?uuid=3459299d-da3c-3581-85fb-008e1f9be45f"]}],"mendeley":{"formattedCitation":"(Rodríguez-Miranda et al., 2011)","plainTextFormattedCitation":"(Rodríguez-Miranda et al., 2011)","previouslyFormattedCitation":"(Rodríguez-Miranda et al., 2011)"},"properties":{"noteIndex":0},"schema":"https://github.com/citation-style-language/schema/raw/master/csl-citation.json"}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(Rodríguez-Miranda et al., 2011)</w:t>
      </w:r>
      <w:r w:rsidRPr="00380BA4">
        <w:rPr>
          <w:rFonts w:ascii="Arial" w:hAnsi="Arial" w:cs="Arial"/>
          <w:sz w:val="20"/>
          <w:szCs w:val="20"/>
        </w:rPr>
        <w:fldChar w:fldCharType="end"/>
      </w:r>
      <w:r w:rsidRPr="00380BA4">
        <w:rPr>
          <w:rFonts w:ascii="Arial" w:hAnsi="Arial" w:cs="Arial"/>
          <w:sz w:val="20"/>
          <w:szCs w:val="20"/>
          <w:lang w:val="en-US"/>
        </w:rPr>
        <w:t xml:space="preserve">. These results are similar to those (5.90 to 13.00 g/100g DM) reported by several authors on powders from various plant matrices </w:t>
      </w:r>
      <w:r w:rsidRPr="00380BA4">
        <w:rPr>
          <w:rFonts w:ascii="Arial" w:hAnsi="Arial" w:cs="Arial"/>
          <w:sz w:val="20"/>
          <w:szCs w:val="20"/>
        </w:rPr>
        <w:fldChar w:fldCharType="begin" w:fldLock="1"/>
      </w:r>
      <w:r w:rsidR="00F66F85">
        <w:rPr>
          <w:rFonts w:ascii="Arial" w:hAnsi="Arial" w:cs="Arial"/>
          <w:sz w:val="20"/>
          <w:szCs w:val="20"/>
          <w:lang w:val="en-US"/>
        </w:rPr>
        <w:instrText>ADDIN CSL_CITATION {"citationItems":[{"id":"ITEM-1","itemData":{"DOI":"http://dx.doi.org/10.18006/2015.3(6).541.555","author":[{"dropping-particle":"","family":"Assiéné","given":"Agamou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2015)","manualFormatting":"(Assiéné et al., 2015","plainTextFormattedCitation":"(Assiéné et al., 2015)","previouslyFormattedCitation":"(Assiéné et al., 2015)"},"properties":{"noteIndex":0},"schema":"https://github.com/citation-style-language/schema/raw/master/csl-citation.json"}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(Assiéné et al., 2015</w:t>
      </w:r>
      <w:r w:rsidRPr="00380BA4">
        <w:rPr>
          <w:rFonts w:ascii="Arial" w:hAnsi="Arial" w:cs="Arial"/>
          <w:sz w:val="20"/>
          <w:szCs w:val="20"/>
        </w:rPr>
        <w:fldChar w:fldCharType="end"/>
      </w:r>
      <w:r w:rsidR="000D5690">
        <w:rPr>
          <w:rFonts w:ascii="Arial" w:hAnsi="Arial" w:cs="Arial"/>
          <w:sz w:val="20"/>
          <w:szCs w:val="20"/>
          <w:lang w:val="en-US"/>
        </w:rPr>
        <w:t xml:space="preserve"> </w:t>
      </w:r>
      <w:r w:rsidRPr="00380BA4">
        <w:rPr>
          <w:rFonts w:ascii="Arial" w:hAnsi="Arial" w:cs="Arial"/>
          <w:sz w:val="20"/>
          <w:szCs w:val="20"/>
        </w:rPr>
        <w:fldChar w:fldCharType="begin" w:fldLock="1"/>
      </w:r>
      <w:r w:rsidR="000D5690">
        <w:rPr>
          <w:rFonts w:ascii="Arial" w:hAnsi="Arial" w:cs="Arial"/>
          <w:sz w:val="20"/>
          <w:szCs w:val="20"/>
          <w:lang w:val="en-US"/>
        </w:rPr>
        <w:instrText>ADDIN CSL_CITATION {"citationItems":[{"id":"ITEM-1","itemData":{"DOI":"10.1155/2024/2680085","author":[{"dropping-particle":"","family":"Assiéné","given":"Agamou Julien Armel","non-dropping-particle":"","parse-names":false,"suffix":""},{"dropping-particle":"","family":"Djeukeu","given":"Asongni William","non-dropping-particle":"","parse-names":false,"suffix":""},{"dropping-particle":"","family":"Tizé","given":"Zra","non-dropping-particle":"","parse-names":false,"suffix":""},{"dropping-particle":"","family":"Fongnzossié","given":"Fedoung Evariste","non-dropping-particle":"","parse-names":false,"suffix":""}],"container-title":"Journal of Food Processing and Preservation","id":"ITEM-1","issued":{"date-parts":[["2024"]]},"page":"10 p","title":"Comparative Evaluation of the Bioactive Potential of a Powder and the Particle Size Fractions of Plant Organs From Dacryodes edulis , Solanum torvum , and Curcuma longa","type":"article-journal","volume":"2024"},"uris":["http://www.mendeley.com/documents/?uuid=5d9d5bae-9fda-4990-bd18-93aed325c54f"]}],"mendeley":{"formattedCitation":"(Assiéné, Djeukeu, Tizé, et al., 2024)","manualFormatting":"; Assiéné, Djeukeu, Tizé, et al., 2024)","plainTextFormattedCitation":"(Assiéné, Djeukeu, Tizé, et al., 2024)","previouslyFormattedCitation":"(Assiéné, Djeukeu, Tizé, et al., 2024)"},"properties":{"noteIndex":0},"schema":"https://github.com/citation-style-language/schema/raw/master/csl-citation.json"}</w:instrText>
      </w:r>
      <w:r w:rsidRPr="00380BA4">
        <w:rPr>
          <w:rFonts w:ascii="Arial" w:hAnsi="Arial" w:cs="Arial"/>
          <w:sz w:val="20"/>
          <w:szCs w:val="20"/>
        </w:rPr>
        <w:fldChar w:fldCharType="separate"/>
      </w:r>
      <w:r w:rsidR="000D5690">
        <w:rPr>
          <w:rFonts w:ascii="Arial" w:hAnsi="Arial" w:cs="Arial"/>
          <w:noProof/>
          <w:sz w:val="20"/>
          <w:szCs w:val="20"/>
          <w:lang w:val="en-US"/>
        </w:rPr>
        <w:t xml:space="preserve">; </w:t>
      </w:r>
      <w:r w:rsidRPr="00380BA4">
        <w:rPr>
          <w:rFonts w:ascii="Arial" w:hAnsi="Arial" w:cs="Arial"/>
          <w:noProof/>
          <w:sz w:val="20"/>
          <w:szCs w:val="20"/>
          <w:lang w:val="en-US"/>
        </w:rPr>
        <w:t>Assiéné, Djeukeu, Tizé, et al., 2024)</w:t>
      </w:r>
      <w:r w:rsidRPr="00380BA4">
        <w:rPr>
          <w:rFonts w:ascii="Arial" w:hAnsi="Arial" w:cs="Arial"/>
          <w:sz w:val="20"/>
          <w:szCs w:val="20"/>
        </w:rPr>
        <w:fldChar w:fldCharType="end"/>
      </w:r>
      <w:r w:rsidRPr="00380BA4">
        <w:rPr>
          <w:rFonts w:ascii="Arial" w:hAnsi="Arial" w:cs="Arial"/>
          <w:sz w:val="20"/>
          <w:szCs w:val="20"/>
          <w:lang w:val="en-US"/>
        </w:rPr>
        <w:t>. Furthermore, moisture contents are also used to calculate the levels of many food constituents (proteins, carbohydrates, polyphenols, etc.)</w:t>
      </w:r>
      <w:r w:rsidR="000D5690">
        <w:rPr>
          <w:rFonts w:ascii="Arial" w:hAnsi="Arial" w:cs="Arial"/>
          <w:sz w:val="20"/>
          <w:szCs w:val="20"/>
          <w:lang w:val="en-US"/>
        </w:rPr>
        <w:t xml:space="preserve">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{"citationItems":[{"id":"ITEM-1","itemData":{"author":[{"dropping-particle":"","family":"Nielsen","given":"Suzanne S.","non-dropping-particle":"","parse-names":false,"suffix":""}],"chapter-number":"3","container-title":"Food Analysis Laboratory Manuel","id":"ITEM-1","issued":{"date-parts":[["2009"]]},"page":"17-27","title":"Determination of Moisture Content","type":"chapter"},"uris":["http://www.mendeley.com/documents/?uuid=0a7a144d-1fe4-4f4b-8c7b-1205bb996b94"]}],"mendeley":{"formattedCitation":"(Nielsen, 2009)","plainTextFormattedCitation":"(Nielsen, 2009)","previouslyFormattedCitation":"(Nielsen, 2009)"},"properties":{"noteIndex":0},"schema":"https://github.com/citation-style-language/schema/raw/master/csl-citation.json"}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(Nielsen, 2009)</w:t>
      </w:r>
      <w:r w:rsidRPr="00380BA4">
        <w:rPr>
          <w:rFonts w:ascii="Arial" w:hAnsi="Arial" w:cs="Arial"/>
          <w:sz w:val="20"/>
          <w:szCs w:val="20"/>
        </w:rPr>
        <w:fldChar w:fldCharType="end"/>
      </w:r>
      <w:r w:rsidRPr="00380BA4">
        <w:rPr>
          <w:rFonts w:ascii="Arial" w:hAnsi="Arial" w:cs="Arial"/>
          <w:sz w:val="20"/>
          <w:szCs w:val="20"/>
          <w:lang w:val="en-US"/>
        </w:rPr>
        <w:t>. This highlights the importance of measuring moisture in the evaluation of the proximate composition of the studied powders.</w:t>
      </w:r>
    </w:p>
    <w:p w14:paraId="46FD91DB" w14:textId="1E2928DA" w:rsidR="006163FB" w:rsidRPr="00BC5F1D" w:rsidRDefault="006163FB" w:rsidP="006163FB">
      <w:pPr>
        <w:spacing w:line="360" w:lineRule="auto"/>
        <w:jc w:val="both"/>
        <w:rPr>
          <w:rFonts w:ascii="Arial" w:eastAsia="Calibri" w:hAnsi="Arial" w:cs="Arial"/>
          <w:sz w:val="20"/>
          <w:szCs w:val="20"/>
          <w:lang w:val="en-US"/>
        </w:rPr>
      </w:pPr>
      <w:bookmarkStart w:id="0" w:name="_Hlk189335684"/>
      <w:r w:rsidRPr="00BC5F1D">
        <w:rPr>
          <w:rFonts w:ascii="Arial" w:eastAsia="Calibri" w:hAnsi="Arial" w:cs="Arial"/>
          <w:b/>
          <w:sz w:val="20"/>
          <w:szCs w:val="20"/>
          <w:lang w:val="en-US"/>
        </w:rPr>
        <w:t xml:space="preserve">Table </w:t>
      </w:r>
      <w:r w:rsidR="00CC42DC" w:rsidRPr="00BC5F1D">
        <w:rPr>
          <w:rFonts w:ascii="Arial" w:eastAsia="Calibri" w:hAnsi="Arial" w:cs="Arial"/>
          <w:b/>
          <w:sz w:val="20"/>
          <w:szCs w:val="20"/>
          <w:lang w:val="en-US"/>
        </w:rPr>
        <w:t>1</w:t>
      </w:r>
      <w:r w:rsidR="00CC42DC" w:rsidRPr="00BC5F1D">
        <w:rPr>
          <w:rFonts w:ascii="Arial" w:eastAsia="Calibri" w:hAnsi="Arial" w:cs="Arial"/>
          <w:sz w:val="20"/>
          <w:szCs w:val="20"/>
          <w:lang w:val="en-US"/>
        </w:rPr>
        <w:t>:</w:t>
      </w:r>
      <w:r w:rsidRPr="00BC5F1D">
        <w:rPr>
          <w:rFonts w:ascii="Arial" w:eastAsia="Calibri" w:hAnsi="Arial" w:cs="Arial"/>
          <w:sz w:val="20"/>
          <w:szCs w:val="20"/>
          <w:lang w:val="en-US"/>
        </w:rPr>
        <w:t xml:space="preserve"> </w:t>
      </w:r>
      <w:r w:rsidR="00CC42DC" w:rsidRPr="00BC5F1D">
        <w:rPr>
          <w:rFonts w:ascii="Arial" w:eastAsia="Calibri" w:hAnsi="Arial" w:cs="Arial"/>
          <w:sz w:val="20"/>
          <w:szCs w:val="20"/>
          <w:lang w:val="en-US"/>
        </w:rPr>
        <w:t>Proximate composition</w:t>
      </w:r>
      <w:r w:rsidRPr="00BC5F1D">
        <w:rPr>
          <w:rFonts w:ascii="Arial" w:eastAsia="Calibri" w:hAnsi="Arial" w:cs="Arial"/>
          <w:sz w:val="20"/>
          <w:szCs w:val="20"/>
          <w:lang w:val="en-US"/>
        </w:rPr>
        <w:t xml:space="preserve"> (g/100g </w:t>
      </w:r>
      <w:r w:rsidR="00CC42DC" w:rsidRPr="00BC5F1D">
        <w:rPr>
          <w:rFonts w:ascii="Arial" w:eastAsia="Calibri" w:hAnsi="Arial" w:cs="Arial"/>
          <w:sz w:val="20"/>
          <w:szCs w:val="20"/>
          <w:lang w:val="en-US"/>
        </w:rPr>
        <w:t>DM</w:t>
      </w:r>
      <w:r w:rsidRPr="00BC5F1D">
        <w:rPr>
          <w:rFonts w:ascii="Arial" w:eastAsia="Calibri" w:hAnsi="Arial" w:cs="Arial"/>
          <w:sz w:val="20"/>
          <w:szCs w:val="20"/>
          <w:lang w:val="en-US"/>
        </w:rPr>
        <w:t xml:space="preserve">) </w:t>
      </w:r>
      <w:r w:rsidR="00CC42DC" w:rsidRPr="00BC5F1D">
        <w:rPr>
          <w:rFonts w:ascii="Arial" w:eastAsia="Calibri" w:hAnsi="Arial" w:cs="Arial"/>
          <w:sz w:val="20"/>
          <w:szCs w:val="20"/>
          <w:lang w:val="en-US"/>
        </w:rPr>
        <w:t>and energy value</w:t>
      </w:r>
      <w:r w:rsidRPr="00BC5F1D">
        <w:rPr>
          <w:rFonts w:ascii="Arial" w:eastAsia="Calibri" w:hAnsi="Arial" w:cs="Arial"/>
          <w:sz w:val="20"/>
          <w:szCs w:val="20"/>
          <w:lang w:val="en-US"/>
        </w:rPr>
        <w:t xml:space="preserve"> </w:t>
      </w:r>
      <w:r w:rsidR="002A4575" w:rsidRPr="00BC5F1D">
        <w:rPr>
          <w:rFonts w:ascii="Arial" w:eastAsia="Calibri" w:hAnsi="Arial" w:cs="Arial"/>
          <w:sz w:val="20"/>
          <w:szCs w:val="20"/>
          <w:lang w:val="en-US"/>
        </w:rPr>
        <w:t>of</w:t>
      </w:r>
      <w:r w:rsidR="00CC42DC" w:rsidRPr="00BC5F1D">
        <w:rPr>
          <w:rFonts w:ascii="Arial" w:eastAsia="Calibri" w:hAnsi="Arial" w:cs="Arial"/>
          <w:sz w:val="20"/>
          <w:szCs w:val="20"/>
          <w:lang w:val="en-US"/>
        </w:rPr>
        <w:t xml:space="preserve"> powdered leaves of</w:t>
      </w:r>
      <w:r w:rsidRPr="00BC5F1D">
        <w:rPr>
          <w:rFonts w:ascii="Arial" w:eastAsia="Calibri" w:hAnsi="Arial" w:cs="Arial"/>
          <w:sz w:val="20"/>
          <w:szCs w:val="20"/>
          <w:lang w:val="en-US"/>
        </w:rPr>
        <w:t xml:space="preserve"> </w:t>
      </w:r>
      <w:r w:rsidR="00D746DB" w:rsidRPr="00BC5F1D">
        <w:rPr>
          <w:rFonts w:ascii="Arial" w:eastAsia="Calibri" w:hAnsi="Arial" w:cs="Arial"/>
          <w:i/>
          <w:iCs/>
          <w:sz w:val="20"/>
          <w:szCs w:val="20"/>
          <w:lang w:val="en-US"/>
        </w:rPr>
        <w:t>A</w:t>
      </w:r>
      <w:r w:rsidR="00B6650A">
        <w:rPr>
          <w:rFonts w:ascii="Arial" w:eastAsia="Calibri" w:hAnsi="Arial" w:cs="Arial"/>
          <w:i/>
          <w:iCs/>
          <w:sz w:val="20"/>
          <w:szCs w:val="20"/>
          <w:lang w:val="en-US"/>
        </w:rPr>
        <w:t>.</w:t>
      </w:r>
      <w:r w:rsidR="00D746DB" w:rsidRPr="00BC5F1D">
        <w:rPr>
          <w:rFonts w:ascii="Arial" w:eastAsia="Calibri" w:hAnsi="Arial" w:cs="Arial"/>
          <w:i/>
          <w:iCs/>
          <w:sz w:val="20"/>
          <w:szCs w:val="20"/>
          <w:lang w:val="en-US"/>
        </w:rPr>
        <w:t xml:space="preserve"> digitata, </w:t>
      </w:r>
      <w:r w:rsidRPr="00BC5F1D">
        <w:rPr>
          <w:rFonts w:ascii="Arial" w:eastAsia="Calibri" w:hAnsi="Arial" w:cs="Arial"/>
          <w:i/>
          <w:iCs/>
          <w:sz w:val="20"/>
          <w:szCs w:val="20"/>
          <w:lang w:val="en-US"/>
        </w:rPr>
        <w:t>C</w:t>
      </w:r>
      <w:r w:rsidR="00B6650A">
        <w:rPr>
          <w:rFonts w:ascii="Arial" w:eastAsia="Calibri" w:hAnsi="Arial" w:cs="Arial"/>
          <w:i/>
          <w:iCs/>
          <w:sz w:val="20"/>
          <w:szCs w:val="20"/>
          <w:lang w:val="en-US"/>
        </w:rPr>
        <w:t>.</w:t>
      </w:r>
      <w:r w:rsidRPr="00BC5F1D">
        <w:rPr>
          <w:rFonts w:ascii="Arial" w:eastAsia="Calibri" w:hAnsi="Arial" w:cs="Arial"/>
          <w:i/>
          <w:iCs/>
          <w:sz w:val="20"/>
          <w:szCs w:val="20"/>
          <w:lang w:val="en-US"/>
        </w:rPr>
        <w:t xml:space="preserve"> olitorius</w:t>
      </w:r>
      <w:r w:rsidR="00CC42DC" w:rsidRPr="00BC5F1D">
        <w:rPr>
          <w:rFonts w:ascii="Arial" w:eastAsia="Calibri" w:hAnsi="Arial" w:cs="Arial"/>
          <w:i/>
          <w:iCs/>
          <w:sz w:val="20"/>
          <w:szCs w:val="20"/>
          <w:lang w:val="en-US"/>
        </w:rPr>
        <w:t xml:space="preserve"> </w:t>
      </w:r>
      <w:r w:rsidR="00CC42DC" w:rsidRPr="00BC5F1D">
        <w:rPr>
          <w:rFonts w:ascii="Arial" w:eastAsia="Calibri" w:hAnsi="Arial" w:cs="Arial"/>
          <w:sz w:val="20"/>
          <w:szCs w:val="20"/>
          <w:lang w:val="en-US"/>
        </w:rPr>
        <w:t>and bark of</w:t>
      </w:r>
      <w:r w:rsidRPr="00BC5F1D">
        <w:rPr>
          <w:rFonts w:ascii="Arial" w:eastAsia="Calibri" w:hAnsi="Arial" w:cs="Arial"/>
          <w:sz w:val="20"/>
          <w:szCs w:val="20"/>
          <w:lang w:val="en-US"/>
        </w:rPr>
        <w:t xml:space="preserve"> </w:t>
      </w:r>
      <w:r w:rsidR="00481778" w:rsidRPr="00BC5F1D">
        <w:rPr>
          <w:rFonts w:ascii="Arial" w:hAnsi="Arial" w:cs="Arial"/>
          <w:i/>
          <w:iCs/>
          <w:sz w:val="20"/>
          <w:szCs w:val="20"/>
          <w:lang w:val="en-US"/>
        </w:rPr>
        <w:t>T</w:t>
      </w:r>
      <w:r w:rsidR="00B6650A">
        <w:rPr>
          <w:rFonts w:ascii="Arial" w:hAnsi="Arial" w:cs="Arial"/>
          <w:i/>
          <w:iCs/>
          <w:sz w:val="20"/>
          <w:szCs w:val="20"/>
          <w:lang w:val="en-US"/>
        </w:rPr>
        <w:t>.</w:t>
      </w:r>
      <w:r w:rsidR="00481778" w:rsidRPr="00BC5F1D">
        <w:rPr>
          <w:rFonts w:ascii="Arial" w:hAnsi="Arial" w:cs="Arial"/>
          <w:i/>
          <w:iCs/>
          <w:sz w:val="20"/>
          <w:szCs w:val="20"/>
          <w:lang w:val="en-US"/>
        </w:rPr>
        <w:t xml:space="preserve"> cordifolia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1880"/>
        <w:gridCol w:w="2514"/>
      </w:tblGrid>
      <w:tr w:rsidR="00A45DC5" w:rsidRPr="00BC5F1D" w14:paraId="1AD54EE2" w14:textId="77777777" w:rsidTr="00DE271F">
        <w:trPr>
          <w:trHeight w:val="572"/>
          <w:jc w:val="center"/>
        </w:trPr>
        <w:tc>
          <w:tcPr>
            <w:tcW w:w="2835" w:type="dxa"/>
            <w:tcBorders>
              <w:left w:val="nil"/>
              <w:bottom w:val="single" w:sz="4" w:space="0" w:color="auto"/>
              <w:right w:val="nil"/>
            </w:tcBorders>
            <w:vAlign w:val="center"/>
          </w:tcPr>
          <w:p w14:paraId="08D1534E" w14:textId="08AD7687" w:rsidR="00D746DB" w:rsidRPr="00BC5F1D" w:rsidRDefault="00D746DB" w:rsidP="006163FB">
            <w:pPr>
              <w:spacing w:after="0" w:line="276" w:lineRule="auto"/>
              <w:rPr>
                <w:rFonts w:ascii="Arial" w:eastAsia="Calibri" w:hAnsi="Arial" w:cs="Arial"/>
                <w:b/>
                <w:sz w:val="20"/>
                <w:szCs w:val="20"/>
              </w:rPr>
            </w:pPr>
            <w:proofErr w:type="spellStart"/>
            <w:r w:rsidRPr="00BC5F1D">
              <w:rPr>
                <w:rFonts w:ascii="Arial" w:eastAsia="Calibri" w:hAnsi="Arial" w:cs="Arial"/>
                <w:b/>
                <w:sz w:val="20"/>
                <w:szCs w:val="20"/>
              </w:rPr>
              <w:t>Nutrients</w:t>
            </w:r>
            <w:proofErr w:type="spellEnd"/>
            <w:r w:rsidRPr="00BC5F1D">
              <w:rPr>
                <w:rFonts w:ascii="Arial" w:eastAsia="Calibri" w:hAnsi="Arial" w:cs="Arial"/>
                <w:b/>
                <w:sz w:val="20"/>
                <w:szCs w:val="20"/>
              </w:rPr>
              <w:t xml:space="preserve"> and </w:t>
            </w:r>
            <w:proofErr w:type="spellStart"/>
            <w:r w:rsidRPr="00BC5F1D">
              <w:rPr>
                <w:rFonts w:ascii="Arial" w:eastAsia="Calibri" w:hAnsi="Arial" w:cs="Arial"/>
                <w:b/>
                <w:sz w:val="20"/>
                <w:szCs w:val="20"/>
              </w:rPr>
              <w:t>energy</w:t>
            </w:r>
            <w:proofErr w:type="spellEnd"/>
            <w:r w:rsidRPr="00BC5F1D">
              <w:rPr>
                <w:rFonts w:ascii="Arial" w:eastAsia="Calibri" w:hAnsi="Arial" w:cs="Arial"/>
                <w:b/>
                <w:sz w:val="20"/>
                <w:szCs w:val="20"/>
              </w:rPr>
              <w:t xml:space="preserve"> </w:t>
            </w:r>
          </w:p>
        </w:tc>
        <w:tc>
          <w:tcPr>
            <w:tcW w:w="2127" w:type="dxa"/>
            <w:tcBorders>
              <w:left w:val="nil"/>
              <w:bottom w:val="single" w:sz="4" w:space="0" w:color="auto"/>
              <w:right w:val="nil"/>
            </w:tcBorders>
            <w:vAlign w:val="center"/>
          </w:tcPr>
          <w:p w14:paraId="0D15EC75" w14:textId="3E888F0E" w:rsidR="00D746DB" w:rsidRPr="00BC5F1D" w:rsidRDefault="00D746DB" w:rsidP="006163FB">
            <w:pPr>
              <w:spacing w:after="0" w:line="276" w:lineRule="auto"/>
              <w:jc w:val="center"/>
              <w:rPr>
                <w:rFonts w:ascii="Arial" w:eastAsia="Calibri" w:hAnsi="Arial" w:cs="Arial"/>
                <w:b/>
                <w:i/>
                <w:sz w:val="20"/>
                <w:szCs w:val="20"/>
              </w:rPr>
            </w:pPr>
            <w:r w:rsidRPr="00BC5F1D">
              <w:rPr>
                <w:rFonts w:ascii="Arial" w:eastAsia="Calibri" w:hAnsi="Arial" w:cs="Arial"/>
                <w:b/>
                <w:i/>
                <w:sz w:val="20"/>
                <w:szCs w:val="20"/>
              </w:rPr>
              <w:t>A</w:t>
            </w:r>
            <w:r w:rsidR="00B6650A">
              <w:rPr>
                <w:rFonts w:ascii="Arial" w:eastAsia="Calibri" w:hAnsi="Arial" w:cs="Arial"/>
                <w:b/>
                <w:i/>
                <w:sz w:val="20"/>
                <w:szCs w:val="20"/>
              </w:rPr>
              <w:t>.</w:t>
            </w:r>
            <w:r w:rsidRPr="00BC5F1D">
              <w:rPr>
                <w:rFonts w:ascii="Arial" w:eastAsia="Calibri" w:hAnsi="Arial" w:cs="Arial"/>
                <w:b/>
                <w:i/>
                <w:sz w:val="20"/>
                <w:szCs w:val="20"/>
              </w:rPr>
              <w:t xml:space="preserve"> </w:t>
            </w:r>
            <w:proofErr w:type="spellStart"/>
            <w:r w:rsidRPr="00BC5F1D">
              <w:rPr>
                <w:rFonts w:ascii="Arial" w:eastAsia="Calibri" w:hAnsi="Arial" w:cs="Arial"/>
                <w:b/>
                <w:i/>
                <w:sz w:val="20"/>
                <w:szCs w:val="20"/>
              </w:rPr>
              <w:t>digitata</w:t>
            </w:r>
            <w:proofErr w:type="spellEnd"/>
          </w:p>
        </w:tc>
        <w:tc>
          <w:tcPr>
            <w:tcW w:w="1880" w:type="dxa"/>
            <w:tcBorders>
              <w:left w:val="nil"/>
              <w:bottom w:val="single" w:sz="4" w:space="0" w:color="auto"/>
              <w:right w:val="nil"/>
            </w:tcBorders>
            <w:vAlign w:val="center"/>
          </w:tcPr>
          <w:p w14:paraId="61759B85" w14:textId="5D1CB567" w:rsidR="00D746DB" w:rsidRPr="00BC5F1D" w:rsidRDefault="00D746DB" w:rsidP="006163FB">
            <w:pPr>
              <w:spacing w:after="0" w:line="276" w:lineRule="auto"/>
              <w:jc w:val="center"/>
              <w:rPr>
                <w:rFonts w:ascii="Arial" w:eastAsia="Calibri" w:hAnsi="Arial" w:cs="Arial"/>
                <w:b/>
                <w:i/>
                <w:sz w:val="20"/>
                <w:szCs w:val="20"/>
              </w:rPr>
            </w:pPr>
            <w:r w:rsidRPr="00BC5F1D">
              <w:rPr>
                <w:rFonts w:ascii="Arial" w:eastAsia="Calibri" w:hAnsi="Arial" w:cs="Arial"/>
                <w:b/>
                <w:i/>
                <w:sz w:val="20"/>
                <w:szCs w:val="20"/>
              </w:rPr>
              <w:t>C</w:t>
            </w:r>
            <w:r w:rsidR="00B6650A">
              <w:rPr>
                <w:rFonts w:ascii="Arial" w:eastAsia="Calibri" w:hAnsi="Arial" w:cs="Arial"/>
                <w:b/>
                <w:i/>
                <w:sz w:val="20"/>
                <w:szCs w:val="20"/>
              </w:rPr>
              <w:t xml:space="preserve">. </w:t>
            </w:r>
            <w:r w:rsidRPr="00BC5F1D">
              <w:rPr>
                <w:rFonts w:ascii="Arial" w:eastAsia="Calibri" w:hAnsi="Arial" w:cs="Arial"/>
                <w:b/>
                <w:i/>
                <w:sz w:val="20"/>
                <w:szCs w:val="20"/>
              </w:rPr>
              <w:t>olitorius</w:t>
            </w:r>
          </w:p>
        </w:tc>
        <w:tc>
          <w:tcPr>
            <w:tcW w:w="2514" w:type="dxa"/>
            <w:tcBorders>
              <w:left w:val="nil"/>
              <w:bottom w:val="single" w:sz="4" w:space="0" w:color="auto"/>
              <w:right w:val="nil"/>
            </w:tcBorders>
            <w:vAlign w:val="center"/>
          </w:tcPr>
          <w:p w14:paraId="77DC2264" w14:textId="10397A52" w:rsidR="00D746DB" w:rsidRPr="00BC5F1D" w:rsidRDefault="00481778" w:rsidP="006163FB">
            <w:pPr>
              <w:spacing w:after="0" w:line="276" w:lineRule="auto"/>
              <w:jc w:val="center"/>
              <w:rPr>
                <w:rFonts w:ascii="Arial" w:eastAsia="Calibri" w:hAnsi="Arial" w:cs="Arial"/>
                <w:b/>
                <w:bCs/>
                <w:i/>
                <w:sz w:val="20"/>
                <w:szCs w:val="20"/>
              </w:rPr>
            </w:pPr>
            <w:r w:rsidRPr="00BC5F1D">
              <w:rPr>
                <w:rFonts w:ascii="Arial" w:hAnsi="Arial" w:cs="Arial"/>
                <w:b/>
                <w:bCs/>
                <w:i/>
                <w:iCs/>
                <w:sz w:val="20"/>
                <w:szCs w:val="20"/>
              </w:rPr>
              <w:t>T</w:t>
            </w:r>
            <w:r w:rsidR="00B6650A">
              <w:rPr>
                <w:rFonts w:ascii="Arial" w:hAnsi="Arial" w:cs="Arial"/>
                <w:b/>
                <w:bCs/>
                <w:i/>
                <w:iCs/>
                <w:sz w:val="20"/>
                <w:szCs w:val="20"/>
              </w:rPr>
              <w:t>.</w:t>
            </w:r>
            <w:r w:rsidRPr="00BC5F1D">
              <w:rPr>
                <w:rFonts w:ascii="Arial" w:hAnsi="Arial" w:cs="Arial"/>
                <w:b/>
                <w:bCs/>
                <w:i/>
                <w:iCs/>
                <w:sz w:val="20"/>
                <w:szCs w:val="20"/>
              </w:rPr>
              <w:t xml:space="preserve"> </w:t>
            </w:r>
            <w:proofErr w:type="spellStart"/>
            <w:r w:rsidRPr="00BC5F1D">
              <w:rPr>
                <w:rFonts w:ascii="Arial" w:hAnsi="Arial" w:cs="Arial"/>
                <w:b/>
                <w:bCs/>
                <w:i/>
                <w:iCs/>
                <w:sz w:val="20"/>
                <w:szCs w:val="20"/>
              </w:rPr>
              <w:t>cordifolia</w:t>
            </w:r>
            <w:proofErr w:type="spellEnd"/>
          </w:p>
        </w:tc>
      </w:tr>
      <w:tr w:rsidR="00A45DC5" w:rsidRPr="00BC5F1D" w14:paraId="1152BE28" w14:textId="77777777" w:rsidTr="00DE271F">
        <w:trPr>
          <w:trHeight w:val="572"/>
          <w:jc w:val="center"/>
        </w:trPr>
        <w:tc>
          <w:tcPr>
            <w:tcW w:w="2835" w:type="dxa"/>
            <w:tcBorders>
              <w:left w:val="nil"/>
              <w:bottom w:val="nil"/>
              <w:right w:val="nil"/>
            </w:tcBorders>
            <w:vAlign w:val="center"/>
          </w:tcPr>
          <w:p w14:paraId="043FEDCD" w14:textId="0DD75816" w:rsidR="00D746DB" w:rsidRPr="00BC5F1D" w:rsidRDefault="00D746DB" w:rsidP="00D746DB">
            <w:pPr>
              <w:spacing w:after="0" w:line="276" w:lineRule="auto"/>
              <w:rPr>
                <w:rFonts w:ascii="Arial" w:eastAsia="Calibri" w:hAnsi="Arial" w:cs="Arial"/>
                <w:b/>
                <w:color w:val="000000" w:themeColor="text1"/>
                <w:sz w:val="20"/>
                <w:szCs w:val="20"/>
              </w:rPr>
            </w:pPr>
            <w:proofErr w:type="spellStart"/>
            <w:r w:rsidRPr="00BC5F1D">
              <w:rPr>
                <w:rFonts w:ascii="Arial" w:eastAsia="Calibri" w:hAnsi="Arial" w:cs="Arial"/>
                <w:color w:val="000000" w:themeColor="text1"/>
                <w:sz w:val="20"/>
                <w:szCs w:val="20"/>
              </w:rPr>
              <w:t>Moisture</w:t>
            </w:r>
            <w:proofErr w:type="spellEnd"/>
            <w:r w:rsidRPr="00BC5F1D">
              <w:rPr>
                <w:rFonts w:ascii="Arial" w:eastAsia="Calibri" w:hAnsi="Arial" w:cs="Arial"/>
                <w:color w:val="000000" w:themeColor="text1"/>
                <w:sz w:val="20"/>
                <w:szCs w:val="20"/>
              </w:rPr>
              <w:t xml:space="preserve"> content</w:t>
            </w:r>
          </w:p>
        </w:tc>
        <w:tc>
          <w:tcPr>
            <w:tcW w:w="2127" w:type="dxa"/>
            <w:tcBorders>
              <w:left w:val="nil"/>
              <w:bottom w:val="nil"/>
              <w:right w:val="nil"/>
            </w:tcBorders>
            <w:vAlign w:val="center"/>
          </w:tcPr>
          <w:p w14:paraId="79991E6A" w14:textId="0C6BD99B"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8.90 ± 0.01</w:t>
            </w:r>
            <w:r w:rsidR="00E575E4" w:rsidRPr="00BC5F1D">
              <w:rPr>
                <w:rFonts w:ascii="Arial" w:eastAsia="Calibri" w:hAnsi="Arial" w:cs="Arial"/>
                <w:bCs/>
                <w:color w:val="000000" w:themeColor="text1"/>
                <w:sz w:val="20"/>
                <w:szCs w:val="20"/>
                <w:vertAlign w:val="superscript"/>
              </w:rPr>
              <w:t>b</w:t>
            </w:r>
          </w:p>
        </w:tc>
        <w:tc>
          <w:tcPr>
            <w:tcW w:w="1880" w:type="dxa"/>
            <w:tcBorders>
              <w:left w:val="nil"/>
              <w:bottom w:val="nil"/>
              <w:right w:val="nil"/>
            </w:tcBorders>
            <w:vAlign w:val="center"/>
          </w:tcPr>
          <w:p w14:paraId="23927FB5" w14:textId="16A475D2" w:rsidR="00D746DB" w:rsidRPr="00BC5F1D" w:rsidRDefault="00D746DB" w:rsidP="00D746DB">
            <w:pPr>
              <w:spacing w:after="0" w:line="276" w:lineRule="auto"/>
              <w:jc w:val="center"/>
              <w:rPr>
                <w:rFonts w:ascii="Arial" w:eastAsia="Calibri" w:hAnsi="Arial" w:cs="Arial"/>
                <w:b/>
                <w:i/>
                <w:color w:val="000000" w:themeColor="text1"/>
                <w:sz w:val="20"/>
                <w:szCs w:val="20"/>
              </w:rPr>
            </w:pPr>
            <w:r w:rsidRPr="00BC5F1D">
              <w:rPr>
                <w:rFonts w:ascii="Arial" w:eastAsia="Calibri" w:hAnsi="Arial" w:cs="Arial"/>
                <w:bCs/>
                <w:color w:val="000000" w:themeColor="text1"/>
                <w:sz w:val="20"/>
                <w:szCs w:val="20"/>
              </w:rPr>
              <w:t>1</w:t>
            </w:r>
            <w:r w:rsidR="00437025" w:rsidRPr="00BC5F1D">
              <w:rPr>
                <w:rFonts w:ascii="Arial" w:eastAsia="Calibri" w:hAnsi="Arial" w:cs="Arial"/>
                <w:bCs/>
                <w:color w:val="000000" w:themeColor="text1"/>
                <w:sz w:val="20"/>
                <w:szCs w:val="20"/>
              </w:rPr>
              <w:t>2</w:t>
            </w:r>
            <w:r w:rsidRPr="00BC5F1D">
              <w:rPr>
                <w:rFonts w:ascii="Arial" w:eastAsia="Calibri" w:hAnsi="Arial" w:cs="Arial"/>
                <w:bCs/>
                <w:color w:val="000000" w:themeColor="text1"/>
                <w:sz w:val="20"/>
                <w:szCs w:val="20"/>
              </w:rPr>
              <w:t>.50 ± 1.50</w:t>
            </w:r>
            <w:r w:rsidR="00247D00" w:rsidRPr="00BC5F1D">
              <w:rPr>
                <w:rFonts w:ascii="Arial" w:eastAsia="Calibri" w:hAnsi="Arial" w:cs="Arial"/>
                <w:bCs/>
                <w:color w:val="000000" w:themeColor="text1"/>
                <w:sz w:val="20"/>
                <w:szCs w:val="20"/>
                <w:vertAlign w:val="superscript"/>
              </w:rPr>
              <w:t>c</w:t>
            </w:r>
          </w:p>
        </w:tc>
        <w:tc>
          <w:tcPr>
            <w:tcW w:w="2514" w:type="dxa"/>
            <w:tcBorders>
              <w:left w:val="nil"/>
              <w:bottom w:val="nil"/>
              <w:right w:val="nil"/>
            </w:tcBorders>
            <w:vAlign w:val="center"/>
          </w:tcPr>
          <w:p w14:paraId="4639F900" w14:textId="6EBF7869" w:rsidR="00D746DB" w:rsidRPr="00BC5F1D" w:rsidRDefault="0045295C" w:rsidP="00D746DB">
            <w:pPr>
              <w:spacing w:after="0" w:line="276" w:lineRule="auto"/>
              <w:jc w:val="center"/>
              <w:rPr>
                <w:rFonts w:ascii="Arial" w:eastAsia="Calibri" w:hAnsi="Arial" w:cs="Arial"/>
                <w:b/>
                <w:i/>
                <w:color w:val="000000" w:themeColor="text1"/>
                <w:sz w:val="20"/>
                <w:szCs w:val="20"/>
              </w:rPr>
            </w:pPr>
            <w:r w:rsidRPr="00BC5F1D">
              <w:rPr>
                <w:rFonts w:ascii="Arial" w:eastAsia="Calibri" w:hAnsi="Arial" w:cs="Arial"/>
                <w:bCs/>
                <w:color w:val="000000" w:themeColor="text1"/>
                <w:sz w:val="20"/>
                <w:szCs w:val="20"/>
              </w:rPr>
              <w:t>5</w:t>
            </w:r>
            <w:r w:rsidR="00D746DB" w:rsidRPr="00BC5F1D">
              <w:rPr>
                <w:rFonts w:ascii="Arial" w:eastAsia="Calibri" w:hAnsi="Arial" w:cs="Arial"/>
                <w:bCs/>
                <w:color w:val="000000" w:themeColor="text1"/>
                <w:sz w:val="20"/>
                <w:szCs w:val="20"/>
              </w:rPr>
              <w:t>.</w:t>
            </w:r>
            <w:r w:rsidRPr="00BC5F1D">
              <w:rPr>
                <w:rFonts w:ascii="Arial" w:eastAsia="Calibri" w:hAnsi="Arial" w:cs="Arial"/>
                <w:bCs/>
                <w:color w:val="000000" w:themeColor="text1"/>
                <w:sz w:val="20"/>
                <w:szCs w:val="20"/>
              </w:rPr>
              <w:t>89</w:t>
            </w:r>
            <w:r w:rsidR="00D746DB" w:rsidRPr="00BC5F1D">
              <w:rPr>
                <w:rFonts w:ascii="Arial" w:eastAsia="Calibri" w:hAnsi="Arial" w:cs="Arial"/>
                <w:bCs/>
                <w:color w:val="000000" w:themeColor="text1"/>
                <w:sz w:val="20"/>
                <w:szCs w:val="20"/>
              </w:rPr>
              <w:t xml:space="preserve"> ± 0.02</w:t>
            </w:r>
            <w:r w:rsidR="00E575E4" w:rsidRPr="00BC5F1D">
              <w:rPr>
                <w:rFonts w:ascii="Arial" w:eastAsia="Calibri" w:hAnsi="Arial" w:cs="Arial"/>
                <w:bCs/>
                <w:color w:val="000000" w:themeColor="text1"/>
                <w:sz w:val="20"/>
                <w:szCs w:val="20"/>
                <w:vertAlign w:val="superscript"/>
              </w:rPr>
              <w:t>a</w:t>
            </w:r>
          </w:p>
        </w:tc>
      </w:tr>
      <w:tr w:rsidR="00A45DC5" w:rsidRPr="00BC5F1D" w14:paraId="69719366" w14:textId="77777777" w:rsidTr="00DE271F">
        <w:trPr>
          <w:trHeight w:val="464"/>
          <w:jc w:val="center"/>
        </w:trPr>
        <w:tc>
          <w:tcPr>
            <w:tcW w:w="2835" w:type="dxa"/>
            <w:tcBorders>
              <w:top w:val="nil"/>
              <w:left w:val="nil"/>
              <w:bottom w:val="nil"/>
              <w:right w:val="nil"/>
            </w:tcBorders>
            <w:vAlign w:val="center"/>
          </w:tcPr>
          <w:p w14:paraId="2E55BA42" w14:textId="27E9D543" w:rsidR="00D746DB" w:rsidRPr="00BC5F1D" w:rsidRDefault="00D746DB" w:rsidP="00D746DB">
            <w:pPr>
              <w:spacing w:after="0" w:line="276" w:lineRule="auto"/>
              <w:rPr>
                <w:rFonts w:ascii="Arial" w:eastAsia="Calibri" w:hAnsi="Arial" w:cs="Arial"/>
                <w:color w:val="000000" w:themeColor="text1"/>
                <w:sz w:val="20"/>
                <w:szCs w:val="20"/>
              </w:rPr>
            </w:pPr>
            <w:proofErr w:type="spellStart"/>
            <w:r w:rsidRPr="00BC5F1D">
              <w:rPr>
                <w:rFonts w:ascii="Arial" w:eastAsia="Calibri" w:hAnsi="Arial" w:cs="Arial"/>
                <w:color w:val="000000" w:themeColor="text1"/>
                <w:sz w:val="20"/>
                <w:szCs w:val="20"/>
              </w:rPr>
              <w:t>Available</w:t>
            </w:r>
            <w:proofErr w:type="spellEnd"/>
            <w:r w:rsidRPr="00BC5F1D">
              <w:rPr>
                <w:rFonts w:ascii="Arial" w:eastAsia="Calibri" w:hAnsi="Arial" w:cs="Arial"/>
                <w:color w:val="000000" w:themeColor="text1"/>
                <w:sz w:val="20"/>
                <w:szCs w:val="20"/>
              </w:rPr>
              <w:t xml:space="preserve"> carbohydrate</w:t>
            </w:r>
          </w:p>
        </w:tc>
        <w:tc>
          <w:tcPr>
            <w:tcW w:w="2127" w:type="dxa"/>
            <w:tcBorders>
              <w:top w:val="nil"/>
              <w:left w:val="nil"/>
              <w:bottom w:val="nil"/>
              <w:right w:val="nil"/>
            </w:tcBorders>
            <w:vAlign w:val="center"/>
          </w:tcPr>
          <w:p w14:paraId="24F55B6A" w14:textId="132E8BDC"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37.</w:t>
            </w:r>
            <w:r w:rsidR="00E575E4" w:rsidRPr="00BC5F1D">
              <w:rPr>
                <w:rFonts w:ascii="Arial" w:eastAsia="Calibri" w:hAnsi="Arial" w:cs="Arial"/>
                <w:color w:val="000000" w:themeColor="text1"/>
                <w:sz w:val="20"/>
                <w:szCs w:val="20"/>
              </w:rPr>
              <w:t>7</w:t>
            </w:r>
            <w:r w:rsidRPr="00BC5F1D">
              <w:rPr>
                <w:rFonts w:ascii="Arial" w:eastAsia="Calibri" w:hAnsi="Arial" w:cs="Arial"/>
                <w:color w:val="000000" w:themeColor="text1"/>
                <w:sz w:val="20"/>
                <w:szCs w:val="20"/>
              </w:rPr>
              <w:t>2 ± 0.45</w:t>
            </w:r>
            <w:r w:rsidRPr="00BC5F1D">
              <w:rPr>
                <w:rFonts w:ascii="Arial" w:eastAsia="Calibri" w:hAnsi="Arial" w:cs="Arial"/>
                <w:color w:val="000000" w:themeColor="text1"/>
                <w:sz w:val="20"/>
                <w:szCs w:val="20"/>
                <w:vertAlign w:val="superscript"/>
              </w:rPr>
              <w:t>a</w:t>
            </w:r>
          </w:p>
        </w:tc>
        <w:tc>
          <w:tcPr>
            <w:tcW w:w="1880" w:type="dxa"/>
            <w:tcBorders>
              <w:top w:val="nil"/>
              <w:left w:val="nil"/>
              <w:bottom w:val="nil"/>
              <w:right w:val="nil"/>
            </w:tcBorders>
            <w:vAlign w:val="center"/>
          </w:tcPr>
          <w:p w14:paraId="29D73285" w14:textId="62FD3FB3"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38.24 ± 0.20</w:t>
            </w:r>
            <w:r w:rsidR="00E575E4" w:rsidRPr="00BC5F1D">
              <w:rPr>
                <w:rFonts w:ascii="Arial" w:eastAsia="Calibri" w:hAnsi="Arial" w:cs="Arial"/>
                <w:color w:val="000000" w:themeColor="text1"/>
                <w:sz w:val="20"/>
                <w:szCs w:val="20"/>
                <w:vertAlign w:val="superscript"/>
              </w:rPr>
              <w:t>a</w:t>
            </w:r>
          </w:p>
        </w:tc>
        <w:tc>
          <w:tcPr>
            <w:tcW w:w="2514" w:type="dxa"/>
            <w:tcBorders>
              <w:top w:val="nil"/>
              <w:left w:val="nil"/>
              <w:bottom w:val="nil"/>
              <w:right w:val="nil"/>
            </w:tcBorders>
            <w:vAlign w:val="center"/>
          </w:tcPr>
          <w:p w14:paraId="3FB9E92A" w14:textId="101F6ACD"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58.02 ± 0.5</w:t>
            </w:r>
            <w:r w:rsidR="00CF11BF" w:rsidRPr="00BC5F1D">
              <w:rPr>
                <w:rFonts w:ascii="Arial" w:eastAsia="Calibri" w:hAnsi="Arial" w:cs="Arial"/>
                <w:color w:val="000000" w:themeColor="text1"/>
                <w:sz w:val="20"/>
                <w:szCs w:val="20"/>
              </w:rPr>
              <w:t>0</w:t>
            </w:r>
            <w:r w:rsidR="00E575E4" w:rsidRPr="00BC5F1D">
              <w:rPr>
                <w:rFonts w:ascii="Arial" w:eastAsia="Calibri" w:hAnsi="Arial" w:cs="Arial"/>
                <w:color w:val="000000" w:themeColor="text1"/>
                <w:sz w:val="20"/>
                <w:szCs w:val="20"/>
                <w:vertAlign w:val="superscript"/>
              </w:rPr>
              <w:t>b</w:t>
            </w:r>
          </w:p>
        </w:tc>
      </w:tr>
      <w:tr w:rsidR="00A45DC5" w:rsidRPr="00BC5F1D" w14:paraId="429813A8" w14:textId="77777777" w:rsidTr="00DE271F">
        <w:trPr>
          <w:trHeight w:val="434"/>
          <w:jc w:val="center"/>
        </w:trPr>
        <w:tc>
          <w:tcPr>
            <w:tcW w:w="2835" w:type="dxa"/>
            <w:tcBorders>
              <w:top w:val="nil"/>
              <w:left w:val="nil"/>
              <w:bottom w:val="nil"/>
              <w:right w:val="nil"/>
            </w:tcBorders>
            <w:vAlign w:val="center"/>
          </w:tcPr>
          <w:p w14:paraId="45309E0D" w14:textId="45334F7B" w:rsidR="00D746DB" w:rsidRPr="00BC5F1D" w:rsidRDefault="00D746DB" w:rsidP="00D746DB">
            <w:pPr>
              <w:spacing w:after="0" w:line="276" w:lineRule="auto"/>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 xml:space="preserve">Total </w:t>
            </w:r>
            <w:proofErr w:type="spellStart"/>
            <w:r w:rsidRPr="00BC5F1D">
              <w:rPr>
                <w:rFonts w:ascii="Arial" w:eastAsia="Calibri" w:hAnsi="Arial" w:cs="Arial"/>
                <w:color w:val="000000" w:themeColor="text1"/>
                <w:sz w:val="20"/>
                <w:szCs w:val="20"/>
              </w:rPr>
              <w:t>protein</w:t>
            </w:r>
            <w:r w:rsidR="00BD32E8" w:rsidRPr="00BC5F1D">
              <w:rPr>
                <w:rFonts w:ascii="Arial" w:eastAsia="Calibri" w:hAnsi="Arial" w:cs="Arial"/>
                <w:color w:val="000000" w:themeColor="text1"/>
                <w:sz w:val="20"/>
                <w:szCs w:val="20"/>
              </w:rPr>
              <w:t>s</w:t>
            </w:r>
            <w:proofErr w:type="spellEnd"/>
          </w:p>
        </w:tc>
        <w:tc>
          <w:tcPr>
            <w:tcW w:w="2127" w:type="dxa"/>
            <w:tcBorders>
              <w:top w:val="nil"/>
              <w:left w:val="nil"/>
              <w:bottom w:val="nil"/>
              <w:right w:val="nil"/>
            </w:tcBorders>
            <w:vAlign w:val="center"/>
          </w:tcPr>
          <w:p w14:paraId="43ED3909" w14:textId="43DAC97E" w:rsidR="00D746DB" w:rsidRPr="00BC5F1D" w:rsidRDefault="0094600F"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18</w:t>
            </w:r>
            <w:r w:rsidR="00D746DB" w:rsidRPr="00BC5F1D">
              <w:rPr>
                <w:rFonts w:ascii="Arial" w:eastAsia="Calibri" w:hAnsi="Arial" w:cs="Arial"/>
                <w:bCs/>
                <w:color w:val="000000" w:themeColor="text1"/>
                <w:sz w:val="20"/>
                <w:szCs w:val="20"/>
              </w:rPr>
              <w:t>.08 ± 0.5</w:t>
            </w:r>
            <w:r w:rsidR="00FD7084" w:rsidRPr="00BC5F1D">
              <w:rPr>
                <w:rFonts w:ascii="Arial" w:eastAsia="Calibri" w:hAnsi="Arial" w:cs="Arial"/>
                <w:bCs/>
                <w:color w:val="000000" w:themeColor="text1"/>
                <w:sz w:val="20"/>
                <w:szCs w:val="20"/>
                <w:vertAlign w:val="superscript"/>
              </w:rPr>
              <w:t>b</w:t>
            </w:r>
          </w:p>
        </w:tc>
        <w:tc>
          <w:tcPr>
            <w:tcW w:w="1880" w:type="dxa"/>
            <w:tcBorders>
              <w:top w:val="nil"/>
              <w:left w:val="nil"/>
              <w:bottom w:val="nil"/>
              <w:right w:val="nil"/>
            </w:tcBorders>
            <w:vAlign w:val="center"/>
          </w:tcPr>
          <w:p w14:paraId="752C2512" w14:textId="5CCD8086"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21.60 ± 0.10</w:t>
            </w:r>
            <w:r w:rsidR="00FD7084" w:rsidRPr="00BC5F1D">
              <w:rPr>
                <w:rFonts w:ascii="Arial" w:eastAsia="Calibri" w:hAnsi="Arial" w:cs="Arial"/>
                <w:bCs/>
                <w:color w:val="000000" w:themeColor="text1"/>
                <w:sz w:val="20"/>
                <w:szCs w:val="20"/>
                <w:vertAlign w:val="superscript"/>
              </w:rPr>
              <w:t>c</w:t>
            </w:r>
          </w:p>
        </w:tc>
        <w:tc>
          <w:tcPr>
            <w:tcW w:w="2514" w:type="dxa"/>
            <w:tcBorders>
              <w:top w:val="nil"/>
              <w:left w:val="nil"/>
              <w:bottom w:val="nil"/>
              <w:right w:val="nil"/>
            </w:tcBorders>
            <w:vAlign w:val="center"/>
          </w:tcPr>
          <w:p w14:paraId="39972744" w14:textId="226A6B8E" w:rsidR="00D746DB" w:rsidRPr="00BC5F1D" w:rsidRDefault="0045295C"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8</w:t>
            </w:r>
            <w:r w:rsidR="00D746DB" w:rsidRPr="00BC5F1D">
              <w:rPr>
                <w:rFonts w:ascii="Arial" w:eastAsia="Calibri" w:hAnsi="Arial" w:cs="Arial"/>
                <w:color w:val="000000" w:themeColor="text1"/>
                <w:sz w:val="20"/>
                <w:szCs w:val="20"/>
              </w:rPr>
              <w:t xml:space="preserve">.23 </w:t>
            </w:r>
            <w:r w:rsidR="00D746DB" w:rsidRPr="00BC5F1D">
              <w:rPr>
                <w:rFonts w:ascii="Arial" w:eastAsia="Calibri" w:hAnsi="Arial" w:cs="Arial"/>
                <w:bCs/>
                <w:color w:val="000000" w:themeColor="text1"/>
                <w:sz w:val="20"/>
                <w:szCs w:val="20"/>
              </w:rPr>
              <w:t>± 0.3</w:t>
            </w:r>
            <w:r w:rsidRPr="00BC5F1D">
              <w:rPr>
                <w:rFonts w:ascii="Arial" w:eastAsia="Calibri" w:hAnsi="Arial" w:cs="Arial"/>
                <w:bCs/>
                <w:color w:val="000000" w:themeColor="text1"/>
                <w:sz w:val="20"/>
                <w:szCs w:val="20"/>
              </w:rPr>
              <w:t>0</w:t>
            </w:r>
            <w:r w:rsidR="00D746DB" w:rsidRPr="00BC5F1D">
              <w:rPr>
                <w:rFonts w:ascii="Arial" w:eastAsia="Calibri" w:hAnsi="Arial" w:cs="Arial"/>
                <w:bCs/>
                <w:color w:val="000000" w:themeColor="text1"/>
                <w:sz w:val="20"/>
                <w:szCs w:val="20"/>
                <w:vertAlign w:val="superscript"/>
              </w:rPr>
              <w:t>a</w:t>
            </w:r>
          </w:p>
        </w:tc>
      </w:tr>
      <w:tr w:rsidR="00A45DC5" w:rsidRPr="00BC5F1D" w14:paraId="4FA9AC6D" w14:textId="77777777" w:rsidTr="00DE271F">
        <w:trPr>
          <w:trHeight w:val="464"/>
          <w:jc w:val="center"/>
        </w:trPr>
        <w:tc>
          <w:tcPr>
            <w:tcW w:w="2835" w:type="dxa"/>
            <w:tcBorders>
              <w:top w:val="nil"/>
              <w:left w:val="nil"/>
              <w:bottom w:val="nil"/>
              <w:right w:val="nil"/>
            </w:tcBorders>
            <w:vAlign w:val="center"/>
          </w:tcPr>
          <w:p w14:paraId="5F36EBC5" w14:textId="5C7CFF1E" w:rsidR="00D746DB" w:rsidRPr="00BC5F1D" w:rsidRDefault="00D746DB" w:rsidP="00D746DB">
            <w:pPr>
              <w:spacing w:after="0" w:line="276" w:lineRule="auto"/>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 xml:space="preserve">Total </w:t>
            </w:r>
            <w:proofErr w:type="spellStart"/>
            <w:r w:rsidRPr="00BC5F1D">
              <w:rPr>
                <w:rFonts w:ascii="Arial" w:eastAsia="Calibri" w:hAnsi="Arial" w:cs="Arial"/>
                <w:color w:val="000000" w:themeColor="text1"/>
                <w:sz w:val="20"/>
                <w:szCs w:val="20"/>
              </w:rPr>
              <w:t>lipid</w:t>
            </w:r>
            <w:r w:rsidR="00BD32E8" w:rsidRPr="00BC5F1D">
              <w:rPr>
                <w:rFonts w:ascii="Arial" w:eastAsia="Calibri" w:hAnsi="Arial" w:cs="Arial"/>
                <w:color w:val="000000" w:themeColor="text1"/>
                <w:sz w:val="20"/>
                <w:szCs w:val="20"/>
              </w:rPr>
              <w:t>s</w:t>
            </w:r>
            <w:proofErr w:type="spellEnd"/>
          </w:p>
        </w:tc>
        <w:tc>
          <w:tcPr>
            <w:tcW w:w="2127" w:type="dxa"/>
            <w:tcBorders>
              <w:top w:val="nil"/>
              <w:left w:val="nil"/>
              <w:bottom w:val="nil"/>
              <w:right w:val="nil"/>
            </w:tcBorders>
            <w:vAlign w:val="center"/>
          </w:tcPr>
          <w:p w14:paraId="0B4D3E66" w14:textId="6D1217FF"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4.15 ± 0.02</w:t>
            </w:r>
            <w:r w:rsidRPr="00BC5F1D">
              <w:rPr>
                <w:rFonts w:ascii="Arial" w:eastAsia="Calibri" w:hAnsi="Arial" w:cs="Arial"/>
                <w:bCs/>
                <w:color w:val="000000" w:themeColor="text1"/>
                <w:sz w:val="20"/>
                <w:szCs w:val="20"/>
                <w:vertAlign w:val="superscript"/>
              </w:rPr>
              <w:t>c</w:t>
            </w:r>
          </w:p>
        </w:tc>
        <w:tc>
          <w:tcPr>
            <w:tcW w:w="1880" w:type="dxa"/>
            <w:tcBorders>
              <w:top w:val="nil"/>
              <w:left w:val="nil"/>
              <w:bottom w:val="nil"/>
              <w:right w:val="nil"/>
            </w:tcBorders>
            <w:vAlign w:val="center"/>
          </w:tcPr>
          <w:p w14:paraId="58FFD94E" w14:textId="3D4965FF"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3.48 ± 0.</w:t>
            </w:r>
            <w:r w:rsidR="00CF11BF" w:rsidRPr="00BC5F1D">
              <w:rPr>
                <w:rFonts w:ascii="Arial" w:eastAsia="Calibri" w:hAnsi="Arial" w:cs="Arial"/>
                <w:bCs/>
                <w:color w:val="000000" w:themeColor="text1"/>
                <w:sz w:val="20"/>
                <w:szCs w:val="20"/>
              </w:rPr>
              <w:t>0</w:t>
            </w:r>
            <w:r w:rsidRPr="00BC5F1D">
              <w:rPr>
                <w:rFonts w:ascii="Arial" w:eastAsia="Calibri" w:hAnsi="Arial" w:cs="Arial"/>
                <w:bCs/>
                <w:color w:val="000000" w:themeColor="text1"/>
                <w:sz w:val="20"/>
                <w:szCs w:val="20"/>
              </w:rPr>
              <w:t>5</w:t>
            </w:r>
            <w:r w:rsidRPr="00BC5F1D">
              <w:rPr>
                <w:rFonts w:ascii="Arial" w:eastAsia="Calibri" w:hAnsi="Arial" w:cs="Arial"/>
                <w:bCs/>
                <w:color w:val="000000" w:themeColor="text1"/>
                <w:sz w:val="20"/>
                <w:szCs w:val="20"/>
                <w:vertAlign w:val="superscript"/>
              </w:rPr>
              <w:t>b</w:t>
            </w:r>
          </w:p>
        </w:tc>
        <w:tc>
          <w:tcPr>
            <w:tcW w:w="2514" w:type="dxa"/>
            <w:tcBorders>
              <w:top w:val="nil"/>
              <w:left w:val="nil"/>
              <w:bottom w:val="nil"/>
              <w:right w:val="nil"/>
            </w:tcBorders>
            <w:vAlign w:val="center"/>
          </w:tcPr>
          <w:p w14:paraId="6A405F06" w14:textId="1A771CBC"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2.10 ± 0.01</w:t>
            </w:r>
            <w:r w:rsidRPr="00BC5F1D">
              <w:rPr>
                <w:rFonts w:ascii="Arial" w:eastAsia="Calibri" w:hAnsi="Arial" w:cs="Arial"/>
                <w:bCs/>
                <w:color w:val="000000" w:themeColor="text1"/>
                <w:sz w:val="20"/>
                <w:szCs w:val="20"/>
                <w:vertAlign w:val="superscript"/>
              </w:rPr>
              <w:t>a</w:t>
            </w:r>
          </w:p>
        </w:tc>
      </w:tr>
      <w:tr w:rsidR="00A45DC5" w:rsidRPr="00BC5F1D" w14:paraId="23F78541" w14:textId="77777777" w:rsidTr="00DE271F">
        <w:trPr>
          <w:trHeight w:val="464"/>
          <w:jc w:val="center"/>
        </w:trPr>
        <w:tc>
          <w:tcPr>
            <w:tcW w:w="2835" w:type="dxa"/>
            <w:tcBorders>
              <w:top w:val="nil"/>
              <w:left w:val="nil"/>
              <w:bottom w:val="nil"/>
              <w:right w:val="nil"/>
            </w:tcBorders>
            <w:vAlign w:val="center"/>
          </w:tcPr>
          <w:p w14:paraId="3B489F13" w14:textId="2C39EC84" w:rsidR="00D746DB" w:rsidRPr="00BC5F1D" w:rsidRDefault="00D746DB" w:rsidP="00D746DB">
            <w:pPr>
              <w:spacing w:after="0" w:line="276" w:lineRule="auto"/>
              <w:rPr>
                <w:rFonts w:ascii="Arial" w:eastAsia="Calibri" w:hAnsi="Arial" w:cs="Arial"/>
                <w:color w:val="000000" w:themeColor="text1"/>
                <w:sz w:val="20"/>
                <w:szCs w:val="20"/>
              </w:rPr>
            </w:pPr>
            <w:proofErr w:type="spellStart"/>
            <w:r w:rsidRPr="00BC5F1D">
              <w:rPr>
                <w:rFonts w:ascii="Arial" w:eastAsia="Calibri" w:hAnsi="Arial" w:cs="Arial"/>
                <w:color w:val="000000" w:themeColor="text1"/>
                <w:sz w:val="20"/>
                <w:szCs w:val="20"/>
              </w:rPr>
              <w:t>Crude</w:t>
            </w:r>
            <w:proofErr w:type="spellEnd"/>
            <w:r w:rsidRPr="00BC5F1D">
              <w:rPr>
                <w:rFonts w:ascii="Arial" w:eastAsia="Calibri" w:hAnsi="Arial" w:cs="Arial"/>
                <w:color w:val="000000" w:themeColor="text1"/>
                <w:sz w:val="20"/>
                <w:szCs w:val="20"/>
              </w:rPr>
              <w:t xml:space="preserve"> </w:t>
            </w:r>
            <w:proofErr w:type="spellStart"/>
            <w:r w:rsidRPr="00BC5F1D">
              <w:rPr>
                <w:rFonts w:ascii="Arial" w:eastAsia="Calibri" w:hAnsi="Arial" w:cs="Arial"/>
                <w:color w:val="000000" w:themeColor="text1"/>
                <w:sz w:val="20"/>
                <w:szCs w:val="20"/>
              </w:rPr>
              <w:t>fib</w:t>
            </w:r>
            <w:r w:rsidR="00BD32E8" w:rsidRPr="00BC5F1D">
              <w:rPr>
                <w:rFonts w:ascii="Arial" w:eastAsia="Calibri" w:hAnsi="Arial" w:cs="Arial"/>
                <w:color w:val="000000" w:themeColor="text1"/>
                <w:sz w:val="20"/>
                <w:szCs w:val="20"/>
              </w:rPr>
              <w:t>ers</w:t>
            </w:r>
            <w:proofErr w:type="spellEnd"/>
          </w:p>
        </w:tc>
        <w:tc>
          <w:tcPr>
            <w:tcW w:w="2127" w:type="dxa"/>
            <w:tcBorders>
              <w:top w:val="nil"/>
              <w:left w:val="nil"/>
              <w:bottom w:val="nil"/>
              <w:right w:val="nil"/>
            </w:tcBorders>
            <w:vAlign w:val="center"/>
          </w:tcPr>
          <w:p w14:paraId="4316F8FA" w14:textId="7477FB45"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1</w:t>
            </w:r>
            <w:r w:rsidR="0094600F" w:rsidRPr="00BC5F1D">
              <w:rPr>
                <w:rFonts w:ascii="Arial" w:eastAsia="Calibri" w:hAnsi="Arial" w:cs="Arial"/>
                <w:bCs/>
                <w:color w:val="000000" w:themeColor="text1"/>
                <w:sz w:val="20"/>
                <w:szCs w:val="20"/>
              </w:rPr>
              <w:t>9</w:t>
            </w:r>
            <w:r w:rsidRPr="00BC5F1D">
              <w:rPr>
                <w:rFonts w:ascii="Arial" w:eastAsia="Calibri" w:hAnsi="Arial" w:cs="Arial"/>
                <w:bCs/>
                <w:color w:val="000000" w:themeColor="text1"/>
                <w:sz w:val="20"/>
                <w:szCs w:val="20"/>
              </w:rPr>
              <w:t>.05 ± 0.1</w:t>
            </w:r>
            <w:r w:rsidR="00CF11BF" w:rsidRPr="00BC5F1D">
              <w:rPr>
                <w:rFonts w:ascii="Arial" w:eastAsia="Calibri" w:hAnsi="Arial" w:cs="Arial"/>
                <w:bCs/>
                <w:color w:val="000000" w:themeColor="text1"/>
                <w:sz w:val="20"/>
                <w:szCs w:val="20"/>
              </w:rPr>
              <w:t>0</w:t>
            </w:r>
            <w:r w:rsidR="00E575E4" w:rsidRPr="00BC5F1D">
              <w:rPr>
                <w:rFonts w:ascii="Arial" w:eastAsia="Calibri" w:hAnsi="Arial" w:cs="Arial"/>
                <w:bCs/>
                <w:color w:val="000000" w:themeColor="text1"/>
                <w:sz w:val="20"/>
                <w:szCs w:val="20"/>
                <w:vertAlign w:val="superscript"/>
              </w:rPr>
              <w:t>b</w:t>
            </w:r>
          </w:p>
        </w:tc>
        <w:tc>
          <w:tcPr>
            <w:tcW w:w="1880" w:type="dxa"/>
            <w:tcBorders>
              <w:top w:val="nil"/>
              <w:left w:val="nil"/>
              <w:bottom w:val="nil"/>
              <w:right w:val="nil"/>
            </w:tcBorders>
            <w:vAlign w:val="center"/>
          </w:tcPr>
          <w:p w14:paraId="6C0B6EB2" w14:textId="681EDB72"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12.24 ± 0.50</w:t>
            </w:r>
            <w:r w:rsidR="00E575E4" w:rsidRPr="00BC5F1D">
              <w:rPr>
                <w:rFonts w:ascii="Arial" w:eastAsia="Calibri" w:hAnsi="Arial" w:cs="Arial"/>
                <w:bCs/>
                <w:color w:val="000000" w:themeColor="text1"/>
                <w:sz w:val="20"/>
                <w:szCs w:val="20"/>
                <w:vertAlign w:val="superscript"/>
              </w:rPr>
              <w:t>a</w:t>
            </w:r>
          </w:p>
        </w:tc>
        <w:tc>
          <w:tcPr>
            <w:tcW w:w="2514" w:type="dxa"/>
            <w:tcBorders>
              <w:top w:val="nil"/>
              <w:left w:val="nil"/>
              <w:bottom w:val="nil"/>
              <w:right w:val="nil"/>
            </w:tcBorders>
            <w:vAlign w:val="center"/>
          </w:tcPr>
          <w:p w14:paraId="0DA297DB" w14:textId="5769E678" w:rsidR="00D746DB" w:rsidRPr="00BC5F1D" w:rsidRDefault="0045295C"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1</w:t>
            </w:r>
            <w:r w:rsidR="00437025" w:rsidRPr="00BC5F1D">
              <w:rPr>
                <w:rFonts w:ascii="Arial" w:eastAsia="Calibri" w:hAnsi="Arial" w:cs="Arial"/>
                <w:bCs/>
                <w:color w:val="000000" w:themeColor="text1"/>
                <w:sz w:val="20"/>
                <w:szCs w:val="20"/>
              </w:rPr>
              <w:t>8</w:t>
            </w:r>
            <w:r w:rsidR="00D746DB" w:rsidRPr="00BC5F1D">
              <w:rPr>
                <w:rFonts w:ascii="Arial" w:eastAsia="Calibri" w:hAnsi="Arial" w:cs="Arial"/>
                <w:bCs/>
                <w:color w:val="000000" w:themeColor="text1"/>
                <w:sz w:val="20"/>
                <w:szCs w:val="20"/>
              </w:rPr>
              <w:t>.</w:t>
            </w:r>
            <w:r w:rsidRPr="00BC5F1D">
              <w:rPr>
                <w:rFonts w:ascii="Arial" w:eastAsia="Calibri" w:hAnsi="Arial" w:cs="Arial"/>
                <w:bCs/>
                <w:color w:val="000000" w:themeColor="text1"/>
                <w:sz w:val="20"/>
                <w:szCs w:val="20"/>
              </w:rPr>
              <w:t>98</w:t>
            </w:r>
            <w:r w:rsidR="00D746DB" w:rsidRPr="00BC5F1D">
              <w:rPr>
                <w:rFonts w:ascii="Arial" w:eastAsia="Calibri" w:hAnsi="Arial" w:cs="Arial"/>
                <w:bCs/>
                <w:color w:val="000000" w:themeColor="text1"/>
                <w:sz w:val="20"/>
                <w:szCs w:val="20"/>
              </w:rPr>
              <w:t xml:space="preserve"> ± 0.02</w:t>
            </w:r>
            <w:r w:rsidR="00E575E4" w:rsidRPr="00BC5F1D">
              <w:rPr>
                <w:rFonts w:ascii="Arial" w:eastAsia="Calibri" w:hAnsi="Arial" w:cs="Arial"/>
                <w:bCs/>
                <w:color w:val="000000" w:themeColor="text1"/>
                <w:sz w:val="20"/>
                <w:szCs w:val="20"/>
                <w:vertAlign w:val="superscript"/>
              </w:rPr>
              <w:t>b</w:t>
            </w:r>
          </w:p>
        </w:tc>
      </w:tr>
      <w:tr w:rsidR="00A45DC5" w:rsidRPr="00BC5F1D" w14:paraId="0B8C9FCB" w14:textId="77777777" w:rsidTr="00DE271F">
        <w:trPr>
          <w:trHeight w:val="464"/>
          <w:jc w:val="center"/>
        </w:trPr>
        <w:tc>
          <w:tcPr>
            <w:tcW w:w="2835" w:type="dxa"/>
            <w:tcBorders>
              <w:top w:val="nil"/>
              <w:left w:val="nil"/>
              <w:bottom w:val="nil"/>
              <w:right w:val="nil"/>
            </w:tcBorders>
            <w:vAlign w:val="center"/>
          </w:tcPr>
          <w:p w14:paraId="69BFCC21" w14:textId="10925258" w:rsidR="00D746DB" w:rsidRPr="00BC5F1D" w:rsidRDefault="00D746DB" w:rsidP="00D746DB">
            <w:pPr>
              <w:spacing w:after="0" w:line="276" w:lineRule="auto"/>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 xml:space="preserve">Total </w:t>
            </w:r>
            <w:proofErr w:type="spellStart"/>
            <w:r w:rsidRPr="00BC5F1D">
              <w:rPr>
                <w:rFonts w:ascii="Arial" w:eastAsia="Calibri" w:hAnsi="Arial" w:cs="Arial"/>
                <w:color w:val="000000" w:themeColor="text1"/>
                <w:sz w:val="20"/>
                <w:szCs w:val="20"/>
              </w:rPr>
              <w:t>ash</w:t>
            </w:r>
            <w:proofErr w:type="spellEnd"/>
          </w:p>
        </w:tc>
        <w:tc>
          <w:tcPr>
            <w:tcW w:w="2127" w:type="dxa"/>
            <w:tcBorders>
              <w:top w:val="nil"/>
              <w:left w:val="nil"/>
              <w:bottom w:val="nil"/>
              <w:right w:val="nil"/>
            </w:tcBorders>
            <w:vAlign w:val="center"/>
          </w:tcPr>
          <w:p w14:paraId="1DB0359B" w14:textId="3EC7E67D"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10.78 ± 0.2</w:t>
            </w:r>
            <w:r w:rsidR="00247D00" w:rsidRPr="00BC5F1D">
              <w:rPr>
                <w:rFonts w:ascii="Arial" w:eastAsia="Calibri" w:hAnsi="Arial" w:cs="Arial"/>
                <w:bCs/>
                <w:color w:val="000000" w:themeColor="text1"/>
                <w:sz w:val="20"/>
                <w:szCs w:val="20"/>
              </w:rPr>
              <w:t>0</w:t>
            </w:r>
            <w:r w:rsidR="00EB7863" w:rsidRPr="00BC5F1D">
              <w:rPr>
                <w:rFonts w:ascii="Arial" w:eastAsia="Calibri" w:hAnsi="Arial" w:cs="Arial"/>
                <w:bCs/>
                <w:color w:val="000000" w:themeColor="text1"/>
                <w:sz w:val="20"/>
                <w:szCs w:val="20"/>
                <w:vertAlign w:val="superscript"/>
              </w:rPr>
              <w:t>b</w:t>
            </w:r>
          </w:p>
        </w:tc>
        <w:tc>
          <w:tcPr>
            <w:tcW w:w="1880" w:type="dxa"/>
            <w:tcBorders>
              <w:top w:val="nil"/>
              <w:left w:val="nil"/>
              <w:bottom w:val="nil"/>
              <w:right w:val="nil"/>
            </w:tcBorders>
            <w:vAlign w:val="center"/>
          </w:tcPr>
          <w:p w14:paraId="7E06ECB2" w14:textId="4CBF0406"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10.28 ± 0.35</w:t>
            </w:r>
            <w:r w:rsidR="00EB7863" w:rsidRPr="00BC5F1D">
              <w:rPr>
                <w:rFonts w:ascii="Arial" w:eastAsia="Calibri" w:hAnsi="Arial" w:cs="Arial"/>
                <w:bCs/>
                <w:color w:val="000000" w:themeColor="text1"/>
                <w:sz w:val="20"/>
                <w:szCs w:val="20"/>
                <w:vertAlign w:val="superscript"/>
              </w:rPr>
              <w:t>b</w:t>
            </w:r>
          </w:p>
        </w:tc>
        <w:tc>
          <w:tcPr>
            <w:tcW w:w="2514" w:type="dxa"/>
            <w:tcBorders>
              <w:top w:val="nil"/>
              <w:left w:val="nil"/>
              <w:bottom w:val="nil"/>
              <w:right w:val="nil"/>
            </w:tcBorders>
            <w:vAlign w:val="center"/>
          </w:tcPr>
          <w:p w14:paraId="6AB35947" w14:textId="4CE27535" w:rsidR="00D746DB" w:rsidRPr="00BC5F1D" w:rsidRDefault="00437025"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4</w:t>
            </w:r>
            <w:r w:rsidR="00D746DB" w:rsidRPr="00BC5F1D">
              <w:rPr>
                <w:rFonts w:ascii="Arial" w:eastAsia="Calibri" w:hAnsi="Arial" w:cs="Arial"/>
                <w:bCs/>
                <w:color w:val="000000" w:themeColor="text1"/>
                <w:sz w:val="20"/>
                <w:szCs w:val="20"/>
              </w:rPr>
              <w:t>.16 ± 0.1</w:t>
            </w:r>
            <w:r w:rsidR="00CF11BF" w:rsidRPr="00BC5F1D">
              <w:rPr>
                <w:rFonts w:ascii="Arial" w:eastAsia="Calibri" w:hAnsi="Arial" w:cs="Arial"/>
                <w:bCs/>
                <w:color w:val="000000" w:themeColor="text1"/>
                <w:sz w:val="20"/>
                <w:szCs w:val="20"/>
              </w:rPr>
              <w:t>0</w:t>
            </w:r>
            <w:r w:rsidR="00EB7863" w:rsidRPr="00BC5F1D">
              <w:rPr>
                <w:rFonts w:ascii="Arial" w:eastAsia="Calibri" w:hAnsi="Arial" w:cs="Arial"/>
                <w:bCs/>
                <w:color w:val="000000" w:themeColor="text1"/>
                <w:sz w:val="20"/>
                <w:szCs w:val="20"/>
                <w:vertAlign w:val="superscript"/>
              </w:rPr>
              <w:t>a</w:t>
            </w:r>
          </w:p>
        </w:tc>
      </w:tr>
      <w:tr w:rsidR="00A45DC5" w:rsidRPr="00BC5F1D" w14:paraId="009E3882" w14:textId="77777777" w:rsidTr="00DE271F">
        <w:trPr>
          <w:trHeight w:val="434"/>
          <w:jc w:val="center"/>
        </w:trPr>
        <w:tc>
          <w:tcPr>
            <w:tcW w:w="2835" w:type="dxa"/>
            <w:tcBorders>
              <w:top w:val="nil"/>
              <w:left w:val="nil"/>
              <w:bottom w:val="single" w:sz="4" w:space="0" w:color="auto"/>
              <w:right w:val="nil"/>
            </w:tcBorders>
            <w:vAlign w:val="center"/>
          </w:tcPr>
          <w:p w14:paraId="2CDAF7CD" w14:textId="1F8ADE32" w:rsidR="00D746DB" w:rsidRPr="00BC5F1D" w:rsidRDefault="00D746DB" w:rsidP="00D746DB">
            <w:pPr>
              <w:spacing w:after="0" w:line="276"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Energie (Kcal</w:t>
            </w:r>
            <w:r w:rsidR="0094143F" w:rsidRPr="00BC5F1D">
              <w:rPr>
                <w:rFonts w:ascii="Arial" w:eastAsia="Calibri" w:hAnsi="Arial" w:cs="Arial"/>
                <w:color w:val="000000" w:themeColor="text1"/>
                <w:sz w:val="20"/>
                <w:szCs w:val="20"/>
                <w:lang w:val="en-US"/>
              </w:rPr>
              <w:t>/100g</w:t>
            </w:r>
            <w:r w:rsidRPr="00BC5F1D">
              <w:rPr>
                <w:rFonts w:ascii="Arial" w:eastAsia="Calibri" w:hAnsi="Arial" w:cs="Arial"/>
                <w:color w:val="000000" w:themeColor="text1"/>
                <w:sz w:val="20"/>
                <w:szCs w:val="20"/>
                <w:lang w:val="en-US"/>
              </w:rPr>
              <w:t>)</w:t>
            </w:r>
          </w:p>
        </w:tc>
        <w:tc>
          <w:tcPr>
            <w:tcW w:w="2127" w:type="dxa"/>
            <w:tcBorders>
              <w:top w:val="nil"/>
              <w:left w:val="nil"/>
              <w:bottom w:val="single" w:sz="4" w:space="0" w:color="auto"/>
              <w:right w:val="nil"/>
            </w:tcBorders>
            <w:vAlign w:val="center"/>
          </w:tcPr>
          <w:p w14:paraId="3E53A185" w14:textId="35662848" w:rsidR="00D746DB" w:rsidRPr="00BC5F1D" w:rsidRDefault="00247D00"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257.75</w:t>
            </w:r>
            <w:r w:rsidR="00D746DB" w:rsidRPr="00BC5F1D">
              <w:rPr>
                <w:rFonts w:ascii="Arial" w:eastAsia="Calibri" w:hAnsi="Arial" w:cs="Arial"/>
                <w:bCs/>
                <w:color w:val="000000" w:themeColor="text1"/>
                <w:sz w:val="20"/>
                <w:szCs w:val="20"/>
              </w:rPr>
              <w:t xml:space="preserve"> ± </w:t>
            </w:r>
            <w:r w:rsidRPr="00BC5F1D">
              <w:rPr>
                <w:rFonts w:ascii="Arial" w:eastAsia="Calibri" w:hAnsi="Arial" w:cs="Arial"/>
                <w:bCs/>
                <w:color w:val="000000" w:themeColor="text1"/>
                <w:sz w:val="20"/>
                <w:szCs w:val="20"/>
              </w:rPr>
              <w:t>3</w:t>
            </w:r>
            <w:r w:rsidR="00D746DB" w:rsidRPr="00BC5F1D">
              <w:rPr>
                <w:rFonts w:ascii="Arial" w:eastAsia="Calibri" w:hAnsi="Arial" w:cs="Arial"/>
                <w:bCs/>
                <w:color w:val="000000" w:themeColor="text1"/>
                <w:sz w:val="20"/>
                <w:szCs w:val="20"/>
              </w:rPr>
              <w:t>.</w:t>
            </w:r>
            <w:r w:rsidRPr="00BC5F1D">
              <w:rPr>
                <w:rFonts w:ascii="Arial" w:eastAsia="Calibri" w:hAnsi="Arial" w:cs="Arial"/>
                <w:bCs/>
                <w:color w:val="000000" w:themeColor="text1"/>
                <w:sz w:val="20"/>
                <w:szCs w:val="20"/>
              </w:rPr>
              <w:t>9</w:t>
            </w:r>
            <w:r w:rsidR="00D746DB" w:rsidRPr="00BC5F1D">
              <w:rPr>
                <w:rFonts w:ascii="Arial" w:eastAsia="Calibri" w:hAnsi="Arial" w:cs="Arial"/>
                <w:bCs/>
                <w:color w:val="000000" w:themeColor="text1"/>
                <w:sz w:val="20"/>
                <w:szCs w:val="20"/>
              </w:rPr>
              <w:t>8</w:t>
            </w:r>
            <w:r w:rsidR="008E43B4" w:rsidRPr="00BC5F1D">
              <w:rPr>
                <w:rFonts w:ascii="Arial" w:eastAsia="Calibri" w:hAnsi="Arial" w:cs="Arial"/>
                <w:bCs/>
                <w:color w:val="000000" w:themeColor="text1"/>
                <w:sz w:val="20"/>
                <w:szCs w:val="20"/>
                <w:vertAlign w:val="superscript"/>
              </w:rPr>
              <w:t>a</w:t>
            </w:r>
          </w:p>
        </w:tc>
        <w:tc>
          <w:tcPr>
            <w:tcW w:w="1880" w:type="dxa"/>
            <w:tcBorders>
              <w:top w:val="nil"/>
              <w:left w:val="nil"/>
              <w:bottom w:val="single" w:sz="4" w:space="0" w:color="auto"/>
              <w:right w:val="nil"/>
            </w:tcBorders>
            <w:vAlign w:val="center"/>
          </w:tcPr>
          <w:p w14:paraId="67615122" w14:textId="22B649F8"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 xml:space="preserve">270.68 ± </w:t>
            </w:r>
            <w:r w:rsidR="00247D00" w:rsidRPr="00BC5F1D">
              <w:rPr>
                <w:rFonts w:ascii="Arial" w:eastAsia="Calibri" w:hAnsi="Arial" w:cs="Arial"/>
                <w:bCs/>
                <w:color w:val="000000" w:themeColor="text1"/>
                <w:sz w:val="20"/>
                <w:szCs w:val="20"/>
              </w:rPr>
              <w:t>1</w:t>
            </w:r>
            <w:r w:rsidRPr="00BC5F1D">
              <w:rPr>
                <w:rFonts w:ascii="Arial" w:eastAsia="Calibri" w:hAnsi="Arial" w:cs="Arial"/>
                <w:bCs/>
                <w:color w:val="000000" w:themeColor="text1"/>
                <w:sz w:val="20"/>
                <w:szCs w:val="20"/>
              </w:rPr>
              <w:t>.</w:t>
            </w:r>
            <w:r w:rsidR="00247D00" w:rsidRPr="00BC5F1D">
              <w:rPr>
                <w:rFonts w:ascii="Arial" w:eastAsia="Calibri" w:hAnsi="Arial" w:cs="Arial"/>
                <w:bCs/>
                <w:color w:val="000000" w:themeColor="text1"/>
                <w:sz w:val="20"/>
                <w:szCs w:val="20"/>
              </w:rPr>
              <w:t>6</w:t>
            </w:r>
            <w:r w:rsidRPr="00BC5F1D">
              <w:rPr>
                <w:rFonts w:ascii="Arial" w:eastAsia="Calibri" w:hAnsi="Arial" w:cs="Arial"/>
                <w:bCs/>
                <w:color w:val="000000" w:themeColor="text1"/>
                <w:sz w:val="20"/>
                <w:szCs w:val="20"/>
              </w:rPr>
              <w:t>5</w:t>
            </w:r>
            <w:r w:rsidR="008E43B4" w:rsidRPr="00BC5F1D">
              <w:rPr>
                <w:rFonts w:ascii="Arial" w:eastAsia="Calibri" w:hAnsi="Arial" w:cs="Arial"/>
                <w:bCs/>
                <w:color w:val="000000" w:themeColor="text1"/>
                <w:sz w:val="20"/>
                <w:szCs w:val="20"/>
                <w:vertAlign w:val="superscript"/>
              </w:rPr>
              <w:t>b</w:t>
            </w:r>
          </w:p>
        </w:tc>
        <w:tc>
          <w:tcPr>
            <w:tcW w:w="2514" w:type="dxa"/>
            <w:tcBorders>
              <w:top w:val="nil"/>
              <w:left w:val="nil"/>
              <w:bottom w:val="single" w:sz="4" w:space="0" w:color="auto"/>
              <w:right w:val="nil"/>
            </w:tcBorders>
            <w:vAlign w:val="center"/>
          </w:tcPr>
          <w:p w14:paraId="1B726124" w14:textId="4594B03D"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2</w:t>
            </w:r>
            <w:r w:rsidR="00437025" w:rsidRPr="00BC5F1D">
              <w:rPr>
                <w:rFonts w:ascii="Arial" w:eastAsia="Calibri" w:hAnsi="Arial" w:cs="Arial"/>
                <w:bCs/>
                <w:color w:val="000000" w:themeColor="text1"/>
                <w:sz w:val="20"/>
                <w:szCs w:val="20"/>
              </w:rPr>
              <w:t>83</w:t>
            </w:r>
            <w:r w:rsidRPr="00BC5F1D">
              <w:rPr>
                <w:rFonts w:ascii="Arial" w:eastAsia="Calibri" w:hAnsi="Arial" w:cs="Arial"/>
                <w:bCs/>
                <w:color w:val="000000" w:themeColor="text1"/>
                <w:sz w:val="20"/>
                <w:szCs w:val="20"/>
              </w:rPr>
              <w:t xml:space="preserve">.90 ± </w:t>
            </w:r>
            <w:r w:rsidR="00E575E4" w:rsidRPr="00BC5F1D">
              <w:rPr>
                <w:rFonts w:ascii="Arial" w:eastAsia="Calibri" w:hAnsi="Arial" w:cs="Arial"/>
                <w:bCs/>
                <w:color w:val="000000" w:themeColor="text1"/>
                <w:sz w:val="20"/>
                <w:szCs w:val="20"/>
              </w:rPr>
              <w:t>3.29</w:t>
            </w:r>
            <w:r w:rsidR="00444C6A" w:rsidRPr="00BC5F1D">
              <w:rPr>
                <w:rFonts w:ascii="Arial" w:eastAsia="Calibri" w:hAnsi="Arial" w:cs="Arial"/>
                <w:bCs/>
                <w:color w:val="000000" w:themeColor="text1"/>
                <w:sz w:val="20"/>
                <w:szCs w:val="20"/>
                <w:vertAlign w:val="superscript"/>
              </w:rPr>
              <w:t>c</w:t>
            </w:r>
          </w:p>
        </w:tc>
      </w:tr>
      <w:tr w:rsidR="00A45DC5" w:rsidRPr="00854A90" w14:paraId="4FF69C4C" w14:textId="66612580" w:rsidTr="00FE270E">
        <w:trPr>
          <w:trHeight w:val="434"/>
          <w:jc w:val="center"/>
        </w:trPr>
        <w:tc>
          <w:tcPr>
            <w:tcW w:w="9356" w:type="dxa"/>
            <w:gridSpan w:val="4"/>
            <w:tcBorders>
              <w:left w:val="nil"/>
              <w:bottom w:val="nil"/>
              <w:right w:val="nil"/>
            </w:tcBorders>
          </w:tcPr>
          <w:p w14:paraId="50EA84D4" w14:textId="1DB46CE5" w:rsidR="00D746DB" w:rsidRPr="00BC5F1D" w:rsidRDefault="00FE270E" w:rsidP="00FE270E">
            <w:pPr>
              <w:spacing w:after="0" w:line="240" w:lineRule="auto"/>
              <w:jc w:val="both"/>
              <w:rPr>
                <w:rFonts w:ascii="Arial" w:eastAsia="Calibri" w:hAnsi="Arial" w:cs="Arial"/>
                <w:bCs/>
                <w:sz w:val="20"/>
                <w:szCs w:val="20"/>
                <w:lang w:val="en-US"/>
              </w:rPr>
            </w:pPr>
            <w:r w:rsidRPr="00BC5F1D">
              <w:rPr>
                <w:rFonts w:ascii="Arial" w:eastAsia="Calibri" w:hAnsi="Arial" w:cs="Arial"/>
                <w:sz w:val="20"/>
                <w:szCs w:val="20"/>
                <w:lang w:val="en-US"/>
              </w:rPr>
              <w:t xml:space="preserve">Mn ± </w:t>
            </w:r>
            <w:r w:rsidR="00A761EA" w:rsidRPr="00BC5F1D">
              <w:rPr>
                <w:rFonts w:ascii="Arial" w:eastAsia="Calibri" w:hAnsi="Arial" w:cs="Arial"/>
                <w:sz w:val="20"/>
                <w:szCs w:val="20"/>
                <w:lang w:val="en-US"/>
              </w:rPr>
              <w:t>Sd:</w:t>
            </w:r>
            <w:r w:rsidRPr="00BC5F1D">
              <w:rPr>
                <w:rFonts w:ascii="Arial" w:eastAsia="Calibri" w:hAnsi="Arial" w:cs="Arial"/>
                <w:sz w:val="20"/>
                <w:szCs w:val="20"/>
                <w:lang w:val="en-US"/>
              </w:rPr>
              <w:t xml:space="preserve"> Mean ± Standard deviation; t</w:t>
            </w:r>
            <w:r w:rsidRPr="00BC5F1D">
              <w:rPr>
                <w:rFonts w:ascii="Arial" w:hAnsi="Arial" w:cs="Arial"/>
                <w:sz w:val="20"/>
                <w:szCs w:val="20"/>
                <w:lang w:val="en-US"/>
              </w:rPr>
              <w:t>he affected means of different lowercase letters in superscript and on line show a significant difference at the probability threshold P ≤ 0.05</w:t>
            </w:r>
          </w:p>
        </w:tc>
      </w:tr>
      <w:bookmarkEnd w:id="0"/>
    </w:tbl>
    <w:p w14:paraId="410CF9D7" w14:textId="77777777" w:rsidR="00A1137A" w:rsidRPr="00FE270E" w:rsidRDefault="00A1137A" w:rsidP="00245B33">
      <w:pPr>
        <w:spacing w:line="360" w:lineRule="auto"/>
        <w:jc w:val="both"/>
        <w:rPr>
          <w:rFonts w:ascii="Times New Roman" w:hAnsi="Times New Roman" w:cs="Times New Roman"/>
          <w:lang w:val="en-US"/>
        </w:rPr>
      </w:pPr>
    </w:p>
    <w:p w14:paraId="70058968" w14:textId="6EC6AA2B" w:rsidR="000C6D82" w:rsidRPr="00BC5F1D" w:rsidRDefault="0049348E" w:rsidP="000D5690">
      <w:pPr>
        <w:pStyle w:val="ListParagraph"/>
        <w:numPr>
          <w:ilvl w:val="1"/>
          <w:numId w:val="1"/>
        </w:numPr>
        <w:tabs>
          <w:tab w:val="left" w:pos="567"/>
        </w:tabs>
        <w:spacing w:before="240" w:line="360" w:lineRule="auto"/>
        <w:jc w:val="both"/>
        <w:rPr>
          <w:rFonts w:ascii="Arial" w:hAnsi="Arial" w:cs="Arial"/>
          <w:b/>
          <w:bCs/>
        </w:rPr>
      </w:pPr>
      <w:r w:rsidRPr="00BC5F1D">
        <w:rPr>
          <w:rFonts w:ascii="Arial" w:hAnsi="Arial" w:cs="Arial"/>
          <w:b/>
          <w:bCs/>
          <w:lang w:val="en-US"/>
        </w:rPr>
        <w:t xml:space="preserve"> </w:t>
      </w:r>
      <w:proofErr w:type="spellStart"/>
      <w:r w:rsidR="000C6D82" w:rsidRPr="00BC5F1D">
        <w:rPr>
          <w:rFonts w:ascii="Arial" w:hAnsi="Arial" w:cs="Arial"/>
          <w:b/>
          <w:bCs/>
        </w:rPr>
        <w:t>Nutritional</w:t>
      </w:r>
      <w:proofErr w:type="spellEnd"/>
      <w:r w:rsidR="000C6D82" w:rsidRPr="00BC5F1D">
        <w:rPr>
          <w:rFonts w:ascii="Arial" w:hAnsi="Arial" w:cs="Arial"/>
          <w:b/>
          <w:bCs/>
        </w:rPr>
        <w:t xml:space="preserve"> </w:t>
      </w:r>
      <w:r w:rsidR="00691D2F" w:rsidRPr="00BC5F1D">
        <w:rPr>
          <w:rFonts w:ascii="Arial" w:hAnsi="Arial" w:cs="Arial"/>
          <w:b/>
          <w:bCs/>
        </w:rPr>
        <w:t>compos</w:t>
      </w:r>
      <w:r w:rsidR="009F3608" w:rsidRPr="00BC5F1D">
        <w:rPr>
          <w:rFonts w:ascii="Arial" w:hAnsi="Arial" w:cs="Arial"/>
          <w:b/>
          <w:bCs/>
        </w:rPr>
        <w:t>i</w:t>
      </w:r>
      <w:r w:rsidR="00691D2F" w:rsidRPr="00BC5F1D">
        <w:rPr>
          <w:rFonts w:ascii="Arial" w:hAnsi="Arial" w:cs="Arial"/>
          <w:b/>
          <w:bCs/>
        </w:rPr>
        <w:t>tion</w:t>
      </w:r>
    </w:p>
    <w:p w14:paraId="1F754EB3" w14:textId="77777777" w:rsidR="000C6D82" w:rsidRPr="00BC5F1D" w:rsidRDefault="000C6D82" w:rsidP="000C6D82">
      <w:pPr>
        <w:pStyle w:val="ListParagraph"/>
        <w:spacing w:before="240" w:line="240" w:lineRule="auto"/>
        <w:ind w:left="360"/>
        <w:jc w:val="both"/>
        <w:rPr>
          <w:rFonts w:ascii="Arial" w:hAnsi="Arial" w:cs="Arial"/>
          <w:b/>
          <w:bCs/>
        </w:rPr>
      </w:pPr>
    </w:p>
    <w:p w14:paraId="7258DC80" w14:textId="10BF7EF6" w:rsidR="000C6D82" w:rsidRPr="00BC5F1D" w:rsidRDefault="000D5690" w:rsidP="000C6D82">
      <w:pPr>
        <w:pStyle w:val="ListParagraph"/>
        <w:numPr>
          <w:ilvl w:val="2"/>
          <w:numId w:val="1"/>
        </w:numPr>
        <w:spacing w:line="360" w:lineRule="auto"/>
        <w:ind w:left="567" w:hanging="567"/>
        <w:jc w:val="both"/>
        <w:rPr>
          <w:rFonts w:ascii="Arial" w:hAnsi="Arial" w:cs="Arial"/>
          <w:b/>
          <w:bCs/>
        </w:rPr>
      </w:pPr>
      <w:r>
        <w:rPr>
          <w:rFonts w:ascii="Arial" w:hAnsi="Arial" w:cs="Arial"/>
          <w:b/>
          <w:bCs/>
        </w:rPr>
        <w:t xml:space="preserve"> </w:t>
      </w:r>
      <w:proofErr w:type="spellStart"/>
      <w:r w:rsidR="006C1F9B" w:rsidRPr="00BC5F1D">
        <w:rPr>
          <w:rFonts w:ascii="Arial" w:hAnsi="Arial" w:cs="Arial"/>
          <w:b/>
          <w:bCs/>
        </w:rPr>
        <w:t>Macronutrient</w:t>
      </w:r>
      <w:proofErr w:type="spellEnd"/>
      <w:r w:rsidR="006C1F9B" w:rsidRPr="00BC5F1D">
        <w:rPr>
          <w:rFonts w:ascii="Arial" w:hAnsi="Arial" w:cs="Arial"/>
          <w:b/>
          <w:bCs/>
        </w:rPr>
        <w:t xml:space="preserve"> content</w:t>
      </w:r>
    </w:p>
    <w:p w14:paraId="2437099A" w14:textId="4ABFFF09" w:rsidR="00987502" w:rsidRPr="00BC5F1D" w:rsidRDefault="00987502" w:rsidP="00987502">
      <w:pPr>
        <w:spacing w:line="360" w:lineRule="auto"/>
        <w:jc w:val="both"/>
        <w:rPr>
          <w:rFonts w:ascii="Arial" w:hAnsi="Arial" w:cs="Arial"/>
          <w:sz w:val="20"/>
          <w:szCs w:val="20"/>
          <w:lang w:val="en-US"/>
        </w:rPr>
      </w:pPr>
      <w:r w:rsidRPr="00BC5F1D">
        <w:rPr>
          <w:rFonts w:ascii="Arial" w:hAnsi="Arial" w:cs="Arial"/>
          <w:sz w:val="20"/>
          <w:szCs w:val="20"/>
          <w:lang w:val="en-US"/>
        </w:rPr>
        <w:t xml:space="preserve">Table 1 presents the caloric nutrient contents of the powders from the leaves of </w:t>
      </w:r>
      <w:r w:rsidRPr="00BC5F1D">
        <w:rPr>
          <w:rFonts w:ascii="Arial" w:hAnsi="Arial" w:cs="Arial"/>
          <w:i/>
          <w:iCs/>
          <w:sz w:val="20"/>
          <w:szCs w:val="20"/>
          <w:lang w:val="en-US"/>
        </w:rPr>
        <w:t>A. digitata, C. olitorius</w:t>
      </w:r>
      <w:r w:rsidRPr="00BC5F1D">
        <w:rPr>
          <w:rFonts w:ascii="Arial" w:hAnsi="Arial" w:cs="Arial"/>
          <w:sz w:val="20"/>
          <w:szCs w:val="20"/>
          <w:lang w:val="en-US"/>
        </w:rPr>
        <w:t xml:space="preserve">, and the bark of </w:t>
      </w:r>
      <w:r w:rsidRPr="00BC5F1D">
        <w:rPr>
          <w:rFonts w:ascii="Arial" w:hAnsi="Arial" w:cs="Arial"/>
          <w:i/>
          <w:iCs/>
          <w:sz w:val="20"/>
          <w:szCs w:val="20"/>
          <w:lang w:val="en-US"/>
        </w:rPr>
        <w:t>T. cordifolia</w:t>
      </w:r>
      <w:r w:rsidRPr="00BC5F1D">
        <w:rPr>
          <w:rFonts w:ascii="Arial" w:hAnsi="Arial" w:cs="Arial"/>
          <w:sz w:val="20"/>
          <w:szCs w:val="20"/>
          <w:lang w:val="en-US"/>
        </w:rPr>
        <w:t xml:space="preserve">. These contents vary significantly from one powder to another, with values ranging from 37.72 ± 0.45 to 58.02 ± 0.50 g/100g DM for available sugars; 8.23 ± 0.30 to 21.60 ± 0.10 g/100g DM for total proteins; and 2.10 ± 0.01 to 4.15 ± 0.02 g/100g DM for total lipids. It is observed that </w:t>
      </w:r>
      <w:r w:rsidRPr="00BC5F1D">
        <w:rPr>
          <w:rFonts w:ascii="Arial" w:hAnsi="Arial" w:cs="Arial"/>
          <w:sz w:val="20"/>
          <w:szCs w:val="20"/>
          <w:lang w:val="en-US"/>
        </w:rPr>
        <w:lastRenderedPageBreak/>
        <w:t xml:space="preserve">the powders of </w:t>
      </w:r>
      <w:r w:rsidRPr="00BC5F1D">
        <w:rPr>
          <w:rFonts w:ascii="Arial" w:hAnsi="Arial" w:cs="Arial"/>
          <w:i/>
          <w:iCs/>
          <w:sz w:val="20"/>
          <w:szCs w:val="20"/>
          <w:lang w:val="en-US"/>
        </w:rPr>
        <w:t>A. digitata</w:t>
      </w:r>
      <w:r w:rsidRPr="00BC5F1D">
        <w:rPr>
          <w:rFonts w:ascii="Arial" w:hAnsi="Arial" w:cs="Arial"/>
          <w:sz w:val="20"/>
          <w:szCs w:val="20"/>
          <w:lang w:val="en-US"/>
        </w:rPr>
        <w:t xml:space="preserve">, </w:t>
      </w:r>
      <w:r w:rsidRPr="00BC5F1D">
        <w:rPr>
          <w:rFonts w:ascii="Arial" w:hAnsi="Arial" w:cs="Arial"/>
          <w:i/>
          <w:iCs/>
          <w:sz w:val="20"/>
          <w:szCs w:val="20"/>
          <w:lang w:val="en-US"/>
        </w:rPr>
        <w:t>C. olitorius</w:t>
      </w:r>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exhibit maximum lipid contents of 4.14 ± 0.02 g/100g DM, protein contents of 21.60 ± 0.10 g/100g DM, and sugar contents of 58.02 ± 0.50 g/100g DM, respectively. These lipid, protein, and sugar contents are higher than the 2.46 g/100g DM reported by </w:t>
      </w:r>
      <w:r w:rsidRPr="00BC5F1D">
        <w:rPr>
          <w:rFonts w:ascii="Arial" w:hAnsi="Arial" w:cs="Arial"/>
          <w:sz w:val="20"/>
          <w:szCs w:val="20"/>
        </w:rPr>
        <w:fldChar w:fldCharType="begin" w:fldLock="1"/>
      </w:r>
      <w:r w:rsidR="000D5690">
        <w:rPr>
          <w:rFonts w:ascii="Arial" w:hAnsi="Arial" w:cs="Arial"/>
          <w:sz w:val="20"/>
          <w:szCs w:val="20"/>
          <w:lang w:val="en-US"/>
        </w:rPr>
        <w:instrText>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2014)","manualFormatting":"Abioye et al. (2014)","plainTextFormattedCitation":"(Abioye et al., 2014)","previouslyFormattedCitation":"(Abioye et al., 2014)"},"properties":{"noteIndex":0},"schema":"https://github.com/citation-style-language/schema/raw/master/csl-citation.json"}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Abioye et al.</w:t>
      </w:r>
      <w:r w:rsidR="000D5690">
        <w:rPr>
          <w:rFonts w:ascii="Arial" w:hAnsi="Arial" w:cs="Arial"/>
          <w:noProof/>
          <w:sz w:val="20"/>
          <w:szCs w:val="20"/>
          <w:lang w:val="en-US"/>
        </w:rPr>
        <w:t xml:space="preserve"> (</w:t>
      </w:r>
      <w:r w:rsidRPr="00BC5F1D">
        <w:rPr>
          <w:rFonts w:ascii="Arial" w:hAnsi="Arial" w:cs="Arial"/>
          <w:noProof/>
          <w:sz w:val="20"/>
          <w:szCs w:val="20"/>
          <w:lang w:val="en-US"/>
        </w:rPr>
        <w:t>2014)</w:t>
      </w:r>
      <w:r w:rsidRPr="00BC5F1D">
        <w:rPr>
          <w:rFonts w:ascii="Arial" w:hAnsi="Arial" w:cs="Arial"/>
          <w:sz w:val="20"/>
          <w:szCs w:val="20"/>
        </w:rPr>
        <w:fldChar w:fldCharType="end"/>
      </w:r>
      <w:r w:rsidRPr="00BC5F1D">
        <w:rPr>
          <w:rFonts w:ascii="Arial" w:hAnsi="Arial" w:cs="Arial"/>
          <w:sz w:val="20"/>
          <w:szCs w:val="20"/>
          <w:lang w:val="en-US"/>
        </w:rPr>
        <w:t xml:space="preserve">, lower than the 27.32 g/100g DM noted by </w:t>
      </w:r>
      <w:r w:rsidRPr="00BC5F1D">
        <w:rPr>
          <w:rFonts w:ascii="Arial" w:hAnsi="Arial" w:cs="Arial"/>
          <w:sz w:val="20"/>
          <w:szCs w:val="20"/>
        </w:rPr>
        <w:fldChar w:fldCharType="begin" w:fldLock="1"/>
      </w:r>
      <w:r w:rsidR="00FD077F">
        <w:rPr>
          <w:rFonts w:ascii="Arial" w:hAnsi="Arial" w:cs="Arial"/>
          <w:sz w:val="20"/>
          <w:szCs w:val="20"/>
          <w:lang w:val="en-US"/>
        </w:rPr>
        <w:instrText>ADDIN CSL_CITATION {"citationItems":[{"id":"ITEM-1","itemData":{"DOI":"https://dx.doi.org/10.4314/ijbcs.v13i4.21","abstract":"Leafy vegetables play a major in meeting the dietary requirement of an average Nigerian. The knowledge of nutritional and antinutritional properties of these local plant resources therefore becomes necessary. This study was to conduct a phytochemical analysis, determination of proximate composition and antinutritional factors of Corchorus oliterius using standard procedures. The qualitative phytochemical analysis revealed the presence of saponins, terpenoids, flavonoids, alkaloids and phenols. Proximate analysis, which partitioned the nutrients into six components revealed the nutrients, thus, moisture (8.84±0.00%), ash (11.18±0.00%), crude protein (27.32±0.02%), crude fat (5.64±0.01%), and crude fibre (5.84±0.02, and nitrogen free extractives (NFE) (41.16±0.00%). Antintritional factors were recorded, thus; oxalate (241.96±0.0 2mg/100g), saponins (0.68±0.00%), tannins (18.16±0.00 mg/100g), cyanogenic glycosides (2.78±0.01 mg/100g), and phytate (0.80±0.00%). The presence of phytochemicals such as terpenoids, flavonoids alkaloids and phenols validates the use of C. olitrius in traditional and alternative medicines since phytochemicals found in fruits and vegetables are generally known for being responsible for protective health benefits in man and animals. This result showed that the vegetable was a promising source of protein in human diet if well processed. All the concentrations of antinutrients were found to be within acceptable levels for human and animal consumption. However, the levels of antinutrients can be reduced by traditional processing techniques such as boiling, steaming, cooking, to make it safer for human consumption.","author":[{"dropping-particle":"","family":"Sha'a","given":"Kiliobas Kiri","non-dropping-particle":"","parse-names":false,"suffix":""},{"dropping-particle":"","family":"Clarkson","given":"Gramso Pwamaddi","non-dropping-particle":"","parse-names":false,"suffix":""},{"dropping-particle":"","family":"Artimas","given":"Susan Pwakangdi","non-dropping-particle":"","parse-names":false,"suffix":""}],"container-title":"International Journal of Biological and Chemical Sciences","id":"ITEM-1","issue":"4","issued":{"date-parts":[["2019"]]},"page":"2147-2157","title":"Phytochemical analysis, proximate composition and antinutritional factors of Corchorus olitorius plant","type":"article-journal","volume":"13"},"uris":["http://www.mendeley.com/documents/?uuid=d1e8808f-60d4-4571-8393-412c104d6ba4"]}],"mendeley":{"formattedCitation":"(Sha’a et al., 2019)","manualFormatting":"Sha’a et al. (2019)","plainTextFormattedCitation":"(Sha’a et al., 2019)","previouslyFormattedCitation":"(Sha’a et al., 2019)"},"properties":{"noteIndex":0},"schema":"https://github.com/citation-style-language/schema/raw/master/csl-citation.json"}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Sha’a et al.</w:t>
      </w:r>
      <w:r w:rsidR="00A075F3">
        <w:rPr>
          <w:rFonts w:ascii="Arial" w:hAnsi="Arial" w:cs="Arial"/>
          <w:noProof/>
          <w:sz w:val="20"/>
          <w:szCs w:val="20"/>
          <w:lang w:val="en-US"/>
        </w:rPr>
        <w:t xml:space="preserve"> (</w:t>
      </w:r>
      <w:r w:rsidRPr="00BC5F1D">
        <w:rPr>
          <w:rFonts w:ascii="Arial" w:hAnsi="Arial" w:cs="Arial"/>
          <w:noProof/>
          <w:sz w:val="20"/>
          <w:szCs w:val="20"/>
          <w:lang w:val="en-US"/>
        </w:rPr>
        <w:t>2019)</w:t>
      </w:r>
      <w:r w:rsidRPr="00BC5F1D">
        <w:rPr>
          <w:rFonts w:ascii="Arial" w:hAnsi="Arial" w:cs="Arial"/>
          <w:sz w:val="20"/>
          <w:szCs w:val="20"/>
        </w:rPr>
        <w:fldChar w:fldCharType="end"/>
      </w:r>
      <w:r w:rsidRPr="00BC5F1D">
        <w:rPr>
          <w:rFonts w:ascii="Arial" w:hAnsi="Arial" w:cs="Arial"/>
          <w:sz w:val="20"/>
          <w:szCs w:val="20"/>
          <w:lang w:val="en-US"/>
        </w:rPr>
        <w:t>, and nearly similar to the 6</w:t>
      </w:r>
      <w:r w:rsidR="00FF01A1">
        <w:rPr>
          <w:rFonts w:ascii="Arial" w:hAnsi="Arial" w:cs="Arial"/>
          <w:sz w:val="20"/>
          <w:szCs w:val="20"/>
          <w:lang w:val="en-US"/>
        </w:rPr>
        <w:t>3.11</w:t>
      </w:r>
      <w:r w:rsidRPr="00BC5F1D">
        <w:rPr>
          <w:rFonts w:ascii="Arial" w:hAnsi="Arial" w:cs="Arial"/>
          <w:sz w:val="20"/>
          <w:szCs w:val="20"/>
          <w:lang w:val="en-US"/>
        </w:rPr>
        <w:t xml:space="preserve"> g/100g DM reported by </w:t>
      </w:r>
      <w:r w:rsidR="00FF01A1">
        <w:rPr>
          <w:rFonts w:ascii="Arial" w:hAnsi="Arial" w:cs="Arial"/>
          <w:sz w:val="20"/>
          <w:szCs w:val="20"/>
          <w:lang w:val="en-US"/>
        </w:rPr>
        <w:fldChar w:fldCharType="begin" w:fldLock="1"/>
      </w:r>
      <w:r w:rsidR="006210D5">
        <w:rPr>
          <w:rFonts w:ascii="Arial" w:hAnsi="Arial" w:cs="Arial"/>
          <w:sz w:val="20"/>
          <w:szCs w:val="20"/>
          <w:lang w:val="en-US"/>
        </w:rPr>
        <w:instrText>ADDIN CSL_CITATION {"citationItems":[{"id":"ITEM-1","itemData":{"abstract":"The leaves of Moringa oleifera were harvested from Lafia in Nasarawa State of Nigeria during the rainy season in June 2011 for proximate, mineral and phytochemical analysis. The results of proximate analysis revealed the presence of high crude protein (17.01% ±0.1) and carbohydrate (63.11% ±0.09). The leaves also contained appreciable amounts of crude fibre (7.09% ±0.11), ash (7.93% ± 0.12), crude fat (2.11% ±0.11) and fatty acid (1.69% ±0.09). The total ash content showed it contained minerals, Ca (1.91% ±0.08), K (0.97% ±0.01), Na (192.95±4.4), Fe (107.48±8.2), Mn (81.65±2.31), Zn (60.06±0.3) and P (30.15±0.5) parts per million (ppm). Magnesium (0.38% ±0.01) and copper (6.10±0.19) were the least. The results of phytochemical analysis and anti-nutrients showed presence of tannins (21.19% ±0.25), phytates (2.57% ±0.13), trypsin inhibitors (3.0% ±0.04), saponins (1.60% ±0.05), oxalates (0.45% ±0.01) and cyanide content ((0.1% ±0.01). The presence of these essential nutrients and minerals implies Moringa oleifera leaves from Lafia, Nasarawa State could be utilized as a source of feed supplement to improve growth performance and health status of poultry. The benefits of essential nutrients and minerals in maintaining good health were also highlighted in this study.","author":[{"dropping-particle":"","family":"Ogbe","given":"A O","non-dropping-particle":"","parse-names":false,"suffix":""},{"dropping-particle":"","family":"Affiku","given":"John P","non-dropping-particle":"","parse-names":false,"suffix":""}],"container-title":"Journal of Microbiology","id":"ITEM-1","issue":"3","issued":{"date-parts":[["2011"]]},"page":"296-308","title":"Proximate study, mineral and anti-nutrient composition of Moringa oleifera leaves harvested from Lafia, Nigeria: potential benefits in poultry nutrition and health","type":"article-journal","volume":"12"},"uris":["http://www.mendeley.com/documents/?uuid=157b0b36-7b31-3d1a-8104-4068b5978c83"]}],"mendeley":{"formattedCitation":"(Ogbe &amp; Affiku, 2011)","manualFormatting":"Ogbe &amp; Affiku (2011)","plainTextFormattedCitation":"(Ogbe &amp; Affiku, 2011)","previouslyFormattedCitation":"(Ogbe &amp; Affiku, 2011)"},"properties":{"noteIndex":0},"schema":"https://github.com/citation-style-language/schema/raw/master/csl-citation.json"}</w:instrText>
      </w:r>
      <w:r w:rsidR="00FF01A1">
        <w:rPr>
          <w:rFonts w:ascii="Arial" w:hAnsi="Arial" w:cs="Arial"/>
          <w:sz w:val="20"/>
          <w:szCs w:val="20"/>
          <w:lang w:val="en-US"/>
        </w:rPr>
        <w:fldChar w:fldCharType="separate"/>
      </w:r>
      <w:r w:rsidR="00FF01A1" w:rsidRPr="00FF01A1">
        <w:rPr>
          <w:rFonts w:ascii="Arial" w:hAnsi="Arial" w:cs="Arial"/>
          <w:noProof/>
          <w:sz w:val="20"/>
          <w:szCs w:val="20"/>
          <w:lang w:val="en-US"/>
        </w:rPr>
        <w:t xml:space="preserve">Ogbe &amp; Affiku </w:t>
      </w:r>
      <w:r w:rsidR="00FF01A1">
        <w:rPr>
          <w:rFonts w:ascii="Arial" w:hAnsi="Arial" w:cs="Arial"/>
          <w:noProof/>
          <w:sz w:val="20"/>
          <w:szCs w:val="20"/>
          <w:lang w:val="en-US"/>
        </w:rPr>
        <w:t>(</w:t>
      </w:r>
      <w:r w:rsidR="00FF01A1" w:rsidRPr="00FF01A1">
        <w:rPr>
          <w:rFonts w:ascii="Arial" w:hAnsi="Arial" w:cs="Arial"/>
          <w:noProof/>
          <w:sz w:val="20"/>
          <w:szCs w:val="20"/>
          <w:lang w:val="en-US"/>
        </w:rPr>
        <w:t>2011)</w:t>
      </w:r>
      <w:r w:rsidR="00FF01A1">
        <w:rPr>
          <w:rFonts w:ascii="Arial" w:hAnsi="Arial" w:cs="Arial"/>
          <w:sz w:val="20"/>
          <w:szCs w:val="20"/>
          <w:lang w:val="en-US"/>
        </w:rPr>
        <w:fldChar w:fldCharType="end"/>
      </w:r>
      <w:r w:rsidR="00FF01A1">
        <w:rPr>
          <w:rFonts w:ascii="Arial" w:hAnsi="Arial" w:cs="Arial"/>
          <w:color w:val="FF0000"/>
          <w:sz w:val="20"/>
          <w:szCs w:val="20"/>
          <w:lang w:val="en-US"/>
        </w:rPr>
        <w:t xml:space="preserve"> </w:t>
      </w:r>
      <w:r w:rsidR="00FF01A1" w:rsidRPr="00FF01A1">
        <w:rPr>
          <w:rFonts w:ascii="Arial" w:hAnsi="Arial" w:cs="Arial"/>
          <w:color w:val="000000" w:themeColor="text1"/>
          <w:sz w:val="20"/>
          <w:szCs w:val="20"/>
          <w:lang w:val="en-US"/>
        </w:rPr>
        <w:t>on the leaf powders of Moringa oleifera</w:t>
      </w:r>
      <w:r w:rsidRPr="00FF01A1">
        <w:rPr>
          <w:rFonts w:ascii="Arial" w:hAnsi="Arial" w:cs="Arial"/>
          <w:color w:val="000000" w:themeColor="text1"/>
          <w:sz w:val="20"/>
          <w:szCs w:val="20"/>
          <w:lang w:val="en-US"/>
        </w:rPr>
        <w:t xml:space="preserve">. </w:t>
      </w:r>
      <w:r w:rsidRPr="00BC5F1D">
        <w:rPr>
          <w:rFonts w:ascii="Arial" w:hAnsi="Arial" w:cs="Arial"/>
          <w:sz w:val="20"/>
          <w:szCs w:val="20"/>
          <w:lang w:val="en-US"/>
        </w:rPr>
        <w:t>The observed differences in caloric nutrient contents may be explained by multiple synthesis mechanisms occurring in each part of the plant. Indeed, numerous biological processes and cellular structures contribute to these synthesis mechanisms, including photosynthesis for sugars (in chloroplasts within the leaves), protein translation (in the nucleus of the plant cell), and lipogenesis (in the cytoplasm, involving the degradation of acetyl-CoA for fatty acid synthesis)</w:t>
      </w:r>
      <w:r w:rsidR="000B0BC0">
        <w:rPr>
          <w:rFonts w:ascii="Arial" w:hAnsi="Arial" w:cs="Arial"/>
          <w:sz w:val="20"/>
          <w:szCs w:val="20"/>
          <w:lang w:val="en-US"/>
        </w:rPr>
        <w:t xml:space="preserve"> </w:t>
      </w:r>
      <w:r w:rsidR="000B0BC0">
        <w:rPr>
          <w:rFonts w:ascii="Arial" w:hAnsi="Arial" w:cs="Arial"/>
          <w:sz w:val="20"/>
          <w:szCs w:val="20"/>
          <w:lang w:val="en-US"/>
        </w:rPr>
        <w:fldChar w:fldCharType="begin" w:fldLock="1"/>
      </w:r>
      <w:r w:rsidR="000B0BC0">
        <w:rPr>
          <w:rFonts w:ascii="Arial" w:hAnsi="Arial" w:cs="Arial"/>
          <w:sz w:val="20"/>
          <w:szCs w:val="20"/>
          <w:lang w:val="en-US"/>
        </w:rPr>
        <w:instrText>ADDIN CSL_CITATION {"citationItems":[{"id":"ITEM-1","itemData":{"author":[{"dropping-particle":"","family":"Moreau","given":"François","non-dropping-particle":"","parse-names":false,"suffix":""},{"dropping-particle":"","family":"Prat","given":"Roger F","non-dropping-particle":"","parse-names":false,"suffix":""},{"dropping-particle":"","family":"Sentenac","given":"Herve","non-dropping-particle":"","parse-names":false,"suffix":""},{"dropping-particle":"","family":"Moreau","given":"François","non-dropping-particle":"","parse-names":false,"suffix":""},{"dropping-particle":"","family":"Prat","given":"Roger F","non-dropping-particle":"","parse-names":false,"suffix":""},{"dropping-particle":"","family":"Maurel","given":"Christophe","non-dropping-particle":"","parse-names":false,"suffix":""},{"dropping-particle":"","family":"Sentenac","given":"Herve","non-dropping-particle":"","parse-names":false,"suffix":""}],"edition":"Dunod","editor":[{"dropping-particle":"","family":"Dunod","given":"","non-dropping-particle":"","parse-names":false,"suffix":""}],"id":"ITEM-1","issued":{"date-parts":[["2017"]]},"number-of-pages":"242","publisher-place":"Paris","title":"Biologie végétale Nutrition et métabolisme","type":"book"},"uris":["http://www.mendeley.com/documents/?uuid=a63fae2d-204e-4541-a43f-c8f983fe6199"]}],"mendeley":{"formattedCitation":"(Moreau et al., 2017)","plainTextFormattedCitation":"(Moreau et al., 2017)","previouslyFormattedCitation":"(Moreau et al., 2017)"},"properties":{"noteIndex":0},"schema":"https://github.com/citation-style-language/schema/raw/master/csl-citation.json"}</w:instrText>
      </w:r>
      <w:r w:rsidR="000B0BC0">
        <w:rPr>
          <w:rFonts w:ascii="Arial" w:hAnsi="Arial" w:cs="Arial"/>
          <w:sz w:val="20"/>
          <w:szCs w:val="20"/>
          <w:lang w:val="en-US"/>
        </w:rPr>
        <w:fldChar w:fldCharType="separate"/>
      </w:r>
      <w:r w:rsidR="000B0BC0" w:rsidRPr="000B0BC0">
        <w:rPr>
          <w:rFonts w:ascii="Arial" w:hAnsi="Arial" w:cs="Arial"/>
          <w:noProof/>
          <w:sz w:val="20"/>
          <w:szCs w:val="20"/>
          <w:lang w:val="en-US"/>
        </w:rPr>
        <w:t>(Moreau et al., 2017)</w:t>
      </w:r>
      <w:r w:rsidR="000B0BC0">
        <w:rPr>
          <w:rFonts w:ascii="Arial" w:hAnsi="Arial" w:cs="Arial"/>
          <w:sz w:val="20"/>
          <w:szCs w:val="20"/>
          <w:lang w:val="en-US"/>
        </w:rPr>
        <w:fldChar w:fldCharType="end"/>
      </w:r>
      <w:r w:rsidR="000B0BC0">
        <w:rPr>
          <w:rFonts w:ascii="Arial" w:hAnsi="Arial" w:cs="Arial"/>
          <w:sz w:val="20"/>
          <w:szCs w:val="20"/>
          <w:lang w:val="en-US"/>
        </w:rPr>
        <w:t xml:space="preserve">. </w:t>
      </w:r>
      <w:r w:rsidRPr="00BC5F1D">
        <w:rPr>
          <w:rFonts w:ascii="Arial" w:hAnsi="Arial" w:cs="Arial"/>
          <w:color w:val="FF0000"/>
          <w:sz w:val="20"/>
          <w:szCs w:val="20"/>
          <w:lang w:val="en-US"/>
        </w:rPr>
        <w:t xml:space="preserve"> </w:t>
      </w:r>
      <w:r w:rsidRPr="00BC5F1D">
        <w:rPr>
          <w:rFonts w:ascii="Arial" w:hAnsi="Arial" w:cs="Arial"/>
          <w:sz w:val="20"/>
          <w:szCs w:val="20"/>
          <w:lang w:val="en-US"/>
        </w:rPr>
        <w:t xml:space="preserve">These various biological processes are regulated by enzymes and can be influenced by numerous factors such as the environment, light, temperature, and nutrient availability. Additionally, post-harvest treatments (drying, grinding, etc.) applied to the plant parts may also influence the observed caloric nutrient contents </w:t>
      </w:r>
      <w:r w:rsidRPr="00BC5F1D">
        <w:rPr>
          <w:rFonts w:ascii="Arial" w:hAnsi="Arial" w:cs="Arial"/>
          <w:sz w:val="20"/>
          <w:szCs w:val="20"/>
        </w:rPr>
        <w:fldChar w:fldCharType="begin" w:fldLock="1"/>
      </w:r>
      <w:r w:rsidR="00DA6194">
        <w:rPr>
          <w:rFonts w:ascii="Arial" w:hAnsi="Arial" w:cs="Arial"/>
          <w:sz w:val="20"/>
          <w:szCs w:val="20"/>
          <w:lang w:val="en-US"/>
        </w:rPr>
        <w:instrText>ADDIN CSL_CITATION {"citationItems":[{"id":"ITEM-1","itemData":{"DOI":"10.3923/pjn.2005.37.42","ISSN":"1680-5194","abstract":"Leaves of 3 genetically improved varieties of cassava plants were harvested and subjected to different processing methods including sun-drying (SND), oven-drying (OVD), steaming (STM), shredding (SHD) and steeping (STP) and a combination of these methods to deliberately reduce the high level of cyanogenic glucosides present in the leaves. A combination of SHD and SND (SHD+SND) seemed to be the most effective technique of reducing the cyanide content. Proximate/mineral composition and gross energy were determined. Particular attention was paid into the determination of hydrocyanic acid (HCN), polyphenols (tannic acid) and phytic acid as they constitute the major anti-nutrients militating against the utilization of cassava leaf in animal nutrition. The leaves contained: crude protein 348.0gkg DM (range:-1 332.0-363.0gkg DM); crude fibre 121.0gkg DM (range: 115.0-127.0gkg DM); ether extract 70.0gkg DM-1-1-1-1 (range: 63.0-75.0gkg DM); ash 69.0gkg DM (range: 63.0-78.0gkg DM) and gross energy 47.0MJkg-1-1-1-1 (range: 46.5-47.2MJkg). The CLM protein content was high and comparable with some rich conventional-1 protein sources of plant and animal origins used in monogastric feed formulation. The mineral content was high particularly Ca, Zn, Ni and K. The \"cyanide scare\" associated with acute intoxification when food substances rich in cyanide is ingested at high levels seemed to be obviated by a combination of processing methods (SHD+SND).","author":[{"dropping-particle":"","family":"Fasuyi","given":"Ayodeji O","non-dropping-particle":"","parse-names":false,"suffix":""}],"container-title":"Pakistan Journal of Nutrition","id":"ITEM-1","issue":"1","issued":{"date-parts":[["2005"]]},"page":"37-42","title":"Nutrient Composition and Processing Effects on Cassava Leaf (Manihot esculenta, Crantz) Antinutrients","type":"article-journal","volume":"4"},"uris":["http://www.mendeley.com/documents/?uuid=084b7ab3-4c05-389f-9551-addc5d6b9888"]}],"mendeley":{"formattedCitation":"(Fasuyi, 2005)","manualFormatting":"(Fasuyi, 2005;","plainTextFormattedCitation":"(Fasuyi, 2005)","previouslyFormattedCitation":"(Fasuyi, 2005)"},"properties":{"noteIndex":0},"schema":"https://github.com/citation-style-language/schema/raw/master/csl-citation.json"}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(Fasuyi, 2005</w:t>
      </w:r>
      <w:r w:rsidR="00A075F3">
        <w:rPr>
          <w:rFonts w:ascii="Arial" w:hAnsi="Arial" w:cs="Arial"/>
          <w:noProof/>
          <w:sz w:val="20"/>
          <w:szCs w:val="20"/>
          <w:lang w:val="en-US"/>
        </w:rPr>
        <w:t>;</w:t>
      </w:r>
      <w:r w:rsidRPr="00BC5F1D">
        <w:rPr>
          <w:rFonts w:ascii="Arial" w:hAnsi="Arial" w:cs="Arial"/>
          <w:sz w:val="20"/>
          <w:szCs w:val="20"/>
        </w:rPr>
        <w:fldChar w:fldCharType="end"/>
      </w:r>
      <w:r w:rsidRPr="00BC5F1D">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 Abioye et al., 2014)","plainTextFormattedCitation":"(Abioye et al., 2014)","previouslyFormattedCitation":"(Abioye et al., 2014)"},"properties":{"noteIndex":0},"schema":"https://github.com/citation-style-language/schema/raw/master/csl-citation.json"}</w:instrText>
      </w:r>
      <w:r w:rsidRPr="00BC5F1D">
        <w:rPr>
          <w:rFonts w:ascii="Arial" w:hAnsi="Arial" w:cs="Arial"/>
          <w:sz w:val="20"/>
          <w:szCs w:val="20"/>
        </w:rPr>
        <w:fldChar w:fldCharType="separate"/>
      </w:r>
      <w:r w:rsidR="00A075F3">
        <w:rPr>
          <w:rFonts w:ascii="Arial" w:hAnsi="Arial" w:cs="Arial"/>
          <w:noProof/>
          <w:sz w:val="20"/>
          <w:szCs w:val="20"/>
          <w:lang w:val="en-US"/>
        </w:rPr>
        <w:t xml:space="preserve"> </w:t>
      </w:r>
      <w:r w:rsidRPr="00BC5F1D">
        <w:rPr>
          <w:rFonts w:ascii="Arial" w:hAnsi="Arial" w:cs="Arial"/>
          <w:noProof/>
          <w:sz w:val="20"/>
          <w:szCs w:val="20"/>
          <w:lang w:val="en-US"/>
        </w:rPr>
        <w:t>Abioye et al., 2014)</w:t>
      </w:r>
      <w:r w:rsidRPr="00BC5F1D">
        <w:rPr>
          <w:rFonts w:ascii="Arial" w:hAnsi="Arial" w:cs="Arial"/>
          <w:sz w:val="20"/>
          <w:szCs w:val="20"/>
        </w:rPr>
        <w:fldChar w:fldCharType="end"/>
      </w:r>
      <w:r w:rsidRPr="00BC5F1D">
        <w:rPr>
          <w:rFonts w:ascii="Arial" w:hAnsi="Arial" w:cs="Arial"/>
          <w:sz w:val="20"/>
          <w:szCs w:val="20"/>
          <w:lang w:val="en-US"/>
        </w:rPr>
        <w:t>, which ultimately impacts the energy value of each powder.</w:t>
      </w:r>
    </w:p>
    <w:p w14:paraId="6E7817E2" w14:textId="2643C9D2" w:rsidR="00987502" w:rsidRPr="00BC5F1D" w:rsidRDefault="00987502" w:rsidP="00987502">
      <w:pPr>
        <w:spacing w:line="360" w:lineRule="auto"/>
        <w:jc w:val="both"/>
        <w:rPr>
          <w:rFonts w:ascii="Arial" w:hAnsi="Arial" w:cs="Arial"/>
          <w:sz w:val="20"/>
          <w:szCs w:val="20"/>
          <w:lang w:val="en-US"/>
        </w:rPr>
      </w:pPr>
      <w:r w:rsidRPr="00BC5F1D">
        <w:rPr>
          <w:rFonts w:ascii="Arial" w:hAnsi="Arial" w:cs="Arial"/>
          <w:sz w:val="20"/>
          <w:szCs w:val="20"/>
          <w:lang w:val="en-US"/>
        </w:rPr>
        <w:t xml:space="preserve">The energy values of the powders from </w:t>
      </w:r>
      <w:r w:rsidRPr="00BC5F1D">
        <w:rPr>
          <w:rFonts w:ascii="Arial" w:hAnsi="Arial" w:cs="Arial"/>
          <w:i/>
          <w:iCs/>
          <w:sz w:val="20"/>
          <w:szCs w:val="20"/>
          <w:lang w:val="en-US"/>
        </w:rPr>
        <w:t>A. digitata</w:t>
      </w:r>
      <w:r w:rsidRPr="00BC5F1D">
        <w:rPr>
          <w:rFonts w:ascii="Arial" w:hAnsi="Arial" w:cs="Arial"/>
          <w:sz w:val="20"/>
          <w:szCs w:val="20"/>
          <w:lang w:val="en-US"/>
        </w:rPr>
        <w:t xml:space="preserve">, </w:t>
      </w:r>
      <w:r w:rsidRPr="00BC5F1D">
        <w:rPr>
          <w:rFonts w:ascii="Arial" w:hAnsi="Arial" w:cs="Arial"/>
          <w:i/>
          <w:iCs/>
          <w:sz w:val="20"/>
          <w:szCs w:val="20"/>
          <w:lang w:val="en-US"/>
        </w:rPr>
        <w:t>C. olitorius</w:t>
      </w:r>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are 257.75 ± 3.98, 270.68 ± 1.65, and 283.90 ± 3.29 Kcal/100g, respectively (Table 1). These values are lower than the range of 331.07-359.87 Kcal/100g reported by </w:t>
      </w:r>
      <w:r w:rsidRPr="00BC5F1D">
        <w:rPr>
          <w:rFonts w:ascii="Arial" w:hAnsi="Arial" w:cs="Arial"/>
          <w:color w:val="000000" w:themeColor="text1"/>
          <w:sz w:val="20"/>
          <w:szCs w:val="20"/>
        </w:rPr>
        <w:fldChar w:fldCharType="begin" w:fldLock="1"/>
      </w:r>
      <w:r w:rsidR="000D5690">
        <w:rPr>
          <w:rFonts w:ascii="Arial" w:hAnsi="Arial" w:cs="Arial"/>
          <w:color w:val="000000" w:themeColor="text1"/>
          <w:sz w:val="20"/>
          <w:szCs w:val="20"/>
          <w:lang w:val="en-US"/>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BC5F1D">
        <w:rPr>
          <w:rFonts w:ascii="Arial" w:hAnsi="Arial" w:cs="Arial"/>
          <w:color w:val="000000" w:themeColor="text1"/>
          <w:sz w:val="20"/>
          <w:szCs w:val="20"/>
        </w:rPr>
        <w:fldChar w:fldCharType="separate"/>
      </w:r>
      <w:r w:rsidRPr="00BC5F1D">
        <w:rPr>
          <w:rFonts w:ascii="Arial" w:hAnsi="Arial" w:cs="Arial"/>
          <w:noProof/>
          <w:color w:val="000000" w:themeColor="text1"/>
          <w:sz w:val="20"/>
          <w:szCs w:val="20"/>
          <w:lang w:val="en-US"/>
        </w:rPr>
        <w:t xml:space="preserve">Assiéné, Djeukeu, Assiéné, Mbida-Mbida, et al. </w:t>
      </w:r>
      <w:r w:rsidR="000D5690">
        <w:rPr>
          <w:rFonts w:ascii="Arial" w:hAnsi="Arial" w:cs="Arial"/>
          <w:noProof/>
          <w:color w:val="000000" w:themeColor="text1"/>
          <w:sz w:val="20"/>
          <w:szCs w:val="20"/>
          <w:lang w:val="en-US"/>
        </w:rPr>
        <w:t>(</w:t>
      </w:r>
      <w:r w:rsidRPr="00BC5F1D">
        <w:rPr>
          <w:rFonts w:ascii="Arial" w:hAnsi="Arial" w:cs="Arial"/>
          <w:noProof/>
          <w:color w:val="000000" w:themeColor="text1"/>
          <w:sz w:val="20"/>
          <w:szCs w:val="20"/>
          <w:lang w:val="en-US"/>
        </w:rPr>
        <w:t>2024)</w:t>
      </w:r>
      <w:r w:rsidRPr="00BC5F1D">
        <w:rPr>
          <w:rFonts w:ascii="Arial" w:hAnsi="Arial" w:cs="Arial"/>
          <w:color w:val="000000" w:themeColor="text1"/>
          <w:sz w:val="20"/>
          <w:szCs w:val="20"/>
        </w:rPr>
        <w:fldChar w:fldCharType="end"/>
      </w:r>
      <w:r w:rsidRPr="00BC5F1D">
        <w:rPr>
          <w:rFonts w:ascii="Arial" w:hAnsi="Arial" w:cs="Arial"/>
          <w:sz w:val="20"/>
          <w:szCs w:val="20"/>
          <w:lang w:val="en-US"/>
        </w:rPr>
        <w:t xml:space="preserve"> for plant powders recommended in the fight against chronic diseases of dietary origin, such as type 2 diabetes. Indeed, the energy value of a powder is a key factor to consider before recommending it to a type 2 diabetic patient. Furthermore, the contribution of caloric nutrients to this energy value must be taken into account, prioritizing protein intake while reducing lipid and sugar intake </w:t>
      </w:r>
      <w:r w:rsidRPr="00BC5F1D">
        <w:rPr>
          <w:rFonts w:ascii="Arial" w:hAnsi="Arial" w:cs="Arial"/>
          <w:color w:val="000000" w:themeColor="text1"/>
          <w:sz w:val="20"/>
          <w:szCs w:val="20"/>
        </w:rPr>
        <w:fldChar w:fldCharType="begin" w:fldLock="1"/>
      </w:r>
      <w:r w:rsidR="00DA6194">
        <w:rPr>
          <w:rFonts w:ascii="Arial" w:hAnsi="Arial" w:cs="Arial"/>
          <w:color w:val="000000" w:themeColor="text1"/>
          <w:sz w:val="20"/>
          <w:szCs w:val="20"/>
          <w:lang w:val="en-US"/>
        </w:rPr>
        <w:instrText>ADDIN CSL_CITATION {"citationItems":[{"id":"ITEM-1","itemData":{"DOI":"https://doi.org/10.5694/j.1326-5377.2009.tb02319.x","author":[{"dropping-particle":"","family":"Markovic","given":"Tania P","non-dropping-particle":"","parse-names":false,"suffix":""},{"dropping-particle":"","family":"Natoli","given":"Sharon J","non-dropping-particle":"","parse-names":false,"suffix":""}],"container-title":"Lifestyle Journal","id":"ITEM-1","issue":"3","issued":{"date-parts":[["2009"]]},"page":"149-151","title":"Paradoxical nutritional deficiency in overweight and obesity: the importance of nutrient density","type":"article-journal","volume":"190"},"uris":["http://www.mendeley.com/documents/?uuid=48570d7e-7792-474e-b215-1ebacb740f2b"]}],"mendeley":{"formattedCitation":"(Markovic &amp; Natoli, 2009)","plainTextFormattedCitation":"(Markovic &amp; Natoli, 2009)","previouslyFormattedCitation":"(Markovic &amp; Natoli, 2009)"},"properties":{"noteIndex":0},"schema":"https://github.com/citation-style-language/schema/raw/master/csl-citation.json"}</w:instrText>
      </w:r>
      <w:r w:rsidRPr="00BC5F1D">
        <w:rPr>
          <w:rFonts w:ascii="Arial" w:hAnsi="Arial" w:cs="Arial"/>
          <w:color w:val="000000" w:themeColor="text1"/>
          <w:sz w:val="20"/>
          <w:szCs w:val="20"/>
        </w:rPr>
        <w:fldChar w:fldCharType="separate"/>
      </w:r>
      <w:r w:rsidRPr="00BC5F1D">
        <w:rPr>
          <w:rFonts w:ascii="Arial" w:hAnsi="Arial" w:cs="Arial"/>
          <w:noProof/>
          <w:color w:val="000000" w:themeColor="text1"/>
          <w:sz w:val="20"/>
          <w:szCs w:val="20"/>
          <w:lang w:val="en-US"/>
        </w:rPr>
        <w:t>(Markovic &amp; Natoli, 2009)</w:t>
      </w:r>
      <w:r w:rsidRPr="00BC5F1D">
        <w:rPr>
          <w:rFonts w:ascii="Arial" w:hAnsi="Arial" w:cs="Arial"/>
          <w:color w:val="000000" w:themeColor="text1"/>
          <w:sz w:val="20"/>
          <w:szCs w:val="20"/>
        </w:rPr>
        <w:fldChar w:fldCharType="end"/>
      </w:r>
      <w:r w:rsidRPr="00BC5F1D">
        <w:rPr>
          <w:rFonts w:ascii="Arial" w:hAnsi="Arial" w:cs="Arial"/>
          <w:color w:val="000000" w:themeColor="text1"/>
          <w:sz w:val="20"/>
          <w:szCs w:val="20"/>
          <w:lang w:val="en-US"/>
        </w:rPr>
        <w:t>.</w:t>
      </w:r>
      <w:r w:rsidRPr="00BC5F1D">
        <w:rPr>
          <w:rFonts w:ascii="Arial" w:hAnsi="Arial" w:cs="Arial"/>
          <w:sz w:val="20"/>
          <w:szCs w:val="20"/>
          <w:lang w:val="en-US"/>
        </w:rPr>
        <w:t xml:space="preserve"> In this regard, the energy value of </w:t>
      </w:r>
      <w:r w:rsidRPr="00BC5F1D">
        <w:rPr>
          <w:rFonts w:ascii="Arial" w:hAnsi="Arial" w:cs="Arial"/>
          <w:i/>
          <w:iCs/>
          <w:sz w:val="20"/>
          <w:szCs w:val="20"/>
          <w:lang w:val="en-US"/>
        </w:rPr>
        <w:t>C olitorius</w:t>
      </w:r>
      <w:r w:rsidRPr="00BC5F1D">
        <w:rPr>
          <w:rFonts w:ascii="Arial" w:hAnsi="Arial" w:cs="Arial"/>
          <w:sz w:val="20"/>
          <w:szCs w:val="20"/>
          <w:lang w:val="en-US"/>
        </w:rPr>
        <w:t xml:space="preserve"> powder (270.68 Kcal/100g) would be the most recommended for a diabetic patient who chooses to benefit from it as a dietary supplement. In this form, it is not only protein intake that must be considered; fibers and minerals are equally important for the diabetic patient.</w:t>
      </w:r>
    </w:p>
    <w:p w14:paraId="1039291F" w14:textId="0BB1C388" w:rsidR="00987502" w:rsidRPr="00BC5F1D" w:rsidRDefault="00987502" w:rsidP="00987502">
      <w:pPr>
        <w:spacing w:line="360" w:lineRule="auto"/>
        <w:jc w:val="both"/>
        <w:rPr>
          <w:rFonts w:ascii="Arial" w:hAnsi="Arial" w:cs="Arial"/>
          <w:sz w:val="20"/>
          <w:szCs w:val="20"/>
          <w:lang w:val="en-US"/>
        </w:rPr>
      </w:pPr>
      <w:r w:rsidRPr="00BC5F1D">
        <w:rPr>
          <w:rFonts w:ascii="Arial" w:hAnsi="Arial" w:cs="Arial"/>
          <w:sz w:val="20"/>
          <w:szCs w:val="20"/>
          <w:lang w:val="en-US"/>
        </w:rPr>
        <w:t xml:space="preserve">Fibers are defined as carbohydrates that are not digested by human intestinal enzymes. They are essential in the process of stool evacuation along the intestinal lumen, and due to their satiating and chelating properties, they play a key role in regulating food intake. The crude fiber contents obtained from the powders of </w:t>
      </w:r>
      <w:r w:rsidRPr="00BC5F1D">
        <w:rPr>
          <w:rFonts w:ascii="Arial" w:hAnsi="Arial" w:cs="Arial"/>
          <w:i/>
          <w:iCs/>
          <w:sz w:val="20"/>
          <w:szCs w:val="20"/>
          <w:lang w:val="en-US"/>
        </w:rPr>
        <w:t>A digitata</w:t>
      </w:r>
      <w:r w:rsidRPr="00BC5F1D">
        <w:rPr>
          <w:rFonts w:ascii="Arial" w:hAnsi="Arial" w:cs="Arial"/>
          <w:sz w:val="20"/>
          <w:szCs w:val="20"/>
          <w:lang w:val="en-US"/>
        </w:rPr>
        <w:t xml:space="preserve">, </w:t>
      </w:r>
      <w:r w:rsidRPr="00BC5F1D">
        <w:rPr>
          <w:rFonts w:ascii="Arial" w:hAnsi="Arial" w:cs="Arial"/>
          <w:i/>
          <w:iCs/>
          <w:sz w:val="20"/>
          <w:szCs w:val="20"/>
          <w:lang w:val="en-US"/>
        </w:rPr>
        <w:t>C olitorius</w:t>
      </w:r>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are 19.05 ± 0.10, 12.24 ± 0.50, and 18.98 ± 0.02 g/100g dry matter (DM), respectively (Table 1). It is observed that there is no significant difference between the crude fiber contents of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(19.05 ± 0.10 g/100g DM) and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(18.98 ± 0.02 g/100g DM). However, these values are higher than the 11.96 g/100g DM reported by </w:t>
      </w:r>
      <w:r w:rsidRPr="00BC5F1D">
        <w:rPr>
          <w:rFonts w:ascii="Arial" w:hAnsi="Arial" w:cs="Arial"/>
          <w:color w:val="FF0000"/>
          <w:sz w:val="20"/>
          <w:szCs w:val="20"/>
          <w:lang w:val="en-US"/>
        </w:rPr>
        <w:t xml:space="preserve"> </w:t>
      </w:r>
      <w:r w:rsidRPr="000D5690">
        <w:rPr>
          <w:rFonts w:ascii="Arial" w:hAnsi="Arial" w:cs="Arial"/>
          <w:color w:val="000000" w:themeColor="text1"/>
          <w:sz w:val="20"/>
          <w:szCs w:val="20"/>
        </w:rPr>
        <w:fldChar w:fldCharType="begin" w:fldLock="1"/>
      </w:r>
      <w:r w:rsidR="009A02E1">
        <w:rPr>
          <w:rFonts w:ascii="Arial" w:hAnsi="Arial" w:cs="Arial"/>
          <w:color w:val="000000" w:themeColor="text1"/>
          <w:sz w:val="20"/>
          <w:szCs w:val="20"/>
          <w:lang w:val="en-US"/>
        </w:rPr>
        <w:instrText>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2014)","manualFormatting":"Abioye et al. (2014)","plainTextFormattedCitation":"(Abioye et al., 2014)","previouslyFormattedCitation":"(Abioye et al., 2014)"},"properties":{"noteIndex":0},"schema":"https://github.com/citation-style-language/schema/raw/master/csl-citation.json"}</w:instrText>
      </w:r>
      <w:r w:rsidRPr="000D5690">
        <w:rPr>
          <w:rFonts w:ascii="Arial" w:hAnsi="Arial" w:cs="Arial"/>
          <w:color w:val="000000" w:themeColor="text1"/>
          <w:sz w:val="20"/>
          <w:szCs w:val="20"/>
        </w:rPr>
        <w:fldChar w:fldCharType="separate"/>
      </w:r>
      <w:r w:rsidRPr="000D5690">
        <w:rPr>
          <w:rFonts w:ascii="Arial" w:hAnsi="Arial" w:cs="Arial"/>
          <w:noProof/>
          <w:color w:val="000000" w:themeColor="text1"/>
          <w:sz w:val="20"/>
          <w:szCs w:val="20"/>
          <w:lang w:val="en-US"/>
        </w:rPr>
        <w:t xml:space="preserve">Abioye et al. </w:t>
      </w:r>
      <w:r w:rsidR="000D5690" w:rsidRPr="000D5690">
        <w:rPr>
          <w:rFonts w:ascii="Arial" w:hAnsi="Arial" w:cs="Arial"/>
          <w:noProof/>
          <w:color w:val="000000" w:themeColor="text1"/>
          <w:sz w:val="20"/>
          <w:szCs w:val="20"/>
          <w:lang w:val="en-US"/>
        </w:rPr>
        <w:t>(</w:t>
      </w:r>
      <w:r w:rsidRPr="000D5690">
        <w:rPr>
          <w:rFonts w:ascii="Arial" w:hAnsi="Arial" w:cs="Arial"/>
          <w:noProof/>
          <w:color w:val="000000" w:themeColor="text1"/>
          <w:sz w:val="20"/>
          <w:szCs w:val="20"/>
          <w:lang w:val="en-US"/>
        </w:rPr>
        <w:t>2014)</w:t>
      </w:r>
      <w:r w:rsidRPr="000D5690">
        <w:rPr>
          <w:rFonts w:ascii="Arial" w:hAnsi="Arial" w:cs="Arial"/>
          <w:color w:val="000000" w:themeColor="text1"/>
          <w:sz w:val="20"/>
          <w:szCs w:val="20"/>
        </w:rPr>
        <w:fldChar w:fldCharType="end"/>
      </w:r>
      <w:r w:rsidRPr="000D5690">
        <w:rPr>
          <w:rFonts w:ascii="Arial" w:hAnsi="Arial" w:cs="Arial"/>
          <w:color w:val="000000" w:themeColor="text1"/>
          <w:sz w:val="20"/>
          <w:szCs w:val="20"/>
          <w:lang w:val="en-US"/>
        </w:rPr>
        <w:t xml:space="preserve"> </w:t>
      </w:r>
      <w:r w:rsidRPr="00BC5F1D">
        <w:rPr>
          <w:rFonts w:ascii="Arial" w:hAnsi="Arial" w:cs="Arial"/>
          <w:sz w:val="20"/>
          <w:szCs w:val="20"/>
          <w:lang w:val="en-US"/>
        </w:rPr>
        <w:t xml:space="preserve">for sun-dried </w:t>
      </w:r>
      <w:r w:rsidRPr="00BC5F1D">
        <w:rPr>
          <w:rFonts w:ascii="Arial" w:hAnsi="Arial" w:cs="Arial"/>
          <w:i/>
          <w:iCs/>
          <w:sz w:val="20"/>
          <w:szCs w:val="20"/>
          <w:lang w:val="en-US"/>
        </w:rPr>
        <w:t>A. digitata</w:t>
      </w:r>
      <w:r w:rsidRPr="00BC5F1D">
        <w:rPr>
          <w:rFonts w:ascii="Arial" w:hAnsi="Arial" w:cs="Arial"/>
          <w:sz w:val="20"/>
          <w:szCs w:val="20"/>
          <w:lang w:val="en-US"/>
        </w:rPr>
        <w:t xml:space="preserve"> leaf powders. These differences can be explained by the previously mentioned reasons regarding caloric nutrients, as crude fibers (cellulose and hemicellulose) are primarily carbohydrates.</w:t>
      </w:r>
    </w:p>
    <w:p w14:paraId="571DF538" w14:textId="19545B50" w:rsidR="00987502" w:rsidRPr="00BC5F1D" w:rsidRDefault="00987502" w:rsidP="00C815B0">
      <w:pPr>
        <w:spacing w:line="360" w:lineRule="auto"/>
        <w:jc w:val="both"/>
        <w:rPr>
          <w:rFonts w:ascii="Arial" w:hAnsi="Arial" w:cs="Arial"/>
          <w:sz w:val="20"/>
          <w:szCs w:val="20"/>
          <w:lang w:val="en-US"/>
        </w:rPr>
      </w:pPr>
      <w:r w:rsidRPr="00BC5F1D">
        <w:rPr>
          <w:rFonts w:ascii="Arial" w:hAnsi="Arial" w:cs="Arial"/>
          <w:sz w:val="20"/>
          <w:szCs w:val="20"/>
          <w:lang w:val="en-US"/>
        </w:rPr>
        <w:t xml:space="preserve">Total ash content indicates the amount of minerals present in the powders. The values obtained in this study vary significantly from one powder to another. They are 10.78 ± 0.20, 10.28 ± 0.35, and 4.16 ± 0.10 g/100g dry matter (DM) for the powders of </w:t>
      </w:r>
      <w:r w:rsidRPr="00BC5F1D">
        <w:rPr>
          <w:rFonts w:ascii="Arial" w:hAnsi="Arial" w:cs="Arial"/>
          <w:i/>
          <w:iCs/>
          <w:sz w:val="20"/>
          <w:szCs w:val="20"/>
          <w:lang w:val="en-US"/>
        </w:rPr>
        <w:t>A. digitata</w:t>
      </w:r>
      <w:r w:rsidRPr="00BC5F1D">
        <w:rPr>
          <w:rFonts w:ascii="Arial" w:hAnsi="Arial" w:cs="Arial"/>
          <w:sz w:val="20"/>
          <w:szCs w:val="20"/>
          <w:lang w:val="en-US"/>
        </w:rPr>
        <w:t xml:space="preserve">, C. olitorius, and </w:t>
      </w:r>
      <w:r w:rsidRPr="00BC5F1D">
        <w:rPr>
          <w:rFonts w:ascii="Arial" w:hAnsi="Arial" w:cs="Arial"/>
          <w:i/>
          <w:iCs/>
          <w:sz w:val="20"/>
          <w:szCs w:val="20"/>
          <w:lang w:val="en-US"/>
        </w:rPr>
        <w:t>T. cordifolia</w:t>
      </w:r>
      <w:r w:rsidRPr="00BC5F1D">
        <w:rPr>
          <w:rFonts w:ascii="Arial" w:hAnsi="Arial" w:cs="Arial"/>
          <w:sz w:val="20"/>
          <w:szCs w:val="20"/>
          <w:lang w:val="en-US"/>
        </w:rPr>
        <w:t xml:space="preserve">, respectively (Table 1). These values fall within the range of 7.25-26.79 g/100g DM reported by </w:t>
      </w:r>
      <w:r w:rsidRPr="00BC5F1D">
        <w:rPr>
          <w:rFonts w:ascii="Arial" w:hAnsi="Arial" w:cs="Arial"/>
          <w:sz w:val="20"/>
          <w:szCs w:val="20"/>
        </w:rPr>
        <w:fldChar w:fldCharType="begin" w:fldLock="1"/>
      </w:r>
      <w:r w:rsidR="000D5690">
        <w:rPr>
          <w:rFonts w:ascii="Arial" w:hAnsi="Arial" w:cs="Arial"/>
          <w:sz w:val="20"/>
          <w:szCs w:val="20"/>
          <w:lang w:val="en-US"/>
        </w:rPr>
        <w:instrText>ADDIN CSL_CITATION {"citationItems":[{"id":"ITEM-1","itemData":{"ISSN":"1857-7431","abstract":"In tropical Africa, leafy vegetables are traditionally cooked and eaten as a relish together with a starchy staple food. Nevertheless, scientific report on their nutritive potential is scanty. In order to contribute to their wider utilization and valorization, leafy vegetables consumed in Northern Côte d'Ivoire (Amaranthus hybridus, Andasonia digitata, Ceiba patendra, Hibiscus sabdariffa and Vigna unguiculata) have focused our attention. The physicochemical and nutritive properties of these leafy vegetables were investigated and the results obtained were as follow: moisture (69.93-87.40%), crude proteins (13.12-22.26%), crude fibres (12.11-33.00%), ash (7.25-26.79%), carbohydrates (26.19-59.99%), crude lipids (1.17-4.90%) and food energy (134.87-312.92 kcal/100g). The mineral elements contents were high with remarkable amount of K (848.3-3970 mg/100g), Ca (1331.15-4680 mg/100g), Mg (345.55-2110 mg/100g), P (343.53-1320 mg/100g) and Fe (30.71-90.00 mg/100g). The Ca/P ratio was desirable and ranged from 2.75 to 9.99. These leafy vegetables also contained appreciable levels of vitamin C (30.00-60.01 mg/100g) and polyphenols (134.07-294.83 mg/100g). The studied leafy vegetables highlighted antioxidant activity varying from 69.05 to 80.21%. All these results indicate that the studied leafy vegetables if consume in sufficient amount would contribute greatly to the nutritional requirement for human health and to the food security of Ivorian population.","author":[{"dropping-particle":"","family":"Patricia","given":"Oulai","non-dropping-particle":"","parse-names":false,"suffix":""},{"dropping-particle":"","family":"Zoue","given":"Lessoy","non-dropping-particle":"","parse-names":false,"suffix":""},{"dropping-particle":"","family":"Megnanou","given":"Rose-Monde","non-dropping-particle":"","parse-names":false,"suffix":""},{"dropping-particle":"","family":"Doue","given":"Ryta","non-dropping-particle":"","parse-names":false,"suffix":""},{"dropping-particle":"","family":"Niamke","given":"Sébastien","non-dropping-particle":"","parse-names":false,"suffix":""}],"container-title":"European Scientific Journal","id":"ITEM-1","issue":"6","issued":{"date-parts":[["2014"]]},"page":"1857-7881","title":"Proximate Composition and Nutritive Value of Leafy Vegetables Consumed in Northern Côte D'Ivoire","type":"article-journal","volume":"10"},"uris":["http://www.mendeley.com/documents/?uuid=8ae9951c-fcb4-409d-829a-06d1a632017f"]}],"mendeley":{"formattedCitation":"(Patricia et al., 2014)","manualFormatting":"Patricia et al. (2014)","plainTextFormattedCitation":"(Patricia et al., 2014)","previouslyFormattedCitation":"(Patricia et al., 2014)"},"properties":{"noteIndex":0},"schema":"https://github.com/citation-style-language/schema/raw/master/csl-citation.json"}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 xml:space="preserve">Patricia et al. </w:t>
      </w:r>
      <w:r w:rsidR="000D5690">
        <w:rPr>
          <w:rFonts w:ascii="Arial" w:hAnsi="Arial" w:cs="Arial"/>
          <w:noProof/>
          <w:sz w:val="20"/>
          <w:szCs w:val="20"/>
          <w:lang w:val="en-US"/>
        </w:rPr>
        <w:t>(</w:t>
      </w:r>
      <w:r w:rsidRPr="00BC5F1D">
        <w:rPr>
          <w:rFonts w:ascii="Arial" w:hAnsi="Arial" w:cs="Arial"/>
          <w:noProof/>
          <w:sz w:val="20"/>
          <w:szCs w:val="20"/>
          <w:lang w:val="en-US"/>
        </w:rPr>
        <w:t>2014)</w:t>
      </w:r>
      <w:r w:rsidRPr="00BC5F1D">
        <w:rPr>
          <w:rFonts w:ascii="Arial" w:hAnsi="Arial" w:cs="Arial"/>
          <w:sz w:val="20"/>
          <w:szCs w:val="20"/>
        </w:rPr>
        <w:fldChar w:fldCharType="end"/>
      </w:r>
      <w:r w:rsidRPr="00BC5F1D">
        <w:rPr>
          <w:rFonts w:ascii="Arial" w:hAnsi="Arial" w:cs="Arial"/>
          <w:sz w:val="20"/>
          <w:szCs w:val="20"/>
          <w:lang w:val="en-US"/>
        </w:rPr>
        <w:t xml:space="preserve"> </w:t>
      </w:r>
      <w:r w:rsidRPr="00BC5F1D">
        <w:rPr>
          <w:rFonts w:ascii="Arial" w:hAnsi="Arial" w:cs="Arial"/>
          <w:sz w:val="20"/>
          <w:szCs w:val="20"/>
          <w:lang w:val="en-US"/>
        </w:rPr>
        <w:lastRenderedPageBreak/>
        <w:t xml:space="preserve">for plant powders consumed in northern of Ivory Coast. They are also lower than the range of 6.30-7.23 g/100g DM reported by </w:t>
      </w:r>
      <w:r w:rsidRPr="00BC5F1D">
        <w:rPr>
          <w:rFonts w:ascii="Arial" w:hAnsi="Arial" w:cs="Arial"/>
          <w:sz w:val="20"/>
          <w:szCs w:val="20"/>
        </w:rPr>
        <w:fldChar w:fldCharType="begin" w:fldLock="1"/>
      </w:r>
      <w:r w:rsidR="006210D5">
        <w:rPr>
          <w:rFonts w:ascii="Arial" w:hAnsi="Arial" w:cs="Arial"/>
          <w:sz w:val="20"/>
          <w:szCs w:val="20"/>
          <w:lang w:val="en-US"/>
        </w:rPr>
        <w:instrText>ADDIN CSL_CITATION {"citationItems":[{"id":"ITEM-1","itemData":{"abstract":"The leaves of Moringa oleifera were harvested from Lafia in Nasarawa State of Nigeria during the rainy season in June 2011 for proximate, mineral and phytochemical analysis. The results of proximate analysis revealed the presence of high crude protein (17.01% ±0.1) and carbohydrate (63.11% ±0.09). The leaves also contained appreciable amounts of crude fibre (7.09% ±0.11), ash (7.93% ± 0.12), crude fat (2.11% ±0.11) and fatty acid (1.69% ±0.09). The total ash content showed it contained minerals, Ca (1.91% ±0.08), K (0.97% ±0.01), Na (192.95±4.4), Fe (107.48±8.2), Mn (81.65±2.31), Zn (60.06±0.3) and P (30.15±0.5) parts per million (ppm). Magnesium (0.38% ±0.01) and copper (6.10±0.19) were the least. The results of phytochemical analysis and anti-nutrients showed presence of tannins (21.19% ±0.25), phytates (2.57% ±0.13), trypsin inhibitors (3.0% ±0.04), saponins (1.60% ±0.05), oxalates (0.45% ±0.01) and cyanide content ((0.1% ±0.01). The presence of these essential nutrients and minerals implies Moringa oleifera leaves from Lafia, Nasarawa State could be utilized as a source of feed supplement to improve growth performance and health status of poultry. The benefits of essential nutrients and minerals in maintaining good health were also highlighted in this study.","author":[{"dropping-particle":"","family":"Ogbe","given":"A O","non-dropping-particle":"","parse-names":false,"suffix":""},{"dropping-particle":"","family":"Affiku","given":"John P","non-dropping-particle":"","parse-names":false,"suffix":""}],"container-title":"Journal of Microbiology","id":"ITEM-1","issue":"3","issued":{"date-parts":[["2011"]]},"page":"296-308","title":"Proximate study, mineral and anti-nutrient composition of Moringa oleifera leaves harvested from Lafia, Nigeria: potential benefits in poultry nutrition and health","type":"article-journal","volume":"12"},"uris":["http://www.mendeley.com/documents/?uuid=157b0b36-7b31-3d1a-8104-4068b5978c83"]}],"mendeley":{"formattedCitation":"(Ogbe &amp; Affiku, 2011)","manualFormatting":"Ogbe &amp; Affiku (2011)","plainTextFormattedCitation":"(Ogbe &amp; Affiku, 2011)","previouslyFormattedCitation":"(Ogbe &amp; Affiku, 2011)"},"properties":{"noteIndex":0},"schema":"https://github.com/citation-style-language/schema/raw/master/csl-citation.json"}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 xml:space="preserve">Ogbe &amp; Affiku </w:t>
      </w:r>
      <w:r w:rsidR="000D5690">
        <w:rPr>
          <w:rFonts w:ascii="Arial" w:hAnsi="Arial" w:cs="Arial"/>
          <w:noProof/>
          <w:sz w:val="20"/>
          <w:szCs w:val="20"/>
          <w:lang w:val="en-US"/>
        </w:rPr>
        <w:t>(</w:t>
      </w:r>
      <w:r w:rsidRPr="00BC5F1D">
        <w:rPr>
          <w:rFonts w:ascii="Arial" w:hAnsi="Arial" w:cs="Arial"/>
          <w:noProof/>
          <w:sz w:val="20"/>
          <w:szCs w:val="20"/>
          <w:lang w:val="en-US"/>
        </w:rPr>
        <w:t>2011)</w:t>
      </w:r>
      <w:r w:rsidRPr="00BC5F1D">
        <w:rPr>
          <w:rFonts w:ascii="Arial" w:hAnsi="Arial" w:cs="Arial"/>
          <w:sz w:val="20"/>
          <w:szCs w:val="20"/>
        </w:rPr>
        <w:fldChar w:fldCharType="end"/>
      </w:r>
      <w:r w:rsidRPr="00BC5F1D">
        <w:rPr>
          <w:rFonts w:ascii="Arial" w:hAnsi="Arial" w:cs="Arial"/>
          <w:sz w:val="20"/>
          <w:szCs w:val="20"/>
          <w:lang w:val="en-US"/>
        </w:rPr>
        <w:t xml:space="preserve"> and </w:t>
      </w:r>
      <w:r w:rsidRPr="00BC5F1D">
        <w:rPr>
          <w:rFonts w:ascii="Arial" w:hAnsi="Arial" w:cs="Arial"/>
          <w:sz w:val="20"/>
          <w:szCs w:val="20"/>
          <w:lang w:val="en-US"/>
        </w:rPr>
        <w:fldChar w:fldCharType="begin" w:fldLock="1"/>
      </w:r>
      <w:r w:rsidR="000D5690">
        <w:rPr>
          <w:rFonts w:ascii="Arial" w:hAnsi="Arial" w:cs="Arial"/>
          <w:sz w:val="20"/>
          <w:szCs w:val="20"/>
          <w:lang w:val="en-US"/>
        </w:rPr>
        <w:instrText>ADDIN CSL_CITATION {"citationItems":[{"id":"ITEM-1","itemData":{"ISBN":"2201-2796","ISSN":"2201-2796","abstract":"The leaves of Ceiba pentandra (Java), Manihot esculentus (Cassava) and Abelmoschus esculentus (Okra) are consumed as vegetables in Southwestern Nigeria. The proximate and phytochemical composition of these leaves were investigated using standard procedures. Powdered dried leaves of Java, Cassava and Okra were analysed for ash, moisture, fat, fibre, protein, carbohydrate, tannins, flavonoids, phenols and ascorbic acid composition. The percentage composition result values for ash, moisture, fat, fibre, protein and carbohydrate in the leaves ranged from 15.00% - 6.30%, 0.15% - 4.85%, 9.60% - 8.40%, 25.44% - 17.55%, 21.16% - 8.65% and 41.25% - 32.65% respectively. Tannins, flavonoids and phenols composition values ranges were 8.98% - 0.81%, 4.71% - 0.12% and 0.07% - 0.03% respectively while ascorbic acid content ranged from 3.16mg/100g to 2.84mg/100g. The result values obtained have shown that these leaves have good nutritive and therapeutic values and there is need for increased inclusion of these leaves as vegetables in everyday meal.","author":[{"dropping-particle":"","family":"Raimi","given":"Monsurat M.","non-dropping-particle":"","parse-names":false,"suffix":""},{"dropping-particle":"","family":"Oyekanmi","given":"Adeyinka M.","non-dropping-particle":"","parse-names":false,"suffix":""},{"dropping-particle":"","family":"Farombi","given":"Abolaji G","non-dropping-particle":"","parse-names":false,"suffix":""}],"container-title":"Scientific Research Journal (SCIRJ)","id":"ITEM-1","issue":"4","issued":{"date-parts":[["2014"]]},"page":"30-34","title":"Proximate and Phytochemical Composition of Leaves of Ceiba pentandra, Manihot esculentus and Abelmoschus esculentus in Southwestern Nigeria","type":"article-journal","volume":"2"},"uris":["http://www.mendeley.com/documents/?uuid=223a3444-7d99-465a-9bd8-8b153c6b1a6c"]}],"mendeley":{"formattedCitation":"(Raimi et al., 2014)","manualFormatting":"(Raimi et al. (2014)","plainTextFormattedCitation":"(Raimi et al., 2014)","previouslyFormattedCitation":"(Raimi et al., 2014)"},"properties":{"noteIndex":0},"schema":"https://github.com/citation-style-language/schema/raw/master/csl-citation.json"}</w:instrText>
      </w:r>
      <w:r w:rsidRPr="00BC5F1D">
        <w:rPr>
          <w:rFonts w:ascii="Arial" w:hAnsi="Arial" w:cs="Arial"/>
          <w:sz w:val="20"/>
          <w:szCs w:val="20"/>
          <w:lang w:val="en-US"/>
        </w:rPr>
        <w:fldChar w:fldCharType="separate"/>
      </w:r>
      <w:r w:rsidRPr="00BC5F1D">
        <w:rPr>
          <w:rFonts w:ascii="Arial" w:hAnsi="Arial" w:cs="Arial"/>
          <w:noProof/>
          <w:sz w:val="20"/>
          <w:szCs w:val="20"/>
          <w:lang w:val="en-US"/>
        </w:rPr>
        <w:t>(Raimi et al.</w:t>
      </w:r>
      <w:r w:rsidR="000D5690">
        <w:rPr>
          <w:rFonts w:ascii="Arial" w:hAnsi="Arial" w:cs="Arial"/>
          <w:noProof/>
          <w:sz w:val="20"/>
          <w:szCs w:val="20"/>
          <w:lang w:val="en-US"/>
        </w:rPr>
        <w:t xml:space="preserve"> (</w:t>
      </w:r>
      <w:r w:rsidRPr="00BC5F1D">
        <w:rPr>
          <w:rFonts w:ascii="Arial" w:hAnsi="Arial" w:cs="Arial"/>
          <w:noProof/>
          <w:sz w:val="20"/>
          <w:szCs w:val="20"/>
          <w:lang w:val="en-US"/>
        </w:rPr>
        <w:t>2014)</w:t>
      </w:r>
      <w:r w:rsidRPr="00BC5F1D">
        <w:rPr>
          <w:rFonts w:ascii="Arial" w:hAnsi="Arial" w:cs="Arial"/>
          <w:sz w:val="20"/>
          <w:szCs w:val="20"/>
          <w:lang w:val="en-US"/>
        </w:rPr>
        <w:fldChar w:fldCharType="end"/>
      </w:r>
      <w:r w:rsidRPr="00BC5F1D">
        <w:rPr>
          <w:rFonts w:ascii="Arial" w:hAnsi="Arial" w:cs="Arial"/>
          <w:sz w:val="20"/>
          <w:szCs w:val="20"/>
          <w:lang w:val="en-US"/>
        </w:rPr>
        <w:t xml:space="preserve"> for plant powders studied in Nigeria. However, it is essential to determine the quantities of each mineral of interest contained in these ashes before making any recommendations regarding the powder to a diabetic patient.</w:t>
      </w:r>
    </w:p>
    <w:p w14:paraId="436CAAAD" w14:textId="3FAF761D" w:rsidR="00524870" w:rsidRPr="00BC5F1D" w:rsidRDefault="000C6D82" w:rsidP="00A1137A">
      <w:pPr>
        <w:pStyle w:val="ListParagraph"/>
        <w:numPr>
          <w:ilvl w:val="2"/>
          <w:numId w:val="1"/>
        </w:numPr>
        <w:tabs>
          <w:tab w:val="left" w:pos="567"/>
        </w:tabs>
        <w:spacing w:line="360" w:lineRule="auto"/>
        <w:jc w:val="both"/>
        <w:rPr>
          <w:rFonts w:ascii="Arial" w:hAnsi="Arial" w:cs="Arial"/>
          <w:b/>
          <w:bCs/>
          <w:lang w:val="en-US"/>
        </w:rPr>
      </w:pPr>
      <w:r w:rsidRPr="00BC5F1D">
        <w:rPr>
          <w:rFonts w:ascii="Arial" w:hAnsi="Arial" w:cs="Arial"/>
          <w:b/>
          <w:bCs/>
          <w:lang w:val="en-US"/>
        </w:rPr>
        <w:t>Mi</w:t>
      </w:r>
      <w:r w:rsidR="002A4575" w:rsidRPr="00BC5F1D">
        <w:rPr>
          <w:rFonts w:ascii="Arial" w:hAnsi="Arial" w:cs="Arial"/>
          <w:b/>
          <w:bCs/>
          <w:lang w:val="en-US"/>
        </w:rPr>
        <w:t>neral</w:t>
      </w:r>
      <w:r w:rsidRPr="00BC5F1D">
        <w:rPr>
          <w:rFonts w:ascii="Arial" w:hAnsi="Arial" w:cs="Arial"/>
          <w:b/>
          <w:bCs/>
          <w:lang w:val="en-US"/>
        </w:rPr>
        <w:t xml:space="preserve"> content</w:t>
      </w:r>
    </w:p>
    <w:p w14:paraId="6FD0D362" w14:textId="4CE3A361" w:rsidR="00524870" w:rsidRPr="00BC5F1D" w:rsidRDefault="00524870" w:rsidP="00524870">
      <w:pPr>
        <w:spacing w:line="360" w:lineRule="auto"/>
        <w:jc w:val="both"/>
        <w:rPr>
          <w:rFonts w:ascii="Arial" w:hAnsi="Arial" w:cs="Arial"/>
          <w:sz w:val="20"/>
          <w:szCs w:val="20"/>
          <w:lang w:val="en-US"/>
        </w:rPr>
      </w:pPr>
      <w:r w:rsidRPr="00BC5F1D">
        <w:rPr>
          <w:rFonts w:ascii="Arial" w:hAnsi="Arial" w:cs="Arial"/>
          <w:sz w:val="20"/>
          <w:szCs w:val="20"/>
          <w:lang w:val="en-US"/>
        </w:rPr>
        <w:t xml:space="preserve">Table 2 presents the trace element contents of the studied powders. No significant difference is observed between the zinc contents, with a maximum value of 98.71 ± 2.31 mg/100 g DM in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In contrast, significant differences are noted in the copper and iron contents, with maximum values of 26.71 ± 1.27 mg/100 g DM in </w:t>
      </w:r>
      <w:r w:rsidRPr="00BC5F1D">
        <w:rPr>
          <w:rFonts w:ascii="Arial" w:hAnsi="Arial" w:cs="Arial"/>
          <w:i/>
          <w:iCs/>
          <w:sz w:val="20"/>
          <w:szCs w:val="20"/>
          <w:lang w:val="en-US"/>
        </w:rPr>
        <w:t>C. olitorius</w:t>
      </w:r>
      <w:r w:rsidRPr="00BC5F1D">
        <w:rPr>
          <w:rFonts w:ascii="Arial" w:hAnsi="Arial" w:cs="Arial"/>
          <w:sz w:val="20"/>
          <w:szCs w:val="20"/>
          <w:lang w:val="en-US"/>
        </w:rPr>
        <w:t xml:space="preserve"> powder and 18.36 ± 1.29 mg/100 g DM in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respectively. When comparing these values to those reported for powders regularly recommended by therapists to type 2 diabetic patients for their trace element contributions, such as the leaf powders of </w:t>
      </w:r>
      <w:r w:rsidRPr="00BC5F1D">
        <w:rPr>
          <w:rFonts w:ascii="Arial" w:hAnsi="Arial" w:cs="Arial"/>
          <w:i/>
          <w:iCs/>
          <w:sz w:val="20"/>
          <w:szCs w:val="20"/>
          <w:lang w:val="en-US"/>
        </w:rPr>
        <w:t>M</w:t>
      </w:r>
      <w:r w:rsidR="00FF01A1">
        <w:rPr>
          <w:rFonts w:ascii="Arial" w:hAnsi="Arial" w:cs="Arial"/>
          <w:i/>
          <w:iCs/>
          <w:sz w:val="20"/>
          <w:szCs w:val="20"/>
          <w:lang w:val="en-US"/>
        </w:rPr>
        <w:t xml:space="preserve">. </w:t>
      </w:r>
      <w:r w:rsidRPr="00BC5F1D">
        <w:rPr>
          <w:rFonts w:ascii="Arial" w:hAnsi="Arial" w:cs="Arial"/>
          <w:i/>
          <w:iCs/>
          <w:sz w:val="20"/>
          <w:szCs w:val="20"/>
          <w:lang w:val="en-US"/>
        </w:rPr>
        <w:t>oleifera</w:t>
      </w:r>
      <w:r w:rsidRPr="00BC5F1D">
        <w:rPr>
          <w:rFonts w:ascii="Arial" w:hAnsi="Arial" w:cs="Arial"/>
          <w:sz w:val="20"/>
          <w:szCs w:val="20"/>
          <w:lang w:val="en-US"/>
        </w:rPr>
        <w:t xml:space="preserve"> (2.46, 0.36, and 20.72 mg/100 g DM for zinc, copper, and iron, respectively) </w:t>
      </w:r>
      <w:r w:rsidRPr="00BC5F1D">
        <w:rPr>
          <w:rFonts w:ascii="Arial" w:hAnsi="Arial" w:cs="Arial"/>
          <w:sz w:val="20"/>
          <w:szCs w:val="20"/>
        </w:rPr>
        <w:fldChar w:fldCharType="begin" w:fldLock="1"/>
      </w:r>
      <w:r w:rsidR="00F66F85">
        <w:rPr>
          <w:rFonts w:ascii="Arial" w:hAnsi="Arial" w:cs="Arial"/>
          <w:sz w:val="20"/>
          <w:szCs w:val="20"/>
          <w:lang w:val="en-US"/>
        </w:rPr>
        <w:instrText>ADDIN CSL_CITATION {"citationItems":[{"id":"ITEM-1","itemData":{"DOI":"http://dx.doi.org/10.18006/2015.3(6).541.555","author":[{"dropping-particle":"","family":"Assiéné","given":"Agamou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2015)","plainTextFormattedCitation":"(Assiéné et al., 2015)","previouslyFormattedCitation":"(Assiéné et al., 2015)"},"properties":{"noteIndex":0},"schema":"https://github.com/citation-style-language/schema/raw/master/csl-citation.json"}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(Assiéné et al., 2015)</w:t>
      </w:r>
      <w:r w:rsidRPr="00BC5F1D">
        <w:rPr>
          <w:rFonts w:ascii="Arial" w:hAnsi="Arial" w:cs="Arial"/>
          <w:sz w:val="20"/>
          <w:szCs w:val="20"/>
        </w:rPr>
        <w:fldChar w:fldCharType="end"/>
      </w:r>
      <w:r w:rsidRPr="00BC5F1D">
        <w:rPr>
          <w:rFonts w:ascii="Arial" w:hAnsi="Arial" w:cs="Arial"/>
          <w:sz w:val="20"/>
          <w:szCs w:val="20"/>
          <w:lang w:val="en-US"/>
        </w:rPr>
        <w:t xml:space="preserve">, it is observed that they are considerably higher. The same observation applies to other plant powders (6.01, 2.54, and 4.85 mg/100 g DM for zinc, copper, and iron, respectively), which are also significant in the management of type 2 diabetes </w:t>
      </w:r>
      <w:r w:rsidRPr="00BC5F1D">
        <w:rPr>
          <w:rFonts w:ascii="Arial" w:hAnsi="Arial" w:cs="Arial"/>
          <w:sz w:val="20"/>
          <w:szCs w:val="20"/>
        </w:rPr>
        <w:fldChar w:fldCharType="begin" w:fldLock="1"/>
      </w:r>
      <w:r w:rsidRPr="00BC5F1D">
        <w:rPr>
          <w:rFonts w:ascii="Arial" w:hAnsi="Arial" w:cs="Arial"/>
          <w:sz w:val="20"/>
          <w:szCs w:val="20"/>
          <w:lang w:val="en-US"/>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(Assiéné, Djeukeu, Assiéné, Mbida-Mbida, et al., 2024)</w:t>
      </w:r>
      <w:r w:rsidRPr="00BC5F1D">
        <w:rPr>
          <w:rFonts w:ascii="Arial" w:hAnsi="Arial" w:cs="Arial"/>
          <w:sz w:val="20"/>
          <w:szCs w:val="20"/>
        </w:rPr>
        <w:fldChar w:fldCharType="end"/>
      </w:r>
      <w:r w:rsidRPr="00BC5F1D">
        <w:rPr>
          <w:rFonts w:ascii="Arial" w:hAnsi="Arial" w:cs="Arial"/>
          <w:sz w:val="20"/>
          <w:szCs w:val="20"/>
          <w:lang w:val="en-US"/>
        </w:rPr>
        <w:t xml:space="preserve">. </w:t>
      </w:r>
    </w:p>
    <w:p w14:paraId="394A5861" w14:textId="627617B3" w:rsidR="00524870" w:rsidRPr="00BC5F1D" w:rsidRDefault="00524870" w:rsidP="00524870">
      <w:pPr>
        <w:spacing w:line="360" w:lineRule="auto"/>
        <w:jc w:val="both"/>
        <w:rPr>
          <w:rFonts w:ascii="Arial" w:hAnsi="Arial" w:cs="Arial"/>
          <w:sz w:val="20"/>
          <w:szCs w:val="20"/>
          <w:lang w:val="en-US"/>
        </w:rPr>
      </w:pPr>
      <w:r w:rsidRPr="00BC5F1D">
        <w:rPr>
          <w:rFonts w:ascii="Arial" w:hAnsi="Arial" w:cs="Arial"/>
          <w:sz w:val="20"/>
          <w:szCs w:val="20"/>
          <w:lang w:val="en-US"/>
        </w:rPr>
        <w:t xml:space="preserve">Table 2 also shows that the </w:t>
      </w:r>
      <w:proofErr w:type="spellStart"/>
      <w:r w:rsidRPr="00BC5F1D">
        <w:rPr>
          <w:rFonts w:ascii="Arial" w:hAnsi="Arial" w:cs="Arial"/>
          <w:sz w:val="20"/>
          <w:szCs w:val="20"/>
          <w:lang w:val="en-US"/>
        </w:rPr>
        <w:t>macroelement</w:t>
      </w:r>
      <w:proofErr w:type="spellEnd"/>
      <w:r w:rsidRPr="00BC5F1D">
        <w:rPr>
          <w:rFonts w:ascii="Arial" w:hAnsi="Arial" w:cs="Arial"/>
          <w:sz w:val="20"/>
          <w:szCs w:val="20"/>
          <w:lang w:val="en-US"/>
        </w:rPr>
        <w:t xml:space="preserve"> contents (phosphorus, potassium, magnesium, calcium, sodium) of the studied powders vary significantly from one powder to another. However, only </w:t>
      </w:r>
      <w:r w:rsidRPr="00BC5F1D">
        <w:rPr>
          <w:rFonts w:ascii="Arial" w:hAnsi="Arial" w:cs="Arial"/>
          <w:i/>
          <w:iCs/>
          <w:sz w:val="20"/>
          <w:szCs w:val="20"/>
          <w:lang w:val="en-US"/>
        </w:rPr>
        <w:t>C. olitorius</w:t>
      </w:r>
      <w:r w:rsidRPr="00BC5F1D">
        <w:rPr>
          <w:rFonts w:ascii="Arial" w:hAnsi="Arial" w:cs="Arial"/>
          <w:sz w:val="20"/>
          <w:szCs w:val="20"/>
          <w:lang w:val="en-US"/>
        </w:rPr>
        <w:t xml:space="preserve"> powder exhibits the highest contents of phosphorus (340.00 ± 2.10 mg/100 g DM), potassium (1957.41 ± 3.89 mg/100 g DM), magnesium (580.00 ± 1.45 mg/100 g DM), calcium (2200.00 ± 4.00 mg/100 g DM), and sodium (195.27 ± 1.00 mg/100 g DM). Compared to powders recommended for managing type 2 diabetes, these values are lower than 440 mg/100 g DM for phosphorus and 2410 mg/100 g DM for potassium, while being higher than 400 mg/100 g DM for magnesium, 1580 mg/100 g DM for calcium, and 150 mg/100 g DM for sodium reported by </w:t>
      </w:r>
      <w:r w:rsidRPr="00BC5F1D">
        <w:rPr>
          <w:rFonts w:ascii="Arial" w:hAnsi="Arial" w:cs="Arial"/>
          <w:sz w:val="20"/>
          <w:szCs w:val="20"/>
        </w:rPr>
        <w:fldChar w:fldCharType="begin" w:fldLock="1"/>
      </w:r>
      <w:r w:rsidR="00F66F85">
        <w:rPr>
          <w:rFonts w:ascii="Arial" w:hAnsi="Arial" w:cs="Arial"/>
          <w:sz w:val="20"/>
          <w:szCs w:val="20"/>
          <w:lang w:val="en-US"/>
        </w:rPr>
        <w:instrText>ADDIN CSL_CITATION {"citationItems":[{"id":"ITEM-1","itemData":{"DOI":"http://dx.doi.org/10.18006/2015.3(6).541.555","author":[{"dropping-particle":"","family":"Assiéné","given":"Agamou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2015)","manualFormatting":"Assiéné et al. (2015)","plainTextFormattedCitation":"(Assiéné et al., 2015)","previouslyFormattedCitation":"(Assiéné et al., 2015)"},"properties":{"noteIndex":0},"schema":"https://github.com/citation-style-language/schema/raw/master/csl-citation.json"}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Assiéné et al.</w:t>
      </w:r>
      <w:r w:rsidR="000D5690">
        <w:rPr>
          <w:rFonts w:ascii="Arial" w:hAnsi="Arial" w:cs="Arial"/>
          <w:noProof/>
          <w:sz w:val="20"/>
          <w:szCs w:val="20"/>
          <w:lang w:val="en-US"/>
        </w:rPr>
        <w:t xml:space="preserve"> (</w:t>
      </w:r>
      <w:r w:rsidRPr="00BC5F1D">
        <w:rPr>
          <w:rFonts w:ascii="Arial" w:hAnsi="Arial" w:cs="Arial"/>
          <w:noProof/>
          <w:sz w:val="20"/>
          <w:szCs w:val="20"/>
          <w:lang w:val="en-US"/>
        </w:rPr>
        <w:t>2015)</w:t>
      </w:r>
      <w:r w:rsidRPr="00BC5F1D">
        <w:rPr>
          <w:rFonts w:ascii="Arial" w:hAnsi="Arial" w:cs="Arial"/>
          <w:sz w:val="20"/>
          <w:szCs w:val="20"/>
        </w:rPr>
        <w:fldChar w:fldCharType="end"/>
      </w:r>
      <w:r w:rsidRPr="00BC5F1D">
        <w:rPr>
          <w:rFonts w:ascii="Arial" w:hAnsi="Arial" w:cs="Arial"/>
          <w:sz w:val="20"/>
          <w:szCs w:val="20"/>
          <w:lang w:val="en-US"/>
        </w:rPr>
        <w:t xml:space="preserve"> on </w:t>
      </w:r>
      <w:r w:rsidRPr="00BC5F1D">
        <w:rPr>
          <w:rFonts w:ascii="Arial" w:hAnsi="Arial" w:cs="Arial"/>
          <w:i/>
          <w:iCs/>
          <w:sz w:val="20"/>
          <w:szCs w:val="20"/>
          <w:lang w:val="en-US"/>
        </w:rPr>
        <w:t>M. oleifera</w:t>
      </w:r>
      <w:r w:rsidRPr="00BC5F1D">
        <w:rPr>
          <w:rFonts w:ascii="Arial" w:hAnsi="Arial" w:cs="Arial"/>
          <w:sz w:val="20"/>
          <w:szCs w:val="20"/>
          <w:lang w:val="en-US"/>
        </w:rPr>
        <w:t xml:space="preserve"> leaf powders. These values are also lower than 88.39 mg/100 g DM for phosphorus, 639.68 mg/100 g DM for potassium, 24.30 mg/100 g DM for magnesium, 43.60 mg/100 g DM for sodium, and higher than 1120 mg/100 g DM for calcium reported by </w:t>
      </w:r>
      <w:r w:rsidRPr="00BC5F1D">
        <w:rPr>
          <w:rFonts w:ascii="Arial" w:hAnsi="Arial" w:cs="Arial"/>
          <w:sz w:val="20"/>
          <w:szCs w:val="20"/>
        </w:rPr>
        <w:fldChar w:fldCharType="begin" w:fldLock="1"/>
      </w:r>
      <w:r w:rsidR="0073701E">
        <w:rPr>
          <w:rFonts w:ascii="Arial" w:hAnsi="Arial" w:cs="Arial"/>
          <w:sz w:val="20"/>
          <w:szCs w:val="20"/>
          <w:lang w:val="en-US"/>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 xml:space="preserve">Assiéné, Djeukeu, Assiéné, Mbida-Mbida, et al. </w:t>
      </w:r>
      <w:r w:rsidR="0073701E">
        <w:rPr>
          <w:rFonts w:ascii="Arial" w:hAnsi="Arial" w:cs="Arial"/>
          <w:noProof/>
          <w:sz w:val="20"/>
          <w:szCs w:val="20"/>
          <w:lang w:val="en-US"/>
        </w:rPr>
        <w:t>(</w:t>
      </w:r>
      <w:r w:rsidRPr="00BC5F1D">
        <w:rPr>
          <w:rFonts w:ascii="Arial" w:hAnsi="Arial" w:cs="Arial"/>
          <w:noProof/>
          <w:sz w:val="20"/>
          <w:szCs w:val="20"/>
          <w:lang w:val="en-US"/>
        </w:rPr>
        <w:t>2024)</w:t>
      </w:r>
      <w:r w:rsidRPr="00BC5F1D">
        <w:rPr>
          <w:rFonts w:ascii="Arial" w:hAnsi="Arial" w:cs="Arial"/>
          <w:sz w:val="20"/>
          <w:szCs w:val="20"/>
        </w:rPr>
        <w:fldChar w:fldCharType="end"/>
      </w:r>
      <w:r w:rsidRPr="00BC5F1D">
        <w:rPr>
          <w:rFonts w:ascii="Arial" w:hAnsi="Arial" w:cs="Arial"/>
          <w:sz w:val="20"/>
          <w:szCs w:val="20"/>
          <w:lang w:val="en-US"/>
        </w:rPr>
        <w:t xml:space="preserve"> on other powders also recommended for managing chronic diseases of dietary origin, such as type 2 diabetes.</w:t>
      </w:r>
    </w:p>
    <w:p w14:paraId="5C5B6F60" w14:textId="4C1FA85D" w:rsidR="00524870" w:rsidRPr="00BC5F1D" w:rsidRDefault="00524870" w:rsidP="00A1137A">
      <w:pPr>
        <w:spacing w:line="360" w:lineRule="auto"/>
        <w:jc w:val="both"/>
        <w:rPr>
          <w:rFonts w:ascii="Arial" w:hAnsi="Arial" w:cs="Arial"/>
          <w:sz w:val="20"/>
          <w:szCs w:val="20"/>
          <w:lang w:val="en-US"/>
        </w:rPr>
      </w:pPr>
      <w:r w:rsidRPr="00BC5F1D">
        <w:rPr>
          <w:rFonts w:ascii="Arial" w:hAnsi="Arial" w:cs="Arial"/>
          <w:sz w:val="20"/>
          <w:szCs w:val="20"/>
          <w:lang w:val="en-US"/>
        </w:rPr>
        <w:t xml:space="preserve">The observed differences in mineral contents, both for trace elements and </w:t>
      </w:r>
      <w:proofErr w:type="spellStart"/>
      <w:r w:rsidRPr="00BC5F1D">
        <w:rPr>
          <w:rFonts w:ascii="Arial" w:hAnsi="Arial" w:cs="Arial"/>
          <w:sz w:val="20"/>
          <w:szCs w:val="20"/>
          <w:lang w:val="en-US"/>
        </w:rPr>
        <w:t>macroelements</w:t>
      </w:r>
      <w:proofErr w:type="spellEnd"/>
      <w:r w:rsidRPr="00BC5F1D">
        <w:rPr>
          <w:rFonts w:ascii="Arial" w:hAnsi="Arial" w:cs="Arial"/>
          <w:sz w:val="20"/>
          <w:szCs w:val="20"/>
          <w:lang w:val="en-US"/>
        </w:rPr>
        <w:t>, can be explained by several factors, including environmental conditions, topography, and seasons, which directly affect the absorption of minerals through plant roots from the soil. Additionally, post-harvest treatments applied to the harvested organs may also play a role</w:t>
      </w:r>
      <w:r w:rsidR="000B0BC0">
        <w:rPr>
          <w:rFonts w:ascii="Arial" w:hAnsi="Arial" w:cs="Arial"/>
          <w:sz w:val="20"/>
          <w:szCs w:val="20"/>
          <w:lang w:val="en-US"/>
        </w:rPr>
        <w:t xml:space="preserve"> </w:t>
      </w:r>
      <w:r w:rsidR="000B0BC0">
        <w:rPr>
          <w:rFonts w:ascii="Arial" w:hAnsi="Arial" w:cs="Arial"/>
          <w:sz w:val="20"/>
          <w:szCs w:val="20"/>
          <w:lang w:val="en-US"/>
        </w:rPr>
        <w:fldChar w:fldCharType="begin" w:fldLock="1"/>
      </w:r>
      <w:r w:rsidR="000B0BC0">
        <w:rPr>
          <w:rFonts w:ascii="Arial" w:hAnsi="Arial" w:cs="Arial"/>
          <w:sz w:val="20"/>
          <w:szCs w:val="20"/>
          <w:lang w:val="en-US"/>
        </w:rPr>
        <w:instrText>ADDIN CSL_CITATION {"citationItems":[{"id":"ITEM-1","itemData":{"DOI":"10.12691/ajfst-5-2-4","abstract":"The antioxidant activity of plant materials is affected by post-harvest treatments. The present study was undertaken to evaluate the effects of steam blanching and two (solar and electric) drying methods on physicochemical composition, antioxidant activity (AOA) and rehydration properties of Moringa oleifera leaves. Fresh and blanched leaves of M. oleifera were dried by indirect solar-drying (≈35 ± 3°C, 12 h) and hot air electric drying (50°C, 5 h), and milled into flour (particle size ≤ 500 µm). Fresh, blanched and dried leaves were analyzed for their nutrient and phytochemical contents, antioxidant activity (Total Reducing Power (TRP) and 2,2-diphenyl-2-picryl hydrazyl (DPPH) scavenging activity) as well as rehydration properties (water absorption capacity (WAC) and water solubility index (WSI). Macronutrients content of M. oleifera leaves were unaffected by blanching and drying. Irrespective of drying method, drying had a significant negative effect (p &lt; 0.05) on phytochemical contents, TRP and DPPH scavenging activity of M. oleifera leaves. Blanching prior to drying, however, dimmed the negative effect of the latter. Blanched leaves exhibited higher carotenoids content, TRP and WAC compared to unblanched leaves; whereas blanching caused a decrease in DPPH scavenging activity, vitamin C and WSI. This study highlights that fresh and blanched Moringa oleifera leaves are more suiTableas a source of dietary antioxidants than dry leaves.","author":[{"dropping-particle":"","family":"Nobosse","given":"Pierre","non-dropping-particle":"","parse-names":false,"suffix":""},{"dropping-particle":"","family":"Fombang","given":"Edith N","non-dropping-particle":"","parse-names":false,"suffix":""},{"dropping-particle":"","family":"Mbofung","given":"Carl M F","non-dropping-particle":"","parse-names":false,"suffix":""}],"container-title":"American Journal of Food Science and Technology","id":"ITEM-1","issue":"2","issued":{"date-parts":[["2017"]]},"page":"53-60","title":"The Effect of Steam Blanching and Drying Method on Nutrients, Phytochemicals and Antioxidant Activity of Moringa (Moringa oleifera L.) Leaves","type":"article-journal","volume":"5"},"uris":["http://www.mendeley.com/documents/?uuid=201acc9f-7dff-36ce-9014-402b5d516962"]}],"mendeley":{"formattedCitation":"(Nobosse et al., 2017)","plainTextFormattedCitation":"(Nobosse et al., 2017)","previouslyFormattedCitation":"(Nobosse et al., 2017)"},"properties":{"noteIndex":0},"schema":"https://github.com/citation-style-language/schema/raw/master/csl-citation.json"}</w:instrText>
      </w:r>
      <w:r w:rsidR="000B0BC0">
        <w:rPr>
          <w:rFonts w:ascii="Arial" w:hAnsi="Arial" w:cs="Arial"/>
          <w:sz w:val="20"/>
          <w:szCs w:val="20"/>
          <w:lang w:val="en-US"/>
        </w:rPr>
        <w:fldChar w:fldCharType="separate"/>
      </w:r>
      <w:r w:rsidR="000B0BC0" w:rsidRPr="000B0BC0">
        <w:rPr>
          <w:rFonts w:ascii="Arial" w:hAnsi="Arial" w:cs="Arial"/>
          <w:noProof/>
          <w:sz w:val="20"/>
          <w:szCs w:val="20"/>
          <w:lang w:val="en-US"/>
        </w:rPr>
        <w:t>(Nobosse et al., 2017)</w:t>
      </w:r>
      <w:r w:rsidR="000B0BC0">
        <w:rPr>
          <w:rFonts w:ascii="Arial" w:hAnsi="Arial" w:cs="Arial"/>
          <w:sz w:val="20"/>
          <w:szCs w:val="20"/>
          <w:lang w:val="en-US"/>
        </w:rPr>
        <w:fldChar w:fldCharType="end"/>
      </w:r>
      <w:r w:rsidR="000B0BC0">
        <w:rPr>
          <w:rFonts w:ascii="Arial" w:hAnsi="Arial" w:cs="Arial"/>
          <w:sz w:val="20"/>
          <w:szCs w:val="20"/>
          <w:lang w:val="en-US"/>
        </w:rPr>
        <w:t>.</w:t>
      </w:r>
      <w:r w:rsidRPr="00BC5F1D">
        <w:rPr>
          <w:rFonts w:ascii="Arial" w:hAnsi="Arial" w:cs="Arial"/>
          <w:sz w:val="20"/>
          <w:szCs w:val="20"/>
          <w:lang w:val="en-US"/>
        </w:rPr>
        <w:t xml:space="preserve"> Indeed, the root hairs, which are tiny extensions of root cells, increase the root's surface area (greater absorption area), allowing for effective uptake of dissolved minerals in soil water. These minerals are then transported via water through the xylem vessels to the aerial parts of the plant, including stems and leaves. Many of these minerals found in the powders are involved in various metabolic reactions essential for plant development </w:t>
      </w:r>
      <w:r w:rsidR="000B0BC0">
        <w:rPr>
          <w:rFonts w:ascii="Arial" w:hAnsi="Arial" w:cs="Arial"/>
          <w:sz w:val="20"/>
          <w:szCs w:val="20"/>
          <w:lang w:val="en-US"/>
        </w:rPr>
        <w:fldChar w:fldCharType="begin" w:fldLock="1"/>
      </w:r>
      <w:r w:rsidR="00FF01A1">
        <w:rPr>
          <w:rFonts w:ascii="Arial" w:hAnsi="Arial" w:cs="Arial"/>
          <w:sz w:val="20"/>
          <w:szCs w:val="20"/>
          <w:lang w:val="en-US"/>
        </w:rPr>
        <w:instrText>ADDIN CSL_CITATION {"citationItems":[{"id":"ITEM-1","itemData":{"author":[{"dropping-particle":"","family":"Moreau","given":"François","non-dropping-particle":"","parse-names":false,"suffix":""},{"dropping-particle":"","family":"Prat","given":"Roger F","non-dropping-particle":"","parse-names":false,"suffix":""},{"dropping-particle":"","family":"Sentenac","given":"Herve","non-dropping-particle":"","parse-names":false,"suffix":""},{"dropping-particle":"","family":"Moreau","given":"François","non-dropping-particle":"","parse-names":false,"suffix":""},{"dropping-particle":"","family":"Prat","given":"Roger F","non-dropping-particle":"","parse-names":false,"suffix":""},{"dropping-particle":"","family":"Maurel","given":"Christophe","non-dropping-particle":"","parse-names":false,"suffix":""},{"dropping-particle":"","family":"Sentenac","given":"Herve","non-dropping-particle":"","parse-names":false,"suffix":""}],"edition":"Dunod","editor":[{"dropping-particle":"","family":"Dunod","given":"","non-dropping-particle":"","parse-names":false,"suffix":""}],"id":"ITEM-1","issued":{"date-parts":[["2017"]]},"number-of-pages":"242","publisher-place":"Paris","title":"Biologie végétale Nutrition et métabolisme","type":"book"},"uris":["http://www.mendeley.com/documents/?uuid=a63fae2d-204e-4541-a43f-c8f983fe6199"]}],"mendeley":{"formattedCitation":"(Moreau et al., 2017)","plainTextFormattedCitation":"(Moreau et al., 2017)","previouslyFormattedCitation":"(Moreau et al., 2017)"},"properties":{"noteIndex":0},"schema":"https://github.com/citation-style-language/schema/raw/master/csl-citation.json"}</w:instrText>
      </w:r>
      <w:r w:rsidR="000B0BC0">
        <w:rPr>
          <w:rFonts w:ascii="Arial" w:hAnsi="Arial" w:cs="Arial"/>
          <w:sz w:val="20"/>
          <w:szCs w:val="20"/>
          <w:lang w:val="en-US"/>
        </w:rPr>
        <w:fldChar w:fldCharType="separate"/>
      </w:r>
      <w:r w:rsidR="000B0BC0" w:rsidRPr="000B0BC0">
        <w:rPr>
          <w:rFonts w:ascii="Arial" w:hAnsi="Arial" w:cs="Arial"/>
          <w:noProof/>
          <w:sz w:val="20"/>
          <w:szCs w:val="20"/>
          <w:lang w:val="en-US"/>
        </w:rPr>
        <w:t>(Moreau et al., 2017)</w:t>
      </w:r>
      <w:r w:rsidR="000B0BC0">
        <w:rPr>
          <w:rFonts w:ascii="Arial" w:hAnsi="Arial" w:cs="Arial"/>
          <w:sz w:val="20"/>
          <w:szCs w:val="20"/>
          <w:lang w:val="en-US"/>
        </w:rPr>
        <w:fldChar w:fldCharType="end"/>
      </w:r>
      <w:r w:rsidR="000B0BC0">
        <w:rPr>
          <w:rFonts w:ascii="Arial" w:hAnsi="Arial" w:cs="Arial"/>
          <w:sz w:val="20"/>
          <w:szCs w:val="20"/>
          <w:lang w:val="en-US"/>
        </w:rPr>
        <w:t>.</w:t>
      </w:r>
      <w:r w:rsidRPr="00BC5F1D">
        <w:rPr>
          <w:rFonts w:ascii="Arial" w:hAnsi="Arial" w:cs="Arial"/>
          <w:color w:val="FF0000"/>
          <w:sz w:val="20"/>
          <w:szCs w:val="20"/>
          <w:lang w:val="en-US"/>
        </w:rPr>
        <w:t xml:space="preserve"> </w:t>
      </w:r>
      <w:r w:rsidRPr="00BC5F1D">
        <w:rPr>
          <w:rFonts w:ascii="Arial" w:hAnsi="Arial" w:cs="Arial"/>
          <w:sz w:val="20"/>
          <w:szCs w:val="20"/>
          <w:lang w:val="en-US"/>
        </w:rPr>
        <w:t>Furthermore, post-harvest treatments such as sieving may also influence the mineral contents of the powders.</w:t>
      </w:r>
    </w:p>
    <w:p w14:paraId="7C07B0AA" w14:textId="466BC5C0" w:rsidR="00A1137A" w:rsidRPr="00BC5F1D" w:rsidRDefault="00A1137A" w:rsidP="00A1137A">
      <w:pPr>
        <w:spacing w:line="360" w:lineRule="auto"/>
        <w:jc w:val="both"/>
        <w:rPr>
          <w:rFonts w:ascii="Arial" w:eastAsia="Calibri" w:hAnsi="Arial" w:cs="Arial"/>
          <w:sz w:val="20"/>
          <w:szCs w:val="20"/>
          <w:lang w:val="en-US"/>
        </w:rPr>
      </w:pPr>
      <w:bookmarkStart w:id="1" w:name="_Hlk189413533"/>
      <w:bookmarkStart w:id="2" w:name="_Hlk189413570"/>
      <w:r w:rsidRPr="00BC5F1D">
        <w:rPr>
          <w:rFonts w:ascii="Arial" w:eastAsia="Calibri" w:hAnsi="Arial" w:cs="Arial"/>
          <w:b/>
          <w:sz w:val="20"/>
          <w:szCs w:val="20"/>
          <w:lang w:val="en-US"/>
        </w:rPr>
        <w:lastRenderedPageBreak/>
        <w:t>Table</w:t>
      </w:r>
      <w:r w:rsidR="00513380" w:rsidRPr="00BC5F1D">
        <w:rPr>
          <w:rFonts w:ascii="Arial" w:eastAsia="Calibri" w:hAnsi="Arial" w:cs="Arial"/>
          <w:b/>
          <w:sz w:val="20"/>
          <w:szCs w:val="20"/>
          <w:lang w:val="en-US"/>
        </w:rPr>
        <w:t xml:space="preserve"> 2</w:t>
      </w:r>
      <w:r w:rsidR="00513380" w:rsidRPr="00BC5F1D">
        <w:rPr>
          <w:rFonts w:ascii="Arial" w:eastAsia="Calibri" w:hAnsi="Arial" w:cs="Arial"/>
          <w:sz w:val="20"/>
          <w:szCs w:val="20"/>
          <w:lang w:val="en-US"/>
        </w:rPr>
        <w:t>:</w:t>
      </w:r>
      <w:r w:rsidRPr="00BC5F1D">
        <w:rPr>
          <w:rFonts w:ascii="Arial" w:eastAsia="Calibri" w:hAnsi="Arial" w:cs="Arial"/>
          <w:sz w:val="20"/>
          <w:szCs w:val="20"/>
          <w:lang w:val="en-US"/>
        </w:rPr>
        <w:t xml:space="preserve">  Mineral content </w:t>
      </w:r>
      <w:r w:rsidR="00BC424A" w:rsidRPr="00BC5F1D">
        <w:rPr>
          <w:rFonts w:ascii="Arial" w:eastAsia="Calibri" w:hAnsi="Arial" w:cs="Arial"/>
          <w:sz w:val="20"/>
          <w:szCs w:val="20"/>
          <w:lang w:val="en-US"/>
        </w:rPr>
        <w:t>of</w:t>
      </w:r>
      <w:r w:rsidRPr="00BC5F1D">
        <w:rPr>
          <w:rFonts w:ascii="Arial" w:eastAsia="Calibri" w:hAnsi="Arial" w:cs="Arial"/>
          <w:sz w:val="20"/>
          <w:szCs w:val="20"/>
          <w:lang w:val="en-US"/>
        </w:rPr>
        <w:t xml:space="preserve"> powdered leaves of </w:t>
      </w:r>
      <w:r w:rsidRPr="00BC5F1D">
        <w:rPr>
          <w:rFonts w:ascii="Arial" w:eastAsia="Calibri" w:hAnsi="Arial" w:cs="Arial"/>
          <w:i/>
          <w:iCs/>
          <w:sz w:val="20"/>
          <w:szCs w:val="20"/>
          <w:lang w:val="en-US"/>
        </w:rPr>
        <w:t>A</w:t>
      </w:r>
      <w:r w:rsidR="00B6650A">
        <w:rPr>
          <w:rFonts w:ascii="Arial" w:eastAsia="Calibri" w:hAnsi="Arial" w:cs="Arial"/>
          <w:i/>
          <w:iCs/>
          <w:sz w:val="20"/>
          <w:szCs w:val="20"/>
          <w:lang w:val="en-US"/>
        </w:rPr>
        <w:t>.</w:t>
      </w:r>
      <w:r w:rsidRPr="00BC5F1D">
        <w:rPr>
          <w:rFonts w:ascii="Arial" w:eastAsia="Calibri" w:hAnsi="Arial" w:cs="Arial"/>
          <w:i/>
          <w:iCs/>
          <w:sz w:val="20"/>
          <w:szCs w:val="20"/>
          <w:lang w:val="en-US"/>
        </w:rPr>
        <w:t xml:space="preserve"> digitata, C</w:t>
      </w:r>
      <w:r w:rsidR="00B6650A">
        <w:rPr>
          <w:rFonts w:ascii="Arial" w:eastAsia="Calibri" w:hAnsi="Arial" w:cs="Arial"/>
          <w:i/>
          <w:iCs/>
          <w:sz w:val="20"/>
          <w:szCs w:val="20"/>
          <w:lang w:val="en-US"/>
        </w:rPr>
        <w:t>.</w:t>
      </w:r>
      <w:r w:rsidRPr="00BC5F1D">
        <w:rPr>
          <w:rFonts w:ascii="Arial" w:eastAsia="Calibri" w:hAnsi="Arial" w:cs="Arial"/>
          <w:i/>
          <w:iCs/>
          <w:sz w:val="20"/>
          <w:szCs w:val="20"/>
          <w:lang w:val="en-US"/>
        </w:rPr>
        <w:t xml:space="preserve"> olitorius </w:t>
      </w:r>
      <w:r w:rsidRPr="00BC5F1D">
        <w:rPr>
          <w:rFonts w:ascii="Arial" w:eastAsia="Calibri" w:hAnsi="Arial" w:cs="Arial"/>
          <w:sz w:val="20"/>
          <w:szCs w:val="20"/>
          <w:lang w:val="en-US"/>
        </w:rPr>
        <w:t xml:space="preserve">and bark of </w:t>
      </w:r>
      <w:r w:rsidR="009F3856" w:rsidRPr="00BC5F1D">
        <w:rPr>
          <w:rFonts w:ascii="Arial" w:hAnsi="Arial" w:cs="Arial"/>
          <w:i/>
          <w:iCs/>
          <w:sz w:val="20"/>
          <w:szCs w:val="20"/>
          <w:lang w:val="en-US"/>
        </w:rPr>
        <w:t>T</w:t>
      </w:r>
      <w:r w:rsidR="00B6650A">
        <w:rPr>
          <w:rFonts w:ascii="Arial" w:hAnsi="Arial" w:cs="Arial"/>
          <w:i/>
          <w:iCs/>
          <w:sz w:val="20"/>
          <w:szCs w:val="20"/>
          <w:lang w:val="en-US"/>
        </w:rPr>
        <w:t>.</w:t>
      </w:r>
      <w:r w:rsidR="009F3856" w:rsidRPr="00BC5F1D">
        <w:rPr>
          <w:rFonts w:ascii="Arial" w:hAnsi="Arial" w:cs="Arial"/>
          <w:i/>
          <w:iCs/>
          <w:sz w:val="20"/>
          <w:szCs w:val="20"/>
          <w:lang w:val="en-US"/>
        </w:rPr>
        <w:t xml:space="preserve"> cordifolia</w:t>
      </w:r>
      <w:r w:rsidR="001228A1" w:rsidRPr="00BC5F1D">
        <w:rPr>
          <w:rFonts w:ascii="Arial" w:eastAsia="Calibri" w:hAnsi="Arial" w:cs="Arial"/>
          <w:i/>
          <w:iCs/>
          <w:sz w:val="20"/>
          <w:szCs w:val="20"/>
          <w:lang w:val="en-US"/>
        </w:rPr>
        <w:t xml:space="preserve"> </w:t>
      </w:r>
      <w:r w:rsidR="00B34F2D" w:rsidRPr="00BC5F1D">
        <w:rPr>
          <w:rFonts w:ascii="Arial" w:eastAsia="Calibri" w:hAnsi="Arial" w:cs="Arial"/>
          <w:sz w:val="20"/>
          <w:szCs w:val="20"/>
          <w:lang w:val="en-US"/>
        </w:rPr>
        <w:t>(mg/100g DM)</w:t>
      </w:r>
    </w:p>
    <w:tbl>
      <w:tblPr>
        <w:tblW w:w="907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98"/>
        <w:gridCol w:w="2522"/>
        <w:gridCol w:w="2410"/>
        <w:gridCol w:w="1842"/>
      </w:tblGrid>
      <w:tr w:rsidR="00A1137A" w:rsidRPr="00BC5F1D" w14:paraId="3A67D885" w14:textId="77777777" w:rsidTr="00B6650A">
        <w:trPr>
          <w:trHeight w:val="444"/>
        </w:trPr>
        <w:tc>
          <w:tcPr>
            <w:tcW w:w="2298" w:type="dxa"/>
            <w:tcBorders>
              <w:bottom w:val="single" w:sz="4" w:space="0" w:color="auto"/>
              <w:right w:val="nil"/>
            </w:tcBorders>
          </w:tcPr>
          <w:p w14:paraId="4E115188" w14:textId="6B611F1F" w:rsidR="00A1137A" w:rsidRPr="00BC5F1D" w:rsidRDefault="00A1137A">
            <w:pPr>
              <w:spacing w:before="120" w:after="100" w:afterAutospacing="1" w:line="360" w:lineRule="auto"/>
              <w:rPr>
                <w:rFonts w:ascii="Arial" w:eastAsia="Calibri" w:hAnsi="Arial" w:cs="Arial"/>
                <w:b/>
                <w:sz w:val="20"/>
                <w:szCs w:val="20"/>
                <w:lang w:val="en-US"/>
              </w:rPr>
            </w:pPr>
            <w:r w:rsidRPr="00BC5F1D">
              <w:rPr>
                <w:rFonts w:ascii="Arial" w:eastAsia="Calibri" w:hAnsi="Arial" w:cs="Arial"/>
                <w:b/>
                <w:sz w:val="20"/>
                <w:szCs w:val="20"/>
                <w:lang w:val="en-US"/>
              </w:rPr>
              <w:t>Min</w:t>
            </w:r>
            <w:r w:rsidR="00513380" w:rsidRPr="00BC5F1D">
              <w:rPr>
                <w:rFonts w:ascii="Arial" w:eastAsia="Calibri" w:hAnsi="Arial" w:cs="Arial"/>
                <w:b/>
                <w:sz w:val="20"/>
                <w:szCs w:val="20"/>
                <w:lang w:val="en-US"/>
              </w:rPr>
              <w:t>eral</w:t>
            </w:r>
          </w:p>
        </w:tc>
        <w:tc>
          <w:tcPr>
            <w:tcW w:w="2522" w:type="dxa"/>
            <w:tcBorders>
              <w:left w:val="nil"/>
              <w:bottom w:val="single" w:sz="4" w:space="0" w:color="auto"/>
              <w:right w:val="nil"/>
            </w:tcBorders>
          </w:tcPr>
          <w:p w14:paraId="0971BE47" w14:textId="535781F1" w:rsidR="00A1137A" w:rsidRPr="00BC5F1D" w:rsidRDefault="00A1137A">
            <w:pPr>
              <w:spacing w:before="120" w:after="100" w:afterAutospacing="1" w:line="360" w:lineRule="auto"/>
              <w:rPr>
                <w:rFonts w:ascii="Arial" w:eastAsia="Calibri" w:hAnsi="Arial" w:cs="Arial"/>
                <w:b/>
                <w:i/>
                <w:iCs/>
                <w:sz w:val="20"/>
                <w:szCs w:val="20"/>
                <w:lang w:val="en-US"/>
              </w:rPr>
            </w:pPr>
            <w:r w:rsidRPr="00BC5F1D">
              <w:rPr>
                <w:rFonts w:ascii="Arial" w:eastAsia="Calibri" w:hAnsi="Arial" w:cs="Arial"/>
                <w:b/>
                <w:i/>
                <w:iCs/>
                <w:sz w:val="20"/>
                <w:szCs w:val="20"/>
                <w:lang w:val="en-US"/>
              </w:rPr>
              <w:t xml:space="preserve"> </w:t>
            </w:r>
            <w:bookmarkStart w:id="3" w:name="_Hlk186455765"/>
            <w:r w:rsidR="00513380" w:rsidRPr="00BC5F1D">
              <w:rPr>
                <w:rFonts w:ascii="Arial" w:eastAsia="Calibri" w:hAnsi="Arial" w:cs="Arial"/>
                <w:b/>
                <w:i/>
                <w:iCs/>
                <w:sz w:val="20"/>
                <w:szCs w:val="20"/>
                <w:lang w:val="en-US"/>
              </w:rPr>
              <w:t>A</w:t>
            </w:r>
            <w:r w:rsidR="00B6650A">
              <w:rPr>
                <w:rFonts w:ascii="Arial" w:eastAsia="Calibri" w:hAnsi="Arial" w:cs="Arial"/>
                <w:b/>
                <w:i/>
                <w:iCs/>
                <w:sz w:val="20"/>
                <w:szCs w:val="20"/>
                <w:lang w:val="en-US"/>
              </w:rPr>
              <w:t>.</w:t>
            </w:r>
            <w:r w:rsidR="00513380" w:rsidRPr="00BC5F1D">
              <w:rPr>
                <w:rFonts w:ascii="Arial" w:eastAsia="Calibri" w:hAnsi="Arial" w:cs="Arial"/>
                <w:b/>
                <w:i/>
                <w:iCs/>
                <w:sz w:val="20"/>
                <w:szCs w:val="20"/>
                <w:lang w:val="en-US"/>
              </w:rPr>
              <w:t xml:space="preserve"> digitata</w:t>
            </w:r>
            <w:bookmarkEnd w:id="3"/>
          </w:p>
        </w:tc>
        <w:tc>
          <w:tcPr>
            <w:tcW w:w="2410" w:type="dxa"/>
            <w:tcBorders>
              <w:left w:val="nil"/>
              <w:bottom w:val="single" w:sz="4" w:space="0" w:color="auto"/>
              <w:right w:val="nil"/>
            </w:tcBorders>
          </w:tcPr>
          <w:p w14:paraId="6B9D6489" w14:textId="6BF345C7" w:rsidR="00A1137A" w:rsidRPr="00BC5F1D" w:rsidRDefault="00A1137A">
            <w:pPr>
              <w:spacing w:before="120" w:after="100" w:afterAutospacing="1" w:line="360" w:lineRule="auto"/>
              <w:rPr>
                <w:rFonts w:ascii="Arial" w:eastAsia="Calibri" w:hAnsi="Arial" w:cs="Arial"/>
                <w:b/>
                <w:i/>
                <w:iCs/>
                <w:sz w:val="20"/>
                <w:szCs w:val="20"/>
                <w:lang w:val="en-US"/>
              </w:rPr>
            </w:pPr>
            <w:r w:rsidRPr="00BC5F1D">
              <w:rPr>
                <w:rFonts w:ascii="Arial" w:eastAsia="Calibri" w:hAnsi="Arial" w:cs="Arial"/>
                <w:b/>
                <w:i/>
                <w:iCs/>
                <w:sz w:val="20"/>
                <w:szCs w:val="20"/>
                <w:lang w:val="en-US"/>
              </w:rPr>
              <w:t>C</w:t>
            </w:r>
            <w:r w:rsidR="00B6650A">
              <w:rPr>
                <w:rFonts w:ascii="Arial" w:eastAsia="Calibri" w:hAnsi="Arial" w:cs="Arial"/>
                <w:b/>
                <w:i/>
                <w:iCs/>
                <w:sz w:val="20"/>
                <w:szCs w:val="20"/>
                <w:lang w:val="en-US"/>
              </w:rPr>
              <w:t>.</w:t>
            </w:r>
            <w:r w:rsidRPr="00BC5F1D">
              <w:rPr>
                <w:rFonts w:ascii="Arial" w:eastAsia="Calibri" w:hAnsi="Arial" w:cs="Arial"/>
                <w:b/>
                <w:i/>
                <w:iCs/>
                <w:sz w:val="20"/>
                <w:szCs w:val="20"/>
                <w:lang w:val="en-US"/>
              </w:rPr>
              <w:t xml:space="preserve"> olitorius</w:t>
            </w:r>
          </w:p>
        </w:tc>
        <w:tc>
          <w:tcPr>
            <w:tcW w:w="1842" w:type="dxa"/>
            <w:tcBorders>
              <w:left w:val="nil"/>
              <w:bottom w:val="single" w:sz="4" w:space="0" w:color="auto"/>
            </w:tcBorders>
          </w:tcPr>
          <w:p w14:paraId="1026C532" w14:textId="3C1494B3" w:rsidR="00A1137A" w:rsidRPr="00BC5F1D" w:rsidRDefault="00481778">
            <w:pPr>
              <w:spacing w:before="120" w:after="100" w:afterAutospacing="1" w:line="360" w:lineRule="auto"/>
              <w:rPr>
                <w:rFonts w:ascii="Arial" w:eastAsia="Calibri" w:hAnsi="Arial" w:cs="Arial"/>
                <w:b/>
                <w:bCs/>
                <w:i/>
                <w:iCs/>
                <w:sz w:val="20"/>
                <w:szCs w:val="20"/>
                <w:lang w:val="en-US"/>
              </w:rPr>
            </w:pPr>
            <w:r w:rsidRPr="00BC5F1D">
              <w:rPr>
                <w:rFonts w:ascii="Arial" w:hAnsi="Arial" w:cs="Arial"/>
                <w:b/>
                <w:bCs/>
                <w:i/>
                <w:iCs/>
                <w:sz w:val="20"/>
                <w:szCs w:val="20"/>
                <w:lang w:val="en-US"/>
              </w:rPr>
              <w:t>T</w:t>
            </w:r>
            <w:r w:rsidR="00B6650A">
              <w:rPr>
                <w:rFonts w:ascii="Arial" w:hAnsi="Arial" w:cs="Arial"/>
                <w:b/>
                <w:bCs/>
                <w:i/>
                <w:iCs/>
                <w:sz w:val="20"/>
                <w:szCs w:val="20"/>
                <w:lang w:val="en-US"/>
              </w:rPr>
              <w:t>.</w:t>
            </w:r>
            <w:r w:rsidRPr="00BC5F1D">
              <w:rPr>
                <w:rFonts w:ascii="Arial" w:hAnsi="Arial" w:cs="Arial"/>
                <w:b/>
                <w:bCs/>
                <w:i/>
                <w:iCs/>
                <w:sz w:val="20"/>
                <w:szCs w:val="20"/>
                <w:lang w:val="en-US"/>
              </w:rPr>
              <w:t xml:space="preserve"> cordifolia</w:t>
            </w:r>
          </w:p>
        </w:tc>
      </w:tr>
      <w:tr w:rsidR="00A1137A" w:rsidRPr="00BC5F1D" w14:paraId="00AC3BB8" w14:textId="77777777" w:rsidTr="00B6650A">
        <w:trPr>
          <w:trHeight w:val="444"/>
        </w:trPr>
        <w:tc>
          <w:tcPr>
            <w:tcW w:w="9072" w:type="dxa"/>
            <w:gridSpan w:val="4"/>
            <w:tcBorders>
              <w:bottom w:val="single" w:sz="4" w:space="0" w:color="auto"/>
            </w:tcBorders>
          </w:tcPr>
          <w:p w14:paraId="3CEA397D" w14:textId="12374B58" w:rsidR="00A1137A" w:rsidRPr="00BC5F1D" w:rsidRDefault="00A1137A">
            <w:pPr>
              <w:spacing w:before="120" w:after="100" w:afterAutospacing="1" w:line="360" w:lineRule="auto"/>
              <w:rPr>
                <w:rFonts w:ascii="Arial" w:eastAsia="Calibri" w:hAnsi="Arial" w:cs="Arial"/>
                <w:b/>
                <w:sz w:val="20"/>
                <w:szCs w:val="20"/>
                <w:lang w:val="en-US"/>
              </w:rPr>
            </w:pPr>
            <w:r w:rsidRPr="00BC5F1D">
              <w:rPr>
                <w:rFonts w:ascii="Arial" w:eastAsia="Calibri" w:hAnsi="Arial" w:cs="Arial"/>
                <w:b/>
                <w:sz w:val="20"/>
                <w:szCs w:val="20"/>
                <w:lang w:val="en-US"/>
              </w:rPr>
              <w:t>Trace ele</w:t>
            </w:r>
            <w:r w:rsidR="00513380" w:rsidRPr="00BC5F1D">
              <w:rPr>
                <w:rFonts w:ascii="Arial" w:eastAsia="Calibri" w:hAnsi="Arial" w:cs="Arial"/>
                <w:b/>
                <w:sz w:val="20"/>
                <w:szCs w:val="20"/>
                <w:lang w:val="en-US"/>
              </w:rPr>
              <w:t>ment</w:t>
            </w:r>
          </w:p>
        </w:tc>
      </w:tr>
      <w:tr w:rsidR="00513380" w:rsidRPr="00BC5F1D" w14:paraId="457A47AD" w14:textId="77777777" w:rsidTr="00B6650A">
        <w:trPr>
          <w:trHeight w:val="498"/>
        </w:trPr>
        <w:tc>
          <w:tcPr>
            <w:tcW w:w="2298" w:type="dxa"/>
            <w:tcBorders>
              <w:bottom w:val="nil"/>
              <w:right w:val="nil"/>
            </w:tcBorders>
          </w:tcPr>
          <w:p w14:paraId="6A7BA402" w14:textId="77777777"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 xml:space="preserve">Zinc (Zn) </w:t>
            </w:r>
          </w:p>
        </w:tc>
        <w:tc>
          <w:tcPr>
            <w:tcW w:w="2522" w:type="dxa"/>
            <w:tcBorders>
              <w:left w:val="nil"/>
              <w:bottom w:val="nil"/>
              <w:right w:val="nil"/>
            </w:tcBorders>
          </w:tcPr>
          <w:p w14:paraId="244FDA57" w14:textId="6DE9C180"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95.51 ± 2.34</w:t>
            </w:r>
            <w:r w:rsidRPr="00BC5F1D">
              <w:rPr>
                <w:rFonts w:ascii="Arial" w:eastAsia="Calibri" w:hAnsi="Arial" w:cs="Arial"/>
                <w:sz w:val="20"/>
                <w:szCs w:val="20"/>
                <w:vertAlign w:val="superscript"/>
                <w:lang w:val="en-US"/>
              </w:rPr>
              <w:t>a</w:t>
            </w:r>
            <w:r w:rsidRPr="00BC5F1D">
              <w:rPr>
                <w:rFonts w:ascii="Arial" w:eastAsia="Calibri" w:hAnsi="Arial" w:cs="Arial"/>
                <w:sz w:val="20"/>
                <w:szCs w:val="20"/>
                <w:lang w:val="en-US"/>
              </w:rPr>
              <w:t xml:space="preserve"> </w:t>
            </w:r>
          </w:p>
        </w:tc>
        <w:tc>
          <w:tcPr>
            <w:tcW w:w="2410" w:type="dxa"/>
            <w:tcBorders>
              <w:left w:val="nil"/>
              <w:bottom w:val="nil"/>
              <w:right w:val="nil"/>
            </w:tcBorders>
          </w:tcPr>
          <w:p w14:paraId="2677F2FB" w14:textId="21F1802B"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94.44 ± 1.91</w:t>
            </w:r>
            <w:r w:rsidRPr="00BC5F1D">
              <w:rPr>
                <w:rFonts w:ascii="Arial" w:eastAsia="Calibri" w:hAnsi="Arial" w:cs="Arial"/>
                <w:sz w:val="20"/>
                <w:szCs w:val="20"/>
                <w:vertAlign w:val="superscript"/>
                <w:lang w:val="en-US"/>
              </w:rPr>
              <w:t>a</w:t>
            </w:r>
            <w:r w:rsidRPr="00BC5F1D">
              <w:rPr>
                <w:rFonts w:ascii="Arial" w:eastAsia="Calibri" w:hAnsi="Arial" w:cs="Arial"/>
                <w:sz w:val="20"/>
                <w:szCs w:val="20"/>
                <w:lang w:val="en-US"/>
              </w:rPr>
              <w:t xml:space="preserve"> </w:t>
            </w:r>
          </w:p>
        </w:tc>
        <w:tc>
          <w:tcPr>
            <w:tcW w:w="1842" w:type="dxa"/>
            <w:tcBorders>
              <w:left w:val="nil"/>
              <w:bottom w:val="nil"/>
            </w:tcBorders>
          </w:tcPr>
          <w:p w14:paraId="62B14393" w14:textId="3D06EFD4"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 xml:space="preserve">98.71 </w:t>
            </w:r>
            <w:r w:rsidRPr="00BC5F1D">
              <w:rPr>
                <w:rFonts w:ascii="Arial" w:eastAsia="Calibri" w:hAnsi="Arial" w:cs="Arial"/>
                <w:bCs/>
                <w:sz w:val="20"/>
                <w:szCs w:val="20"/>
                <w:lang w:val="en-US"/>
              </w:rPr>
              <w:t>± 2.31</w:t>
            </w:r>
            <w:r w:rsidRPr="00BC5F1D">
              <w:rPr>
                <w:rFonts w:ascii="Arial" w:eastAsia="Calibri" w:hAnsi="Arial" w:cs="Arial"/>
                <w:bCs/>
                <w:sz w:val="20"/>
                <w:szCs w:val="20"/>
                <w:vertAlign w:val="superscript"/>
                <w:lang w:val="en-US"/>
              </w:rPr>
              <w:t>a</w:t>
            </w:r>
            <w:r w:rsidRPr="00BC5F1D">
              <w:rPr>
                <w:rFonts w:ascii="Arial" w:eastAsia="Calibri" w:hAnsi="Arial" w:cs="Arial"/>
                <w:bCs/>
                <w:sz w:val="20"/>
                <w:szCs w:val="20"/>
                <w:lang w:val="en-US"/>
              </w:rPr>
              <w:t xml:space="preserve"> </w:t>
            </w:r>
          </w:p>
        </w:tc>
      </w:tr>
      <w:tr w:rsidR="00513380" w:rsidRPr="00BC5F1D" w14:paraId="1983CF06" w14:textId="77777777" w:rsidTr="00B6650A">
        <w:trPr>
          <w:trHeight w:val="515"/>
        </w:trPr>
        <w:tc>
          <w:tcPr>
            <w:tcW w:w="2298" w:type="dxa"/>
            <w:tcBorders>
              <w:top w:val="nil"/>
              <w:bottom w:val="nil"/>
              <w:right w:val="nil"/>
            </w:tcBorders>
          </w:tcPr>
          <w:p w14:paraId="7F1C998D" w14:textId="6B211587"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C</w:t>
            </w:r>
            <w:r w:rsidR="006762F8" w:rsidRPr="00BC5F1D">
              <w:rPr>
                <w:rFonts w:ascii="Arial" w:eastAsia="Calibri" w:hAnsi="Arial" w:cs="Arial"/>
                <w:sz w:val="20"/>
                <w:szCs w:val="20"/>
                <w:lang w:val="en-US"/>
              </w:rPr>
              <w:t>opper</w:t>
            </w:r>
            <w:r w:rsidRPr="00BC5F1D">
              <w:rPr>
                <w:rFonts w:ascii="Arial" w:eastAsia="Calibri" w:hAnsi="Arial" w:cs="Arial"/>
                <w:sz w:val="20"/>
                <w:szCs w:val="20"/>
                <w:lang w:val="en-US"/>
              </w:rPr>
              <w:t xml:space="preserve"> (Cu)</w:t>
            </w:r>
          </w:p>
        </w:tc>
        <w:tc>
          <w:tcPr>
            <w:tcW w:w="2522" w:type="dxa"/>
            <w:tcBorders>
              <w:top w:val="nil"/>
              <w:left w:val="nil"/>
              <w:bottom w:val="nil"/>
              <w:right w:val="nil"/>
            </w:tcBorders>
          </w:tcPr>
          <w:p w14:paraId="073BB109" w14:textId="37CA8FB1"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13.27 ± 0.93</w:t>
            </w:r>
            <w:r w:rsidRPr="00BC5F1D">
              <w:rPr>
                <w:rFonts w:ascii="Arial" w:eastAsia="Calibri" w:hAnsi="Arial" w:cs="Arial"/>
                <w:sz w:val="20"/>
                <w:szCs w:val="20"/>
                <w:vertAlign w:val="superscript"/>
                <w:lang w:val="en-US"/>
              </w:rPr>
              <w:t>b</w:t>
            </w:r>
            <w:r w:rsidRPr="00BC5F1D">
              <w:rPr>
                <w:rFonts w:ascii="Arial" w:eastAsia="Calibri" w:hAnsi="Arial" w:cs="Arial"/>
                <w:sz w:val="20"/>
                <w:szCs w:val="20"/>
                <w:lang w:val="en-US"/>
              </w:rPr>
              <w:t xml:space="preserve"> </w:t>
            </w:r>
          </w:p>
        </w:tc>
        <w:tc>
          <w:tcPr>
            <w:tcW w:w="2410" w:type="dxa"/>
            <w:tcBorders>
              <w:top w:val="nil"/>
              <w:left w:val="nil"/>
              <w:bottom w:val="nil"/>
              <w:right w:val="nil"/>
            </w:tcBorders>
          </w:tcPr>
          <w:p w14:paraId="18034EA9" w14:textId="769A6B70" w:rsidR="00513380" w:rsidRPr="00BC5F1D" w:rsidRDefault="00513380" w:rsidP="00513380">
            <w:pPr>
              <w:spacing w:before="120" w:after="100" w:afterAutospacing="1" w:line="360" w:lineRule="auto"/>
              <w:rPr>
                <w:rFonts w:ascii="Arial" w:eastAsia="Calibri" w:hAnsi="Arial" w:cs="Arial"/>
                <w:sz w:val="20"/>
                <w:szCs w:val="20"/>
                <w:lang w:val="en-US"/>
              </w:rPr>
            </w:pPr>
            <w:bookmarkStart w:id="4" w:name="OLE_LINK1"/>
            <w:r w:rsidRPr="00BC5F1D">
              <w:rPr>
                <w:rFonts w:ascii="Arial" w:eastAsia="Calibri" w:hAnsi="Arial" w:cs="Arial"/>
                <w:sz w:val="20"/>
                <w:szCs w:val="20"/>
                <w:lang w:val="en-US"/>
              </w:rPr>
              <w:t>26.71 ± 1.27</w:t>
            </w:r>
            <w:bookmarkEnd w:id="4"/>
            <w:r w:rsidRPr="00BC5F1D">
              <w:rPr>
                <w:rFonts w:ascii="Arial" w:eastAsia="Calibri" w:hAnsi="Arial" w:cs="Arial"/>
                <w:sz w:val="20"/>
                <w:szCs w:val="20"/>
                <w:vertAlign w:val="superscript"/>
                <w:lang w:val="en-US"/>
              </w:rPr>
              <w:t>c</w:t>
            </w:r>
          </w:p>
        </w:tc>
        <w:tc>
          <w:tcPr>
            <w:tcW w:w="1842" w:type="dxa"/>
            <w:tcBorders>
              <w:top w:val="nil"/>
              <w:left w:val="nil"/>
              <w:bottom w:val="nil"/>
            </w:tcBorders>
          </w:tcPr>
          <w:p w14:paraId="51ED5933" w14:textId="18F92DF6"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 xml:space="preserve">4.72 </w:t>
            </w:r>
            <w:r w:rsidRPr="00BC5F1D">
              <w:rPr>
                <w:rFonts w:ascii="Arial" w:eastAsia="Calibri" w:hAnsi="Arial" w:cs="Arial"/>
                <w:bCs/>
                <w:sz w:val="20"/>
                <w:szCs w:val="20"/>
                <w:lang w:val="en-US"/>
              </w:rPr>
              <w:t>±</w:t>
            </w:r>
            <w:r w:rsidRPr="00BC5F1D">
              <w:rPr>
                <w:rFonts w:ascii="Arial" w:eastAsia="Calibri" w:hAnsi="Arial" w:cs="Arial"/>
                <w:sz w:val="20"/>
                <w:szCs w:val="20"/>
                <w:lang w:val="en-US"/>
              </w:rPr>
              <w:t xml:space="preserve"> </w:t>
            </w:r>
            <w:r w:rsidRPr="00BC5F1D">
              <w:rPr>
                <w:rFonts w:ascii="Arial" w:eastAsia="Calibri" w:hAnsi="Arial" w:cs="Arial"/>
                <w:bCs/>
                <w:sz w:val="20"/>
                <w:szCs w:val="20"/>
                <w:lang w:val="en-US"/>
              </w:rPr>
              <w:t>0.09</w:t>
            </w:r>
            <w:r w:rsidRPr="00BC5F1D">
              <w:rPr>
                <w:rFonts w:ascii="Arial" w:eastAsia="Calibri" w:hAnsi="Arial" w:cs="Arial"/>
                <w:bCs/>
                <w:sz w:val="20"/>
                <w:szCs w:val="20"/>
                <w:vertAlign w:val="superscript"/>
                <w:lang w:val="en-US"/>
              </w:rPr>
              <w:t xml:space="preserve">a </w:t>
            </w:r>
          </w:p>
        </w:tc>
      </w:tr>
      <w:tr w:rsidR="00513380" w:rsidRPr="00BC5F1D" w14:paraId="5A9EEC58" w14:textId="77777777" w:rsidTr="00B6650A">
        <w:trPr>
          <w:trHeight w:val="515"/>
        </w:trPr>
        <w:tc>
          <w:tcPr>
            <w:tcW w:w="2298" w:type="dxa"/>
            <w:tcBorders>
              <w:top w:val="nil"/>
              <w:bottom w:val="nil"/>
              <w:right w:val="nil"/>
            </w:tcBorders>
          </w:tcPr>
          <w:p w14:paraId="70A9D652" w14:textId="0FF83611" w:rsidR="00513380" w:rsidRPr="00BC5F1D" w:rsidRDefault="006762F8"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Iron</w:t>
            </w:r>
            <w:r w:rsidR="00513380" w:rsidRPr="00BC5F1D">
              <w:rPr>
                <w:rFonts w:ascii="Arial" w:eastAsia="Calibri" w:hAnsi="Arial" w:cs="Arial"/>
                <w:sz w:val="20"/>
                <w:szCs w:val="20"/>
                <w:lang w:val="en-US"/>
              </w:rPr>
              <w:t xml:space="preserve"> (Fe)</w:t>
            </w:r>
          </w:p>
        </w:tc>
        <w:tc>
          <w:tcPr>
            <w:tcW w:w="2522" w:type="dxa"/>
            <w:tcBorders>
              <w:top w:val="nil"/>
              <w:left w:val="nil"/>
              <w:bottom w:val="nil"/>
              <w:right w:val="nil"/>
            </w:tcBorders>
          </w:tcPr>
          <w:p w14:paraId="3E8FEA05" w14:textId="44BADEF6"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18.36 ± 1.29</w:t>
            </w:r>
            <w:r w:rsidRPr="00BC5F1D">
              <w:rPr>
                <w:rFonts w:ascii="Arial" w:eastAsia="Calibri" w:hAnsi="Arial" w:cs="Arial"/>
                <w:sz w:val="20"/>
                <w:szCs w:val="20"/>
                <w:vertAlign w:val="superscript"/>
                <w:lang w:val="en-US"/>
              </w:rPr>
              <w:t>c</w:t>
            </w:r>
            <w:r w:rsidRPr="00BC5F1D">
              <w:rPr>
                <w:rFonts w:ascii="Arial" w:eastAsia="Calibri" w:hAnsi="Arial" w:cs="Arial"/>
                <w:sz w:val="20"/>
                <w:szCs w:val="20"/>
                <w:lang w:val="en-US"/>
              </w:rPr>
              <w:t xml:space="preserve"> </w:t>
            </w:r>
          </w:p>
        </w:tc>
        <w:tc>
          <w:tcPr>
            <w:tcW w:w="2410" w:type="dxa"/>
            <w:tcBorders>
              <w:top w:val="nil"/>
              <w:left w:val="nil"/>
              <w:bottom w:val="nil"/>
              <w:right w:val="nil"/>
            </w:tcBorders>
          </w:tcPr>
          <w:p w14:paraId="3211A0C0" w14:textId="6E93EADB"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14.05 ± 0.14</w:t>
            </w:r>
            <w:r w:rsidRPr="00BC5F1D">
              <w:rPr>
                <w:rFonts w:ascii="Arial" w:eastAsia="Calibri" w:hAnsi="Arial" w:cs="Arial"/>
                <w:sz w:val="20"/>
                <w:szCs w:val="20"/>
                <w:vertAlign w:val="superscript"/>
                <w:lang w:val="en-US"/>
              </w:rPr>
              <w:t>b</w:t>
            </w:r>
          </w:p>
        </w:tc>
        <w:tc>
          <w:tcPr>
            <w:tcW w:w="1842" w:type="dxa"/>
            <w:tcBorders>
              <w:top w:val="nil"/>
              <w:left w:val="nil"/>
              <w:bottom w:val="nil"/>
            </w:tcBorders>
          </w:tcPr>
          <w:p w14:paraId="6950C4E8" w14:textId="3FE2DC15"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 xml:space="preserve">9.82 </w:t>
            </w:r>
            <w:r w:rsidRPr="00BC5F1D">
              <w:rPr>
                <w:rFonts w:ascii="Arial" w:eastAsia="Calibri" w:hAnsi="Arial" w:cs="Arial"/>
                <w:bCs/>
                <w:sz w:val="20"/>
                <w:szCs w:val="20"/>
                <w:lang w:val="en-US"/>
              </w:rPr>
              <w:t>± 0</w:t>
            </w:r>
            <w:r w:rsidRPr="00BC5F1D">
              <w:rPr>
                <w:rFonts w:ascii="Arial" w:eastAsia="Calibri" w:hAnsi="Arial" w:cs="Arial"/>
                <w:sz w:val="20"/>
                <w:szCs w:val="20"/>
                <w:lang w:val="en-US"/>
              </w:rPr>
              <w:t>.50</w:t>
            </w:r>
            <w:r w:rsidRPr="00BC5F1D">
              <w:rPr>
                <w:rFonts w:ascii="Arial" w:eastAsia="Calibri" w:hAnsi="Arial" w:cs="Arial"/>
                <w:sz w:val="20"/>
                <w:szCs w:val="20"/>
                <w:vertAlign w:val="superscript"/>
                <w:lang w:val="en-US"/>
              </w:rPr>
              <w:t>a</w:t>
            </w:r>
            <w:r w:rsidRPr="00BC5F1D">
              <w:rPr>
                <w:rFonts w:ascii="Arial" w:eastAsia="Calibri" w:hAnsi="Arial" w:cs="Arial"/>
                <w:sz w:val="20"/>
                <w:szCs w:val="20"/>
                <w:lang w:val="en-US"/>
              </w:rPr>
              <w:t xml:space="preserve"> </w:t>
            </w:r>
          </w:p>
        </w:tc>
      </w:tr>
      <w:tr w:rsidR="00513380" w:rsidRPr="00BC5F1D" w14:paraId="620E2FF2" w14:textId="77777777" w:rsidTr="00B6650A">
        <w:trPr>
          <w:trHeight w:val="226"/>
        </w:trPr>
        <w:tc>
          <w:tcPr>
            <w:tcW w:w="9072" w:type="dxa"/>
            <w:gridSpan w:val="4"/>
            <w:tcBorders>
              <w:top w:val="nil"/>
              <w:bottom w:val="single" w:sz="4" w:space="0" w:color="auto"/>
            </w:tcBorders>
          </w:tcPr>
          <w:p w14:paraId="1DDDD3AC" w14:textId="62D2F801" w:rsidR="00513380" w:rsidRPr="00BC5F1D" w:rsidRDefault="00513380" w:rsidP="00513380">
            <w:pPr>
              <w:spacing w:before="120" w:after="100" w:afterAutospacing="1" w:line="360" w:lineRule="auto"/>
              <w:rPr>
                <w:rFonts w:ascii="Arial" w:eastAsia="Calibri" w:hAnsi="Arial" w:cs="Arial"/>
                <w:b/>
                <w:bCs/>
                <w:color w:val="FF0000"/>
                <w:sz w:val="20"/>
                <w:szCs w:val="20"/>
                <w:lang w:val="en-US"/>
              </w:rPr>
            </w:pPr>
            <w:r w:rsidRPr="00BC5F1D">
              <w:rPr>
                <w:rFonts w:ascii="Arial" w:eastAsia="Calibri" w:hAnsi="Arial" w:cs="Arial"/>
                <w:b/>
                <w:bCs/>
                <w:color w:val="000000" w:themeColor="text1"/>
                <w:sz w:val="20"/>
                <w:szCs w:val="20"/>
                <w:lang w:val="en-US"/>
              </w:rPr>
              <w:t xml:space="preserve">Macro element </w:t>
            </w:r>
          </w:p>
        </w:tc>
      </w:tr>
      <w:tr w:rsidR="00513380" w:rsidRPr="00BC5F1D" w14:paraId="71BD6608" w14:textId="77777777" w:rsidTr="00B6650A">
        <w:trPr>
          <w:trHeight w:val="515"/>
        </w:trPr>
        <w:tc>
          <w:tcPr>
            <w:tcW w:w="2298" w:type="dxa"/>
            <w:tcBorders>
              <w:top w:val="single" w:sz="4" w:space="0" w:color="auto"/>
              <w:bottom w:val="nil"/>
              <w:right w:val="nil"/>
            </w:tcBorders>
          </w:tcPr>
          <w:p w14:paraId="5552352C" w14:textId="10746CCC"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Phosphor</w:t>
            </w:r>
            <w:r w:rsidR="006762F8" w:rsidRPr="00BC5F1D">
              <w:rPr>
                <w:rFonts w:ascii="Arial" w:eastAsia="Calibri" w:hAnsi="Arial" w:cs="Arial"/>
                <w:color w:val="000000" w:themeColor="text1"/>
                <w:sz w:val="20"/>
                <w:szCs w:val="20"/>
                <w:lang w:val="en-US"/>
              </w:rPr>
              <w:t>us</w:t>
            </w:r>
            <w:r w:rsidRPr="00BC5F1D">
              <w:rPr>
                <w:rFonts w:ascii="Arial" w:eastAsia="Calibri" w:hAnsi="Arial" w:cs="Arial"/>
                <w:color w:val="000000" w:themeColor="text1"/>
                <w:sz w:val="20"/>
                <w:szCs w:val="20"/>
                <w:lang w:val="en-US"/>
              </w:rPr>
              <w:t xml:space="preserve"> (P) </w:t>
            </w:r>
          </w:p>
        </w:tc>
        <w:tc>
          <w:tcPr>
            <w:tcW w:w="2522" w:type="dxa"/>
            <w:tcBorders>
              <w:top w:val="single" w:sz="4" w:space="0" w:color="auto"/>
              <w:left w:val="nil"/>
              <w:bottom w:val="nil"/>
              <w:right w:val="nil"/>
            </w:tcBorders>
          </w:tcPr>
          <w:p w14:paraId="4DCEC628" w14:textId="5044D885" w:rsidR="00513380" w:rsidRPr="00BC5F1D" w:rsidRDefault="00B50A52"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bCs/>
                <w:color w:val="000000" w:themeColor="text1"/>
                <w:sz w:val="20"/>
                <w:szCs w:val="20"/>
                <w:lang w:val="en-US"/>
              </w:rPr>
              <w:t xml:space="preserve">121.85 </w:t>
            </w:r>
            <w:r w:rsidR="00513380" w:rsidRPr="00BC5F1D">
              <w:rPr>
                <w:rFonts w:ascii="Arial" w:eastAsia="Calibri" w:hAnsi="Arial" w:cs="Arial"/>
                <w:bCs/>
                <w:color w:val="000000" w:themeColor="text1"/>
                <w:sz w:val="20"/>
                <w:szCs w:val="20"/>
                <w:lang w:val="en-US"/>
              </w:rPr>
              <w:t xml:space="preserve">± </w:t>
            </w:r>
            <w:r w:rsidRPr="00BC5F1D">
              <w:rPr>
                <w:rFonts w:ascii="Arial" w:eastAsia="Calibri" w:hAnsi="Arial" w:cs="Arial"/>
                <w:bCs/>
                <w:color w:val="000000" w:themeColor="text1"/>
                <w:sz w:val="20"/>
                <w:szCs w:val="20"/>
                <w:lang w:val="en-US"/>
              </w:rPr>
              <w:t>1.12</w:t>
            </w:r>
            <w:r w:rsidR="00513380" w:rsidRPr="00BC5F1D">
              <w:rPr>
                <w:rFonts w:ascii="Arial" w:eastAsia="Calibri" w:hAnsi="Arial" w:cs="Arial"/>
                <w:bCs/>
                <w:color w:val="000000" w:themeColor="text1"/>
                <w:sz w:val="20"/>
                <w:szCs w:val="20"/>
                <w:vertAlign w:val="superscript"/>
                <w:lang w:val="en-US"/>
              </w:rPr>
              <w:t>b</w:t>
            </w:r>
            <w:r w:rsidR="00513380" w:rsidRPr="00BC5F1D">
              <w:rPr>
                <w:rFonts w:ascii="Arial" w:eastAsia="Calibri" w:hAnsi="Arial" w:cs="Arial"/>
                <w:bCs/>
                <w:color w:val="000000" w:themeColor="text1"/>
                <w:sz w:val="20"/>
                <w:szCs w:val="20"/>
                <w:lang w:val="en-US"/>
              </w:rPr>
              <w:t xml:space="preserve"> </w:t>
            </w:r>
          </w:p>
        </w:tc>
        <w:tc>
          <w:tcPr>
            <w:tcW w:w="2410" w:type="dxa"/>
            <w:tcBorders>
              <w:top w:val="single" w:sz="4" w:space="0" w:color="auto"/>
              <w:left w:val="nil"/>
              <w:bottom w:val="nil"/>
              <w:right w:val="nil"/>
            </w:tcBorders>
          </w:tcPr>
          <w:p w14:paraId="1094B8F6" w14:textId="7BFFFF32"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34</w:t>
            </w:r>
            <w:r w:rsidR="00B50A52" w:rsidRPr="00BC5F1D">
              <w:rPr>
                <w:rFonts w:ascii="Arial" w:eastAsia="Calibri" w:hAnsi="Arial" w:cs="Arial"/>
                <w:color w:val="000000" w:themeColor="text1"/>
                <w:sz w:val="20"/>
                <w:szCs w:val="20"/>
                <w:lang w:val="en-US"/>
              </w:rPr>
              <w:t>0.00</w:t>
            </w:r>
            <w:r w:rsidRPr="00BC5F1D">
              <w:rPr>
                <w:rFonts w:ascii="Arial" w:eastAsia="Calibri" w:hAnsi="Arial" w:cs="Arial"/>
                <w:color w:val="000000" w:themeColor="text1"/>
                <w:sz w:val="20"/>
                <w:szCs w:val="20"/>
                <w:lang w:val="en-US"/>
              </w:rPr>
              <w:t xml:space="preserve"> ± </w:t>
            </w:r>
            <w:r w:rsidR="00B50A52" w:rsidRPr="00BC5F1D">
              <w:rPr>
                <w:rFonts w:ascii="Arial" w:eastAsia="Calibri" w:hAnsi="Arial" w:cs="Arial"/>
                <w:color w:val="000000" w:themeColor="text1"/>
                <w:sz w:val="20"/>
                <w:szCs w:val="20"/>
                <w:lang w:val="en-US"/>
              </w:rPr>
              <w:t>2</w:t>
            </w:r>
            <w:r w:rsidRPr="00BC5F1D">
              <w:rPr>
                <w:rFonts w:ascii="Arial" w:eastAsia="Calibri" w:hAnsi="Arial" w:cs="Arial"/>
                <w:color w:val="000000" w:themeColor="text1"/>
                <w:sz w:val="20"/>
                <w:szCs w:val="20"/>
                <w:lang w:val="en-US"/>
              </w:rPr>
              <w:t>.</w:t>
            </w:r>
            <w:r w:rsidR="00B50A52" w:rsidRPr="00BC5F1D">
              <w:rPr>
                <w:rFonts w:ascii="Arial" w:eastAsia="Calibri" w:hAnsi="Arial" w:cs="Arial"/>
                <w:color w:val="000000" w:themeColor="text1"/>
                <w:sz w:val="20"/>
                <w:szCs w:val="20"/>
                <w:lang w:val="en-US"/>
              </w:rPr>
              <w:t>1</w:t>
            </w:r>
            <w:r w:rsidRPr="00BC5F1D">
              <w:rPr>
                <w:rFonts w:ascii="Arial" w:eastAsia="Calibri" w:hAnsi="Arial" w:cs="Arial"/>
                <w:color w:val="000000" w:themeColor="text1"/>
                <w:sz w:val="20"/>
                <w:szCs w:val="20"/>
                <w:lang w:val="en-US"/>
              </w:rPr>
              <w:t>0</w:t>
            </w:r>
            <w:r w:rsidRPr="00BC5F1D">
              <w:rPr>
                <w:rFonts w:ascii="Arial" w:eastAsia="Calibri" w:hAnsi="Arial" w:cs="Arial"/>
                <w:color w:val="000000" w:themeColor="text1"/>
                <w:sz w:val="20"/>
                <w:szCs w:val="20"/>
                <w:vertAlign w:val="superscript"/>
                <w:lang w:val="en-US"/>
              </w:rPr>
              <w:t>c</w:t>
            </w:r>
            <w:r w:rsidRPr="00BC5F1D">
              <w:rPr>
                <w:rFonts w:ascii="Arial" w:eastAsia="Calibri" w:hAnsi="Arial" w:cs="Arial"/>
                <w:color w:val="000000" w:themeColor="text1"/>
                <w:sz w:val="20"/>
                <w:szCs w:val="20"/>
                <w:lang w:val="en-US"/>
              </w:rPr>
              <w:t xml:space="preserve"> </w:t>
            </w:r>
          </w:p>
        </w:tc>
        <w:tc>
          <w:tcPr>
            <w:tcW w:w="1842" w:type="dxa"/>
            <w:tcBorders>
              <w:top w:val="single" w:sz="4" w:space="0" w:color="auto"/>
              <w:left w:val="nil"/>
              <w:bottom w:val="nil"/>
            </w:tcBorders>
          </w:tcPr>
          <w:p w14:paraId="34887355" w14:textId="4D3248BF"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9</w:t>
            </w:r>
            <w:r w:rsidR="00B50A52" w:rsidRPr="00BC5F1D">
              <w:rPr>
                <w:rFonts w:ascii="Arial" w:eastAsia="Calibri" w:hAnsi="Arial" w:cs="Arial"/>
                <w:color w:val="000000" w:themeColor="text1"/>
                <w:sz w:val="20"/>
                <w:szCs w:val="20"/>
                <w:lang w:val="en-US"/>
              </w:rPr>
              <w:t>6.60</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0.</w:t>
            </w:r>
            <w:r w:rsidR="00B50A52" w:rsidRPr="00BC5F1D">
              <w:rPr>
                <w:rFonts w:ascii="Arial" w:eastAsia="Calibri" w:hAnsi="Arial" w:cs="Arial"/>
                <w:bCs/>
                <w:color w:val="000000" w:themeColor="text1"/>
                <w:sz w:val="20"/>
                <w:szCs w:val="20"/>
                <w:lang w:val="en-US"/>
              </w:rPr>
              <w:t>98</w:t>
            </w:r>
            <w:r w:rsidRPr="00BC5F1D">
              <w:rPr>
                <w:rFonts w:ascii="Arial" w:eastAsia="Calibri" w:hAnsi="Arial" w:cs="Arial"/>
                <w:bCs/>
                <w:color w:val="000000" w:themeColor="text1"/>
                <w:sz w:val="20"/>
                <w:szCs w:val="20"/>
                <w:vertAlign w:val="superscript"/>
                <w:lang w:val="en-US"/>
              </w:rPr>
              <w:t>a</w:t>
            </w:r>
            <w:r w:rsidRPr="00BC5F1D">
              <w:rPr>
                <w:rFonts w:ascii="Arial" w:eastAsia="Calibri" w:hAnsi="Arial" w:cs="Arial"/>
                <w:bCs/>
                <w:color w:val="000000" w:themeColor="text1"/>
                <w:sz w:val="20"/>
                <w:szCs w:val="20"/>
                <w:lang w:val="en-US"/>
              </w:rPr>
              <w:t xml:space="preserve"> </w:t>
            </w:r>
          </w:p>
        </w:tc>
      </w:tr>
      <w:tr w:rsidR="00513380" w:rsidRPr="00BC5F1D" w14:paraId="0D322B2B" w14:textId="77777777" w:rsidTr="00B6650A">
        <w:trPr>
          <w:trHeight w:val="515"/>
        </w:trPr>
        <w:tc>
          <w:tcPr>
            <w:tcW w:w="2298" w:type="dxa"/>
            <w:tcBorders>
              <w:top w:val="nil"/>
              <w:bottom w:val="nil"/>
              <w:right w:val="nil"/>
            </w:tcBorders>
          </w:tcPr>
          <w:p w14:paraId="0A003F2A" w14:textId="77777777"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 xml:space="preserve">Potassium (K) </w:t>
            </w:r>
          </w:p>
        </w:tc>
        <w:tc>
          <w:tcPr>
            <w:tcW w:w="2522" w:type="dxa"/>
            <w:tcBorders>
              <w:top w:val="nil"/>
              <w:left w:val="nil"/>
              <w:bottom w:val="nil"/>
              <w:right w:val="nil"/>
            </w:tcBorders>
          </w:tcPr>
          <w:p w14:paraId="4683E448" w14:textId="5F0F46D4" w:rsidR="00513380" w:rsidRPr="00BC5F1D" w:rsidRDefault="001E33F3"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928.26</w:t>
            </w:r>
            <w:r w:rsidR="00513380" w:rsidRPr="00BC5F1D">
              <w:rPr>
                <w:rFonts w:ascii="Arial" w:eastAsia="Calibri" w:hAnsi="Arial" w:cs="Arial"/>
                <w:color w:val="000000" w:themeColor="text1"/>
                <w:sz w:val="20"/>
                <w:szCs w:val="20"/>
                <w:lang w:val="en-US"/>
              </w:rPr>
              <w:t xml:space="preserve"> </w:t>
            </w:r>
            <w:r w:rsidR="00513380" w:rsidRPr="00BC5F1D">
              <w:rPr>
                <w:rFonts w:ascii="Arial" w:eastAsia="Calibri" w:hAnsi="Arial" w:cs="Arial"/>
                <w:bCs/>
                <w:color w:val="000000" w:themeColor="text1"/>
                <w:sz w:val="20"/>
                <w:szCs w:val="20"/>
                <w:lang w:val="en-US"/>
              </w:rPr>
              <w:t>± 2</w:t>
            </w:r>
            <w:r w:rsidRPr="00BC5F1D">
              <w:rPr>
                <w:rFonts w:ascii="Arial" w:eastAsia="Calibri" w:hAnsi="Arial" w:cs="Arial"/>
                <w:bCs/>
                <w:color w:val="000000" w:themeColor="text1"/>
                <w:sz w:val="20"/>
                <w:szCs w:val="20"/>
                <w:lang w:val="en-US"/>
              </w:rPr>
              <w:t>.89</w:t>
            </w:r>
            <w:r w:rsidR="00513380" w:rsidRPr="00BC5F1D">
              <w:rPr>
                <w:rFonts w:ascii="Arial" w:eastAsia="Calibri" w:hAnsi="Arial" w:cs="Arial"/>
                <w:bCs/>
                <w:color w:val="000000" w:themeColor="text1"/>
                <w:sz w:val="20"/>
                <w:szCs w:val="20"/>
                <w:vertAlign w:val="superscript"/>
                <w:lang w:val="en-US"/>
              </w:rPr>
              <w:t>a</w:t>
            </w:r>
            <w:r w:rsidR="00513380" w:rsidRPr="00BC5F1D">
              <w:rPr>
                <w:rFonts w:ascii="Arial" w:eastAsia="Calibri" w:hAnsi="Arial" w:cs="Arial"/>
                <w:bCs/>
                <w:color w:val="000000" w:themeColor="text1"/>
                <w:sz w:val="20"/>
                <w:szCs w:val="20"/>
                <w:lang w:val="en-US"/>
              </w:rPr>
              <w:t xml:space="preserve"> </w:t>
            </w:r>
          </w:p>
        </w:tc>
        <w:tc>
          <w:tcPr>
            <w:tcW w:w="2410" w:type="dxa"/>
            <w:tcBorders>
              <w:top w:val="nil"/>
              <w:left w:val="nil"/>
              <w:bottom w:val="nil"/>
              <w:right w:val="nil"/>
            </w:tcBorders>
          </w:tcPr>
          <w:p w14:paraId="4CD97692" w14:textId="42137550"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19</w:t>
            </w:r>
            <w:r w:rsidR="001E33F3" w:rsidRPr="00BC5F1D">
              <w:rPr>
                <w:rFonts w:ascii="Arial" w:eastAsia="Calibri" w:hAnsi="Arial" w:cs="Arial"/>
                <w:color w:val="000000" w:themeColor="text1"/>
                <w:sz w:val="20"/>
                <w:szCs w:val="20"/>
                <w:lang w:val="en-US"/>
              </w:rPr>
              <w:t>57.41</w:t>
            </w:r>
            <w:r w:rsidRPr="00BC5F1D">
              <w:rPr>
                <w:rFonts w:ascii="Arial" w:eastAsia="Calibri" w:hAnsi="Arial" w:cs="Arial"/>
                <w:color w:val="000000" w:themeColor="text1"/>
                <w:sz w:val="20"/>
                <w:szCs w:val="20"/>
                <w:lang w:val="en-US"/>
              </w:rPr>
              <w:t xml:space="preserve"> ± </w:t>
            </w:r>
            <w:r w:rsidR="001E33F3" w:rsidRPr="00BC5F1D">
              <w:rPr>
                <w:rFonts w:ascii="Arial" w:eastAsia="Calibri" w:hAnsi="Arial" w:cs="Arial"/>
                <w:color w:val="000000" w:themeColor="text1"/>
                <w:sz w:val="20"/>
                <w:szCs w:val="20"/>
                <w:lang w:val="en-US"/>
              </w:rPr>
              <w:t>3</w:t>
            </w:r>
            <w:r w:rsidRPr="00BC5F1D">
              <w:rPr>
                <w:rFonts w:ascii="Arial" w:eastAsia="Calibri" w:hAnsi="Arial" w:cs="Arial"/>
                <w:color w:val="000000" w:themeColor="text1"/>
                <w:sz w:val="20"/>
                <w:szCs w:val="20"/>
                <w:lang w:val="en-US"/>
              </w:rPr>
              <w:t>.</w:t>
            </w:r>
            <w:r w:rsidR="001E33F3" w:rsidRPr="00BC5F1D">
              <w:rPr>
                <w:rFonts w:ascii="Arial" w:eastAsia="Calibri" w:hAnsi="Arial" w:cs="Arial"/>
                <w:color w:val="000000" w:themeColor="text1"/>
                <w:sz w:val="20"/>
                <w:szCs w:val="20"/>
                <w:lang w:val="en-US"/>
              </w:rPr>
              <w:t>89</w:t>
            </w:r>
            <w:r w:rsidR="001E33F3" w:rsidRPr="00BC5F1D">
              <w:rPr>
                <w:rFonts w:ascii="Arial" w:eastAsia="Calibri" w:hAnsi="Arial" w:cs="Arial"/>
                <w:color w:val="000000" w:themeColor="text1"/>
                <w:sz w:val="20"/>
                <w:szCs w:val="20"/>
                <w:vertAlign w:val="superscript"/>
                <w:lang w:val="en-US"/>
              </w:rPr>
              <w:t>c</w:t>
            </w:r>
            <w:r w:rsidRPr="00BC5F1D">
              <w:rPr>
                <w:rFonts w:ascii="Arial" w:eastAsia="Calibri" w:hAnsi="Arial" w:cs="Arial"/>
                <w:color w:val="000000" w:themeColor="text1"/>
                <w:sz w:val="20"/>
                <w:szCs w:val="20"/>
                <w:lang w:val="en-US"/>
              </w:rPr>
              <w:t xml:space="preserve"> </w:t>
            </w:r>
          </w:p>
        </w:tc>
        <w:tc>
          <w:tcPr>
            <w:tcW w:w="1842" w:type="dxa"/>
            <w:tcBorders>
              <w:top w:val="nil"/>
              <w:left w:val="nil"/>
              <w:bottom w:val="nil"/>
            </w:tcBorders>
          </w:tcPr>
          <w:p w14:paraId="4DA6A5C4" w14:textId="560CC81F" w:rsidR="00513380" w:rsidRPr="00BC5F1D" w:rsidRDefault="001E33F3"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967.50</w:t>
            </w:r>
            <w:r w:rsidR="00513380" w:rsidRPr="00BC5F1D">
              <w:rPr>
                <w:rFonts w:ascii="Arial" w:eastAsia="Calibri" w:hAnsi="Arial" w:cs="Arial"/>
                <w:color w:val="000000" w:themeColor="text1"/>
                <w:sz w:val="20"/>
                <w:szCs w:val="20"/>
                <w:lang w:val="en-US"/>
              </w:rPr>
              <w:t xml:space="preserve"> </w:t>
            </w:r>
            <w:r w:rsidR="00513380" w:rsidRPr="00BC5F1D">
              <w:rPr>
                <w:rFonts w:ascii="Arial" w:eastAsia="Calibri" w:hAnsi="Arial" w:cs="Arial"/>
                <w:bCs/>
                <w:color w:val="000000" w:themeColor="text1"/>
                <w:sz w:val="20"/>
                <w:szCs w:val="20"/>
                <w:lang w:val="en-US"/>
              </w:rPr>
              <w:t>± 3</w:t>
            </w:r>
            <w:r w:rsidRPr="00BC5F1D">
              <w:rPr>
                <w:rFonts w:ascii="Arial" w:eastAsia="Calibri" w:hAnsi="Arial" w:cs="Arial"/>
                <w:bCs/>
                <w:color w:val="000000" w:themeColor="text1"/>
                <w:sz w:val="20"/>
                <w:szCs w:val="20"/>
                <w:lang w:val="en-US"/>
              </w:rPr>
              <w:t>.98</w:t>
            </w:r>
            <w:r w:rsidRPr="00BC5F1D">
              <w:rPr>
                <w:rFonts w:ascii="Arial" w:eastAsia="Calibri" w:hAnsi="Arial" w:cs="Arial"/>
                <w:bCs/>
                <w:color w:val="000000" w:themeColor="text1"/>
                <w:sz w:val="20"/>
                <w:szCs w:val="20"/>
                <w:vertAlign w:val="superscript"/>
                <w:lang w:val="en-US"/>
              </w:rPr>
              <w:t>b</w:t>
            </w:r>
            <w:r w:rsidR="00513380" w:rsidRPr="00BC5F1D">
              <w:rPr>
                <w:rFonts w:ascii="Arial" w:eastAsia="Calibri" w:hAnsi="Arial" w:cs="Arial"/>
                <w:bCs/>
                <w:color w:val="000000" w:themeColor="text1"/>
                <w:sz w:val="20"/>
                <w:szCs w:val="20"/>
                <w:lang w:val="en-US"/>
              </w:rPr>
              <w:t xml:space="preserve"> </w:t>
            </w:r>
          </w:p>
        </w:tc>
      </w:tr>
      <w:tr w:rsidR="00772E0A" w:rsidRPr="00BC5F1D" w14:paraId="507EDBA3" w14:textId="77777777" w:rsidTr="00B6650A">
        <w:trPr>
          <w:trHeight w:val="515"/>
        </w:trPr>
        <w:tc>
          <w:tcPr>
            <w:tcW w:w="2298" w:type="dxa"/>
            <w:tcBorders>
              <w:top w:val="nil"/>
              <w:bottom w:val="nil"/>
              <w:right w:val="nil"/>
            </w:tcBorders>
          </w:tcPr>
          <w:p w14:paraId="33D46974" w14:textId="0789210D" w:rsidR="00772E0A" w:rsidRPr="00BC5F1D" w:rsidRDefault="00772E0A"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Magnesium (Mg)</w:t>
            </w:r>
          </w:p>
        </w:tc>
        <w:tc>
          <w:tcPr>
            <w:tcW w:w="2522" w:type="dxa"/>
            <w:tcBorders>
              <w:top w:val="nil"/>
              <w:left w:val="nil"/>
              <w:bottom w:val="nil"/>
              <w:right w:val="nil"/>
            </w:tcBorders>
          </w:tcPr>
          <w:p w14:paraId="76DE6818" w14:textId="0E17DDD2" w:rsidR="00772E0A" w:rsidRPr="00BC5F1D" w:rsidRDefault="00772E0A" w:rsidP="00513380">
            <w:pPr>
              <w:spacing w:before="120" w:after="100" w:afterAutospacing="1" w:line="360" w:lineRule="auto"/>
              <w:rPr>
                <w:rFonts w:ascii="Arial" w:eastAsia="Calibri" w:hAnsi="Arial" w:cs="Arial"/>
                <w:color w:val="000000" w:themeColor="text1"/>
                <w:sz w:val="20"/>
                <w:szCs w:val="20"/>
                <w:vertAlign w:val="superscript"/>
                <w:lang w:val="en-US"/>
              </w:rPr>
            </w:pPr>
            <w:r w:rsidRPr="00BC5F1D">
              <w:rPr>
                <w:rFonts w:ascii="Arial" w:eastAsia="Calibri" w:hAnsi="Arial" w:cs="Arial"/>
                <w:color w:val="000000" w:themeColor="text1"/>
                <w:sz w:val="20"/>
                <w:szCs w:val="20"/>
                <w:lang w:val="en-US"/>
              </w:rPr>
              <w:t xml:space="preserve">63.18 </w:t>
            </w:r>
            <w:r w:rsidRPr="00BC5F1D">
              <w:rPr>
                <w:rFonts w:ascii="Arial" w:eastAsia="Calibri" w:hAnsi="Arial" w:cs="Arial"/>
                <w:bCs/>
                <w:color w:val="000000" w:themeColor="text1"/>
                <w:sz w:val="20"/>
                <w:szCs w:val="20"/>
                <w:lang w:val="en-US"/>
              </w:rPr>
              <w:t>±</w:t>
            </w:r>
            <w:r w:rsidR="001E33F3" w:rsidRPr="00BC5F1D">
              <w:rPr>
                <w:rFonts w:ascii="Arial" w:eastAsia="Calibri" w:hAnsi="Arial" w:cs="Arial"/>
                <w:bCs/>
                <w:color w:val="000000" w:themeColor="text1"/>
                <w:sz w:val="20"/>
                <w:szCs w:val="20"/>
                <w:lang w:val="en-US"/>
              </w:rPr>
              <w:t xml:space="preserve"> 0.45</w:t>
            </w:r>
            <w:r w:rsidR="001E33F3" w:rsidRPr="00BC5F1D">
              <w:rPr>
                <w:rFonts w:ascii="Arial" w:eastAsia="Calibri" w:hAnsi="Arial" w:cs="Arial"/>
                <w:bCs/>
                <w:color w:val="000000" w:themeColor="text1"/>
                <w:sz w:val="20"/>
                <w:szCs w:val="20"/>
                <w:vertAlign w:val="superscript"/>
                <w:lang w:val="en-US"/>
              </w:rPr>
              <w:t>b</w:t>
            </w:r>
          </w:p>
        </w:tc>
        <w:tc>
          <w:tcPr>
            <w:tcW w:w="2410" w:type="dxa"/>
            <w:tcBorders>
              <w:top w:val="nil"/>
              <w:left w:val="nil"/>
              <w:bottom w:val="nil"/>
              <w:right w:val="nil"/>
            </w:tcBorders>
          </w:tcPr>
          <w:p w14:paraId="4D4C6292" w14:textId="44A577D6" w:rsidR="00772E0A" w:rsidRPr="00BC5F1D" w:rsidRDefault="00772E0A"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580.00 ±</w:t>
            </w:r>
            <w:r w:rsidR="001E33F3" w:rsidRPr="00BC5F1D">
              <w:rPr>
                <w:rFonts w:ascii="Arial" w:eastAsia="Calibri" w:hAnsi="Arial" w:cs="Arial"/>
                <w:color w:val="000000" w:themeColor="text1"/>
                <w:sz w:val="20"/>
                <w:szCs w:val="20"/>
                <w:lang w:val="en-US"/>
              </w:rPr>
              <w:t xml:space="preserve"> 1.45</w:t>
            </w:r>
            <w:r w:rsidR="001E33F3" w:rsidRPr="00BC5F1D">
              <w:rPr>
                <w:rFonts w:ascii="Arial" w:eastAsia="Calibri" w:hAnsi="Arial" w:cs="Arial"/>
                <w:color w:val="000000" w:themeColor="text1"/>
                <w:sz w:val="20"/>
                <w:szCs w:val="20"/>
                <w:vertAlign w:val="superscript"/>
                <w:lang w:val="en-US"/>
              </w:rPr>
              <w:t>c</w:t>
            </w:r>
          </w:p>
        </w:tc>
        <w:tc>
          <w:tcPr>
            <w:tcW w:w="1842" w:type="dxa"/>
            <w:tcBorders>
              <w:top w:val="nil"/>
              <w:left w:val="nil"/>
              <w:bottom w:val="nil"/>
            </w:tcBorders>
          </w:tcPr>
          <w:p w14:paraId="066E4CA4" w14:textId="4346CC49" w:rsidR="00772E0A" w:rsidRPr="00BC5F1D" w:rsidRDefault="00772E0A"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 xml:space="preserve">58.32 </w:t>
            </w:r>
            <w:r w:rsidRPr="00BC5F1D">
              <w:rPr>
                <w:rFonts w:ascii="Arial" w:eastAsia="Calibri" w:hAnsi="Arial" w:cs="Arial"/>
                <w:bCs/>
                <w:color w:val="000000" w:themeColor="text1"/>
                <w:sz w:val="20"/>
                <w:szCs w:val="20"/>
                <w:lang w:val="en-US"/>
              </w:rPr>
              <w:t xml:space="preserve">± </w:t>
            </w:r>
            <w:r w:rsidR="001E33F3" w:rsidRPr="00BC5F1D">
              <w:rPr>
                <w:rFonts w:ascii="Arial" w:eastAsia="Calibri" w:hAnsi="Arial" w:cs="Arial"/>
                <w:bCs/>
                <w:color w:val="000000" w:themeColor="text1"/>
                <w:sz w:val="20"/>
                <w:szCs w:val="20"/>
                <w:lang w:val="en-US"/>
              </w:rPr>
              <w:t>0.49</w:t>
            </w:r>
            <w:r w:rsidR="001E33F3" w:rsidRPr="00BC5F1D">
              <w:rPr>
                <w:rFonts w:ascii="Arial" w:eastAsia="Calibri" w:hAnsi="Arial" w:cs="Arial"/>
                <w:bCs/>
                <w:color w:val="000000" w:themeColor="text1"/>
                <w:sz w:val="20"/>
                <w:szCs w:val="20"/>
                <w:vertAlign w:val="superscript"/>
                <w:lang w:val="en-US"/>
              </w:rPr>
              <w:t>a</w:t>
            </w:r>
          </w:p>
        </w:tc>
      </w:tr>
      <w:bookmarkEnd w:id="1"/>
      <w:tr w:rsidR="00513380" w:rsidRPr="00BC5F1D" w14:paraId="0824E0CA" w14:textId="77777777" w:rsidTr="00B6650A">
        <w:trPr>
          <w:trHeight w:val="515"/>
        </w:trPr>
        <w:tc>
          <w:tcPr>
            <w:tcW w:w="2298" w:type="dxa"/>
            <w:tcBorders>
              <w:top w:val="nil"/>
              <w:bottom w:val="nil"/>
              <w:right w:val="nil"/>
            </w:tcBorders>
          </w:tcPr>
          <w:p w14:paraId="58AED7BA" w14:textId="77777777"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 xml:space="preserve">Calcium (Ca) </w:t>
            </w:r>
          </w:p>
        </w:tc>
        <w:tc>
          <w:tcPr>
            <w:tcW w:w="2522" w:type="dxa"/>
            <w:tcBorders>
              <w:top w:val="nil"/>
              <w:left w:val="nil"/>
              <w:bottom w:val="nil"/>
              <w:right w:val="nil"/>
            </w:tcBorders>
          </w:tcPr>
          <w:p w14:paraId="4696E2DF" w14:textId="1AA534BB"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2</w:t>
            </w:r>
            <w:r w:rsidR="001E33F3" w:rsidRPr="00BC5F1D">
              <w:rPr>
                <w:rFonts w:ascii="Arial" w:eastAsia="Calibri" w:hAnsi="Arial" w:cs="Arial"/>
                <w:color w:val="000000" w:themeColor="text1"/>
                <w:sz w:val="20"/>
                <w:szCs w:val="20"/>
                <w:lang w:val="en-US"/>
              </w:rPr>
              <w:t>088</w:t>
            </w:r>
            <w:r w:rsidRPr="00BC5F1D">
              <w:rPr>
                <w:rFonts w:ascii="Arial" w:eastAsia="Calibri" w:hAnsi="Arial" w:cs="Arial"/>
                <w:color w:val="000000" w:themeColor="text1"/>
                <w:sz w:val="20"/>
                <w:szCs w:val="20"/>
                <w:lang w:val="en-US"/>
              </w:rPr>
              <w:t>.0</w:t>
            </w:r>
            <w:r w:rsidR="001E33F3" w:rsidRPr="00BC5F1D">
              <w:rPr>
                <w:rFonts w:ascii="Arial" w:eastAsia="Calibri" w:hAnsi="Arial" w:cs="Arial"/>
                <w:color w:val="000000" w:themeColor="text1"/>
                <w:sz w:val="20"/>
                <w:szCs w:val="20"/>
                <w:lang w:val="en-US"/>
              </w:rPr>
              <w:t>0</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3</w:t>
            </w:r>
            <w:r w:rsidR="001E33F3" w:rsidRPr="00BC5F1D">
              <w:rPr>
                <w:rFonts w:ascii="Arial" w:eastAsia="Calibri" w:hAnsi="Arial" w:cs="Arial"/>
                <w:bCs/>
                <w:color w:val="000000" w:themeColor="text1"/>
                <w:sz w:val="20"/>
                <w:szCs w:val="20"/>
                <w:lang w:val="en-US"/>
              </w:rPr>
              <w:t>.97</w:t>
            </w:r>
            <w:r w:rsidR="0044590D" w:rsidRPr="00BC5F1D">
              <w:rPr>
                <w:rFonts w:ascii="Arial" w:eastAsia="Calibri" w:hAnsi="Arial" w:cs="Arial"/>
                <w:bCs/>
                <w:color w:val="000000" w:themeColor="text1"/>
                <w:sz w:val="20"/>
                <w:szCs w:val="20"/>
                <w:vertAlign w:val="superscript"/>
                <w:lang w:val="en-US"/>
              </w:rPr>
              <w:t>b</w:t>
            </w:r>
            <w:r w:rsidRPr="00BC5F1D">
              <w:rPr>
                <w:rFonts w:ascii="Arial" w:eastAsia="Calibri" w:hAnsi="Arial" w:cs="Arial"/>
                <w:bCs/>
                <w:color w:val="000000" w:themeColor="text1"/>
                <w:sz w:val="20"/>
                <w:szCs w:val="20"/>
                <w:lang w:val="en-US"/>
              </w:rPr>
              <w:t xml:space="preserve"> </w:t>
            </w:r>
          </w:p>
        </w:tc>
        <w:tc>
          <w:tcPr>
            <w:tcW w:w="2410" w:type="dxa"/>
            <w:tcBorders>
              <w:top w:val="nil"/>
              <w:left w:val="nil"/>
              <w:bottom w:val="nil"/>
              <w:right w:val="nil"/>
            </w:tcBorders>
          </w:tcPr>
          <w:p w14:paraId="258A58DC" w14:textId="34326E69"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2</w:t>
            </w:r>
            <w:r w:rsidR="001E33F3" w:rsidRPr="00BC5F1D">
              <w:rPr>
                <w:rFonts w:ascii="Arial" w:eastAsia="Calibri" w:hAnsi="Arial" w:cs="Arial"/>
                <w:color w:val="000000" w:themeColor="text1"/>
                <w:sz w:val="20"/>
                <w:szCs w:val="20"/>
                <w:lang w:val="en-US"/>
              </w:rPr>
              <w:t>200</w:t>
            </w:r>
            <w:r w:rsidRPr="00BC5F1D">
              <w:rPr>
                <w:rFonts w:ascii="Arial" w:eastAsia="Calibri" w:hAnsi="Arial" w:cs="Arial"/>
                <w:color w:val="000000" w:themeColor="text1"/>
                <w:sz w:val="20"/>
                <w:szCs w:val="20"/>
                <w:lang w:val="en-US"/>
              </w:rPr>
              <w:t xml:space="preserve">.00 ± </w:t>
            </w:r>
            <w:r w:rsidR="001E33F3" w:rsidRPr="00BC5F1D">
              <w:rPr>
                <w:rFonts w:ascii="Arial" w:eastAsia="Calibri" w:hAnsi="Arial" w:cs="Arial"/>
                <w:color w:val="000000" w:themeColor="text1"/>
                <w:sz w:val="20"/>
                <w:szCs w:val="20"/>
                <w:lang w:val="en-US"/>
              </w:rPr>
              <w:t>4</w:t>
            </w:r>
            <w:r w:rsidRPr="00BC5F1D">
              <w:rPr>
                <w:rFonts w:ascii="Arial" w:eastAsia="Calibri" w:hAnsi="Arial" w:cs="Arial"/>
                <w:color w:val="000000" w:themeColor="text1"/>
                <w:sz w:val="20"/>
                <w:szCs w:val="20"/>
                <w:lang w:val="en-US"/>
              </w:rPr>
              <w:t>.00</w:t>
            </w:r>
            <w:r w:rsidR="0044590D" w:rsidRPr="00BC5F1D">
              <w:rPr>
                <w:rFonts w:ascii="Arial" w:eastAsia="Calibri" w:hAnsi="Arial" w:cs="Arial"/>
                <w:color w:val="000000" w:themeColor="text1"/>
                <w:sz w:val="20"/>
                <w:szCs w:val="20"/>
                <w:vertAlign w:val="superscript"/>
                <w:lang w:val="en-US"/>
              </w:rPr>
              <w:t>c</w:t>
            </w:r>
            <w:r w:rsidRPr="00BC5F1D">
              <w:rPr>
                <w:rFonts w:ascii="Arial" w:eastAsia="Calibri" w:hAnsi="Arial" w:cs="Arial"/>
                <w:color w:val="000000" w:themeColor="text1"/>
                <w:sz w:val="20"/>
                <w:szCs w:val="20"/>
                <w:lang w:val="en-US"/>
              </w:rPr>
              <w:t xml:space="preserve"> </w:t>
            </w:r>
          </w:p>
        </w:tc>
        <w:tc>
          <w:tcPr>
            <w:tcW w:w="1842" w:type="dxa"/>
            <w:tcBorders>
              <w:top w:val="nil"/>
              <w:left w:val="nil"/>
              <w:bottom w:val="nil"/>
            </w:tcBorders>
          </w:tcPr>
          <w:p w14:paraId="477FAD37" w14:textId="5D95FA2C"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3</w:t>
            </w:r>
            <w:r w:rsidR="001E33F3" w:rsidRPr="00BC5F1D">
              <w:rPr>
                <w:rFonts w:ascii="Arial" w:eastAsia="Calibri" w:hAnsi="Arial" w:cs="Arial"/>
                <w:color w:val="000000" w:themeColor="text1"/>
                <w:sz w:val="20"/>
                <w:szCs w:val="20"/>
                <w:lang w:val="en-US"/>
              </w:rPr>
              <w:t>36.00</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xml:space="preserve">± </w:t>
            </w:r>
            <w:r w:rsidR="001E33F3" w:rsidRPr="00BC5F1D">
              <w:rPr>
                <w:rFonts w:ascii="Arial" w:eastAsia="Calibri" w:hAnsi="Arial" w:cs="Arial"/>
                <w:bCs/>
                <w:color w:val="000000" w:themeColor="text1"/>
                <w:sz w:val="20"/>
                <w:szCs w:val="20"/>
                <w:lang w:val="en-US"/>
              </w:rPr>
              <w:t>2</w:t>
            </w:r>
            <w:r w:rsidRPr="00BC5F1D">
              <w:rPr>
                <w:rFonts w:ascii="Arial" w:eastAsia="Calibri" w:hAnsi="Arial" w:cs="Arial"/>
                <w:bCs/>
                <w:color w:val="000000" w:themeColor="text1"/>
                <w:sz w:val="20"/>
                <w:szCs w:val="20"/>
                <w:lang w:val="en-US"/>
              </w:rPr>
              <w:t>.00</w:t>
            </w:r>
            <w:r w:rsidRPr="00BC5F1D">
              <w:rPr>
                <w:rFonts w:ascii="Arial" w:eastAsia="Calibri" w:hAnsi="Arial" w:cs="Arial"/>
                <w:bCs/>
                <w:color w:val="000000" w:themeColor="text1"/>
                <w:sz w:val="20"/>
                <w:szCs w:val="20"/>
                <w:vertAlign w:val="superscript"/>
                <w:lang w:val="en-US"/>
              </w:rPr>
              <w:t>a</w:t>
            </w:r>
            <w:r w:rsidRPr="00BC5F1D">
              <w:rPr>
                <w:rFonts w:ascii="Arial" w:eastAsia="Calibri" w:hAnsi="Arial" w:cs="Arial"/>
                <w:bCs/>
                <w:color w:val="000000" w:themeColor="text1"/>
                <w:sz w:val="20"/>
                <w:szCs w:val="20"/>
                <w:lang w:val="en-US"/>
              </w:rPr>
              <w:t xml:space="preserve"> </w:t>
            </w:r>
          </w:p>
        </w:tc>
      </w:tr>
      <w:tr w:rsidR="00513380" w:rsidRPr="00BC5F1D" w14:paraId="03A93185" w14:textId="77777777" w:rsidTr="00B6650A">
        <w:trPr>
          <w:trHeight w:val="515"/>
        </w:trPr>
        <w:tc>
          <w:tcPr>
            <w:tcW w:w="2298" w:type="dxa"/>
            <w:tcBorders>
              <w:top w:val="nil"/>
              <w:bottom w:val="single" w:sz="4" w:space="0" w:color="auto"/>
              <w:right w:val="nil"/>
            </w:tcBorders>
          </w:tcPr>
          <w:p w14:paraId="09D055A4" w14:textId="77777777"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 xml:space="preserve">Sodium (Na)  </w:t>
            </w:r>
          </w:p>
        </w:tc>
        <w:tc>
          <w:tcPr>
            <w:tcW w:w="2522" w:type="dxa"/>
            <w:tcBorders>
              <w:top w:val="nil"/>
              <w:left w:val="nil"/>
              <w:bottom w:val="single" w:sz="4" w:space="0" w:color="auto"/>
              <w:right w:val="nil"/>
            </w:tcBorders>
          </w:tcPr>
          <w:p w14:paraId="18722728" w14:textId="012FEE0F"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8</w:t>
            </w:r>
            <w:r w:rsidR="00B34F2D" w:rsidRPr="00BC5F1D">
              <w:rPr>
                <w:rFonts w:ascii="Arial" w:eastAsia="Calibri" w:hAnsi="Arial" w:cs="Arial"/>
                <w:color w:val="000000" w:themeColor="text1"/>
                <w:sz w:val="20"/>
                <w:szCs w:val="20"/>
                <w:lang w:val="en-US"/>
              </w:rPr>
              <w:t>6.56</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0.</w:t>
            </w:r>
            <w:r w:rsidR="00B34F2D" w:rsidRPr="00BC5F1D">
              <w:rPr>
                <w:rFonts w:ascii="Arial" w:eastAsia="Calibri" w:hAnsi="Arial" w:cs="Arial"/>
                <w:bCs/>
                <w:color w:val="000000" w:themeColor="text1"/>
                <w:sz w:val="20"/>
                <w:szCs w:val="20"/>
                <w:lang w:val="en-US"/>
              </w:rPr>
              <w:t>78</w:t>
            </w:r>
            <w:r w:rsidRPr="00BC5F1D">
              <w:rPr>
                <w:rFonts w:ascii="Arial" w:eastAsia="Calibri" w:hAnsi="Arial" w:cs="Arial"/>
                <w:bCs/>
                <w:color w:val="000000" w:themeColor="text1"/>
                <w:sz w:val="20"/>
                <w:szCs w:val="20"/>
                <w:vertAlign w:val="superscript"/>
                <w:lang w:val="en-US"/>
              </w:rPr>
              <w:t>a</w:t>
            </w:r>
            <w:r w:rsidRPr="00BC5F1D">
              <w:rPr>
                <w:rFonts w:ascii="Arial" w:eastAsia="Calibri" w:hAnsi="Arial" w:cs="Arial"/>
                <w:bCs/>
                <w:color w:val="000000" w:themeColor="text1"/>
                <w:sz w:val="20"/>
                <w:szCs w:val="20"/>
                <w:lang w:val="en-US"/>
              </w:rPr>
              <w:t xml:space="preserve"> </w:t>
            </w:r>
          </w:p>
        </w:tc>
        <w:tc>
          <w:tcPr>
            <w:tcW w:w="2410" w:type="dxa"/>
            <w:tcBorders>
              <w:top w:val="nil"/>
              <w:left w:val="nil"/>
              <w:bottom w:val="single" w:sz="4" w:space="0" w:color="auto"/>
              <w:right w:val="nil"/>
            </w:tcBorders>
          </w:tcPr>
          <w:p w14:paraId="6E54F44F" w14:textId="08F39CCA"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19</w:t>
            </w:r>
            <w:r w:rsidR="00B34F2D" w:rsidRPr="00BC5F1D">
              <w:rPr>
                <w:rFonts w:ascii="Arial" w:eastAsia="Calibri" w:hAnsi="Arial" w:cs="Arial"/>
                <w:color w:val="000000" w:themeColor="text1"/>
                <w:sz w:val="20"/>
                <w:szCs w:val="20"/>
                <w:lang w:val="en-US"/>
              </w:rPr>
              <w:t>5.27</w:t>
            </w:r>
            <w:r w:rsidRPr="00BC5F1D">
              <w:rPr>
                <w:rFonts w:ascii="Arial" w:eastAsia="Calibri" w:hAnsi="Arial" w:cs="Arial"/>
                <w:color w:val="000000" w:themeColor="text1"/>
                <w:sz w:val="20"/>
                <w:szCs w:val="20"/>
                <w:lang w:val="en-US"/>
              </w:rPr>
              <w:t xml:space="preserve"> ± </w:t>
            </w:r>
            <w:r w:rsidR="00B34F2D" w:rsidRPr="00BC5F1D">
              <w:rPr>
                <w:rFonts w:ascii="Arial" w:eastAsia="Calibri" w:hAnsi="Arial" w:cs="Arial"/>
                <w:color w:val="000000" w:themeColor="text1"/>
                <w:sz w:val="20"/>
                <w:szCs w:val="20"/>
                <w:lang w:val="en-US"/>
              </w:rPr>
              <w:t>1</w:t>
            </w:r>
            <w:r w:rsidRPr="00BC5F1D">
              <w:rPr>
                <w:rFonts w:ascii="Arial" w:eastAsia="Calibri" w:hAnsi="Arial" w:cs="Arial"/>
                <w:color w:val="000000" w:themeColor="text1"/>
                <w:sz w:val="20"/>
                <w:szCs w:val="20"/>
                <w:lang w:val="en-US"/>
              </w:rPr>
              <w:t>.00</w:t>
            </w:r>
            <w:r w:rsidRPr="00BC5F1D">
              <w:rPr>
                <w:rFonts w:ascii="Arial" w:eastAsia="Calibri" w:hAnsi="Arial" w:cs="Arial"/>
                <w:color w:val="000000" w:themeColor="text1"/>
                <w:sz w:val="20"/>
                <w:szCs w:val="20"/>
                <w:vertAlign w:val="superscript"/>
                <w:lang w:val="en-US"/>
              </w:rPr>
              <w:t>c</w:t>
            </w:r>
            <w:r w:rsidRPr="00BC5F1D">
              <w:rPr>
                <w:rFonts w:ascii="Arial" w:eastAsia="Calibri" w:hAnsi="Arial" w:cs="Arial"/>
                <w:color w:val="000000" w:themeColor="text1"/>
                <w:sz w:val="20"/>
                <w:szCs w:val="20"/>
                <w:lang w:val="en-US"/>
              </w:rPr>
              <w:t xml:space="preserve"> </w:t>
            </w:r>
          </w:p>
        </w:tc>
        <w:tc>
          <w:tcPr>
            <w:tcW w:w="1842" w:type="dxa"/>
            <w:tcBorders>
              <w:top w:val="nil"/>
              <w:left w:val="nil"/>
              <w:bottom w:val="single" w:sz="4" w:space="0" w:color="auto"/>
            </w:tcBorders>
          </w:tcPr>
          <w:p w14:paraId="4C2D5F2D" w14:textId="4D386787"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10</w:t>
            </w:r>
            <w:r w:rsidR="00B34F2D" w:rsidRPr="00BC5F1D">
              <w:rPr>
                <w:rFonts w:ascii="Arial" w:eastAsia="Calibri" w:hAnsi="Arial" w:cs="Arial"/>
                <w:color w:val="000000" w:themeColor="text1"/>
                <w:sz w:val="20"/>
                <w:szCs w:val="20"/>
                <w:lang w:val="en-US"/>
              </w:rPr>
              <w:t>1.74</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xml:space="preserve">± </w:t>
            </w:r>
            <w:r w:rsidR="00B34F2D" w:rsidRPr="00BC5F1D">
              <w:rPr>
                <w:rFonts w:ascii="Arial" w:eastAsia="Calibri" w:hAnsi="Arial" w:cs="Arial"/>
                <w:bCs/>
                <w:color w:val="000000" w:themeColor="text1"/>
                <w:sz w:val="20"/>
                <w:szCs w:val="20"/>
                <w:lang w:val="en-US"/>
              </w:rPr>
              <w:t>1</w:t>
            </w:r>
            <w:r w:rsidRPr="00BC5F1D">
              <w:rPr>
                <w:rFonts w:ascii="Arial" w:eastAsia="Calibri" w:hAnsi="Arial" w:cs="Arial"/>
                <w:bCs/>
                <w:color w:val="000000" w:themeColor="text1"/>
                <w:sz w:val="20"/>
                <w:szCs w:val="20"/>
                <w:lang w:val="en-US"/>
              </w:rPr>
              <w:t>.0</w:t>
            </w:r>
            <w:r w:rsidR="00B34F2D" w:rsidRPr="00BC5F1D">
              <w:rPr>
                <w:rFonts w:ascii="Arial" w:eastAsia="Calibri" w:hAnsi="Arial" w:cs="Arial"/>
                <w:bCs/>
                <w:color w:val="000000" w:themeColor="text1"/>
                <w:sz w:val="20"/>
                <w:szCs w:val="20"/>
                <w:lang w:val="en-US"/>
              </w:rPr>
              <w:t>5</w:t>
            </w:r>
            <w:r w:rsidRPr="00BC5F1D">
              <w:rPr>
                <w:rFonts w:ascii="Arial" w:eastAsia="Calibri" w:hAnsi="Arial" w:cs="Arial"/>
                <w:bCs/>
                <w:color w:val="000000" w:themeColor="text1"/>
                <w:sz w:val="20"/>
                <w:szCs w:val="20"/>
                <w:vertAlign w:val="superscript"/>
                <w:lang w:val="en-US"/>
              </w:rPr>
              <w:t>b</w:t>
            </w:r>
            <w:r w:rsidRPr="00BC5F1D">
              <w:rPr>
                <w:rFonts w:ascii="Arial" w:eastAsia="Calibri" w:hAnsi="Arial" w:cs="Arial"/>
                <w:bCs/>
                <w:color w:val="000000" w:themeColor="text1"/>
                <w:sz w:val="20"/>
                <w:szCs w:val="20"/>
                <w:lang w:val="en-US"/>
              </w:rPr>
              <w:t xml:space="preserve"> </w:t>
            </w:r>
          </w:p>
        </w:tc>
      </w:tr>
      <w:tr w:rsidR="00513380" w:rsidRPr="00854A90" w14:paraId="257498FB" w14:textId="77777777" w:rsidTr="00B6650A">
        <w:trPr>
          <w:trHeight w:val="485"/>
        </w:trPr>
        <w:tc>
          <w:tcPr>
            <w:tcW w:w="9072" w:type="dxa"/>
            <w:gridSpan w:val="4"/>
            <w:tcBorders>
              <w:top w:val="single" w:sz="4" w:space="0" w:color="auto"/>
              <w:bottom w:val="nil"/>
            </w:tcBorders>
          </w:tcPr>
          <w:p w14:paraId="0CDD6B93" w14:textId="7E60F4F3" w:rsidR="00513380" w:rsidRPr="00BC5F1D" w:rsidRDefault="00424CF2" w:rsidP="00424CF2">
            <w:pPr>
              <w:spacing w:line="276" w:lineRule="auto"/>
              <w:jc w:val="both"/>
              <w:rPr>
                <w:rFonts w:ascii="Arial" w:hAnsi="Arial" w:cs="Arial"/>
                <w:color w:val="000000" w:themeColor="text1"/>
                <w:sz w:val="20"/>
                <w:szCs w:val="20"/>
                <w:lang w:val="en-US"/>
              </w:rPr>
            </w:pPr>
            <w:r w:rsidRPr="00BC5F1D">
              <w:rPr>
                <w:rFonts w:ascii="Arial" w:eastAsia="Calibri" w:hAnsi="Arial" w:cs="Arial"/>
                <w:color w:val="000000" w:themeColor="text1"/>
                <w:sz w:val="20"/>
                <w:szCs w:val="20"/>
                <w:lang w:val="en-US"/>
              </w:rPr>
              <w:t>Mn ± Sd: Mean ± Standard deviation, t</w:t>
            </w:r>
            <w:r w:rsidRPr="00BC5F1D">
              <w:rPr>
                <w:rFonts w:ascii="Arial" w:hAnsi="Arial" w:cs="Arial"/>
                <w:color w:val="000000" w:themeColor="text1"/>
                <w:sz w:val="20"/>
                <w:szCs w:val="20"/>
                <w:lang w:val="en-US"/>
              </w:rPr>
              <w:t>he affected means of different lowercase letters in superscript and on line show a significant difference at the probability threshold P ≤ 0.05</w:t>
            </w:r>
          </w:p>
        </w:tc>
      </w:tr>
    </w:tbl>
    <w:bookmarkEnd w:id="2"/>
    <w:p w14:paraId="20926A58" w14:textId="4143E9A0" w:rsidR="00441D88" w:rsidRPr="0073701E" w:rsidRDefault="006C647B" w:rsidP="0073701E">
      <w:pPr>
        <w:pStyle w:val="ListParagraph"/>
        <w:numPr>
          <w:ilvl w:val="1"/>
          <w:numId w:val="1"/>
        </w:numPr>
        <w:tabs>
          <w:tab w:val="left" w:pos="567"/>
        </w:tabs>
        <w:spacing w:before="240" w:line="360" w:lineRule="auto"/>
        <w:jc w:val="both"/>
        <w:rPr>
          <w:rFonts w:ascii="Arial" w:hAnsi="Arial" w:cs="Arial"/>
          <w:b/>
          <w:bCs/>
          <w:lang w:val="en-US"/>
        </w:rPr>
      </w:pPr>
      <w:r w:rsidRPr="0073701E">
        <w:rPr>
          <w:rFonts w:ascii="Arial" w:hAnsi="Arial" w:cs="Arial"/>
          <w:b/>
          <w:bCs/>
          <w:lang w:val="en-US"/>
        </w:rPr>
        <w:t xml:space="preserve"> </w:t>
      </w:r>
      <w:r w:rsidR="00073A9D" w:rsidRPr="0073701E">
        <w:rPr>
          <w:rFonts w:ascii="Arial" w:hAnsi="Arial" w:cs="Arial"/>
          <w:b/>
          <w:bCs/>
          <w:lang w:val="en-US"/>
        </w:rPr>
        <w:t xml:space="preserve">Bioactive </w:t>
      </w:r>
      <w:r w:rsidR="00691D2F" w:rsidRPr="0073701E">
        <w:rPr>
          <w:rFonts w:ascii="Arial" w:hAnsi="Arial" w:cs="Arial"/>
          <w:b/>
          <w:bCs/>
          <w:lang w:val="en-US"/>
        </w:rPr>
        <w:t>com</w:t>
      </w:r>
      <w:r w:rsidR="001B4AA3" w:rsidRPr="0073701E">
        <w:rPr>
          <w:rFonts w:ascii="Arial" w:hAnsi="Arial" w:cs="Arial"/>
          <w:b/>
          <w:bCs/>
          <w:lang w:val="en-US"/>
        </w:rPr>
        <w:t>po</w:t>
      </w:r>
      <w:r w:rsidR="0041794C" w:rsidRPr="0073701E">
        <w:rPr>
          <w:rFonts w:ascii="Arial" w:hAnsi="Arial" w:cs="Arial"/>
          <w:b/>
          <w:bCs/>
          <w:lang w:val="en-US"/>
        </w:rPr>
        <w:t>sition</w:t>
      </w:r>
      <w:r w:rsidR="00691D2F" w:rsidRPr="0073701E">
        <w:rPr>
          <w:rFonts w:ascii="Arial" w:hAnsi="Arial" w:cs="Arial"/>
          <w:b/>
          <w:bCs/>
          <w:lang w:val="en-US"/>
        </w:rPr>
        <w:t xml:space="preserve">  </w:t>
      </w:r>
    </w:p>
    <w:p w14:paraId="78BE72E9" w14:textId="181802F1" w:rsidR="006C647B" w:rsidRPr="00BC5F1D" w:rsidRDefault="006C647B" w:rsidP="006C647B">
      <w:pPr>
        <w:spacing w:line="360" w:lineRule="auto"/>
        <w:jc w:val="both"/>
        <w:rPr>
          <w:rFonts w:ascii="Arial" w:hAnsi="Arial" w:cs="Arial"/>
          <w:sz w:val="20"/>
          <w:szCs w:val="20"/>
          <w:lang w:val="en-US"/>
        </w:rPr>
      </w:pPr>
      <w:r w:rsidRPr="00BC5F1D">
        <w:rPr>
          <w:rFonts w:ascii="Arial" w:hAnsi="Arial" w:cs="Arial"/>
          <w:sz w:val="20"/>
          <w:szCs w:val="20"/>
          <w:lang w:val="en-US"/>
        </w:rPr>
        <w:t xml:space="preserve">The contents of bioactive compounds in the studied powders are presented in Table 3. They vary significantly from 0.75 ± 0.10 to 2.92 ± 0.02 µg GAE/g dry matter (DM) for total polyphenols; from 0.58 ± 0.01 to 3.05 ± 0.00 µg CE/g DM for condensed tannins; and from 0.90 ± 0.02 to 4.90 ± 0.05 µg QE/g DM for total flavonoids. However, only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exhibits the highest contents of total polyphenols (2.92 ± 0.02 µg GAE/g DM), condensed tannins (3.05 ± 0.00 µg CE/g DM), and total flavonoids (4.90 ± 0.05 µg QE/g DM). These values are higher than those reported for polyphenols (0.113 µg CE/g DM) and flavonoids (0.016 µg QE/g DM) in </w:t>
      </w:r>
      <w:r w:rsidRPr="00BC5F1D">
        <w:rPr>
          <w:rFonts w:ascii="Arial" w:hAnsi="Arial" w:cs="Arial"/>
          <w:i/>
          <w:iCs/>
          <w:sz w:val="20"/>
          <w:szCs w:val="20"/>
          <w:lang w:val="en-US"/>
        </w:rPr>
        <w:t>T. cordifolia</w:t>
      </w:r>
      <w:r w:rsidRPr="00BC5F1D">
        <w:rPr>
          <w:rFonts w:ascii="Arial" w:hAnsi="Arial" w:cs="Arial"/>
          <w:sz w:val="20"/>
          <w:szCs w:val="20"/>
          <w:lang w:val="en-US"/>
        </w:rPr>
        <w:t xml:space="preserve"> leaf powders collected in the city of Yaoundé </w:t>
      </w:r>
      <w:r w:rsidRPr="00BC5F1D">
        <w:rPr>
          <w:rFonts w:ascii="Arial" w:eastAsia="Calibri" w:hAnsi="Arial" w:cs="Arial"/>
          <w:color w:val="000000" w:themeColor="text1"/>
          <w:sz w:val="20"/>
          <w:szCs w:val="20"/>
        </w:rPr>
        <w:fldChar w:fldCharType="begin" w:fldLock="1"/>
      </w:r>
      <w:r w:rsidRPr="00BC5F1D">
        <w:rPr>
          <w:rFonts w:ascii="Arial" w:eastAsia="Calibri" w:hAnsi="Arial" w:cs="Arial"/>
          <w:color w:val="000000" w:themeColor="text1"/>
          <w:sz w:val="20"/>
          <w:szCs w:val="20"/>
          <w:lang w:val="en-US"/>
        </w:rPr>
        <w:instrText>ADDIN CSL_CITATION {"citationItems":[{"id":"ITEM-1","itemData":{"author":[{"dropping-particle":"","family":"Foumane","given":"Maniepi J","non-dropping-particle":"","parse-names":false,"suffix":""},{"dropping-particle":"V","family":"Lobé","given":"Soppo","non-dropping-particle":"","parse-names":false,"suffix":""},{"dropping-particle":"","family":"Nga","given":"Nnanga","non-dropping-particle":"","parse-names":false,"suffix":""},{"dropping-particle":"","family":"Ntsama","given":"Metogo J","non-dropping-particle":"","parse-names":false,"suffix":""},{"dropping-particle":"","family":"Mekoulou","given":"Mbenga F","non-dropping-particle":"","parse-names":false,"suffix":""},{"dropping-particle":"","family":"Ngolsou","given":"F","non-dropping-particle":"","parse-names":false,"suffix":""},{"dropping-particle":"","family":"Diboué","given":"Betoté P","non-dropping-particle":"","parse-names":false,"suffix":""},{"dropping-particle":"","family":"Obono","given":"P","non-dropping-particle":"","parse-names":false,"suffix":""},{"dropping-particle":"","family":"Ndongo","given":"M Nyangono","non-dropping-particle":"","parse-names":false,"suffix":""},{"dropping-particle":"","family":"Minkande","given":"J Ze","non-dropping-particle":"","parse-names":false,"suffix":""}],"container-title":"Health Sciences and Disease","id":"ITEM-1","issue":"2 Suppl 1","issued":{"date-parts":[["2022"]]},"page":"14-18","title":"Analyse Phytochimique des Extraits Aqueux de Sida Acuta et Triumfetta Cordifolia , Deux Plantes Utilisées pour Faciliter l ’ Accouchement en Médecine Traditionnelle au Cameroun","type":"article-journal","volume":"23"},"uris":["http://www.mendeley.com/documents/?uuid=da327f4e-3b8c-4938-9b43-c4e5cc466ae9"]}],"mendeley":{"formattedCitation":"(Foumane et al., 2022)","plainTextFormattedCitation":"(Foumane et al., 2022)","previouslyFormattedCitation":"(Foumane et al., 2022)"},"properties":{"noteIndex":0},"schema":"https://github.com/citation-style-language/schema/raw/master/csl-citation.json"}</w:instrText>
      </w:r>
      <w:r w:rsidRPr="00BC5F1D">
        <w:rPr>
          <w:rFonts w:ascii="Arial" w:eastAsia="Calibri" w:hAnsi="Arial" w:cs="Arial"/>
          <w:color w:val="000000" w:themeColor="text1"/>
          <w:sz w:val="20"/>
          <w:szCs w:val="20"/>
        </w:rPr>
        <w:fldChar w:fldCharType="separate"/>
      </w:r>
      <w:r w:rsidRPr="00BC5F1D">
        <w:rPr>
          <w:rFonts w:ascii="Arial" w:eastAsia="Calibri" w:hAnsi="Arial" w:cs="Arial"/>
          <w:noProof/>
          <w:color w:val="000000" w:themeColor="text1"/>
          <w:sz w:val="20"/>
          <w:szCs w:val="20"/>
          <w:lang w:val="en-US"/>
        </w:rPr>
        <w:t>(Foumane et al., 2022)</w:t>
      </w:r>
      <w:r w:rsidRPr="00BC5F1D">
        <w:rPr>
          <w:rFonts w:ascii="Arial" w:eastAsia="Calibri" w:hAnsi="Arial" w:cs="Arial"/>
          <w:color w:val="000000" w:themeColor="text1"/>
          <w:sz w:val="20"/>
          <w:szCs w:val="20"/>
        </w:rPr>
        <w:fldChar w:fldCharType="end"/>
      </w:r>
      <w:r w:rsidRPr="00BC5F1D">
        <w:rPr>
          <w:rFonts w:ascii="Arial" w:hAnsi="Arial" w:cs="Arial"/>
          <w:sz w:val="20"/>
          <w:szCs w:val="20"/>
          <w:lang w:val="en-US"/>
        </w:rPr>
        <w:t xml:space="preserve">. They are also greater than those reported by </w:t>
      </w:r>
      <w:r w:rsidRPr="00BC5F1D">
        <w:rPr>
          <w:rFonts w:ascii="Arial" w:eastAsia="Calibri" w:hAnsi="Arial" w:cs="Arial"/>
          <w:color w:val="000000" w:themeColor="text1"/>
          <w:sz w:val="20"/>
          <w:szCs w:val="20"/>
        </w:rPr>
        <w:fldChar w:fldCharType="begin" w:fldLock="1"/>
      </w:r>
      <w:r w:rsidR="00C265B0">
        <w:rPr>
          <w:rFonts w:ascii="Arial" w:eastAsia="Calibri" w:hAnsi="Arial" w:cs="Arial"/>
          <w:color w:val="000000" w:themeColor="text1"/>
          <w:sz w:val="20"/>
          <w:szCs w:val="20"/>
          <w:lang w:val="en-US"/>
        </w:rPr>
        <w:instrText>ADDIN CSL_CITATION {"citationItems":[{"id":"ITEM-1","itemData":{"DOI":"10.1155/2024/2680085","author":[{"dropping-particle":"","family":"Assiéné","given":"Agamou Julien Armel","non-dropping-particle":"","parse-names":false,"suffix":""},{"dropping-particle":"","family":"Djeukeu","given":"Asongni William","non-dropping-particle":"","parse-names":false,"suffix":""},{"dropping-particle":"","family":"Tizé","given":"Zra","non-dropping-particle":"","parse-names":false,"suffix":""},{"dropping-particle":"","family":"Fongnzossié","given":"Fedoung Evariste","non-dropping-particle":"","parse-names":false,"suffix":""}],"container-title":"Journal of Food Processing and Preservation","id":"ITEM-1","issued":{"date-parts":[["2024"]]},"page":"10 p","title":"Comparative Evaluation of the Bioactive Potential of a Powder and the Particle Size Fractions of Plant Organs From Dacryodes edulis , Solanum torvum , and Curcuma longa","type":"article-journal","volume":"2024"},"uris":["http://www.mendeley.com/documents/?uuid=5d9d5bae-9fda-4990-bd18-93aed325c54f"]}],"mendeley":{"formattedCitation":"(Assiéné, Djeukeu, Tizé, et al., 2024)","manualFormatting":"Assiéné, Djeukeu, Tizé, et al. (2024)","plainTextFormattedCitation":"(Assiéné, Djeukeu, Tizé, et al., 2024)","previouslyFormattedCitation":"(Assiéné, Djeukeu, Tizé, et al., 2024)"},"properties":{"noteIndex":0},"schema":"https://github.com/citation-style-language/schema/raw/master/csl-citation.json"}</w:instrText>
      </w:r>
      <w:r w:rsidRPr="00BC5F1D">
        <w:rPr>
          <w:rFonts w:ascii="Arial" w:eastAsia="Calibri" w:hAnsi="Arial" w:cs="Arial"/>
          <w:color w:val="000000" w:themeColor="text1"/>
          <w:sz w:val="20"/>
          <w:szCs w:val="20"/>
        </w:rPr>
        <w:fldChar w:fldCharType="separate"/>
      </w:r>
      <w:r w:rsidRPr="00BC5F1D">
        <w:rPr>
          <w:rFonts w:ascii="Arial" w:eastAsia="Calibri" w:hAnsi="Arial" w:cs="Arial"/>
          <w:noProof/>
          <w:color w:val="000000" w:themeColor="text1"/>
          <w:sz w:val="20"/>
          <w:szCs w:val="20"/>
          <w:lang w:val="en-US"/>
        </w:rPr>
        <w:t>Assiéné, Djeukeu, Tizé, et al.</w:t>
      </w:r>
      <w:r w:rsidR="00C265B0">
        <w:rPr>
          <w:rFonts w:ascii="Arial" w:eastAsia="Calibri" w:hAnsi="Arial" w:cs="Arial"/>
          <w:noProof/>
          <w:color w:val="000000" w:themeColor="text1"/>
          <w:sz w:val="20"/>
          <w:szCs w:val="20"/>
          <w:lang w:val="en-US"/>
        </w:rPr>
        <w:t xml:space="preserve"> (</w:t>
      </w:r>
      <w:r w:rsidRPr="00BC5F1D">
        <w:rPr>
          <w:rFonts w:ascii="Arial" w:eastAsia="Calibri" w:hAnsi="Arial" w:cs="Arial"/>
          <w:noProof/>
          <w:color w:val="000000" w:themeColor="text1"/>
          <w:sz w:val="20"/>
          <w:szCs w:val="20"/>
          <w:lang w:val="en-US"/>
        </w:rPr>
        <w:t>2024)</w:t>
      </w:r>
      <w:r w:rsidRPr="00BC5F1D">
        <w:rPr>
          <w:rFonts w:ascii="Arial" w:eastAsia="Calibri" w:hAnsi="Arial" w:cs="Arial"/>
          <w:color w:val="000000" w:themeColor="text1"/>
          <w:sz w:val="20"/>
          <w:szCs w:val="20"/>
        </w:rPr>
        <w:fldChar w:fldCharType="end"/>
      </w:r>
      <w:r w:rsidRPr="00BC5F1D">
        <w:rPr>
          <w:rFonts w:ascii="Arial" w:hAnsi="Arial" w:cs="Arial"/>
          <w:sz w:val="20"/>
          <w:szCs w:val="20"/>
          <w:lang w:val="en-US"/>
        </w:rPr>
        <w:t xml:space="preserve"> for polyphenols (0.271 µg GAE/100g DM), flavonoids (0.218 µg QE/100g DM), and tannins (0.016 µg CE/100g DM) in </w:t>
      </w:r>
      <w:proofErr w:type="spellStart"/>
      <w:r w:rsidRPr="00BC5F1D">
        <w:rPr>
          <w:rFonts w:ascii="Arial" w:hAnsi="Arial" w:cs="Arial"/>
          <w:i/>
          <w:iCs/>
          <w:sz w:val="20"/>
          <w:szCs w:val="20"/>
          <w:lang w:val="en-US"/>
        </w:rPr>
        <w:t>Dacryodes</w:t>
      </w:r>
      <w:proofErr w:type="spellEnd"/>
      <w:r w:rsidRPr="00BC5F1D">
        <w:rPr>
          <w:rFonts w:ascii="Arial" w:hAnsi="Arial" w:cs="Arial"/>
          <w:i/>
          <w:iCs/>
          <w:sz w:val="20"/>
          <w:szCs w:val="20"/>
          <w:lang w:val="en-US"/>
        </w:rPr>
        <w:t xml:space="preserve"> edulis</w:t>
      </w:r>
      <w:r w:rsidRPr="00BC5F1D">
        <w:rPr>
          <w:rFonts w:ascii="Arial" w:hAnsi="Arial" w:cs="Arial"/>
          <w:sz w:val="20"/>
          <w:szCs w:val="20"/>
          <w:lang w:val="en-US"/>
        </w:rPr>
        <w:t xml:space="preserve"> bark powders. </w:t>
      </w:r>
    </w:p>
    <w:p w14:paraId="65E0A03A" w14:textId="6E05F5A6" w:rsidR="006C647B" w:rsidRPr="00BC5F1D" w:rsidRDefault="006C647B" w:rsidP="006C647B">
      <w:pPr>
        <w:spacing w:line="360" w:lineRule="auto"/>
        <w:jc w:val="both"/>
        <w:rPr>
          <w:rFonts w:ascii="Arial" w:hAnsi="Arial" w:cs="Arial"/>
          <w:sz w:val="20"/>
          <w:szCs w:val="20"/>
          <w:lang w:val="en-US"/>
        </w:rPr>
      </w:pPr>
      <w:r w:rsidRPr="00BC5F1D">
        <w:rPr>
          <w:rFonts w:ascii="Arial" w:hAnsi="Arial" w:cs="Arial"/>
          <w:sz w:val="20"/>
          <w:szCs w:val="20"/>
          <w:lang w:val="en-US"/>
        </w:rPr>
        <w:t>The differences in the contents of bioactive compounds, which are primarily secondary metabolites, can be explained by the fact that they are synthesized by the plant in response to external stresses it encounters (temperature, human activity, rodents, etc.). Additionally, factors such as post-harvest treatments like grinding and sieving, physicochemical characteristics such as particle size and specific surface area of the granules, the extraction method of these compounds, and the type of solvent used can also account for the observed differences in the bioactive compound contents</w:t>
      </w:r>
      <w:r w:rsidRPr="00BC5F1D">
        <w:rPr>
          <w:rFonts w:ascii="Arial" w:eastAsia="Calibri" w:hAnsi="Arial" w:cs="Arial"/>
          <w:color w:val="000000" w:themeColor="text1"/>
          <w:sz w:val="20"/>
          <w:szCs w:val="20"/>
          <w:lang w:val="en-US"/>
        </w:rPr>
        <w:t xml:space="preserve"> </w:t>
      </w:r>
      <w:r w:rsidRPr="00BC5F1D">
        <w:rPr>
          <w:rFonts w:ascii="Arial" w:eastAsia="Calibri" w:hAnsi="Arial" w:cs="Arial"/>
          <w:color w:val="000000" w:themeColor="text1"/>
          <w:sz w:val="20"/>
          <w:szCs w:val="20"/>
        </w:rPr>
        <w:fldChar w:fldCharType="begin" w:fldLock="1"/>
      </w:r>
      <w:r w:rsidR="009A063C">
        <w:rPr>
          <w:rFonts w:ascii="Arial" w:eastAsia="Calibri" w:hAnsi="Arial" w:cs="Arial"/>
          <w:color w:val="000000" w:themeColor="text1"/>
          <w:sz w:val="20"/>
          <w:szCs w:val="20"/>
          <w:lang w:val="en-US"/>
        </w:rPr>
        <w:instrText>ADDIN CSL_CITATION {"citationItems":[{"id":"ITEM-1","itemData":{"ISBN":"1588299937","abstract":"Annotation Plant Secondary Metabolites provides reliable assays to meet the challenge of fulfilling the huge demand for feed. It details plant-animal interactions and presents methodologies that may also be used to determine plant secondary metabolites in human food. In addition, the volume contains methods for analysis of some important plant secondary metabolites, which are written in a recipe-like format designed for direct practical use. Trypsin inhibitor -- Chymotrypsin inhibitor -- [alpha]-Amylase inhibitor -- Phytohemagglutin/lectin -- Phytic acid -- Oxalic acid -- Nitrate and nitrite -- L-mimosine ([beta]-(3hydroxy-4-pyridone-1-yl)- L-alanine) -- Canavanine -- L-DOPA (L-3, 4-dihydroxyphenylalanine) -- Glucosinolates -- Cyanogenic glucosides/cyanogens -- Tannins -- Gossypol -- Chlorogenic acid -- Saponins -- Phorbol esters -- Alkaloids.","author":[{"dropping-particle":"","family":"Makkar","given":"Harinder P. S.","non-dropping-particle":"","parse-names":false,"suffix":""},{"dropping-particle":"","family":"Siddhuraju","given":"P.","non-dropping-particle":"","parse-names":false,"suffix":""},{"dropping-particle":"","family":"Becker","given":"Klaus.","non-dropping-particle":"","parse-names":false,"suffix":""}],"id":"ITEM-1","issued":{"date-parts":[["2007"]]},"number-of-pages":"130","publisher":"Humana Press Inc., Totowa, New Jersey 07512","publisher-place":"Totowa, New Jersey 07512","title":"Plant secondary metabolites","type":"book"},"uris":["http://www.mendeley.com/documents/?uuid=ba2188ec-2aa6-3854-b5d2-942a114c7dc8"]}],"mendeley":{"formattedCitation":"(Makkar et al., 2007)","plainTextFormattedCitation":"(Makkar et al., 2007)","previouslyFormattedCitation":"(Makkar et al., 2007)"},"properties":{"noteIndex":0},"schema":"https://github.com/citation-style-language/schema/raw/master/csl-citation.json"}</w:instrText>
      </w:r>
      <w:r w:rsidRPr="00BC5F1D">
        <w:rPr>
          <w:rFonts w:ascii="Arial" w:eastAsia="Calibri" w:hAnsi="Arial" w:cs="Arial"/>
          <w:color w:val="000000" w:themeColor="text1"/>
          <w:sz w:val="20"/>
          <w:szCs w:val="20"/>
        </w:rPr>
        <w:fldChar w:fldCharType="separate"/>
      </w:r>
      <w:r w:rsidRPr="00BC5F1D">
        <w:rPr>
          <w:rFonts w:ascii="Arial" w:eastAsia="Calibri" w:hAnsi="Arial" w:cs="Arial"/>
          <w:noProof/>
          <w:color w:val="000000" w:themeColor="text1"/>
          <w:sz w:val="20"/>
          <w:szCs w:val="20"/>
          <w:lang w:val="en-US"/>
        </w:rPr>
        <w:t>(Makkar et al., 2007)</w:t>
      </w:r>
      <w:r w:rsidRPr="00BC5F1D">
        <w:rPr>
          <w:rFonts w:ascii="Arial" w:eastAsia="Calibri" w:hAnsi="Arial" w:cs="Arial"/>
          <w:color w:val="000000" w:themeColor="text1"/>
          <w:sz w:val="20"/>
          <w:szCs w:val="20"/>
        </w:rPr>
        <w:fldChar w:fldCharType="end"/>
      </w:r>
      <w:r w:rsidRPr="00BC5F1D">
        <w:rPr>
          <w:rFonts w:ascii="Arial" w:eastAsia="Calibri" w:hAnsi="Arial" w:cs="Arial"/>
          <w:color w:val="FF0000"/>
          <w:sz w:val="20"/>
          <w:szCs w:val="20"/>
          <w:lang w:val="en-US"/>
        </w:rPr>
        <w:t xml:space="preserve">. </w:t>
      </w:r>
      <w:r w:rsidRPr="00BC5F1D">
        <w:rPr>
          <w:rFonts w:ascii="Arial" w:hAnsi="Arial" w:cs="Arial"/>
          <w:sz w:val="20"/>
          <w:szCs w:val="20"/>
          <w:lang w:val="en-US"/>
        </w:rPr>
        <w:lastRenderedPageBreak/>
        <w:t>In light of these results, the powders from these three plant matrices exhibit immense bioactive potential that could be utilized in the fight against diabetes.</w:t>
      </w:r>
    </w:p>
    <w:p w14:paraId="3A2BC9B8" w14:textId="1961756C" w:rsidR="00073A9D" w:rsidRPr="00BC5F1D" w:rsidRDefault="00073A9D" w:rsidP="00073A9D">
      <w:pPr>
        <w:spacing w:line="360" w:lineRule="auto"/>
        <w:jc w:val="both"/>
        <w:rPr>
          <w:rFonts w:ascii="Arial" w:eastAsia="Calibri" w:hAnsi="Arial" w:cs="Arial"/>
          <w:i/>
          <w:iCs/>
          <w:sz w:val="20"/>
          <w:szCs w:val="20"/>
          <w:lang w:val="en-US"/>
        </w:rPr>
      </w:pPr>
      <w:bookmarkStart w:id="5" w:name="_Hlk189434390"/>
      <w:r w:rsidRPr="00BC5F1D">
        <w:rPr>
          <w:rFonts w:ascii="Arial" w:eastAsia="Calibri" w:hAnsi="Arial" w:cs="Arial"/>
          <w:b/>
          <w:sz w:val="20"/>
          <w:szCs w:val="20"/>
          <w:lang w:val="en-US"/>
        </w:rPr>
        <w:t xml:space="preserve">Table </w:t>
      </w:r>
      <w:r w:rsidR="00504BF3" w:rsidRPr="00BC5F1D">
        <w:rPr>
          <w:rFonts w:ascii="Arial" w:eastAsia="Calibri" w:hAnsi="Arial" w:cs="Arial"/>
          <w:b/>
          <w:sz w:val="20"/>
          <w:szCs w:val="20"/>
          <w:lang w:val="en-US"/>
        </w:rPr>
        <w:t>3</w:t>
      </w:r>
      <w:r w:rsidR="00504BF3" w:rsidRPr="00BC5F1D">
        <w:rPr>
          <w:rFonts w:ascii="Arial" w:eastAsia="Calibri" w:hAnsi="Arial" w:cs="Arial"/>
          <w:sz w:val="20"/>
          <w:szCs w:val="20"/>
          <w:lang w:val="en-US"/>
        </w:rPr>
        <w:t>:</w:t>
      </w:r>
      <w:r w:rsidRPr="00BC5F1D">
        <w:rPr>
          <w:rFonts w:ascii="Arial" w:eastAsia="Calibri" w:hAnsi="Arial" w:cs="Arial"/>
          <w:sz w:val="20"/>
          <w:szCs w:val="20"/>
          <w:lang w:val="en-US"/>
        </w:rPr>
        <w:t xml:space="preserve"> Bioactive compounds </w:t>
      </w:r>
      <w:r w:rsidR="000452B1" w:rsidRPr="00BC5F1D">
        <w:rPr>
          <w:rFonts w:ascii="Arial" w:eastAsia="Calibri" w:hAnsi="Arial" w:cs="Arial"/>
          <w:sz w:val="20"/>
          <w:szCs w:val="20"/>
          <w:lang w:val="en-US"/>
        </w:rPr>
        <w:t>of</w:t>
      </w:r>
      <w:r w:rsidRPr="00BC5F1D">
        <w:rPr>
          <w:rFonts w:ascii="Arial" w:eastAsia="Calibri" w:hAnsi="Arial" w:cs="Arial"/>
          <w:sz w:val="20"/>
          <w:szCs w:val="20"/>
          <w:lang w:val="en-US"/>
        </w:rPr>
        <w:t xml:space="preserve"> powdered lea</w:t>
      </w:r>
      <w:r w:rsidR="000D5819" w:rsidRPr="00BC5F1D">
        <w:rPr>
          <w:rFonts w:ascii="Arial" w:eastAsia="Calibri" w:hAnsi="Arial" w:cs="Arial"/>
          <w:sz w:val="20"/>
          <w:szCs w:val="20"/>
          <w:lang w:val="en-US"/>
        </w:rPr>
        <w:t>ves</w:t>
      </w:r>
      <w:r w:rsidR="001228A1" w:rsidRPr="00BC5F1D">
        <w:rPr>
          <w:rFonts w:ascii="Arial" w:eastAsia="Calibri" w:hAnsi="Arial" w:cs="Arial"/>
          <w:sz w:val="20"/>
          <w:szCs w:val="20"/>
          <w:lang w:val="en-US"/>
        </w:rPr>
        <w:t xml:space="preserve"> </w:t>
      </w:r>
      <w:r w:rsidRPr="00BC5F1D">
        <w:rPr>
          <w:rFonts w:ascii="Arial" w:eastAsia="Calibri" w:hAnsi="Arial" w:cs="Arial"/>
          <w:sz w:val="20"/>
          <w:szCs w:val="20"/>
          <w:lang w:val="en-US"/>
        </w:rPr>
        <w:t xml:space="preserve">of </w:t>
      </w:r>
      <w:r w:rsidRPr="00BC5F1D">
        <w:rPr>
          <w:rFonts w:ascii="Arial" w:eastAsia="Calibri" w:hAnsi="Arial" w:cs="Arial"/>
          <w:i/>
          <w:iCs/>
          <w:sz w:val="20"/>
          <w:szCs w:val="20"/>
          <w:lang w:val="en-US"/>
        </w:rPr>
        <w:t>A</w:t>
      </w:r>
      <w:r w:rsidR="000F57C0">
        <w:rPr>
          <w:rFonts w:ascii="Arial" w:eastAsia="Calibri" w:hAnsi="Arial" w:cs="Arial"/>
          <w:i/>
          <w:iCs/>
          <w:sz w:val="20"/>
          <w:szCs w:val="20"/>
          <w:lang w:val="en-US"/>
        </w:rPr>
        <w:t>.</w:t>
      </w:r>
      <w:r w:rsidRPr="00BC5F1D">
        <w:rPr>
          <w:rFonts w:ascii="Arial" w:eastAsia="Calibri" w:hAnsi="Arial" w:cs="Arial"/>
          <w:i/>
          <w:iCs/>
          <w:sz w:val="20"/>
          <w:szCs w:val="20"/>
          <w:lang w:val="en-US"/>
        </w:rPr>
        <w:t xml:space="preserve"> digitata, C</w:t>
      </w:r>
      <w:r w:rsidR="000F57C0">
        <w:rPr>
          <w:rFonts w:ascii="Arial" w:eastAsia="Calibri" w:hAnsi="Arial" w:cs="Arial"/>
          <w:i/>
          <w:iCs/>
          <w:sz w:val="20"/>
          <w:szCs w:val="20"/>
          <w:lang w:val="en-US"/>
        </w:rPr>
        <w:t>.</w:t>
      </w:r>
      <w:r w:rsidRPr="00BC5F1D">
        <w:rPr>
          <w:rFonts w:ascii="Arial" w:eastAsia="Calibri" w:hAnsi="Arial" w:cs="Arial"/>
          <w:i/>
          <w:iCs/>
          <w:sz w:val="20"/>
          <w:szCs w:val="20"/>
          <w:lang w:val="en-US"/>
        </w:rPr>
        <w:t xml:space="preserve"> olitorius </w:t>
      </w:r>
      <w:r w:rsidRPr="00BC5F1D">
        <w:rPr>
          <w:rFonts w:ascii="Arial" w:eastAsia="Calibri" w:hAnsi="Arial" w:cs="Arial"/>
          <w:sz w:val="20"/>
          <w:szCs w:val="20"/>
          <w:lang w:val="en-US"/>
        </w:rPr>
        <w:t xml:space="preserve">and bark of </w:t>
      </w:r>
      <w:r w:rsidR="00481778" w:rsidRPr="00BC5F1D">
        <w:rPr>
          <w:rFonts w:ascii="Arial" w:hAnsi="Arial" w:cs="Arial"/>
          <w:i/>
          <w:iCs/>
          <w:sz w:val="20"/>
          <w:szCs w:val="20"/>
          <w:lang w:val="en-US"/>
        </w:rPr>
        <w:t>T</w:t>
      </w:r>
      <w:r w:rsidR="000F57C0">
        <w:rPr>
          <w:rFonts w:ascii="Arial" w:hAnsi="Arial" w:cs="Arial"/>
          <w:i/>
          <w:iCs/>
          <w:sz w:val="20"/>
          <w:szCs w:val="20"/>
          <w:lang w:val="en-US"/>
        </w:rPr>
        <w:t>.</w:t>
      </w:r>
      <w:r w:rsidR="00481778" w:rsidRPr="00BC5F1D">
        <w:rPr>
          <w:rFonts w:ascii="Arial" w:hAnsi="Arial" w:cs="Arial"/>
          <w:i/>
          <w:iCs/>
          <w:sz w:val="20"/>
          <w:szCs w:val="20"/>
          <w:lang w:val="en-US"/>
        </w:rPr>
        <w:t xml:space="preserve"> cordifolia</w:t>
      </w:r>
    </w:p>
    <w:tbl>
      <w:tblPr>
        <w:tblW w:w="9072" w:type="dxa"/>
        <w:tblLook w:val="04A0" w:firstRow="1" w:lastRow="0" w:firstColumn="1" w:lastColumn="0" w:noHBand="0" w:noVBand="1"/>
      </w:tblPr>
      <w:tblGrid>
        <w:gridCol w:w="2977"/>
        <w:gridCol w:w="1843"/>
        <w:gridCol w:w="2126"/>
        <w:gridCol w:w="2126"/>
      </w:tblGrid>
      <w:tr w:rsidR="00073A9D" w:rsidRPr="00BC5F1D" w14:paraId="2DCD3F0F" w14:textId="77777777" w:rsidTr="00025C75">
        <w:trPr>
          <w:trHeight w:val="497"/>
        </w:trPr>
        <w:tc>
          <w:tcPr>
            <w:tcW w:w="2977" w:type="dxa"/>
            <w:tcBorders>
              <w:top w:val="single" w:sz="4" w:space="0" w:color="auto"/>
              <w:left w:val="nil"/>
              <w:bottom w:val="single" w:sz="4" w:space="0" w:color="auto"/>
              <w:right w:val="nil"/>
            </w:tcBorders>
            <w:vAlign w:val="center"/>
          </w:tcPr>
          <w:p w14:paraId="3CE6767B" w14:textId="0A546C57" w:rsidR="00073A9D" w:rsidRPr="00BC5F1D" w:rsidRDefault="00073A9D" w:rsidP="000F57C0">
            <w:pPr>
              <w:spacing w:before="40" w:after="100" w:afterAutospacing="1" w:line="480" w:lineRule="auto"/>
              <w:rPr>
                <w:rFonts w:ascii="Arial" w:eastAsia="Calibri" w:hAnsi="Arial" w:cs="Arial"/>
                <w:b/>
                <w:bCs/>
                <w:sz w:val="18"/>
                <w:szCs w:val="18"/>
                <w:lang w:val="en-US"/>
              </w:rPr>
            </w:pPr>
            <w:r w:rsidRPr="00BC5F1D">
              <w:rPr>
                <w:rFonts w:ascii="Arial" w:eastAsia="Calibri" w:hAnsi="Arial" w:cs="Arial"/>
                <w:b/>
                <w:bCs/>
                <w:sz w:val="18"/>
                <w:szCs w:val="18"/>
                <w:lang w:val="en-US"/>
              </w:rPr>
              <w:t>Bioactive compounds</w:t>
            </w:r>
          </w:p>
        </w:tc>
        <w:tc>
          <w:tcPr>
            <w:tcW w:w="1843" w:type="dxa"/>
            <w:tcBorders>
              <w:top w:val="single" w:sz="4" w:space="0" w:color="auto"/>
              <w:left w:val="nil"/>
              <w:bottom w:val="single" w:sz="4" w:space="0" w:color="auto"/>
              <w:right w:val="nil"/>
            </w:tcBorders>
            <w:vAlign w:val="center"/>
          </w:tcPr>
          <w:p w14:paraId="705C0FF7" w14:textId="338E1683" w:rsidR="00073A9D" w:rsidRPr="00BC5F1D" w:rsidRDefault="00073A9D" w:rsidP="000F57C0">
            <w:pPr>
              <w:spacing w:before="40" w:after="100" w:afterAutospacing="1" w:line="480" w:lineRule="auto"/>
              <w:jc w:val="center"/>
              <w:rPr>
                <w:rFonts w:ascii="Arial" w:eastAsia="Calibri" w:hAnsi="Arial" w:cs="Arial"/>
                <w:b/>
                <w:bCs/>
                <w:i/>
                <w:iCs/>
                <w:sz w:val="18"/>
                <w:szCs w:val="18"/>
                <w:lang w:val="en-US"/>
              </w:rPr>
            </w:pPr>
            <w:r w:rsidRPr="00BC5F1D">
              <w:rPr>
                <w:rFonts w:ascii="Arial" w:eastAsia="Calibri" w:hAnsi="Arial" w:cs="Arial"/>
                <w:b/>
                <w:bCs/>
                <w:i/>
                <w:iCs/>
                <w:sz w:val="18"/>
                <w:szCs w:val="18"/>
                <w:lang w:val="en-US"/>
              </w:rPr>
              <w:t>A</w:t>
            </w:r>
            <w:r w:rsidR="000F57C0">
              <w:rPr>
                <w:rFonts w:ascii="Arial" w:eastAsia="Calibri" w:hAnsi="Arial" w:cs="Arial"/>
                <w:b/>
                <w:bCs/>
                <w:i/>
                <w:iCs/>
                <w:sz w:val="18"/>
                <w:szCs w:val="18"/>
                <w:lang w:val="en-US"/>
              </w:rPr>
              <w:t>.</w:t>
            </w:r>
            <w:r w:rsidRPr="00BC5F1D">
              <w:rPr>
                <w:rFonts w:ascii="Arial" w:eastAsia="Calibri" w:hAnsi="Arial" w:cs="Arial"/>
                <w:b/>
                <w:bCs/>
                <w:i/>
                <w:iCs/>
                <w:sz w:val="18"/>
                <w:szCs w:val="18"/>
                <w:lang w:val="en-US"/>
              </w:rPr>
              <w:t xml:space="preserve"> digitata</w:t>
            </w:r>
          </w:p>
        </w:tc>
        <w:tc>
          <w:tcPr>
            <w:tcW w:w="2126" w:type="dxa"/>
            <w:tcBorders>
              <w:top w:val="single" w:sz="4" w:space="0" w:color="auto"/>
              <w:left w:val="nil"/>
              <w:bottom w:val="single" w:sz="4" w:space="0" w:color="auto"/>
              <w:right w:val="nil"/>
            </w:tcBorders>
            <w:vAlign w:val="center"/>
          </w:tcPr>
          <w:p w14:paraId="16DD7B48" w14:textId="0BA7E3DF" w:rsidR="00073A9D" w:rsidRPr="00BC5F1D" w:rsidRDefault="00073A9D" w:rsidP="000F57C0">
            <w:pPr>
              <w:spacing w:before="40" w:after="100" w:afterAutospacing="1" w:line="480" w:lineRule="auto"/>
              <w:jc w:val="center"/>
              <w:rPr>
                <w:rFonts w:ascii="Arial" w:eastAsia="Calibri" w:hAnsi="Arial" w:cs="Arial"/>
                <w:b/>
                <w:bCs/>
                <w:i/>
                <w:iCs/>
                <w:sz w:val="18"/>
                <w:szCs w:val="18"/>
                <w:lang w:val="en-US"/>
              </w:rPr>
            </w:pPr>
            <w:r w:rsidRPr="00BC5F1D">
              <w:rPr>
                <w:rFonts w:ascii="Arial" w:eastAsia="Calibri" w:hAnsi="Arial" w:cs="Arial"/>
                <w:b/>
                <w:bCs/>
                <w:i/>
                <w:iCs/>
                <w:sz w:val="18"/>
                <w:szCs w:val="18"/>
                <w:lang w:val="en-US"/>
              </w:rPr>
              <w:t>C</w:t>
            </w:r>
            <w:r w:rsidR="000F57C0">
              <w:rPr>
                <w:rFonts w:ascii="Arial" w:eastAsia="Calibri" w:hAnsi="Arial" w:cs="Arial"/>
                <w:b/>
                <w:bCs/>
                <w:i/>
                <w:iCs/>
                <w:sz w:val="18"/>
                <w:szCs w:val="18"/>
                <w:lang w:val="en-US"/>
              </w:rPr>
              <w:t>.</w:t>
            </w:r>
            <w:r w:rsidRPr="00BC5F1D">
              <w:rPr>
                <w:rFonts w:ascii="Arial" w:eastAsia="Calibri" w:hAnsi="Arial" w:cs="Arial"/>
                <w:b/>
                <w:bCs/>
                <w:i/>
                <w:iCs/>
                <w:sz w:val="18"/>
                <w:szCs w:val="18"/>
                <w:lang w:val="en-US"/>
              </w:rPr>
              <w:t xml:space="preserve"> olitorius</w:t>
            </w:r>
          </w:p>
        </w:tc>
        <w:tc>
          <w:tcPr>
            <w:tcW w:w="2126" w:type="dxa"/>
            <w:tcBorders>
              <w:top w:val="single" w:sz="4" w:space="0" w:color="auto"/>
              <w:left w:val="nil"/>
              <w:bottom w:val="single" w:sz="4" w:space="0" w:color="auto"/>
              <w:right w:val="nil"/>
            </w:tcBorders>
            <w:vAlign w:val="center"/>
          </w:tcPr>
          <w:p w14:paraId="49CF3912" w14:textId="2B9B6E87" w:rsidR="00073A9D" w:rsidRPr="00BC5F1D" w:rsidRDefault="00481778" w:rsidP="000F57C0">
            <w:pPr>
              <w:spacing w:before="40" w:after="100" w:afterAutospacing="1" w:line="480" w:lineRule="auto"/>
              <w:jc w:val="center"/>
              <w:rPr>
                <w:rFonts w:ascii="Arial" w:eastAsia="Calibri" w:hAnsi="Arial" w:cs="Arial"/>
                <w:b/>
                <w:bCs/>
                <w:i/>
                <w:iCs/>
                <w:sz w:val="18"/>
                <w:szCs w:val="18"/>
                <w:lang w:val="en-US"/>
              </w:rPr>
            </w:pPr>
            <w:r w:rsidRPr="00BC5F1D">
              <w:rPr>
                <w:rFonts w:ascii="Arial" w:hAnsi="Arial" w:cs="Arial"/>
                <w:b/>
                <w:bCs/>
                <w:i/>
                <w:iCs/>
                <w:sz w:val="18"/>
                <w:szCs w:val="18"/>
                <w:lang w:val="en-US"/>
              </w:rPr>
              <w:t>T</w:t>
            </w:r>
            <w:r w:rsidR="000F57C0">
              <w:rPr>
                <w:rFonts w:ascii="Arial" w:hAnsi="Arial" w:cs="Arial"/>
                <w:b/>
                <w:bCs/>
                <w:i/>
                <w:iCs/>
                <w:sz w:val="18"/>
                <w:szCs w:val="18"/>
                <w:lang w:val="en-US"/>
              </w:rPr>
              <w:t>.</w:t>
            </w:r>
            <w:r w:rsidRPr="00BC5F1D">
              <w:rPr>
                <w:rFonts w:ascii="Arial" w:hAnsi="Arial" w:cs="Arial"/>
                <w:b/>
                <w:bCs/>
                <w:i/>
                <w:iCs/>
                <w:sz w:val="18"/>
                <w:szCs w:val="18"/>
                <w:lang w:val="en-US"/>
              </w:rPr>
              <w:t xml:space="preserve"> cordifolia</w:t>
            </w:r>
          </w:p>
        </w:tc>
      </w:tr>
      <w:tr w:rsidR="00073A9D" w:rsidRPr="00BC5F1D" w14:paraId="4CF09DB5" w14:textId="77777777" w:rsidTr="00025C75">
        <w:trPr>
          <w:trHeight w:val="691"/>
        </w:trPr>
        <w:tc>
          <w:tcPr>
            <w:tcW w:w="2977" w:type="dxa"/>
            <w:tcBorders>
              <w:left w:val="nil"/>
              <w:bottom w:val="nil"/>
              <w:right w:val="nil"/>
            </w:tcBorders>
          </w:tcPr>
          <w:p w14:paraId="35F8DBEC" w14:textId="2420D3E0" w:rsidR="00073A9D" w:rsidRPr="00BC5F1D" w:rsidRDefault="00073A9D" w:rsidP="00073A9D">
            <w:pPr>
              <w:spacing w:before="120" w:after="0" w:line="480" w:lineRule="auto"/>
              <w:rPr>
                <w:rFonts w:ascii="Arial" w:eastAsia="Calibri" w:hAnsi="Arial" w:cs="Arial"/>
                <w:sz w:val="18"/>
                <w:szCs w:val="18"/>
                <w:lang w:val="en-US"/>
              </w:rPr>
            </w:pPr>
            <w:r w:rsidRPr="00BC5F1D">
              <w:rPr>
                <w:rFonts w:ascii="Arial" w:eastAsia="Calibri" w:hAnsi="Arial" w:cs="Arial"/>
                <w:sz w:val="18"/>
                <w:szCs w:val="18"/>
                <w:lang w:val="en-US"/>
              </w:rPr>
              <w:t>Total polyphenols</w:t>
            </w:r>
            <w:r w:rsidR="00504BF3" w:rsidRPr="00BC5F1D">
              <w:rPr>
                <w:rFonts w:ascii="Arial" w:eastAsia="Calibri" w:hAnsi="Arial" w:cs="Arial"/>
                <w:sz w:val="18"/>
                <w:szCs w:val="18"/>
                <w:lang w:val="en-US"/>
              </w:rPr>
              <w:t xml:space="preserve"> (</w:t>
            </w:r>
            <w:r w:rsidR="008E46ED" w:rsidRPr="00BC5F1D">
              <w:rPr>
                <w:rFonts w:ascii="Arial" w:eastAsia="Calibri" w:hAnsi="Arial" w:cs="Arial"/>
                <w:sz w:val="18"/>
                <w:szCs w:val="18"/>
                <w:lang w:val="en-US"/>
              </w:rPr>
              <w:t>µ</w:t>
            </w:r>
            <w:r w:rsidR="00504BF3" w:rsidRPr="00BC5F1D">
              <w:rPr>
                <w:rFonts w:ascii="Arial" w:eastAsia="Calibri" w:hAnsi="Arial" w:cs="Arial"/>
                <w:sz w:val="18"/>
                <w:szCs w:val="18"/>
                <w:lang w:val="en-US"/>
              </w:rPr>
              <w:t>g GAE/</w:t>
            </w:r>
            <w:r w:rsidR="001228A1" w:rsidRPr="00BC5F1D">
              <w:rPr>
                <w:rFonts w:ascii="Arial" w:eastAsia="Calibri" w:hAnsi="Arial" w:cs="Arial"/>
                <w:sz w:val="18"/>
                <w:szCs w:val="18"/>
                <w:lang w:val="en-US"/>
              </w:rPr>
              <w:t>g DM</w:t>
            </w:r>
            <w:r w:rsidR="00504BF3" w:rsidRPr="00BC5F1D">
              <w:rPr>
                <w:rFonts w:ascii="Arial" w:eastAsia="Calibri" w:hAnsi="Arial" w:cs="Arial"/>
                <w:sz w:val="18"/>
                <w:szCs w:val="18"/>
                <w:lang w:val="en-US"/>
              </w:rPr>
              <w:t>)</w:t>
            </w:r>
          </w:p>
        </w:tc>
        <w:tc>
          <w:tcPr>
            <w:tcW w:w="1843" w:type="dxa"/>
            <w:tcBorders>
              <w:left w:val="nil"/>
              <w:bottom w:val="nil"/>
              <w:right w:val="nil"/>
            </w:tcBorders>
          </w:tcPr>
          <w:p w14:paraId="2719AC6D" w14:textId="3E6F70DD"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1.90 ± 0.10</w:t>
            </w:r>
            <w:r w:rsidRPr="00BC5F1D">
              <w:rPr>
                <w:rFonts w:ascii="Arial" w:eastAsia="Calibri" w:hAnsi="Arial" w:cs="Arial"/>
                <w:sz w:val="18"/>
                <w:szCs w:val="18"/>
                <w:vertAlign w:val="superscript"/>
                <w:lang w:val="en-US"/>
              </w:rPr>
              <w:t>b</w:t>
            </w:r>
          </w:p>
        </w:tc>
        <w:tc>
          <w:tcPr>
            <w:tcW w:w="2126" w:type="dxa"/>
            <w:tcBorders>
              <w:left w:val="nil"/>
              <w:bottom w:val="nil"/>
              <w:right w:val="nil"/>
            </w:tcBorders>
          </w:tcPr>
          <w:p w14:paraId="1EF89436" w14:textId="649180FB"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0.75 ± 0.10</w:t>
            </w:r>
            <w:r w:rsidRPr="00BC5F1D">
              <w:rPr>
                <w:rFonts w:ascii="Arial" w:eastAsia="Calibri" w:hAnsi="Arial" w:cs="Arial"/>
                <w:sz w:val="18"/>
                <w:szCs w:val="18"/>
                <w:vertAlign w:val="superscript"/>
                <w:lang w:val="en-US"/>
              </w:rPr>
              <w:t>a</w:t>
            </w:r>
          </w:p>
        </w:tc>
        <w:tc>
          <w:tcPr>
            <w:tcW w:w="2126" w:type="dxa"/>
            <w:tcBorders>
              <w:left w:val="nil"/>
              <w:bottom w:val="nil"/>
              <w:right w:val="nil"/>
            </w:tcBorders>
          </w:tcPr>
          <w:p w14:paraId="415AA173" w14:textId="7DE20942" w:rsidR="00073A9D" w:rsidRPr="00BC5F1D" w:rsidRDefault="00073A9D" w:rsidP="00504BF3">
            <w:pPr>
              <w:spacing w:before="120" w:after="0" w:line="480" w:lineRule="auto"/>
              <w:jc w:val="center"/>
              <w:rPr>
                <w:rFonts w:ascii="Arial" w:eastAsia="Calibri" w:hAnsi="Arial" w:cs="Arial"/>
                <w:color w:val="000000" w:themeColor="text1"/>
                <w:sz w:val="18"/>
                <w:szCs w:val="18"/>
                <w:lang w:val="en-US"/>
              </w:rPr>
            </w:pPr>
            <w:r w:rsidRPr="00BC5F1D">
              <w:rPr>
                <w:rFonts w:ascii="Arial" w:eastAsia="Calibri" w:hAnsi="Arial" w:cs="Arial"/>
                <w:color w:val="000000" w:themeColor="text1"/>
                <w:sz w:val="18"/>
                <w:szCs w:val="18"/>
                <w:lang w:val="en-US"/>
              </w:rPr>
              <w:t>2.92 ± 0.02</w:t>
            </w:r>
            <w:r w:rsidRPr="00BC5F1D">
              <w:rPr>
                <w:rFonts w:ascii="Arial" w:eastAsia="Calibri" w:hAnsi="Arial" w:cs="Arial"/>
                <w:color w:val="000000" w:themeColor="text1"/>
                <w:sz w:val="18"/>
                <w:szCs w:val="18"/>
                <w:vertAlign w:val="superscript"/>
                <w:lang w:val="en-US"/>
              </w:rPr>
              <w:t>c</w:t>
            </w:r>
          </w:p>
        </w:tc>
      </w:tr>
      <w:tr w:rsidR="00073A9D" w:rsidRPr="00BC5F1D" w14:paraId="64426781" w14:textId="77777777" w:rsidTr="00025C75">
        <w:trPr>
          <w:trHeight w:val="709"/>
        </w:trPr>
        <w:tc>
          <w:tcPr>
            <w:tcW w:w="2977" w:type="dxa"/>
            <w:tcBorders>
              <w:top w:val="nil"/>
              <w:left w:val="nil"/>
              <w:bottom w:val="nil"/>
              <w:right w:val="nil"/>
            </w:tcBorders>
          </w:tcPr>
          <w:p w14:paraId="45DEF5EE" w14:textId="3D805FAA" w:rsidR="00073A9D" w:rsidRPr="00BC5F1D" w:rsidRDefault="00073A9D" w:rsidP="00073A9D">
            <w:pPr>
              <w:spacing w:before="120" w:after="0" w:line="480" w:lineRule="auto"/>
              <w:rPr>
                <w:rFonts w:ascii="Arial" w:eastAsia="Calibri" w:hAnsi="Arial" w:cs="Arial"/>
                <w:sz w:val="18"/>
                <w:szCs w:val="18"/>
                <w:lang w:val="en-US"/>
              </w:rPr>
            </w:pPr>
            <w:r w:rsidRPr="00BC5F1D">
              <w:rPr>
                <w:rFonts w:ascii="Arial" w:eastAsia="Calibri" w:hAnsi="Arial" w:cs="Arial"/>
                <w:sz w:val="18"/>
                <w:szCs w:val="18"/>
                <w:lang w:val="en-US"/>
              </w:rPr>
              <w:t xml:space="preserve">Condensed </w:t>
            </w:r>
            <w:proofErr w:type="spellStart"/>
            <w:r w:rsidRPr="00BC5F1D">
              <w:rPr>
                <w:rFonts w:ascii="Arial" w:eastAsia="Calibri" w:hAnsi="Arial" w:cs="Arial"/>
                <w:sz w:val="18"/>
                <w:szCs w:val="18"/>
                <w:lang w:val="en-US"/>
              </w:rPr>
              <w:t>tanins</w:t>
            </w:r>
            <w:proofErr w:type="spellEnd"/>
            <w:r w:rsidR="00886B6B" w:rsidRPr="00BC5F1D">
              <w:rPr>
                <w:rFonts w:ascii="Arial" w:eastAsia="Calibri" w:hAnsi="Arial" w:cs="Arial"/>
                <w:sz w:val="18"/>
                <w:szCs w:val="18"/>
                <w:lang w:val="en-US"/>
              </w:rPr>
              <w:t xml:space="preserve"> (</w:t>
            </w:r>
            <w:r w:rsidR="008E46ED" w:rsidRPr="00BC5F1D">
              <w:rPr>
                <w:rFonts w:ascii="Arial" w:eastAsia="Calibri" w:hAnsi="Arial" w:cs="Arial"/>
                <w:sz w:val="18"/>
                <w:szCs w:val="18"/>
                <w:lang w:val="en-US"/>
              </w:rPr>
              <w:t>µ</w:t>
            </w:r>
            <w:r w:rsidR="00504BF3" w:rsidRPr="00BC5F1D">
              <w:rPr>
                <w:rFonts w:ascii="Arial" w:eastAsia="Calibri" w:hAnsi="Arial" w:cs="Arial"/>
                <w:sz w:val="18"/>
                <w:szCs w:val="18"/>
                <w:lang w:val="en-US"/>
              </w:rPr>
              <w:t>g</w:t>
            </w:r>
            <w:r w:rsidR="008E46ED" w:rsidRPr="00BC5F1D">
              <w:rPr>
                <w:rFonts w:ascii="Arial" w:eastAsia="Calibri" w:hAnsi="Arial" w:cs="Arial"/>
                <w:sz w:val="18"/>
                <w:szCs w:val="18"/>
                <w:lang w:val="en-US"/>
              </w:rPr>
              <w:t xml:space="preserve"> </w:t>
            </w:r>
            <w:r w:rsidR="00886B6B" w:rsidRPr="00BC5F1D">
              <w:rPr>
                <w:rFonts w:ascii="Arial" w:eastAsia="Calibri" w:hAnsi="Arial" w:cs="Arial"/>
                <w:sz w:val="18"/>
                <w:szCs w:val="18"/>
                <w:lang w:val="en-US"/>
              </w:rPr>
              <w:t>CE/</w:t>
            </w:r>
            <w:r w:rsidR="001228A1" w:rsidRPr="00BC5F1D">
              <w:rPr>
                <w:rFonts w:ascii="Arial" w:eastAsia="Calibri" w:hAnsi="Arial" w:cs="Arial"/>
                <w:sz w:val="18"/>
                <w:szCs w:val="18"/>
                <w:lang w:val="en-US"/>
              </w:rPr>
              <w:t>g DM</w:t>
            </w:r>
            <w:r w:rsidR="00504BF3" w:rsidRPr="00BC5F1D">
              <w:rPr>
                <w:rFonts w:ascii="Arial" w:eastAsia="Calibri" w:hAnsi="Arial" w:cs="Arial"/>
                <w:sz w:val="18"/>
                <w:szCs w:val="18"/>
                <w:lang w:val="en-US"/>
              </w:rPr>
              <w:t>)</w:t>
            </w:r>
          </w:p>
        </w:tc>
        <w:tc>
          <w:tcPr>
            <w:tcW w:w="1843" w:type="dxa"/>
            <w:tcBorders>
              <w:top w:val="nil"/>
              <w:left w:val="nil"/>
              <w:bottom w:val="nil"/>
              <w:right w:val="nil"/>
            </w:tcBorders>
          </w:tcPr>
          <w:p w14:paraId="158D88C0" w14:textId="51C5D4CA"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0.58 ± 0.01</w:t>
            </w:r>
            <w:r w:rsidRPr="00BC5F1D">
              <w:rPr>
                <w:rFonts w:ascii="Arial" w:eastAsia="Calibri" w:hAnsi="Arial" w:cs="Arial"/>
                <w:sz w:val="18"/>
                <w:szCs w:val="18"/>
                <w:vertAlign w:val="superscript"/>
                <w:lang w:val="en-US"/>
              </w:rPr>
              <w:t>a</w:t>
            </w:r>
          </w:p>
        </w:tc>
        <w:tc>
          <w:tcPr>
            <w:tcW w:w="2126" w:type="dxa"/>
            <w:tcBorders>
              <w:top w:val="nil"/>
              <w:left w:val="nil"/>
              <w:bottom w:val="nil"/>
              <w:right w:val="nil"/>
            </w:tcBorders>
          </w:tcPr>
          <w:p w14:paraId="71C3E6B1" w14:textId="7AA6DDDE"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0.85 ± 0.01</w:t>
            </w:r>
            <w:r w:rsidRPr="00BC5F1D">
              <w:rPr>
                <w:rFonts w:ascii="Arial" w:eastAsia="Calibri" w:hAnsi="Arial" w:cs="Arial"/>
                <w:sz w:val="18"/>
                <w:szCs w:val="18"/>
                <w:vertAlign w:val="superscript"/>
                <w:lang w:val="en-US"/>
              </w:rPr>
              <w:t>b</w:t>
            </w:r>
          </w:p>
        </w:tc>
        <w:tc>
          <w:tcPr>
            <w:tcW w:w="2126" w:type="dxa"/>
            <w:tcBorders>
              <w:top w:val="nil"/>
              <w:left w:val="nil"/>
              <w:bottom w:val="nil"/>
              <w:right w:val="nil"/>
            </w:tcBorders>
          </w:tcPr>
          <w:p w14:paraId="0376164E" w14:textId="7FCFAB07" w:rsidR="00073A9D" w:rsidRPr="00BC5F1D" w:rsidRDefault="00073A9D" w:rsidP="00504BF3">
            <w:pPr>
              <w:spacing w:before="120" w:after="0" w:line="480" w:lineRule="auto"/>
              <w:jc w:val="center"/>
              <w:rPr>
                <w:rFonts w:ascii="Arial" w:eastAsia="Calibri" w:hAnsi="Arial" w:cs="Arial"/>
                <w:color w:val="000000" w:themeColor="text1"/>
                <w:sz w:val="18"/>
                <w:szCs w:val="18"/>
                <w:lang w:val="en-US"/>
              </w:rPr>
            </w:pPr>
            <w:r w:rsidRPr="00BC5F1D">
              <w:rPr>
                <w:rFonts w:ascii="Arial" w:eastAsia="Calibri" w:hAnsi="Arial" w:cs="Arial"/>
                <w:color w:val="000000" w:themeColor="text1"/>
                <w:sz w:val="18"/>
                <w:szCs w:val="18"/>
                <w:lang w:val="en-US"/>
              </w:rPr>
              <w:t>3.05 ± 0.00</w:t>
            </w:r>
            <w:r w:rsidRPr="00BC5F1D">
              <w:rPr>
                <w:rFonts w:ascii="Arial" w:eastAsia="Calibri" w:hAnsi="Arial" w:cs="Arial"/>
                <w:color w:val="000000" w:themeColor="text1"/>
                <w:sz w:val="18"/>
                <w:szCs w:val="18"/>
                <w:vertAlign w:val="superscript"/>
                <w:lang w:val="en-US"/>
              </w:rPr>
              <w:t>c</w:t>
            </w:r>
          </w:p>
        </w:tc>
      </w:tr>
      <w:tr w:rsidR="00073A9D" w:rsidRPr="00BC5F1D" w14:paraId="38611F75" w14:textId="77777777" w:rsidTr="00025C75">
        <w:trPr>
          <w:trHeight w:val="380"/>
        </w:trPr>
        <w:tc>
          <w:tcPr>
            <w:tcW w:w="2977" w:type="dxa"/>
            <w:tcBorders>
              <w:top w:val="nil"/>
              <w:left w:val="nil"/>
              <w:bottom w:val="single" w:sz="4" w:space="0" w:color="auto"/>
              <w:right w:val="nil"/>
            </w:tcBorders>
          </w:tcPr>
          <w:p w14:paraId="6289B067" w14:textId="394B5163" w:rsidR="00073A9D" w:rsidRPr="00BC5F1D" w:rsidRDefault="00073A9D" w:rsidP="00073A9D">
            <w:pPr>
              <w:spacing w:before="120" w:after="0" w:line="480" w:lineRule="auto"/>
              <w:rPr>
                <w:rFonts w:ascii="Arial" w:eastAsia="Calibri" w:hAnsi="Arial" w:cs="Arial"/>
                <w:sz w:val="18"/>
                <w:szCs w:val="18"/>
                <w:lang w:val="en-US"/>
              </w:rPr>
            </w:pPr>
            <w:r w:rsidRPr="00BC5F1D">
              <w:rPr>
                <w:rFonts w:ascii="Arial" w:eastAsia="Calibri" w:hAnsi="Arial" w:cs="Arial"/>
                <w:sz w:val="18"/>
                <w:szCs w:val="18"/>
                <w:lang w:val="en-US"/>
              </w:rPr>
              <w:t xml:space="preserve">Total </w:t>
            </w:r>
            <w:r w:rsidR="00504BF3" w:rsidRPr="00BC5F1D">
              <w:rPr>
                <w:rFonts w:ascii="Arial" w:eastAsia="Calibri" w:hAnsi="Arial" w:cs="Arial"/>
                <w:sz w:val="18"/>
                <w:szCs w:val="18"/>
                <w:lang w:val="en-US"/>
              </w:rPr>
              <w:t>flavonoids</w:t>
            </w:r>
            <w:r w:rsidRPr="00BC5F1D">
              <w:rPr>
                <w:rFonts w:ascii="Arial" w:eastAsia="Calibri" w:hAnsi="Arial" w:cs="Arial"/>
                <w:sz w:val="18"/>
                <w:szCs w:val="18"/>
                <w:lang w:val="en-US"/>
              </w:rPr>
              <w:t xml:space="preserve"> </w:t>
            </w:r>
            <w:r w:rsidR="00504BF3" w:rsidRPr="00BC5F1D">
              <w:rPr>
                <w:rFonts w:ascii="Arial" w:eastAsia="Calibri" w:hAnsi="Arial" w:cs="Arial"/>
                <w:sz w:val="18"/>
                <w:szCs w:val="18"/>
                <w:lang w:val="en-US"/>
              </w:rPr>
              <w:t>(</w:t>
            </w:r>
            <w:r w:rsidR="008E46ED" w:rsidRPr="00BC5F1D">
              <w:rPr>
                <w:rFonts w:ascii="Arial" w:eastAsia="Calibri" w:hAnsi="Arial" w:cs="Arial"/>
                <w:sz w:val="18"/>
                <w:szCs w:val="18"/>
                <w:lang w:val="en-US"/>
              </w:rPr>
              <w:t xml:space="preserve">µg </w:t>
            </w:r>
            <w:r w:rsidR="00504BF3" w:rsidRPr="00BC5F1D">
              <w:rPr>
                <w:rFonts w:ascii="Arial" w:eastAsia="Calibri" w:hAnsi="Arial" w:cs="Arial"/>
                <w:sz w:val="18"/>
                <w:szCs w:val="18"/>
                <w:lang w:val="en-US"/>
              </w:rPr>
              <w:t>QE/</w:t>
            </w:r>
            <w:r w:rsidR="001228A1" w:rsidRPr="00BC5F1D">
              <w:rPr>
                <w:rFonts w:ascii="Arial" w:eastAsia="Calibri" w:hAnsi="Arial" w:cs="Arial"/>
                <w:sz w:val="18"/>
                <w:szCs w:val="18"/>
                <w:lang w:val="en-US"/>
              </w:rPr>
              <w:t>g DM</w:t>
            </w:r>
            <w:r w:rsidR="00504BF3" w:rsidRPr="00BC5F1D">
              <w:rPr>
                <w:rFonts w:ascii="Arial" w:eastAsia="Calibri" w:hAnsi="Arial" w:cs="Arial"/>
                <w:sz w:val="18"/>
                <w:szCs w:val="18"/>
                <w:lang w:val="en-US"/>
              </w:rPr>
              <w:t>)</w:t>
            </w:r>
          </w:p>
        </w:tc>
        <w:tc>
          <w:tcPr>
            <w:tcW w:w="1843" w:type="dxa"/>
            <w:tcBorders>
              <w:top w:val="nil"/>
              <w:left w:val="nil"/>
              <w:bottom w:val="single" w:sz="4" w:space="0" w:color="auto"/>
              <w:right w:val="nil"/>
            </w:tcBorders>
          </w:tcPr>
          <w:p w14:paraId="574158E0" w14:textId="4C837C50"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0.90 ± 0.02</w:t>
            </w:r>
            <w:r w:rsidRPr="00BC5F1D">
              <w:rPr>
                <w:rFonts w:ascii="Arial" w:eastAsia="Calibri" w:hAnsi="Arial" w:cs="Arial"/>
                <w:sz w:val="18"/>
                <w:szCs w:val="18"/>
                <w:vertAlign w:val="superscript"/>
                <w:lang w:val="en-US"/>
              </w:rPr>
              <w:t>a</w:t>
            </w:r>
          </w:p>
        </w:tc>
        <w:tc>
          <w:tcPr>
            <w:tcW w:w="2126" w:type="dxa"/>
            <w:tcBorders>
              <w:top w:val="nil"/>
              <w:left w:val="nil"/>
              <w:bottom w:val="single" w:sz="4" w:space="0" w:color="auto"/>
              <w:right w:val="nil"/>
            </w:tcBorders>
          </w:tcPr>
          <w:p w14:paraId="00FB7414" w14:textId="1766916A"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2.3 ± 0.02</w:t>
            </w:r>
            <w:r w:rsidRPr="00BC5F1D">
              <w:rPr>
                <w:rFonts w:ascii="Arial" w:eastAsia="Calibri" w:hAnsi="Arial" w:cs="Arial"/>
                <w:sz w:val="18"/>
                <w:szCs w:val="18"/>
                <w:vertAlign w:val="superscript"/>
                <w:lang w:val="en-US"/>
              </w:rPr>
              <w:t>b</w:t>
            </w:r>
          </w:p>
        </w:tc>
        <w:tc>
          <w:tcPr>
            <w:tcW w:w="2126" w:type="dxa"/>
            <w:tcBorders>
              <w:top w:val="nil"/>
              <w:left w:val="nil"/>
              <w:bottom w:val="single" w:sz="4" w:space="0" w:color="auto"/>
              <w:right w:val="nil"/>
            </w:tcBorders>
          </w:tcPr>
          <w:p w14:paraId="49A0C98E" w14:textId="1600096C" w:rsidR="00073A9D" w:rsidRPr="00BC5F1D" w:rsidRDefault="00073A9D" w:rsidP="00504BF3">
            <w:pPr>
              <w:spacing w:before="120" w:after="0" w:line="480" w:lineRule="auto"/>
              <w:jc w:val="center"/>
              <w:rPr>
                <w:rFonts w:ascii="Arial" w:eastAsia="Calibri" w:hAnsi="Arial" w:cs="Arial"/>
                <w:color w:val="000000" w:themeColor="text1"/>
                <w:sz w:val="18"/>
                <w:szCs w:val="18"/>
                <w:lang w:val="en-US"/>
              </w:rPr>
            </w:pPr>
            <w:r w:rsidRPr="00BC5F1D">
              <w:rPr>
                <w:rFonts w:ascii="Arial" w:eastAsia="Calibri" w:hAnsi="Arial" w:cs="Arial"/>
                <w:color w:val="000000" w:themeColor="text1"/>
                <w:sz w:val="18"/>
                <w:szCs w:val="18"/>
                <w:lang w:val="en-US"/>
              </w:rPr>
              <w:t>4.90 ± 0.05</w:t>
            </w:r>
            <w:r w:rsidRPr="00BC5F1D">
              <w:rPr>
                <w:rFonts w:ascii="Arial" w:eastAsia="Calibri" w:hAnsi="Arial" w:cs="Arial"/>
                <w:color w:val="000000" w:themeColor="text1"/>
                <w:sz w:val="18"/>
                <w:szCs w:val="18"/>
                <w:vertAlign w:val="superscript"/>
                <w:lang w:val="en-US"/>
              </w:rPr>
              <w:t>c</w:t>
            </w:r>
          </w:p>
        </w:tc>
      </w:tr>
      <w:tr w:rsidR="00424CF2" w:rsidRPr="00854A90" w14:paraId="11F085D7" w14:textId="77777777" w:rsidTr="00025C75">
        <w:trPr>
          <w:trHeight w:val="434"/>
        </w:trPr>
        <w:tc>
          <w:tcPr>
            <w:tcW w:w="9072" w:type="dxa"/>
            <w:gridSpan w:val="4"/>
            <w:tcBorders>
              <w:top w:val="single" w:sz="4" w:space="0" w:color="auto"/>
              <w:left w:val="nil"/>
              <w:bottom w:val="nil"/>
              <w:right w:val="nil"/>
            </w:tcBorders>
          </w:tcPr>
          <w:p w14:paraId="0100ACC4" w14:textId="03AFBDE3" w:rsidR="00424CF2" w:rsidRPr="00BC5F1D" w:rsidRDefault="00424CF2" w:rsidP="00FE270E">
            <w:pPr>
              <w:jc w:val="both"/>
              <w:rPr>
                <w:rFonts w:ascii="Arial" w:eastAsia="Calibri" w:hAnsi="Arial" w:cs="Arial"/>
                <w:sz w:val="18"/>
                <w:szCs w:val="18"/>
                <w:lang w:val="en-US"/>
              </w:rPr>
            </w:pPr>
            <w:r w:rsidRPr="00BC5F1D">
              <w:rPr>
                <w:rFonts w:ascii="Arial" w:eastAsia="Calibri" w:hAnsi="Arial" w:cs="Arial"/>
                <w:color w:val="000000" w:themeColor="text1"/>
                <w:sz w:val="18"/>
                <w:szCs w:val="18"/>
                <w:lang w:val="en-US"/>
              </w:rPr>
              <w:t xml:space="preserve">Mn ± </w:t>
            </w:r>
            <w:r w:rsidR="00504BF3" w:rsidRPr="00BC5F1D">
              <w:rPr>
                <w:rFonts w:ascii="Arial" w:eastAsia="Calibri" w:hAnsi="Arial" w:cs="Arial"/>
                <w:color w:val="000000" w:themeColor="text1"/>
                <w:sz w:val="18"/>
                <w:szCs w:val="18"/>
                <w:lang w:val="en-US"/>
              </w:rPr>
              <w:t>Sd:</w:t>
            </w:r>
            <w:r w:rsidRPr="00BC5F1D">
              <w:rPr>
                <w:rFonts w:ascii="Arial" w:eastAsia="Calibri" w:hAnsi="Arial" w:cs="Arial"/>
                <w:color w:val="000000" w:themeColor="text1"/>
                <w:sz w:val="18"/>
                <w:szCs w:val="18"/>
                <w:lang w:val="en-US"/>
              </w:rPr>
              <w:t xml:space="preserve"> Mean ± Standard deviation; t</w:t>
            </w:r>
            <w:r w:rsidRPr="00BC5F1D">
              <w:rPr>
                <w:rFonts w:ascii="Arial" w:hAnsi="Arial" w:cs="Arial"/>
                <w:color w:val="000000" w:themeColor="text1"/>
                <w:sz w:val="18"/>
                <w:szCs w:val="18"/>
                <w:lang w:val="en-US"/>
              </w:rPr>
              <w:t>he affected means of different lowercase letters in superscript and on line show a significant difference at the probability threshold P ≤ 0.05</w:t>
            </w:r>
          </w:p>
        </w:tc>
      </w:tr>
      <w:bookmarkEnd w:id="5"/>
    </w:tbl>
    <w:p w14:paraId="09436591" w14:textId="77777777" w:rsidR="00BC424A" w:rsidRPr="00BC5F1D" w:rsidRDefault="00BC424A" w:rsidP="00113BB8">
      <w:pPr>
        <w:spacing w:line="240" w:lineRule="auto"/>
        <w:jc w:val="both"/>
        <w:rPr>
          <w:rFonts w:ascii="Arial" w:hAnsi="Arial" w:cs="Arial"/>
          <w:b/>
          <w:bCs/>
          <w:color w:val="000000" w:themeColor="text1"/>
          <w:lang w:val="en-US"/>
        </w:rPr>
      </w:pPr>
    </w:p>
    <w:p w14:paraId="577AC3D1" w14:textId="212D179A" w:rsidR="001B4AA3" w:rsidRPr="00BC5F1D" w:rsidRDefault="0041794C" w:rsidP="009A02E1">
      <w:pPr>
        <w:pStyle w:val="ListParagraph"/>
        <w:numPr>
          <w:ilvl w:val="1"/>
          <w:numId w:val="1"/>
        </w:numPr>
        <w:tabs>
          <w:tab w:val="left" w:pos="426"/>
        </w:tabs>
        <w:spacing w:after="0" w:line="360" w:lineRule="auto"/>
        <w:jc w:val="both"/>
        <w:rPr>
          <w:rFonts w:ascii="Arial" w:hAnsi="Arial" w:cs="Arial"/>
          <w:color w:val="000000" w:themeColor="text1"/>
          <w:lang w:val="en-US"/>
        </w:rPr>
      </w:pPr>
      <w:r w:rsidRPr="00BC5F1D">
        <w:rPr>
          <w:rFonts w:ascii="Arial" w:hAnsi="Arial" w:cs="Arial"/>
          <w:b/>
          <w:bCs/>
          <w:color w:val="000000" w:themeColor="text1"/>
          <w:lang w:val="en-US"/>
        </w:rPr>
        <w:t xml:space="preserve">  </w:t>
      </w:r>
      <w:r w:rsidR="0091292C" w:rsidRPr="00BC5F1D">
        <w:rPr>
          <w:rFonts w:ascii="Arial" w:hAnsi="Arial" w:cs="Arial"/>
          <w:b/>
          <w:bCs/>
          <w:color w:val="000000" w:themeColor="text1"/>
          <w:lang w:val="en-US"/>
        </w:rPr>
        <w:t>E</w:t>
      </w:r>
      <w:r w:rsidR="005F0359" w:rsidRPr="00BC5F1D">
        <w:rPr>
          <w:rFonts w:ascii="Arial" w:hAnsi="Arial" w:cs="Arial"/>
          <w:b/>
          <w:bCs/>
          <w:color w:val="000000" w:themeColor="text1"/>
          <w:lang w:val="en-US"/>
        </w:rPr>
        <w:t xml:space="preserve">ffects of nutritional composition and bioactive compounds </w:t>
      </w:r>
      <w:r w:rsidRPr="00BC5F1D">
        <w:rPr>
          <w:rFonts w:ascii="Arial" w:hAnsi="Arial" w:cs="Arial"/>
          <w:b/>
          <w:bCs/>
          <w:color w:val="000000" w:themeColor="text1"/>
          <w:lang w:val="en-US"/>
        </w:rPr>
        <w:t xml:space="preserve">of powders </w:t>
      </w:r>
      <w:r w:rsidR="0091292C" w:rsidRPr="00BC5F1D">
        <w:rPr>
          <w:rFonts w:ascii="Arial" w:hAnsi="Arial" w:cs="Arial"/>
          <w:b/>
          <w:bCs/>
          <w:color w:val="000000" w:themeColor="text1"/>
          <w:lang w:val="en-US"/>
        </w:rPr>
        <w:t>on GLUT4 translocation activity</w:t>
      </w:r>
      <w:r w:rsidR="009D4259" w:rsidRPr="00BC5F1D">
        <w:rPr>
          <w:rFonts w:ascii="Arial" w:hAnsi="Arial" w:cs="Arial"/>
          <w:b/>
          <w:bCs/>
          <w:color w:val="000000" w:themeColor="text1"/>
          <w:lang w:val="en-US"/>
        </w:rPr>
        <w:t xml:space="preserve"> </w:t>
      </w:r>
    </w:p>
    <w:p w14:paraId="09EDF5F9" w14:textId="77777777" w:rsidR="00D54390" w:rsidRPr="00BC5F1D" w:rsidRDefault="00D54390" w:rsidP="00D54390">
      <w:pPr>
        <w:pStyle w:val="ListParagraph"/>
        <w:spacing w:before="240" w:line="240" w:lineRule="auto"/>
        <w:ind w:left="360"/>
        <w:jc w:val="both"/>
        <w:rPr>
          <w:rFonts w:ascii="Arial" w:hAnsi="Arial" w:cs="Arial"/>
          <w:color w:val="000000" w:themeColor="text1"/>
          <w:lang w:val="en-US"/>
        </w:rPr>
      </w:pPr>
    </w:p>
    <w:p w14:paraId="6D563098" w14:textId="0ECEEF54" w:rsidR="001F374C" w:rsidRPr="00BC5F1D" w:rsidRDefault="001F374C" w:rsidP="001F374C">
      <w:pPr>
        <w:pStyle w:val="ListParagraph"/>
        <w:numPr>
          <w:ilvl w:val="2"/>
          <w:numId w:val="1"/>
        </w:numPr>
        <w:spacing w:line="360" w:lineRule="auto"/>
        <w:jc w:val="both"/>
        <w:rPr>
          <w:rFonts w:ascii="Arial" w:hAnsi="Arial" w:cs="Arial"/>
          <w:b/>
          <w:bCs/>
        </w:rPr>
      </w:pPr>
      <w:r w:rsidRPr="00BC5F1D">
        <w:rPr>
          <w:rFonts w:ascii="Arial" w:hAnsi="Arial" w:cs="Arial"/>
          <w:b/>
          <w:bCs/>
        </w:rPr>
        <w:t xml:space="preserve">GLUT4 translocation </w:t>
      </w:r>
      <w:proofErr w:type="spellStart"/>
      <w:r w:rsidRPr="00BC5F1D">
        <w:rPr>
          <w:rFonts w:ascii="Arial" w:hAnsi="Arial" w:cs="Arial"/>
          <w:b/>
          <w:bCs/>
        </w:rPr>
        <w:t>activity</w:t>
      </w:r>
      <w:proofErr w:type="spellEnd"/>
      <w:r w:rsidRPr="00BC5F1D">
        <w:rPr>
          <w:rFonts w:ascii="Arial" w:hAnsi="Arial" w:cs="Arial"/>
          <w:b/>
          <w:bCs/>
        </w:rPr>
        <w:t xml:space="preserve"> </w:t>
      </w:r>
    </w:p>
    <w:p w14:paraId="21F70353" w14:textId="37A1035B" w:rsidR="0017175A" w:rsidRPr="00BC5F1D" w:rsidRDefault="0017175A" w:rsidP="0017175A">
      <w:pPr>
        <w:spacing w:line="360" w:lineRule="auto"/>
        <w:jc w:val="both"/>
        <w:rPr>
          <w:rFonts w:ascii="Arial" w:hAnsi="Arial" w:cs="Arial"/>
          <w:sz w:val="20"/>
          <w:szCs w:val="20"/>
          <w:lang w:val="en-US"/>
        </w:rPr>
      </w:pPr>
      <w:r w:rsidRPr="00BC5F1D">
        <w:rPr>
          <w:rFonts w:ascii="Arial" w:hAnsi="Arial" w:cs="Arial"/>
          <w:sz w:val="20"/>
          <w:szCs w:val="20"/>
          <w:lang w:val="en-US"/>
        </w:rPr>
        <w:t xml:space="preserve">The translocation of glucose transporter type 4 (GLUT4) is an important biological activity in the regulation of blood glucose levels in individuals. It is activated by insulin secreted into the cell, which triggers a cascade of reactions that lead to the movement of GLUT4 storage vesicles to the cell membrane, allowing glucose to enter. Finding foods, or better yet, molecules that can mimic insulin or substitute for it to significantly reduce the insulin response is a considerable challenge. In this context, the GLUT4 translocation activity of powders from </w:t>
      </w:r>
      <w:r w:rsidRPr="00BC5F1D">
        <w:rPr>
          <w:rFonts w:ascii="Arial" w:hAnsi="Arial" w:cs="Arial"/>
          <w:i/>
          <w:iCs/>
          <w:sz w:val="20"/>
          <w:szCs w:val="20"/>
          <w:lang w:val="en-US"/>
        </w:rPr>
        <w:t>A. digitata</w:t>
      </w:r>
      <w:r w:rsidRPr="00BC5F1D">
        <w:rPr>
          <w:rFonts w:ascii="Arial" w:hAnsi="Arial" w:cs="Arial"/>
          <w:sz w:val="20"/>
          <w:szCs w:val="20"/>
          <w:lang w:val="en-US"/>
        </w:rPr>
        <w:t xml:space="preserve">, </w:t>
      </w:r>
      <w:r w:rsidRPr="00BC5F1D">
        <w:rPr>
          <w:rFonts w:ascii="Arial" w:hAnsi="Arial" w:cs="Arial"/>
          <w:i/>
          <w:iCs/>
          <w:sz w:val="20"/>
          <w:szCs w:val="20"/>
          <w:lang w:val="en-US"/>
        </w:rPr>
        <w:t>C. olitorius</w:t>
      </w:r>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has been evaluated and is presented in Fig</w:t>
      </w:r>
      <w:r w:rsidR="00883578">
        <w:rPr>
          <w:rFonts w:ascii="Arial" w:hAnsi="Arial" w:cs="Arial"/>
          <w:sz w:val="20"/>
          <w:szCs w:val="20"/>
          <w:lang w:val="en-US"/>
        </w:rPr>
        <w:t>.</w:t>
      </w:r>
      <w:r w:rsidRPr="00BC5F1D">
        <w:rPr>
          <w:rFonts w:ascii="Arial" w:hAnsi="Arial" w:cs="Arial"/>
          <w:sz w:val="20"/>
          <w:szCs w:val="20"/>
          <w:lang w:val="en-US"/>
        </w:rPr>
        <w:t xml:space="preserve"> 1.</w:t>
      </w:r>
    </w:p>
    <w:p w14:paraId="1C473E74" w14:textId="589DC9A7" w:rsidR="0017175A" w:rsidRPr="00BC5F1D" w:rsidRDefault="0017175A" w:rsidP="0017175A">
      <w:pPr>
        <w:spacing w:line="360" w:lineRule="auto"/>
        <w:jc w:val="both"/>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1a shows the amount of GLUT4 translocated as a percentage of insulin (%Insulin) at different concentrations (50, 100, 200 µg/ml) of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extract over time (10, 20, 30 min). It is evident that both the duration of translocation activity and the concentration of extracts have highly significant effects (P = 0.0001, P = 0.0000, respectively) on the variations in the amount of GLUT4 translocated. However, the concentration of the extract has a greater effect (80.92%) compared to time (10.96%) on these variations. The values range from 35.65 ± 0.87 to 56.80 ± 0.20 %Insulin for a concentration of 50 µg/ml; 39.47 ± 0.13 to 66.77 ± 0.18 %Insulin for a concentration of 100 µg/ml; and 82.38 ± 0.32 to 90.61 ± 0.28 %Insulin for a concentration of 200 µg/ml. Notably, only the 200 µg/ml concentration shows the highest amount of GLUT4 translocated (90.61 ± 0.28 %Insulin) after 20 minutes of activity. This result indicates that the extracts from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at 200 µg/ml can activate GLUT4 translocation to 90.61% compared to insulin after 20 minutes of consumption.</w:t>
      </w:r>
    </w:p>
    <w:p w14:paraId="74339D90" w14:textId="33C0226F" w:rsidR="0017175A" w:rsidRPr="00BC5F1D" w:rsidRDefault="0017175A" w:rsidP="0017175A">
      <w:pPr>
        <w:spacing w:line="360" w:lineRule="auto"/>
        <w:jc w:val="both"/>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1b presents the amount of GLUT4 translocated as a percentage of insulin (%Insulin) at different concentrations (50, 100, 200 µg/ml) of </w:t>
      </w:r>
      <w:r w:rsidRPr="00BC5F1D">
        <w:rPr>
          <w:rFonts w:ascii="Arial" w:hAnsi="Arial" w:cs="Arial"/>
          <w:i/>
          <w:iCs/>
          <w:sz w:val="20"/>
          <w:szCs w:val="20"/>
          <w:lang w:val="en-US"/>
        </w:rPr>
        <w:t>C. olitorius</w:t>
      </w:r>
      <w:r w:rsidRPr="00BC5F1D">
        <w:rPr>
          <w:rFonts w:ascii="Arial" w:hAnsi="Arial" w:cs="Arial"/>
          <w:sz w:val="20"/>
          <w:szCs w:val="20"/>
          <w:lang w:val="en-US"/>
        </w:rPr>
        <w:t xml:space="preserve"> powder extract over time (10, 20, 30 min). Similar to the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both the duration of translocation activity and the concentration of extracts have </w:t>
      </w:r>
      <w:r w:rsidRPr="00BC5F1D">
        <w:rPr>
          <w:rFonts w:ascii="Arial" w:hAnsi="Arial" w:cs="Arial"/>
          <w:sz w:val="20"/>
          <w:szCs w:val="20"/>
          <w:lang w:val="en-US"/>
        </w:rPr>
        <w:lastRenderedPageBreak/>
        <w:t xml:space="preserve">highly significant effects (P = 0.0002, P = 0.0000, respectively) on the variations in GLUT4 translocation. Again, the concentration of the extract has a greater effect (75.53%) compared to time (13.19%). The values range from 38.96 ± 0.76 to 63.63 ± 0.14 %Insulin for a concentration of 50 µg/ml; 40.25 ± 0.74 to 68.65 ± 0.17 %Insulin for a concentration of 100 µg/ml; and 82.44 ± 0.13 to 92.53 ± 0.01 %Insulin for a concentration of 200 µg/ml. The extracts from </w:t>
      </w:r>
      <w:r w:rsidRPr="00BC5F1D">
        <w:rPr>
          <w:rFonts w:ascii="Arial" w:hAnsi="Arial" w:cs="Arial"/>
          <w:i/>
          <w:iCs/>
          <w:sz w:val="20"/>
          <w:szCs w:val="20"/>
          <w:lang w:val="en-US"/>
        </w:rPr>
        <w:t>C. olitorius</w:t>
      </w:r>
      <w:r w:rsidRPr="00BC5F1D">
        <w:rPr>
          <w:rFonts w:ascii="Arial" w:hAnsi="Arial" w:cs="Arial"/>
          <w:sz w:val="20"/>
          <w:szCs w:val="20"/>
          <w:lang w:val="en-US"/>
        </w:rPr>
        <w:t xml:space="preserve"> powder at 200 µg/ml can also activate GLUT4 translocation to 92.52% compared to insulin after 20 minutes of consumption.</w:t>
      </w:r>
    </w:p>
    <w:p w14:paraId="7B308AB4" w14:textId="5B2B1337" w:rsidR="0017175A" w:rsidRPr="00BC5F1D" w:rsidRDefault="0017175A" w:rsidP="0017175A">
      <w:pPr>
        <w:spacing w:line="360" w:lineRule="auto"/>
        <w:jc w:val="both"/>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1c illustrates the amount of GLUT4 translocated as a percentage of insulin (%Insulin) at different concentrations (50, 100, 200 µg/ml) of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extract over time (10, 20, 30 min). Both the duration of activity and the concentration of extracts have highly significant effects (P = 0.0000; P = 0.0000, respectively) on the variations in GLUT4 translocation. However, these effects are toxic, with these two factors accounting for 40.06% and 57.34%, respectively.</w:t>
      </w:r>
    </w:p>
    <w:p w14:paraId="54789262" w14:textId="09AC7CAB" w:rsidR="0017175A" w:rsidRPr="0017175A" w:rsidRDefault="0017175A" w:rsidP="00626D28">
      <w:pPr>
        <w:spacing w:line="360" w:lineRule="auto"/>
        <w:jc w:val="both"/>
        <w:rPr>
          <w:rFonts w:ascii="Times New Roman" w:hAnsi="Times New Roman" w:cs="Times New Roman"/>
          <w:lang w:val="en-US"/>
        </w:rPr>
        <w:sectPr w:rsidR="0017175A" w:rsidRPr="0017175A" w:rsidSect="000B582C">
          <w:headerReference w:type="even" r:id="rId8"/>
          <w:headerReference w:type="default" r:id="rId9"/>
          <w:footerReference w:type="default" r:id="rId10"/>
          <w:headerReference w:type="first" r:id="rId11"/>
          <w:type w:val="continuous"/>
          <w:pgSz w:w="11906" w:h="16838"/>
          <w:pgMar w:top="1417" w:right="1417" w:bottom="1417" w:left="1417" w:header="708" w:footer="708" w:gutter="0"/>
          <w:cols w:space="708"/>
          <w:docGrid w:linePitch="360"/>
        </w:sectPr>
      </w:pPr>
    </w:p>
    <w:bookmarkStart w:id="6" w:name="_Hlk189494718"/>
    <w:p w14:paraId="2E453DEB" w14:textId="36E44D91" w:rsidR="003B09B6" w:rsidRPr="005C1612" w:rsidRDefault="009A02E1" w:rsidP="003B09B6">
      <w:pPr>
        <w:spacing w:line="360" w:lineRule="auto"/>
        <w:rPr>
          <w:rFonts w:ascii="Times New Roman" w:hAnsi="Times New Roman" w:cs="Times New Roman"/>
          <w:lang w:val="en-US"/>
        </w:rPr>
      </w:pPr>
      <w:r>
        <w:rPr>
          <w:noProof/>
        </w:rPr>
        <w:lastRenderedPageBreak/>
        <mc:AlternateContent>
          <mc:Choice Requires="wps">
            <w:drawing>
              <wp:anchor distT="0" distB="0" distL="114300" distR="114300" simplePos="0" relativeHeight="251659264" behindDoc="0" locked="0" layoutInCell="1" allowOverlap="1" wp14:anchorId="0C4251D9" wp14:editId="035EFFAF">
                <wp:simplePos x="0" y="0"/>
                <wp:positionH relativeFrom="margin">
                  <wp:posOffset>4764026</wp:posOffset>
                </wp:positionH>
                <wp:positionV relativeFrom="paragraph">
                  <wp:posOffset>2953442</wp:posOffset>
                </wp:positionV>
                <wp:extent cx="4462818" cy="432757"/>
                <wp:effectExtent l="0" t="0" r="0" b="0"/>
                <wp:wrapNone/>
                <wp:docPr id="1826265886" name="Rectangle 34"/>
                <wp:cNvGraphicFramePr/>
                <a:graphic xmlns:a="http://schemas.openxmlformats.org/drawingml/2006/main">
                  <a:graphicData uri="http://schemas.microsoft.com/office/word/2010/wordprocessingShape">
                    <wps:wsp>
                      <wps:cNvSpPr/>
                      <wps:spPr>
                        <a:xfrm>
                          <a:off x="0" y="0"/>
                          <a:ext cx="4462818" cy="43275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728893" w14:textId="13E35FA4" w:rsidR="003B09B6" w:rsidRPr="00BC5F1D" w:rsidRDefault="00775F97" w:rsidP="00A35F8A">
                            <w:pPr>
                              <w:jc w:val="both"/>
                              <w:rPr>
                                <w:rFonts w:ascii="Arial" w:hAnsi="Arial" w:cs="Arial"/>
                                <w:color w:val="000000" w:themeColor="text1"/>
                                <w:sz w:val="18"/>
                                <w:szCs w:val="18"/>
                                <w:lang w:val="en-US"/>
                              </w:rPr>
                            </w:pPr>
                            <w:r w:rsidRPr="00BC5F1D">
                              <w:rPr>
                                <w:rFonts w:ascii="Arial" w:hAnsi="Arial" w:cs="Arial"/>
                                <w:b/>
                                <w:bCs/>
                                <w:color w:val="000000" w:themeColor="text1"/>
                                <w:sz w:val="18"/>
                                <w:szCs w:val="18"/>
                                <w:lang w:val="en-US"/>
                              </w:rPr>
                              <w:t>(b</w:t>
                            </w:r>
                            <w:r w:rsidR="00A35F8A" w:rsidRPr="00BC5F1D">
                              <w:rPr>
                                <w:rFonts w:ascii="Arial" w:hAnsi="Arial" w:cs="Arial"/>
                                <w:b/>
                                <w:bCs/>
                                <w:color w:val="000000" w:themeColor="text1"/>
                                <w:sz w:val="18"/>
                                <w:szCs w:val="18"/>
                                <w:lang w:val="en-US"/>
                              </w:rPr>
                              <w:t xml:space="preserve">) </w:t>
                            </w:r>
                            <w:r w:rsidRPr="00BC5F1D">
                              <w:rPr>
                                <w:rFonts w:ascii="Arial" w:hAnsi="Arial" w:cs="Arial"/>
                                <w:color w:val="000000" w:themeColor="text1"/>
                                <w:sz w:val="18"/>
                                <w:szCs w:val="18"/>
                                <w:lang w:val="en-US"/>
                              </w:rPr>
                              <w:t xml:space="preserve">The time effect: Sum of squares </w:t>
                            </w:r>
                            <w:r w:rsidRPr="00BC5F1D">
                              <w:rPr>
                                <w:rFonts w:ascii="Arial" w:hAnsi="Arial" w:cs="Arial"/>
                                <w:b/>
                                <w:bCs/>
                                <w:color w:val="000000" w:themeColor="text1"/>
                                <w:sz w:val="18"/>
                                <w:szCs w:val="18"/>
                                <w:lang w:val="en-US"/>
                              </w:rPr>
                              <w:t>= 13.19%, P = 0.0002;</w:t>
                            </w:r>
                            <w:r w:rsidRPr="00BC5F1D">
                              <w:rPr>
                                <w:rFonts w:ascii="Arial" w:hAnsi="Arial" w:cs="Arial"/>
                                <w:color w:val="000000" w:themeColor="text1"/>
                                <w:sz w:val="18"/>
                                <w:szCs w:val="18"/>
                                <w:lang w:val="en-US"/>
                              </w:rPr>
                              <w:t xml:space="preserve"> Extract concentration </w:t>
                            </w:r>
                            <w:r w:rsidR="00A35F8A" w:rsidRPr="00BC5F1D">
                              <w:rPr>
                                <w:rFonts w:ascii="Arial" w:hAnsi="Arial" w:cs="Arial"/>
                                <w:color w:val="000000" w:themeColor="text1"/>
                                <w:sz w:val="18"/>
                                <w:szCs w:val="18"/>
                                <w:lang w:val="en-US"/>
                              </w:rPr>
                              <w:t xml:space="preserve">       </w:t>
                            </w:r>
                            <w:r w:rsidRPr="00BC5F1D">
                              <w:rPr>
                                <w:rFonts w:ascii="Arial" w:hAnsi="Arial" w:cs="Arial"/>
                                <w:color w:val="000000" w:themeColor="text1"/>
                                <w:sz w:val="18"/>
                                <w:szCs w:val="18"/>
                                <w:lang w:val="en-US"/>
                              </w:rPr>
                              <w:t xml:space="preserve">effect: Sum of squares </w:t>
                            </w:r>
                            <w:r w:rsidRPr="00BC5F1D">
                              <w:rPr>
                                <w:rFonts w:ascii="Arial" w:hAnsi="Arial" w:cs="Arial"/>
                                <w:b/>
                                <w:bCs/>
                                <w:color w:val="000000" w:themeColor="text1"/>
                                <w:sz w:val="18"/>
                                <w:szCs w:val="18"/>
                                <w:lang w:val="en-US"/>
                              </w:rPr>
                              <w:t>= 75.53%, P = 0.0000</w:t>
                            </w:r>
                            <w:r w:rsidRPr="00BC5F1D">
                              <w:rPr>
                                <w:rFonts w:ascii="Arial" w:hAnsi="Arial" w:cs="Arial"/>
                                <w:color w:val="000000" w:themeColor="text1"/>
                                <w:sz w:val="18"/>
                                <w:szCs w:val="18"/>
                                <w:lang w:val="en-US"/>
                              </w:rPr>
                              <w:t>; Residual: Sum of squares = 11.26%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4251D9" id="Rectangle 34" o:spid="_x0000_s1026" style="position:absolute;margin-left:375.1pt;margin-top:232.55pt;width:351.4pt;height:3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QdcgIAAEEFAAAOAAAAZHJzL2Uyb0RvYy54bWysVEtP3DAQvlfqf7B8L0m2y6MrsmgFoqqE&#10;ABUqzl7HJpEcjzv2brL99R072SwF1EPVSzKexzcPf+Pzi741bKvQN2BLXhzlnCkroWrsc8l/PF5/&#10;OuPMB2ErYcCqku+U5xfLjx/OO7dQM6jBVAoZgVi/6FzJ6xDcIsu8rFUr/BE4ZcmoAVsR6IjPWYWi&#10;I/TWZLM8P8k6wMohSOU9aa8GI18mfK2VDHdaexWYKTnVFtIX03cdv9nyXCyeUbi6kWMZ4h+qaEVj&#10;KekEdSWCYBts3kC1jUTwoMORhDYDrRupUg/UTZG/6uahFk6lXmg43k1j8v8PVt5uH9w90hg65xee&#10;xNhFr7GNf6qP9WlYu2lYqg9MknI+P5mdFXS9kmzzz7PT49M4zewQ7dCHrwpaFoWSI11GmpHY3vgw&#10;uO5dYjIL140x6UKM/UNBmFGTHUpMUtgZFf2M/a40ayoqapYSJPaoS4NsK+jehZTKhmIw1aJSg7o4&#10;zvNEAIKfIlIDCTAiaypowh4BIjPfYg/tjP4xVCXyTcH53wobgqeIlBlsmILbxgK+B2CoqzHz4L8f&#10;0jCaOKXQr3tyieIaqt09MoRhC7yT1w3dzI3w4V4g0Z4WhFY53NFHG+hKDqPEWQ346z199Cc2kpWz&#10;jtao5P7nRqDizHyzxNMvxXwe9y4d5senMzrgS8v6pcVu2kugGyvo0XAyidE/mL2oEdon2vhVzEom&#10;YSXlLrkMuD9chmG96c2QarVKbrRrToQb++BkBI8Djsx77J8EupGegYh9C/uVE4tXLB18Y6SF1SaA&#10;bhKFD3MdR097mjg0vinxIXh5Tl6Hl2/5GwAA//8DAFBLAwQUAAYACAAAACEAmKd1ReEAAAAMAQAA&#10;DwAAAGRycy9kb3ducmV2LnhtbEyPy07DMBBF90j8gzVI7KjTpilViFMBEkKoC0Rp9449TSLicWQ7&#10;j/497gqWozm699xiN5uOjeh8a0nAcpEAQ1JWt1QLOH6/PWyB+SBJy84SCrigh115e1PIXNuJvnA8&#10;hJrFEPK5FNCE0Oece9WgkX5he6T4O1tnZIinq7l2corhpuOrJNlwI1uKDY3s8bVB9XMYjICTPb9M&#10;RlX0MV4+2+F975Ta7oW4v5ufn4AFnMMfDFf9qA5ldKrsQNqzTsBjlqwiKmC9yZbArsQ6S+O8SkCW&#10;pinwsuD/R5S/AAAA//8DAFBLAQItABQABgAIAAAAIQC2gziS/gAAAOEBAAATAAAAAAAAAAAAAAAA&#10;AAAAAABbQ29udGVudF9UeXBlc10ueG1sUEsBAi0AFAAGAAgAAAAhADj9If/WAAAAlAEAAAsAAAAA&#10;AAAAAAAAAAAALwEAAF9yZWxzLy5yZWxzUEsBAi0AFAAGAAgAAAAhADHVVB1yAgAAQQUAAA4AAAAA&#10;AAAAAAAAAAAALgIAAGRycy9lMm9Eb2MueG1sUEsBAi0AFAAGAAgAAAAhAJindUXhAAAADAEAAA8A&#10;AAAAAAAAAAAAAAAAzAQAAGRycy9kb3ducmV2LnhtbFBLBQYAAAAABAAEAPMAAADaBQAAAAA=&#10;" filled="f" stroked="f" strokeweight="1pt">
                <v:textbox>
                  <w:txbxContent>
                    <w:p w14:paraId="63728893" w14:textId="13E35FA4" w:rsidR="003B09B6" w:rsidRPr="00BC5F1D" w:rsidRDefault="00775F97" w:rsidP="00A35F8A">
                      <w:pPr>
                        <w:jc w:val="both"/>
                        <w:rPr>
                          <w:rFonts w:ascii="Arial" w:hAnsi="Arial" w:cs="Arial"/>
                          <w:color w:val="000000" w:themeColor="text1"/>
                          <w:sz w:val="18"/>
                          <w:szCs w:val="18"/>
                          <w:lang w:val="en-US"/>
                        </w:rPr>
                      </w:pPr>
                      <w:r w:rsidRPr="00BC5F1D">
                        <w:rPr>
                          <w:rFonts w:ascii="Arial" w:hAnsi="Arial" w:cs="Arial"/>
                          <w:b/>
                          <w:bCs/>
                          <w:color w:val="000000" w:themeColor="text1"/>
                          <w:sz w:val="18"/>
                          <w:szCs w:val="18"/>
                          <w:lang w:val="en-US"/>
                        </w:rPr>
                        <w:t>(b</w:t>
                      </w:r>
                      <w:r w:rsidR="00A35F8A" w:rsidRPr="00BC5F1D">
                        <w:rPr>
                          <w:rFonts w:ascii="Arial" w:hAnsi="Arial" w:cs="Arial"/>
                          <w:b/>
                          <w:bCs/>
                          <w:color w:val="000000" w:themeColor="text1"/>
                          <w:sz w:val="18"/>
                          <w:szCs w:val="18"/>
                          <w:lang w:val="en-US"/>
                        </w:rPr>
                        <w:t xml:space="preserve">) </w:t>
                      </w:r>
                      <w:r w:rsidRPr="00BC5F1D">
                        <w:rPr>
                          <w:rFonts w:ascii="Arial" w:hAnsi="Arial" w:cs="Arial"/>
                          <w:color w:val="000000" w:themeColor="text1"/>
                          <w:sz w:val="18"/>
                          <w:szCs w:val="18"/>
                          <w:lang w:val="en-US"/>
                        </w:rPr>
                        <w:t xml:space="preserve">The time effect: Sum of squares </w:t>
                      </w:r>
                      <w:r w:rsidRPr="00BC5F1D">
                        <w:rPr>
                          <w:rFonts w:ascii="Arial" w:hAnsi="Arial" w:cs="Arial"/>
                          <w:b/>
                          <w:bCs/>
                          <w:color w:val="000000" w:themeColor="text1"/>
                          <w:sz w:val="18"/>
                          <w:szCs w:val="18"/>
                          <w:lang w:val="en-US"/>
                        </w:rPr>
                        <w:t>= 13.19%, P = 0.0002;</w:t>
                      </w:r>
                      <w:r w:rsidRPr="00BC5F1D">
                        <w:rPr>
                          <w:rFonts w:ascii="Arial" w:hAnsi="Arial" w:cs="Arial"/>
                          <w:color w:val="000000" w:themeColor="text1"/>
                          <w:sz w:val="18"/>
                          <w:szCs w:val="18"/>
                          <w:lang w:val="en-US"/>
                        </w:rPr>
                        <w:t xml:space="preserve"> Extract concentration </w:t>
                      </w:r>
                      <w:r w:rsidR="00A35F8A" w:rsidRPr="00BC5F1D">
                        <w:rPr>
                          <w:rFonts w:ascii="Arial" w:hAnsi="Arial" w:cs="Arial"/>
                          <w:color w:val="000000" w:themeColor="text1"/>
                          <w:sz w:val="18"/>
                          <w:szCs w:val="18"/>
                          <w:lang w:val="en-US"/>
                        </w:rPr>
                        <w:t xml:space="preserve">       </w:t>
                      </w:r>
                      <w:r w:rsidRPr="00BC5F1D">
                        <w:rPr>
                          <w:rFonts w:ascii="Arial" w:hAnsi="Arial" w:cs="Arial"/>
                          <w:color w:val="000000" w:themeColor="text1"/>
                          <w:sz w:val="18"/>
                          <w:szCs w:val="18"/>
                          <w:lang w:val="en-US"/>
                        </w:rPr>
                        <w:t xml:space="preserve">effect: Sum of squares </w:t>
                      </w:r>
                      <w:r w:rsidRPr="00BC5F1D">
                        <w:rPr>
                          <w:rFonts w:ascii="Arial" w:hAnsi="Arial" w:cs="Arial"/>
                          <w:b/>
                          <w:bCs/>
                          <w:color w:val="000000" w:themeColor="text1"/>
                          <w:sz w:val="18"/>
                          <w:szCs w:val="18"/>
                          <w:lang w:val="en-US"/>
                        </w:rPr>
                        <w:t>= 75.53%, P = 0.0000</w:t>
                      </w:r>
                      <w:r w:rsidRPr="00BC5F1D">
                        <w:rPr>
                          <w:rFonts w:ascii="Arial" w:hAnsi="Arial" w:cs="Arial"/>
                          <w:color w:val="000000" w:themeColor="text1"/>
                          <w:sz w:val="18"/>
                          <w:szCs w:val="18"/>
                          <w:lang w:val="en-US"/>
                        </w:rPr>
                        <w:t>; Residual: Sum of squares = 11.26%</w:t>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42206C2F" wp14:editId="45954C89">
                <wp:simplePos x="0" y="0"/>
                <wp:positionH relativeFrom="margin">
                  <wp:posOffset>-442595</wp:posOffset>
                </wp:positionH>
                <wp:positionV relativeFrom="paragraph">
                  <wp:posOffset>2925829</wp:posOffset>
                </wp:positionV>
                <wp:extent cx="4710223" cy="467833"/>
                <wp:effectExtent l="0" t="0" r="0" b="0"/>
                <wp:wrapNone/>
                <wp:docPr id="2063820062" name="Rectangle 34"/>
                <wp:cNvGraphicFramePr/>
                <a:graphic xmlns:a="http://schemas.openxmlformats.org/drawingml/2006/main">
                  <a:graphicData uri="http://schemas.microsoft.com/office/word/2010/wordprocessingShape">
                    <wps:wsp>
                      <wps:cNvSpPr/>
                      <wps:spPr>
                        <a:xfrm>
                          <a:off x="0" y="0"/>
                          <a:ext cx="4710223" cy="46783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EDB82A" w14:textId="1891443F" w:rsidR="00775F97" w:rsidRPr="00BC5F1D" w:rsidRDefault="00775F97" w:rsidP="00A35F8A">
                            <w:pPr>
                              <w:pStyle w:val="ListParagraph"/>
                              <w:numPr>
                                <w:ilvl w:val="0"/>
                                <w:numId w:val="5"/>
                              </w:numPr>
                              <w:jc w:val="both"/>
                              <w:rPr>
                                <w:rFonts w:ascii="Arial" w:hAnsi="Arial" w:cs="Arial"/>
                                <w:color w:val="000000" w:themeColor="text1"/>
                                <w:sz w:val="20"/>
                                <w:szCs w:val="20"/>
                                <w:lang w:val="en-US"/>
                              </w:rPr>
                            </w:pPr>
                            <w:r w:rsidRPr="00BC5F1D">
                              <w:rPr>
                                <w:rFonts w:ascii="Arial" w:hAnsi="Arial" w:cs="Arial"/>
                                <w:color w:val="000000" w:themeColor="text1"/>
                                <w:sz w:val="18"/>
                                <w:szCs w:val="18"/>
                                <w:lang w:val="en-US"/>
                              </w:rPr>
                              <w:t xml:space="preserve"> The time effect: Sum of squares = </w:t>
                            </w:r>
                            <w:r w:rsidRPr="00BC5F1D">
                              <w:rPr>
                                <w:rFonts w:ascii="Arial" w:hAnsi="Arial" w:cs="Arial"/>
                                <w:b/>
                                <w:bCs/>
                                <w:color w:val="000000" w:themeColor="text1"/>
                                <w:sz w:val="18"/>
                                <w:szCs w:val="18"/>
                                <w:lang w:val="en-US"/>
                              </w:rPr>
                              <w:t>10.96%, P = 0.0001</w:t>
                            </w:r>
                            <w:r w:rsidRPr="00BC5F1D">
                              <w:rPr>
                                <w:rFonts w:ascii="Arial" w:hAnsi="Arial" w:cs="Arial"/>
                                <w:color w:val="000000" w:themeColor="text1"/>
                                <w:sz w:val="18"/>
                                <w:szCs w:val="18"/>
                                <w:lang w:val="en-US"/>
                              </w:rPr>
                              <w:t xml:space="preserve">; Extract concentration effect: Sum of squares </w:t>
                            </w:r>
                            <w:r w:rsidRPr="00BC5F1D">
                              <w:rPr>
                                <w:rFonts w:ascii="Arial" w:hAnsi="Arial" w:cs="Arial"/>
                                <w:b/>
                                <w:bCs/>
                                <w:color w:val="000000" w:themeColor="text1"/>
                                <w:sz w:val="18"/>
                                <w:szCs w:val="18"/>
                                <w:lang w:val="en-US"/>
                              </w:rPr>
                              <w:t>= 80.92%, P = 0.0000</w:t>
                            </w:r>
                            <w:r w:rsidRPr="00BC5F1D">
                              <w:rPr>
                                <w:rFonts w:ascii="Arial" w:hAnsi="Arial" w:cs="Arial"/>
                                <w:color w:val="000000" w:themeColor="text1"/>
                                <w:sz w:val="18"/>
                                <w:szCs w:val="18"/>
                                <w:lang w:val="en-US"/>
                              </w:rPr>
                              <w:t>; Residual: Sum of squares = 8.11%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206C2F" id="_x0000_s1027" style="position:absolute;margin-left:-34.85pt;margin-top:230.4pt;width:370.9pt;height:3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8SdwIAAEgFAAAOAAAAZHJzL2Uyb0RvYy54bWysVEtv2zAMvg/YfxB0X22n6WNBnSJo0WFA&#10;0RVrh54VWaoNyKJGKbGzXz9KdpyuLXYYdrElPj6SH0ldXPatYVuFvgFb8uIo50xZCVVjn0v+4/Hm&#10;0zlnPghbCQNWlXynPL9cfvxw0bmFmkENplLICMT6RedKXofgFlnmZa1a4Y/AKUtKDdiKQFd8zioU&#10;HaG3Jpvl+WnWAVYOQSrvSXo9KPky4WutZPimtVeBmZJTbiF9MX3X8ZstL8TiGYWrGzmmIf4hi1Y0&#10;loJOUNciCLbB5g1U20gEDzocSWgz0LqRKtVA1RT5q2oeauFUqoXI8W6iyf8/WHm3fXD3SDR0zi88&#10;HWMVvcY2/ik/1ieydhNZqg9MknB+VuSz2TFnknTz07Pz4+PIZnbwdujDFwUti4eSIzUjcSS2tz4M&#10;pnuTGMzCTWNMaoixfwgIM0qyQ4rpFHZGRTtjvyvNmoqSmqUAaXrUlUG2FdR3IaWyoRhUtajUIC5O&#10;8jwNAMFPHqmABBiRNSU0YY8AcTLfYg/ljPbRVaXhm5zzvyU2OE8eKTLYMDm3jQV8D8BQVWPkwX5P&#10;0kBNZCn06564od2MllGyhmp3jwxhWAbv5E1DDboVPtwLpOmnPaGNDt/oow10JYfxxFkN+Os9ebSn&#10;oSQtZx1tU8n9z41AxZn5amlcPxfzeVy/dJmfnM3ogi8165cau2mvgBpX0NvhZDpG+2D2R43QPtHi&#10;r2JUUgkrKXbJZcD95SoMW05Ph1SrVTKjlXMi3NoHJyN45DkO4GP/JNCNUxpovu9gv3li8WpYB9vo&#10;aWG1CaCbNMkHXscO0LqmURqflvgevLwnq8MDuPwNAAD//wMAUEsDBBQABgAIAAAAIQAXJA384QAA&#10;AAsBAAAPAAAAZHJzL2Rvd25yZXYueG1sTI/LTsMwEEX3SPyDNUjsWqelTUvIpAIkhFAXiNLuHdtN&#10;IuJxZDuP/j1mVZajObr33Hw3mZYN2vnGEsJingDTJK1qqEI4fr/NtsB8EKREa0kjXLSHXXF7k4tM&#10;2ZG+9HAIFYsh5DOBUIfQZZx7WWsj/Nx2muLvbJ0RIZ6u4sqJMYabli+TJOVGNBQbatHp11rLn0Nv&#10;EE72/DIaWdLHcPls+ve9k3K7R7y/m56fgAU9hSsMf/pRHYroVNqelGctwix93EQUYZUmcUMk0s1y&#10;AaxEWD+s1sCLnP/fUPwCAAD//wMAUEsBAi0AFAAGAAgAAAAhALaDOJL+AAAA4QEAABMAAAAAAAAA&#10;AAAAAAAAAAAAAFtDb250ZW50X1R5cGVzXS54bWxQSwECLQAUAAYACAAAACEAOP0h/9YAAACUAQAA&#10;CwAAAAAAAAAAAAAAAAAvAQAAX3JlbHMvLnJlbHNQSwECLQAUAAYACAAAACEAhcY/EncCAABIBQAA&#10;DgAAAAAAAAAAAAAAAAAuAgAAZHJzL2Uyb0RvYy54bWxQSwECLQAUAAYACAAAACEAFyQN/OEAAAAL&#10;AQAADwAAAAAAAAAAAAAAAADRBAAAZHJzL2Rvd25yZXYueG1sUEsFBgAAAAAEAAQA8wAAAN8FAAAA&#10;AA==&#10;" filled="f" stroked="f" strokeweight="1pt">
                <v:textbox>
                  <w:txbxContent>
                    <w:p w14:paraId="34EDB82A" w14:textId="1891443F" w:rsidR="00775F97" w:rsidRPr="00BC5F1D" w:rsidRDefault="00775F97" w:rsidP="00A35F8A">
                      <w:pPr>
                        <w:pStyle w:val="Paragraphedeliste"/>
                        <w:numPr>
                          <w:ilvl w:val="0"/>
                          <w:numId w:val="5"/>
                        </w:numPr>
                        <w:jc w:val="both"/>
                        <w:rPr>
                          <w:rFonts w:ascii="Arial" w:hAnsi="Arial" w:cs="Arial"/>
                          <w:color w:val="000000" w:themeColor="text1"/>
                          <w:sz w:val="20"/>
                          <w:szCs w:val="20"/>
                          <w:lang w:val="en-US"/>
                        </w:rPr>
                      </w:pPr>
                      <w:r w:rsidRPr="00BC5F1D">
                        <w:rPr>
                          <w:rFonts w:ascii="Arial" w:hAnsi="Arial" w:cs="Arial"/>
                          <w:color w:val="000000" w:themeColor="text1"/>
                          <w:sz w:val="18"/>
                          <w:szCs w:val="18"/>
                          <w:lang w:val="en-US"/>
                        </w:rPr>
                        <w:t xml:space="preserve"> The time effect: Sum of squares = </w:t>
                      </w:r>
                      <w:r w:rsidRPr="00BC5F1D">
                        <w:rPr>
                          <w:rFonts w:ascii="Arial" w:hAnsi="Arial" w:cs="Arial"/>
                          <w:b/>
                          <w:bCs/>
                          <w:color w:val="000000" w:themeColor="text1"/>
                          <w:sz w:val="18"/>
                          <w:szCs w:val="18"/>
                          <w:lang w:val="en-US"/>
                        </w:rPr>
                        <w:t>10.96%, P = 0.0001</w:t>
                      </w:r>
                      <w:r w:rsidRPr="00BC5F1D">
                        <w:rPr>
                          <w:rFonts w:ascii="Arial" w:hAnsi="Arial" w:cs="Arial"/>
                          <w:color w:val="000000" w:themeColor="text1"/>
                          <w:sz w:val="18"/>
                          <w:szCs w:val="18"/>
                          <w:lang w:val="en-US"/>
                        </w:rPr>
                        <w:t xml:space="preserve">; Extract concentration effect: Sum of squares </w:t>
                      </w:r>
                      <w:r w:rsidRPr="00BC5F1D">
                        <w:rPr>
                          <w:rFonts w:ascii="Arial" w:hAnsi="Arial" w:cs="Arial"/>
                          <w:b/>
                          <w:bCs/>
                          <w:color w:val="000000" w:themeColor="text1"/>
                          <w:sz w:val="18"/>
                          <w:szCs w:val="18"/>
                          <w:lang w:val="en-US"/>
                        </w:rPr>
                        <w:t>= 80.92%, P = 0.0000</w:t>
                      </w:r>
                      <w:r w:rsidRPr="00BC5F1D">
                        <w:rPr>
                          <w:rFonts w:ascii="Arial" w:hAnsi="Arial" w:cs="Arial"/>
                          <w:color w:val="000000" w:themeColor="text1"/>
                          <w:sz w:val="18"/>
                          <w:szCs w:val="18"/>
                          <w:lang w:val="en-US"/>
                        </w:rPr>
                        <w:t>; Residual: Sum of squares = 8.11%</w:t>
                      </w:r>
                    </w:p>
                  </w:txbxContent>
                </v:textbox>
                <w10:wrap anchorx="margin"/>
              </v:rect>
            </w:pict>
          </mc:Fallback>
        </mc:AlternateContent>
      </w:r>
      <w:r w:rsidR="000F57C0">
        <w:object w:dxaOrig="14074" w:dyaOrig="9520" w14:anchorId="7A8CC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95pt;height:225.35pt" o:ole="">
            <v:imagedata r:id="rId12" o:title=""/>
          </v:shape>
          <o:OLEObject Type="Embed" ProgID="Unknown" ShapeID="_x0000_i1025" DrawAspect="Content" ObjectID="_1801555638" r:id="rId13"/>
        </w:object>
      </w:r>
      <w:r w:rsidR="00775F97" w:rsidRPr="005C1612">
        <w:rPr>
          <w:rFonts w:ascii="Times New Roman" w:hAnsi="Times New Roman" w:cs="Times New Roman"/>
          <w:lang w:val="en-US"/>
        </w:rPr>
        <w:t xml:space="preserve">    </w:t>
      </w:r>
      <w:r w:rsidR="003B09B6" w:rsidRPr="005C1612">
        <w:rPr>
          <w:lang w:val="en-US"/>
        </w:rPr>
        <w:t xml:space="preserve">    </w:t>
      </w:r>
      <w:r w:rsidR="000F57C0">
        <w:object w:dxaOrig="13969" w:dyaOrig="9520" w14:anchorId="241A47A8">
          <v:shape id="_x0000_i1026" type="#_x0000_t75" style="width:330.1pt;height:225.35pt" o:ole="">
            <v:imagedata r:id="rId14" o:title=""/>
          </v:shape>
          <o:OLEObject Type="Embed" ProgID="Unknown" ShapeID="_x0000_i1026" DrawAspect="Content" ObjectID="_1801555639" r:id="rId15"/>
        </w:object>
      </w:r>
    </w:p>
    <w:p w14:paraId="32567AA4" w14:textId="00136DDD" w:rsidR="00251C08" w:rsidRPr="00B64D85" w:rsidRDefault="009A02E1" w:rsidP="003B09B6">
      <w:pPr>
        <w:spacing w:line="360" w:lineRule="auto"/>
        <w:rPr>
          <w:rFonts w:ascii="Times New Roman" w:hAnsi="Times New Roman" w:cs="Times New Roman"/>
          <w:lang w:val="en-US"/>
        </w:rPr>
        <w:sectPr w:rsidR="00251C08" w:rsidRPr="00B64D85" w:rsidSect="000B582C">
          <w:type w:val="continuous"/>
          <w:pgSz w:w="16838" w:h="11906" w:orient="landscape"/>
          <w:pgMar w:top="851" w:right="1417" w:bottom="1417" w:left="1417" w:header="708" w:footer="708" w:gutter="0"/>
          <w:cols w:space="708"/>
          <w:docGrid w:linePitch="360"/>
        </w:sectPr>
      </w:pPr>
      <w:r>
        <w:rPr>
          <w:noProof/>
        </w:rPr>
        <mc:AlternateContent>
          <mc:Choice Requires="wps">
            <w:drawing>
              <wp:anchor distT="0" distB="0" distL="114300" distR="114300" simplePos="0" relativeHeight="251663360" behindDoc="0" locked="0" layoutInCell="1" allowOverlap="1" wp14:anchorId="7C18DB6F" wp14:editId="73BC6620">
                <wp:simplePos x="0" y="0"/>
                <wp:positionH relativeFrom="margin">
                  <wp:posOffset>-108225</wp:posOffset>
                </wp:positionH>
                <wp:positionV relativeFrom="paragraph">
                  <wp:posOffset>2841616</wp:posOffset>
                </wp:positionV>
                <wp:extent cx="4722126" cy="424815"/>
                <wp:effectExtent l="0" t="0" r="0" b="0"/>
                <wp:wrapNone/>
                <wp:docPr id="10816754" name="Rectangle 34"/>
                <wp:cNvGraphicFramePr/>
                <a:graphic xmlns:a="http://schemas.openxmlformats.org/drawingml/2006/main">
                  <a:graphicData uri="http://schemas.microsoft.com/office/word/2010/wordprocessingShape">
                    <wps:wsp>
                      <wps:cNvSpPr/>
                      <wps:spPr>
                        <a:xfrm>
                          <a:off x="0" y="0"/>
                          <a:ext cx="4722126" cy="4248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7C3019" w14:textId="403FAD20" w:rsidR="00A35F8A" w:rsidRPr="00BC5F1D" w:rsidRDefault="00A35F8A" w:rsidP="00A35F8A">
                            <w:pPr>
                              <w:jc w:val="both"/>
                              <w:rPr>
                                <w:rFonts w:ascii="Arial" w:hAnsi="Arial" w:cs="Arial"/>
                                <w:color w:val="000000" w:themeColor="text1"/>
                                <w:sz w:val="20"/>
                                <w:szCs w:val="20"/>
                                <w:lang w:val="en-US"/>
                              </w:rPr>
                            </w:pPr>
                            <w:r w:rsidRPr="00BC5F1D">
                              <w:rPr>
                                <w:rFonts w:ascii="Arial" w:hAnsi="Arial" w:cs="Arial"/>
                                <w:b/>
                                <w:bCs/>
                                <w:color w:val="000000" w:themeColor="text1"/>
                                <w:sz w:val="18"/>
                                <w:szCs w:val="18"/>
                                <w:lang w:val="en-US"/>
                              </w:rPr>
                              <w:t xml:space="preserve">(c) </w:t>
                            </w:r>
                            <w:r w:rsidRPr="00BC5F1D">
                              <w:rPr>
                                <w:rFonts w:ascii="Arial" w:hAnsi="Arial" w:cs="Arial"/>
                                <w:color w:val="000000" w:themeColor="text1"/>
                                <w:sz w:val="18"/>
                                <w:szCs w:val="18"/>
                                <w:lang w:val="en-US"/>
                              </w:rPr>
                              <w:t xml:space="preserve">The time effect: Sum of squares </w:t>
                            </w:r>
                            <w:r w:rsidRPr="00BC5F1D">
                              <w:rPr>
                                <w:rFonts w:ascii="Arial" w:hAnsi="Arial" w:cs="Arial"/>
                                <w:b/>
                                <w:bCs/>
                                <w:color w:val="000000" w:themeColor="text1"/>
                                <w:sz w:val="18"/>
                                <w:szCs w:val="18"/>
                                <w:lang w:val="en-US"/>
                              </w:rPr>
                              <w:t>= 40.06%,</w:t>
                            </w:r>
                            <w:r w:rsidRPr="00BC5F1D">
                              <w:rPr>
                                <w:rFonts w:ascii="Arial" w:hAnsi="Arial" w:cs="Arial"/>
                                <w:color w:val="000000" w:themeColor="text1"/>
                                <w:sz w:val="18"/>
                                <w:szCs w:val="18"/>
                                <w:lang w:val="en-US"/>
                              </w:rPr>
                              <w:t xml:space="preserve"> </w:t>
                            </w:r>
                            <w:r w:rsidRPr="00BC5F1D">
                              <w:rPr>
                                <w:rFonts w:ascii="Arial" w:hAnsi="Arial" w:cs="Arial"/>
                                <w:b/>
                                <w:bCs/>
                                <w:color w:val="000000" w:themeColor="text1"/>
                                <w:sz w:val="18"/>
                                <w:szCs w:val="18"/>
                                <w:lang w:val="en-US"/>
                              </w:rPr>
                              <w:t>P = 0.0000</w:t>
                            </w:r>
                            <w:r w:rsidRPr="00BC5F1D">
                              <w:rPr>
                                <w:rFonts w:ascii="Arial" w:hAnsi="Arial" w:cs="Arial"/>
                                <w:color w:val="000000" w:themeColor="text1"/>
                                <w:sz w:val="18"/>
                                <w:szCs w:val="18"/>
                                <w:lang w:val="en-US"/>
                              </w:rPr>
                              <w:t xml:space="preserve">; Extract concentration effect: Sum of squares </w:t>
                            </w:r>
                            <w:r w:rsidRPr="00BC5F1D">
                              <w:rPr>
                                <w:rFonts w:ascii="Arial" w:hAnsi="Arial" w:cs="Arial"/>
                                <w:b/>
                                <w:bCs/>
                                <w:color w:val="000000" w:themeColor="text1"/>
                                <w:sz w:val="18"/>
                                <w:szCs w:val="18"/>
                                <w:lang w:val="en-US"/>
                              </w:rPr>
                              <w:t>= 57.34%,</w:t>
                            </w:r>
                            <w:r w:rsidRPr="00BC5F1D">
                              <w:rPr>
                                <w:rFonts w:ascii="Arial" w:hAnsi="Arial" w:cs="Arial"/>
                                <w:color w:val="000000" w:themeColor="text1"/>
                                <w:sz w:val="18"/>
                                <w:szCs w:val="18"/>
                                <w:lang w:val="en-US"/>
                              </w:rPr>
                              <w:t xml:space="preserve"> </w:t>
                            </w:r>
                            <w:r w:rsidRPr="00BC5F1D">
                              <w:rPr>
                                <w:rFonts w:ascii="Arial" w:hAnsi="Arial" w:cs="Arial"/>
                                <w:b/>
                                <w:bCs/>
                                <w:color w:val="000000" w:themeColor="text1"/>
                                <w:sz w:val="18"/>
                                <w:szCs w:val="18"/>
                                <w:lang w:val="en-US"/>
                              </w:rPr>
                              <w:t>P = 0.0000</w:t>
                            </w:r>
                            <w:r w:rsidRPr="00BC5F1D">
                              <w:rPr>
                                <w:rFonts w:ascii="Arial" w:hAnsi="Arial" w:cs="Arial"/>
                                <w:color w:val="000000" w:themeColor="text1"/>
                                <w:sz w:val="18"/>
                                <w:szCs w:val="18"/>
                                <w:lang w:val="en-US"/>
                              </w:rPr>
                              <w:t>; Residual: Sum of squares = 2.60%</w:t>
                            </w:r>
                          </w:p>
                          <w:p w14:paraId="7C4120F1" w14:textId="77777777" w:rsidR="00A35F8A" w:rsidRPr="00BC5F1D" w:rsidRDefault="00A35F8A" w:rsidP="00A35F8A">
                            <w:pPr>
                              <w:jc w:val="center"/>
                              <w:rPr>
                                <w:rFonts w:ascii="Arial" w:hAnsi="Arial" w:cs="Arial"/>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18DB6F" id="_x0000_s1028" style="position:absolute;margin-left:-8.5pt;margin-top:223.75pt;width:371.8pt;height:3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RUdgIAAEgFAAAOAAAAZHJzL2Uyb0RvYy54bWysVEtv2zAMvg/YfxB0Xx0b6WNBnSJo0WFA&#10;0RZth54VWaoNyKJGKbGzXz9KdpyuLXYYdrElPj6SH0mdX/StYVuFvgFb8vxoxpmyEqrGvpT8x9P1&#10;lzPOfBC2EgasKvlOeX6x/PzpvHMLVUANplLICMT6RedKXofgFlnmZa1a4Y/AKUtKDdiKQFd8ySoU&#10;HaG3Jitms5OsA6wcglTek/RqUPJlwtdayXCntVeBmZJTbiF9MX3X8Zstz8XiBYWrGzmmIf4hi1Y0&#10;loJOUFciCLbB5h1U20gEDzocSWgz0LqRKtVA1eSzN9U81sKpVAuR491Ek/9/sPJ2++jukWjonF94&#10;OsYqeo1t/FN+rE9k7SayVB+YJOH8tCjy4oQzSbp5MT/LjyOb2cHboQ/fFLQsHkqO1IzEkdje+DCY&#10;7k1iMAvXjTGpIcb+ISDMKMkOKaZT2BkV7Yx9UJo1FSVVpABpetSlQbYV1HchpbIhH1S1qNQgzo9n&#10;szQABD95pAISYETWlNCEPQLEyXyPPZQz2kdXlYZvcp79LbHBefJIkcGGybltLOBHAIaqGiMP9nuS&#10;BmoiS6Ff98RNpIYso2QN1e4eGcKwDN7J64YadCN8uBdI0097Qhsd7uijDXQlh/HEWQ346yN5tKeh&#10;JC1nHW1Tyf3PjUDFmfluaVy/5vN5XL90mR+fFnTB15r1a43dtJdAjcvp7XAyHaN9MPujRmifafFX&#10;MSqphJUUu+Qy4P5yGYYtp6dDqtUqmdHKORFu7KOTETzyHAfwqX8W6MYpDTTft7DfPLF4M6yDbfS0&#10;sNoE0E2a5AOvYwdoXdMojU9LfA9e35PV4QFc/gYAAP//AwBQSwMEFAAGAAgAAAAhAPCdUqPhAAAA&#10;CwEAAA8AAABkcnMvZG93bnJldi54bWxMj81OwzAQhO9IvIO1SNxaJ1WaVGk2FSAhhHpAFLg7tptE&#10;jddR7Pz07TEnehzNaOab4rCYjk16cK0lhHgdAdMkrWqpRvj+el3tgDkvSInOkka4ageH8v6uELmy&#10;M33q6eRrFkrI5QKh8b7POXey0Ua4te01Be9sByN8kEPN1SDmUG46vomilBvRUlhoRK9fGi0vp9Eg&#10;/Njz82xkRe/T9aMd346DlLsj4uPD8rQH5vXi/8Pwhx/QoQxMlR1JOdYhrOIsfPEISZJtgYVEtklT&#10;YBXCNk4S4GXBbz+UvwAAAP//AwBQSwECLQAUAAYACAAAACEAtoM4kv4AAADhAQAAEwAAAAAAAAAA&#10;AAAAAAAAAAAAW0NvbnRlbnRfVHlwZXNdLnhtbFBLAQItABQABgAIAAAAIQA4/SH/1gAAAJQBAAAL&#10;AAAAAAAAAAAAAAAAAC8BAABfcmVscy8ucmVsc1BLAQItABQABgAIAAAAIQAcdcRUdgIAAEgFAAAO&#10;AAAAAAAAAAAAAAAAAC4CAABkcnMvZTJvRG9jLnhtbFBLAQItABQABgAIAAAAIQDwnVKj4QAAAAsB&#10;AAAPAAAAAAAAAAAAAAAAANAEAABkcnMvZG93bnJldi54bWxQSwUGAAAAAAQABADzAAAA3gUAAAAA&#10;" filled="f" stroked="f" strokeweight="1pt">
                <v:textbox>
                  <w:txbxContent>
                    <w:p w14:paraId="487C3019" w14:textId="403FAD20" w:rsidR="00A35F8A" w:rsidRPr="00BC5F1D" w:rsidRDefault="00A35F8A" w:rsidP="00A35F8A">
                      <w:pPr>
                        <w:jc w:val="both"/>
                        <w:rPr>
                          <w:rFonts w:ascii="Arial" w:hAnsi="Arial" w:cs="Arial"/>
                          <w:color w:val="000000" w:themeColor="text1"/>
                          <w:sz w:val="20"/>
                          <w:szCs w:val="20"/>
                          <w:lang w:val="en-US"/>
                        </w:rPr>
                      </w:pPr>
                      <w:r w:rsidRPr="00BC5F1D">
                        <w:rPr>
                          <w:rFonts w:ascii="Arial" w:hAnsi="Arial" w:cs="Arial"/>
                          <w:b/>
                          <w:bCs/>
                          <w:color w:val="000000" w:themeColor="text1"/>
                          <w:sz w:val="18"/>
                          <w:szCs w:val="18"/>
                          <w:lang w:val="en-US"/>
                        </w:rPr>
                        <w:t xml:space="preserve">(c) </w:t>
                      </w:r>
                      <w:r w:rsidRPr="00BC5F1D">
                        <w:rPr>
                          <w:rFonts w:ascii="Arial" w:hAnsi="Arial" w:cs="Arial"/>
                          <w:color w:val="000000" w:themeColor="text1"/>
                          <w:sz w:val="18"/>
                          <w:szCs w:val="18"/>
                          <w:lang w:val="en-US"/>
                        </w:rPr>
                        <w:t xml:space="preserve">The time effect: Sum of squares </w:t>
                      </w:r>
                      <w:r w:rsidRPr="00BC5F1D">
                        <w:rPr>
                          <w:rFonts w:ascii="Arial" w:hAnsi="Arial" w:cs="Arial"/>
                          <w:b/>
                          <w:bCs/>
                          <w:color w:val="000000" w:themeColor="text1"/>
                          <w:sz w:val="18"/>
                          <w:szCs w:val="18"/>
                          <w:lang w:val="en-US"/>
                        </w:rPr>
                        <w:t>= 40.06%,</w:t>
                      </w:r>
                      <w:r w:rsidRPr="00BC5F1D">
                        <w:rPr>
                          <w:rFonts w:ascii="Arial" w:hAnsi="Arial" w:cs="Arial"/>
                          <w:color w:val="000000" w:themeColor="text1"/>
                          <w:sz w:val="18"/>
                          <w:szCs w:val="18"/>
                          <w:lang w:val="en-US"/>
                        </w:rPr>
                        <w:t xml:space="preserve"> </w:t>
                      </w:r>
                      <w:r w:rsidRPr="00BC5F1D">
                        <w:rPr>
                          <w:rFonts w:ascii="Arial" w:hAnsi="Arial" w:cs="Arial"/>
                          <w:b/>
                          <w:bCs/>
                          <w:color w:val="000000" w:themeColor="text1"/>
                          <w:sz w:val="18"/>
                          <w:szCs w:val="18"/>
                          <w:lang w:val="en-US"/>
                        </w:rPr>
                        <w:t>P = 0.0000</w:t>
                      </w:r>
                      <w:r w:rsidRPr="00BC5F1D">
                        <w:rPr>
                          <w:rFonts w:ascii="Arial" w:hAnsi="Arial" w:cs="Arial"/>
                          <w:color w:val="000000" w:themeColor="text1"/>
                          <w:sz w:val="18"/>
                          <w:szCs w:val="18"/>
                          <w:lang w:val="en-US"/>
                        </w:rPr>
                        <w:t xml:space="preserve">; Extract concentration effect: Sum of squares </w:t>
                      </w:r>
                      <w:r w:rsidRPr="00BC5F1D">
                        <w:rPr>
                          <w:rFonts w:ascii="Arial" w:hAnsi="Arial" w:cs="Arial"/>
                          <w:b/>
                          <w:bCs/>
                          <w:color w:val="000000" w:themeColor="text1"/>
                          <w:sz w:val="18"/>
                          <w:szCs w:val="18"/>
                          <w:lang w:val="en-US"/>
                        </w:rPr>
                        <w:t>= 57.34%,</w:t>
                      </w:r>
                      <w:r w:rsidRPr="00BC5F1D">
                        <w:rPr>
                          <w:rFonts w:ascii="Arial" w:hAnsi="Arial" w:cs="Arial"/>
                          <w:color w:val="000000" w:themeColor="text1"/>
                          <w:sz w:val="18"/>
                          <w:szCs w:val="18"/>
                          <w:lang w:val="en-US"/>
                        </w:rPr>
                        <w:t xml:space="preserve"> </w:t>
                      </w:r>
                      <w:r w:rsidRPr="00BC5F1D">
                        <w:rPr>
                          <w:rFonts w:ascii="Arial" w:hAnsi="Arial" w:cs="Arial"/>
                          <w:b/>
                          <w:bCs/>
                          <w:color w:val="000000" w:themeColor="text1"/>
                          <w:sz w:val="18"/>
                          <w:szCs w:val="18"/>
                          <w:lang w:val="en-US"/>
                        </w:rPr>
                        <w:t>P = 0.0000</w:t>
                      </w:r>
                      <w:r w:rsidRPr="00BC5F1D">
                        <w:rPr>
                          <w:rFonts w:ascii="Arial" w:hAnsi="Arial" w:cs="Arial"/>
                          <w:color w:val="000000" w:themeColor="text1"/>
                          <w:sz w:val="18"/>
                          <w:szCs w:val="18"/>
                          <w:lang w:val="en-US"/>
                        </w:rPr>
                        <w:t>; Residual: Sum of squares = 2.60%</w:t>
                      </w:r>
                    </w:p>
                    <w:p w14:paraId="7C4120F1" w14:textId="77777777" w:rsidR="00A35F8A" w:rsidRPr="00BC5F1D" w:rsidRDefault="00A35F8A" w:rsidP="00A35F8A">
                      <w:pPr>
                        <w:jc w:val="center"/>
                        <w:rPr>
                          <w:rFonts w:ascii="Arial" w:hAnsi="Arial" w:cs="Arial"/>
                          <w:color w:val="000000" w:themeColor="text1"/>
                          <w:sz w:val="20"/>
                          <w:szCs w:val="20"/>
                          <w:lang w:val="en-US"/>
                        </w:rPr>
                      </w:pPr>
                    </w:p>
                  </w:txbxContent>
                </v:textbox>
                <w10:wrap anchorx="margin"/>
              </v:rect>
            </w:pict>
          </mc:Fallback>
        </mc:AlternateContent>
      </w:r>
      <w:r w:rsidR="009422D6">
        <w:rPr>
          <w:noProof/>
        </w:rPr>
        <mc:AlternateContent>
          <mc:Choice Requires="wps">
            <w:drawing>
              <wp:anchor distT="0" distB="0" distL="114300" distR="114300" simplePos="0" relativeHeight="251665408" behindDoc="0" locked="0" layoutInCell="1" allowOverlap="1" wp14:anchorId="1383EA8E" wp14:editId="759AD494">
                <wp:simplePos x="0" y="0"/>
                <wp:positionH relativeFrom="margin">
                  <wp:posOffset>4756327</wp:posOffset>
                </wp:positionH>
                <wp:positionV relativeFrom="paragraph">
                  <wp:posOffset>1070196</wp:posOffset>
                </wp:positionV>
                <wp:extent cx="4582633" cy="1467293"/>
                <wp:effectExtent l="0" t="0" r="0" b="0"/>
                <wp:wrapNone/>
                <wp:docPr id="994621062" name="Rectangle 34"/>
                <wp:cNvGraphicFramePr/>
                <a:graphic xmlns:a="http://schemas.openxmlformats.org/drawingml/2006/main">
                  <a:graphicData uri="http://schemas.microsoft.com/office/word/2010/wordprocessingShape">
                    <wps:wsp>
                      <wps:cNvSpPr/>
                      <wps:spPr>
                        <a:xfrm>
                          <a:off x="0" y="0"/>
                          <a:ext cx="4582633" cy="14672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C9D5ED" w14:textId="3450735D" w:rsidR="00B85A36" w:rsidRPr="00BC5F1D" w:rsidRDefault="00006F88" w:rsidP="00612BF4">
                            <w:pPr>
                              <w:spacing w:after="0" w:line="276" w:lineRule="auto"/>
                              <w:jc w:val="both"/>
                              <w:rPr>
                                <w:rFonts w:ascii="Arial" w:hAnsi="Arial" w:cs="Arial"/>
                                <w:color w:val="000000" w:themeColor="text1"/>
                                <w:sz w:val="20"/>
                                <w:szCs w:val="20"/>
                                <w:lang w:val="en-US"/>
                              </w:rPr>
                            </w:pPr>
                            <w:r w:rsidRPr="00BC5F1D">
                              <w:rPr>
                                <w:rFonts w:ascii="Arial" w:hAnsi="Arial" w:cs="Arial"/>
                                <w:b/>
                                <w:bCs/>
                                <w:color w:val="000000" w:themeColor="text1"/>
                                <w:sz w:val="20"/>
                                <w:szCs w:val="20"/>
                                <w:lang w:val="en-US"/>
                              </w:rPr>
                              <w:t>Fig</w:t>
                            </w:r>
                            <w:r w:rsidR="00883578">
                              <w:rPr>
                                <w:rFonts w:ascii="Arial" w:hAnsi="Arial" w:cs="Arial"/>
                                <w:b/>
                                <w:bCs/>
                                <w:color w:val="000000" w:themeColor="text1"/>
                                <w:sz w:val="20"/>
                                <w:szCs w:val="20"/>
                                <w:lang w:val="en-US"/>
                              </w:rPr>
                              <w:t>.</w:t>
                            </w:r>
                            <w:r w:rsidRPr="00BC5F1D">
                              <w:rPr>
                                <w:rFonts w:ascii="Arial" w:hAnsi="Arial" w:cs="Arial"/>
                                <w:b/>
                                <w:bCs/>
                                <w:color w:val="000000" w:themeColor="text1"/>
                                <w:sz w:val="20"/>
                                <w:szCs w:val="20"/>
                                <w:lang w:val="en-US"/>
                              </w:rPr>
                              <w:t xml:space="preserve"> </w:t>
                            </w:r>
                            <w:r w:rsidR="00E43983" w:rsidRPr="00BC5F1D">
                              <w:rPr>
                                <w:rFonts w:ascii="Arial" w:hAnsi="Arial" w:cs="Arial"/>
                                <w:b/>
                                <w:bCs/>
                                <w:color w:val="000000" w:themeColor="text1"/>
                                <w:sz w:val="20"/>
                                <w:szCs w:val="20"/>
                                <w:lang w:val="en-US"/>
                              </w:rPr>
                              <w:t>1</w:t>
                            </w:r>
                            <w:r w:rsidR="00883578">
                              <w:rPr>
                                <w:rFonts w:ascii="Arial" w:hAnsi="Arial" w:cs="Arial"/>
                                <w:b/>
                                <w:bCs/>
                                <w:color w:val="000000" w:themeColor="text1"/>
                                <w:sz w:val="20"/>
                                <w:szCs w:val="20"/>
                                <w:lang w:val="en-US"/>
                              </w:rPr>
                              <w:t>.</w:t>
                            </w:r>
                            <w:r w:rsidRPr="00BC5F1D">
                              <w:rPr>
                                <w:rFonts w:ascii="Arial" w:hAnsi="Arial" w:cs="Arial"/>
                                <w:color w:val="000000" w:themeColor="text1"/>
                                <w:sz w:val="20"/>
                                <w:szCs w:val="20"/>
                                <w:lang w:val="en-US"/>
                              </w:rPr>
                              <w:t xml:space="preserve"> GLUT4 translocation activity of extracts from powdered leaves of </w:t>
                            </w:r>
                            <w:r w:rsidRPr="00BC5F1D">
                              <w:rPr>
                                <w:rFonts w:ascii="Arial" w:hAnsi="Arial" w:cs="Arial"/>
                                <w:i/>
                                <w:iCs/>
                                <w:color w:val="000000" w:themeColor="text1"/>
                                <w:sz w:val="20"/>
                                <w:szCs w:val="20"/>
                                <w:lang w:val="en-US"/>
                              </w:rPr>
                              <w:t xml:space="preserve">Adansonia digitata </w:t>
                            </w:r>
                            <w:r w:rsidRPr="00BC5F1D">
                              <w:rPr>
                                <w:rFonts w:ascii="Arial" w:hAnsi="Arial" w:cs="Arial"/>
                                <w:color w:val="000000" w:themeColor="text1"/>
                                <w:sz w:val="20"/>
                                <w:szCs w:val="20"/>
                                <w:lang w:val="en-US"/>
                              </w:rPr>
                              <w:t xml:space="preserve">(a), </w:t>
                            </w:r>
                            <w:r w:rsidRPr="00BC5F1D">
                              <w:rPr>
                                <w:rFonts w:ascii="Arial" w:hAnsi="Arial" w:cs="Arial"/>
                                <w:i/>
                                <w:iCs/>
                                <w:color w:val="000000" w:themeColor="text1"/>
                                <w:sz w:val="20"/>
                                <w:szCs w:val="20"/>
                                <w:lang w:val="en-US"/>
                              </w:rPr>
                              <w:t>Corchorus olitorius</w:t>
                            </w:r>
                            <w:r w:rsidRPr="00BC5F1D">
                              <w:rPr>
                                <w:rFonts w:ascii="Arial" w:hAnsi="Arial" w:cs="Arial"/>
                                <w:color w:val="000000" w:themeColor="text1"/>
                                <w:sz w:val="20"/>
                                <w:szCs w:val="20"/>
                                <w:lang w:val="en-US"/>
                              </w:rPr>
                              <w:t xml:space="preserve"> (b) and Bark of</w:t>
                            </w:r>
                            <w:r w:rsidR="00E90A8C" w:rsidRPr="00BC5F1D">
                              <w:rPr>
                                <w:rFonts w:ascii="Arial" w:hAnsi="Arial" w:cs="Arial"/>
                                <w:color w:val="000000" w:themeColor="text1"/>
                                <w:sz w:val="20"/>
                                <w:szCs w:val="20"/>
                                <w:lang w:val="en-US"/>
                              </w:rPr>
                              <w:t xml:space="preserve"> </w:t>
                            </w:r>
                            <w:r w:rsidR="00481778" w:rsidRPr="00BC5F1D">
                              <w:rPr>
                                <w:rFonts w:ascii="Arial" w:hAnsi="Arial" w:cs="Arial"/>
                                <w:i/>
                                <w:iCs/>
                                <w:color w:val="000000" w:themeColor="text1"/>
                                <w:sz w:val="20"/>
                                <w:szCs w:val="20"/>
                                <w:lang w:val="en-US"/>
                              </w:rPr>
                              <w:t xml:space="preserve">Triumfetta cordifolia </w:t>
                            </w:r>
                            <w:r w:rsidRPr="00BC5F1D">
                              <w:rPr>
                                <w:rFonts w:ascii="Arial" w:hAnsi="Arial" w:cs="Arial"/>
                                <w:color w:val="000000" w:themeColor="text1"/>
                                <w:sz w:val="20"/>
                                <w:szCs w:val="20"/>
                                <w:lang w:val="en-US"/>
                              </w:rPr>
                              <w:t xml:space="preserve">(c) at different concentrations (50, 100, 200 µg/ml) over time. </w:t>
                            </w:r>
                            <w:r w:rsidR="00802A12">
                              <w:rPr>
                                <w:rFonts w:ascii="Arial" w:hAnsi="Arial" w:cs="Arial"/>
                                <w:color w:val="000000" w:themeColor="text1"/>
                                <w:sz w:val="20"/>
                                <w:szCs w:val="20"/>
                                <w:lang w:val="en-US"/>
                              </w:rPr>
                              <w:t>(</w:t>
                            </w:r>
                            <w:r w:rsidRPr="00BC5F1D">
                              <w:rPr>
                                <w:rFonts w:ascii="Arial" w:hAnsi="Arial" w:cs="Arial"/>
                                <w:color w:val="000000" w:themeColor="text1"/>
                                <w:sz w:val="20"/>
                                <w:szCs w:val="20"/>
                                <w:lang w:val="en-US"/>
                              </w:rPr>
                              <w:t>Means</w:t>
                            </w:r>
                            <w:r w:rsidR="00B85A36" w:rsidRPr="00BC5F1D">
                              <w:rPr>
                                <w:rFonts w:ascii="Arial" w:hAnsi="Arial" w:cs="Arial"/>
                                <w:color w:val="000000" w:themeColor="text1"/>
                                <w:sz w:val="20"/>
                                <w:szCs w:val="20"/>
                                <w:lang w:val="en-US"/>
                              </w:rPr>
                              <w:t xml:space="preserve"> marked with different lowercase letters (time effect) and uppercase letters (extract concentration effect) indicate significant differences at a probability threshold of P ≤ 0.05.</w:t>
                            </w:r>
                            <w:r w:rsidR="00802A12">
                              <w:rPr>
                                <w:rFonts w:ascii="Arial" w:hAnsi="Arial" w:cs="Arial"/>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3EA8E" id="_x0000_s1029" style="position:absolute;margin-left:374.5pt;margin-top:84.25pt;width:360.85pt;height:115.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nClgIAAHgFAAAOAAAAZHJzL2Uyb0RvYy54bWysVFtP2zAUfp+0/2D5feTS0NGKFFUgpkkI&#10;EDDx7Dp2E8nx8Wy3Sffrd+ykgQHaw7SXxD6X71z8nXN+0beK7IV1DeiSZicpJUJzqBq9LemPp+sv&#10;Z5Q4z3TFFGhR0oNw9GL1+dN5Z5YihxpUJSxBEO2WnSlp7b1ZJonjtWiZOwEjNCol2JZ5vNptUlnW&#10;IXqrkjxN50kHtjIWuHAOpVeDkq4ivpSC+zspnfBElRRz8/Fr43cTvsnqnC23lpm64WMa7B+yaFmj&#10;MegEdcU8IzvbvINqG27BgfQnHNoEpGy4iDVgNVn6pprHmhkRa8HmODO1yf0/WH67v7ekqUq6WBTz&#10;PEvnOSWatfhUD9g8prdKkFkR+tQZt0TzR3Nvx5vDYyi6l7YNfyyH9LG3h6m3oveEo7A4Pcvnsxkl&#10;HHVZMf+aL2YBNXlxN9b5bwJaEg4ltRg/9pTtb5wfTI8mIZqG60YplLOl0n8IEDNIkpDxkGM8+YMS&#10;g/WDkFgzZpXHAJFt4lJZsmfIE8a50D4bVDWrxCDOTtM0EgbhJ49YgNIIGJAlJjRhjwCBye+xh3JG&#10;++AqIlkn5/RviQ3Ok0eMDNpPzm2jwX4EoLCqMfJgf2zS0JrQJd9v+siH+DpBsoHqgByxMAyPM/y6&#10;wQe6Yc7fM4vTgnOFG8Df4Ucq6EoK44mSGuyvj+TBHkmMWko6nL6Sup87ZgUl6rtGei+yogjjGi/F&#10;6dccL/a1ZvNao3ftJeDDZbhrDI/HYO/V8SgttM+4KNYhKqqY5hi7pNzb4+XSD1sBVw0X63U0wxE1&#10;zN/oR8MDeOhzIOBT/8ysGVnqkeC3cJxUtnxD1sE2eGpY7zzIJjL5pa/jC+B4RyqNqyjsj9f3aPWy&#10;MFe/AQAA//8DAFBLAwQUAAYACAAAACEAN2QUA+AAAAAMAQAADwAAAGRycy9kb3ducmV2LnhtbEyP&#10;y07DMBRE90j8g3WR2FEHKHkRpwIkhFAXiNLuHfs2iYivo9h59O9xV2U5mtHMmWKzmI5NOLjWkoD7&#10;VQQMSVndUi1g//N+lwJzXpKWnSUUcEIHm/L6qpC5tjN947TzNQsl5HIpoPG+zzl3qkEj3cr2SME7&#10;2sFIH+RQcz3IOZSbjj9EUcyNbCksNLLHtwbV7240Ag72+DobVdHndPpqx4/toFS6FeL2Znl5BuZx&#10;8ZcwnPEDOpSBqbIjacc6Ack6C198MOL0Cdg5sU6iBFgl4DHLYuBlwf+fKP8AAAD//wMAUEsBAi0A&#10;FAAGAAgAAAAhALaDOJL+AAAA4QEAABMAAAAAAAAAAAAAAAAAAAAAAFtDb250ZW50X1R5cGVzXS54&#10;bWxQSwECLQAUAAYACAAAACEAOP0h/9YAAACUAQAACwAAAAAAAAAAAAAAAAAvAQAAX3JlbHMvLnJl&#10;bHNQSwECLQAUAAYACAAAACEAHIxZwpYCAAB4BQAADgAAAAAAAAAAAAAAAAAuAgAAZHJzL2Uyb0Rv&#10;Yy54bWxQSwECLQAUAAYACAAAACEAN2QUA+AAAAAMAQAADwAAAAAAAAAAAAAAAADwBAAAZHJzL2Rv&#10;d25yZXYueG1sUEsFBgAAAAAEAAQA8wAAAP0FAAAAAA==&#10;" filled="f" stroked="f" strokeweight="1pt">
                <v:textbox>
                  <w:txbxContent>
                    <w:p w14:paraId="3AC9D5ED" w14:textId="3450735D" w:rsidR="00B85A36" w:rsidRPr="00BC5F1D" w:rsidRDefault="00006F88" w:rsidP="00612BF4">
                      <w:pPr>
                        <w:spacing w:after="0" w:line="276" w:lineRule="auto"/>
                        <w:jc w:val="both"/>
                        <w:rPr>
                          <w:rFonts w:ascii="Arial" w:hAnsi="Arial" w:cs="Arial"/>
                          <w:color w:val="000000" w:themeColor="text1"/>
                          <w:sz w:val="20"/>
                          <w:szCs w:val="20"/>
                          <w:lang w:val="en-US"/>
                        </w:rPr>
                      </w:pPr>
                      <w:r w:rsidRPr="00BC5F1D">
                        <w:rPr>
                          <w:rFonts w:ascii="Arial" w:hAnsi="Arial" w:cs="Arial"/>
                          <w:b/>
                          <w:bCs/>
                          <w:color w:val="000000" w:themeColor="text1"/>
                          <w:sz w:val="20"/>
                          <w:szCs w:val="20"/>
                          <w:lang w:val="en-US"/>
                        </w:rPr>
                        <w:t>Fig</w:t>
                      </w:r>
                      <w:r w:rsidR="00883578">
                        <w:rPr>
                          <w:rFonts w:ascii="Arial" w:hAnsi="Arial" w:cs="Arial"/>
                          <w:b/>
                          <w:bCs/>
                          <w:color w:val="000000" w:themeColor="text1"/>
                          <w:sz w:val="20"/>
                          <w:szCs w:val="20"/>
                          <w:lang w:val="en-US"/>
                        </w:rPr>
                        <w:t>.</w:t>
                      </w:r>
                      <w:r w:rsidRPr="00BC5F1D">
                        <w:rPr>
                          <w:rFonts w:ascii="Arial" w:hAnsi="Arial" w:cs="Arial"/>
                          <w:b/>
                          <w:bCs/>
                          <w:color w:val="000000" w:themeColor="text1"/>
                          <w:sz w:val="20"/>
                          <w:szCs w:val="20"/>
                          <w:lang w:val="en-US"/>
                        </w:rPr>
                        <w:t xml:space="preserve"> </w:t>
                      </w:r>
                      <w:r w:rsidR="00E43983" w:rsidRPr="00BC5F1D">
                        <w:rPr>
                          <w:rFonts w:ascii="Arial" w:hAnsi="Arial" w:cs="Arial"/>
                          <w:b/>
                          <w:bCs/>
                          <w:color w:val="000000" w:themeColor="text1"/>
                          <w:sz w:val="20"/>
                          <w:szCs w:val="20"/>
                          <w:lang w:val="en-US"/>
                        </w:rPr>
                        <w:t>1</w:t>
                      </w:r>
                      <w:r w:rsidR="00883578">
                        <w:rPr>
                          <w:rFonts w:ascii="Arial" w:hAnsi="Arial" w:cs="Arial"/>
                          <w:b/>
                          <w:bCs/>
                          <w:color w:val="000000" w:themeColor="text1"/>
                          <w:sz w:val="20"/>
                          <w:szCs w:val="20"/>
                          <w:lang w:val="en-US"/>
                        </w:rPr>
                        <w:t>.</w:t>
                      </w:r>
                      <w:r w:rsidRPr="00BC5F1D">
                        <w:rPr>
                          <w:rFonts w:ascii="Arial" w:hAnsi="Arial" w:cs="Arial"/>
                          <w:color w:val="000000" w:themeColor="text1"/>
                          <w:sz w:val="20"/>
                          <w:szCs w:val="20"/>
                          <w:lang w:val="en-US"/>
                        </w:rPr>
                        <w:t xml:space="preserve"> GLUT4 translocation activity of extracts from powdered leaves of </w:t>
                      </w:r>
                      <w:r w:rsidRPr="00BC5F1D">
                        <w:rPr>
                          <w:rFonts w:ascii="Arial" w:hAnsi="Arial" w:cs="Arial"/>
                          <w:i/>
                          <w:iCs/>
                          <w:color w:val="000000" w:themeColor="text1"/>
                          <w:sz w:val="20"/>
                          <w:szCs w:val="20"/>
                          <w:lang w:val="en-US"/>
                        </w:rPr>
                        <w:t xml:space="preserve">Adansonia digitata </w:t>
                      </w:r>
                      <w:r w:rsidRPr="00BC5F1D">
                        <w:rPr>
                          <w:rFonts w:ascii="Arial" w:hAnsi="Arial" w:cs="Arial"/>
                          <w:color w:val="000000" w:themeColor="text1"/>
                          <w:sz w:val="20"/>
                          <w:szCs w:val="20"/>
                          <w:lang w:val="en-US"/>
                        </w:rPr>
                        <w:t xml:space="preserve">(a), </w:t>
                      </w:r>
                      <w:r w:rsidRPr="00BC5F1D">
                        <w:rPr>
                          <w:rFonts w:ascii="Arial" w:hAnsi="Arial" w:cs="Arial"/>
                          <w:i/>
                          <w:iCs/>
                          <w:color w:val="000000" w:themeColor="text1"/>
                          <w:sz w:val="20"/>
                          <w:szCs w:val="20"/>
                          <w:lang w:val="en-US"/>
                        </w:rPr>
                        <w:t>Corchorus olitorius</w:t>
                      </w:r>
                      <w:r w:rsidRPr="00BC5F1D">
                        <w:rPr>
                          <w:rFonts w:ascii="Arial" w:hAnsi="Arial" w:cs="Arial"/>
                          <w:color w:val="000000" w:themeColor="text1"/>
                          <w:sz w:val="20"/>
                          <w:szCs w:val="20"/>
                          <w:lang w:val="en-US"/>
                        </w:rPr>
                        <w:t xml:space="preserve"> (b) and Bark of</w:t>
                      </w:r>
                      <w:r w:rsidR="00E90A8C" w:rsidRPr="00BC5F1D">
                        <w:rPr>
                          <w:rFonts w:ascii="Arial" w:hAnsi="Arial" w:cs="Arial"/>
                          <w:color w:val="000000" w:themeColor="text1"/>
                          <w:sz w:val="20"/>
                          <w:szCs w:val="20"/>
                          <w:lang w:val="en-US"/>
                        </w:rPr>
                        <w:t xml:space="preserve"> </w:t>
                      </w:r>
                      <w:r w:rsidR="00481778" w:rsidRPr="00BC5F1D">
                        <w:rPr>
                          <w:rFonts w:ascii="Arial" w:hAnsi="Arial" w:cs="Arial"/>
                          <w:i/>
                          <w:iCs/>
                          <w:color w:val="000000" w:themeColor="text1"/>
                          <w:sz w:val="20"/>
                          <w:szCs w:val="20"/>
                          <w:lang w:val="en-US"/>
                        </w:rPr>
                        <w:t xml:space="preserve">Triumfetta cordifolia </w:t>
                      </w:r>
                      <w:r w:rsidRPr="00BC5F1D">
                        <w:rPr>
                          <w:rFonts w:ascii="Arial" w:hAnsi="Arial" w:cs="Arial"/>
                          <w:color w:val="000000" w:themeColor="text1"/>
                          <w:sz w:val="20"/>
                          <w:szCs w:val="20"/>
                          <w:lang w:val="en-US"/>
                        </w:rPr>
                        <w:t xml:space="preserve">(c) at different concentrations (50, 100, 200 µg/ml) over time. </w:t>
                      </w:r>
                      <w:r w:rsidR="00802A12">
                        <w:rPr>
                          <w:rFonts w:ascii="Arial" w:hAnsi="Arial" w:cs="Arial"/>
                          <w:color w:val="000000" w:themeColor="text1"/>
                          <w:sz w:val="20"/>
                          <w:szCs w:val="20"/>
                          <w:lang w:val="en-US"/>
                        </w:rPr>
                        <w:t>(</w:t>
                      </w:r>
                      <w:r w:rsidRPr="00BC5F1D">
                        <w:rPr>
                          <w:rFonts w:ascii="Arial" w:hAnsi="Arial" w:cs="Arial"/>
                          <w:color w:val="000000" w:themeColor="text1"/>
                          <w:sz w:val="20"/>
                          <w:szCs w:val="20"/>
                          <w:lang w:val="en-US"/>
                        </w:rPr>
                        <w:t>Means</w:t>
                      </w:r>
                      <w:r w:rsidR="00B85A36" w:rsidRPr="00BC5F1D">
                        <w:rPr>
                          <w:rFonts w:ascii="Arial" w:hAnsi="Arial" w:cs="Arial"/>
                          <w:color w:val="000000" w:themeColor="text1"/>
                          <w:sz w:val="20"/>
                          <w:szCs w:val="20"/>
                          <w:lang w:val="en-US"/>
                        </w:rPr>
                        <w:t xml:space="preserve"> marked with different lowercase letters (time effect) and uppercase letters (extract concentration effect) indicate significant differences at a probability threshold of P ≤ 0.05.</w:t>
                      </w:r>
                      <w:r w:rsidR="00802A12">
                        <w:rPr>
                          <w:rFonts w:ascii="Arial" w:hAnsi="Arial" w:cs="Arial"/>
                          <w:color w:val="000000" w:themeColor="text1"/>
                          <w:sz w:val="20"/>
                          <w:szCs w:val="20"/>
                          <w:lang w:val="en-US"/>
                        </w:rPr>
                        <w:t>)</w:t>
                      </w:r>
                    </w:p>
                  </w:txbxContent>
                </v:textbox>
                <w10:wrap anchorx="margin"/>
              </v:rect>
            </w:pict>
          </mc:Fallback>
        </mc:AlternateContent>
      </w:r>
      <w:r w:rsidR="000F57C0">
        <w:object w:dxaOrig="14052" w:dyaOrig="8290" w14:anchorId="67052E7B">
          <v:shape id="_x0000_i1027" type="#_x0000_t75" style="width:354.4pt;height:208.5pt" o:ole="">
            <v:imagedata r:id="rId16" o:title=""/>
          </v:shape>
          <o:OLEObject Type="Embed" ProgID="Unknown" ShapeID="_x0000_i1027" DrawAspect="Content" ObjectID="_1801555640" r:id="rId17"/>
        </w:object>
      </w:r>
    </w:p>
    <w:p w14:paraId="718890E8" w14:textId="77777777" w:rsidR="00B007FF" w:rsidRPr="00BC5F1D" w:rsidRDefault="00B007FF" w:rsidP="00B007FF">
      <w:pPr>
        <w:pStyle w:val="ListParagraph"/>
        <w:numPr>
          <w:ilvl w:val="2"/>
          <w:numId w:val="1"/>
        </w:numPr>
        <w:spacing w:line="360" w:lineRule="auto"/>
        <w:jc w:val="both"/>
        <w:rPr>
          <w:rFonts w:ascii="Arial" w:hAnsi="Arial" w:cs="Arial"/>
          <w:b/>
          <w:bCs/>
          <w:lang w:val="en-US"/>
        </w:rPr>
      </w:pPr>
      <w:bookmarkStart w:id="7" w:name="_Hlk189560450"/>
      <w:bookmarkEnd w:id="6"/>
      <w:r w:rsidRPr="00BC5F1D">
        <w:rPr>
          <w:rFonts w:ascii="Arial" w:hAnsi="Arial" w:cs="Arial"/>
          <w:b/>
          <w:bCs/>
          <w:lang w:val="en-US"/>
        </w:rPr>
        <w:lastRenderedPageBreak/>
        <w:t xml:space="preserve">Effects of nutritional composition and bioactive compounds </w:t>
      </w:r>
    </w:p>
    <w:p w14:paraId="058FE037" w14:textId="77777777"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t xml:space="preserve">Regardless of the studied powder, the GLUT4 translocation activity and its variations are certainly due to the nutritional and bioactive composition of the powders. To this end, a correlation test between the constituents of the powders and the GLUT4 translocation activity at 200 µg/ml was conducted and is presented in Table 4. It shows, on one hand, that between GLUT4-10, GLUT4-20, GLUT4-30 and available sugars, there are high significant negative correlations (r = -0.997, P = 0.044); (r = -0.998, P = 0.039); (r = -0.997, P = 0.043) and with calcium, there are high significant positive correlations (r = 0.998, P = 0.022); (r = 0.999, P = 0.027); (r = 0.998, P = 0.024), respectively. On the other hand, there are also high non-significant negative correlations between GLUT4-10, GLUT4-20, GLUT4-30 and bioactive compounds, particularly total polyphenols (r = -0.857, P = 0.343); (r = -0.853, P = 0.348); (r = -0.856, P = 0.345); condensed tannins (r = -0.993, P = 0.075); (r = -0.994, P = 0.070); (r = -0.993, P = 0.073); and total flavonoids (r = -0.932, P = 0.235); (r = -0.935, P = 0.230); (r = -0.933, P = 0.234), respectively. </w:t>
      </w:r>
    </w:p>
    <w:p w14:paraId="7B9942C4" w14:textId="77777777"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t>These results indicate that as GLUT4 translocation activity increases, the levels of available sugars and bioactive compounds decrease. This increase in GLUT4 is proportional to the levels of calcium. This suggests that bioactive compounds play a role in the biological mechanisms that trigger GLUT4 translocation to reduce the amount of sugars provided. However, this GLUT4 translocation activity and the reduction in sugar content depend on the amount of available calcium. Due to their significance, the levels of available sugars and calcium, unlike those of bioactive compounds, are two key factors that would condition GLUT4 activity.</w:t>
      </w:r>
    </w:p>
    <w:p w14:paraId="41A36086" w14:textId="77777777"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t xml:space="preserve">When comparing these results to the literature, it is evident that, unlike many other minerals, calcium plays a crucial role in the mechanisms of GLUT4 translocation. Indeed, calcium is essential for cellular signaling, the activation of protein kinases, and the mobilization of GLUT4 reserves </w:t>
      </w:r>
      <w:r w:rsidRPr="00BC5F1D">
        <w:rPr>
          <w:rFonts w:ascii="Arial" w:hAnsi="Arial" w:cs="Arial"/>
          <w:sz w:val="20"/>
          <w:szCs w:val="20"/>
        </w:rPr>
        <w:fldChar w:fldCharType="begin" w:fldLock="1"/>
      </w:r>
      <w:r w:rsidRPr="00BC5F1D">
        <w:rPr>
          <w:rFonts w:ascii="Arial" w:hAnsi="Arial" w:cs="Arial"/>
          <w:sz w:val="20"/>
          <w:szCs w:val="20"/>
          <w:lang w:val="en-US"/>
        </w:rPr>
        <w:instrText>ADDIN CSL_CITATION {"citationItems":[{"id":"ITEM-1","itemData":{"author":[{"dropping-particle":"","family":"Dombrowski","given":"Luce","non-dropping-particle":"","parse-names":false,"suffix":""}],"id":"ITEM-1","issued":{"date-parts":[["2001"]]},"number-of-pages":"300","publisher":"Université Laval","title":"Mécanisme d'action de l'insuline sur les transporteurs de glucose glut4 dans le muscle squelettique de rats normaux et diabétiques","type":"thesis"},"uris":["http://www.mendeley.com/documents/?uuid=b14a955d-596d-4aba-8dfa-dea808d96027"]}],"mendeley":{"formattedCitation":"(Dombrowski, 2001)","plainTextFormattedCitation":"(Dombrowski, 2001)","previouslyFormattedCitation":"(Dombrowski, 2001)"},"properties":{"noteIndex":0},"schema":"https://github.com/citation-style-language/schema/raw/master/csl-citation.json"}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(Dombrowski, 2001)</w:t>
      </w:r>
      <w:r w:rsidRPr="00BC5F1D">
        <w:rPr>
          <w:rFonts w:ascii="Arial" w:hAnsi="Arial" w:cs="Arial"/>
          <w:sz w:val="20"/>
          <w:szCs w:val="20"/>
        </w:rPr>
        <w:fldChar w:fldCharType="end"/>
      </w:r>
      <w:r w:rsidRPr="00BC5F1D">
        <w:rPr>
          <w:rFonts w:ascii="Arial" w:hAnsi="Arial" w:cs="Arial"/>
          <w:sz w:val="20"/>
          <w:szCs w:val="20"/>
          <w:lang w:val="en-US"/>
        </w:rPr>
        <w:t xml:space="preserve">. When insulin binds to its receptor on the membrane, it activates a cascade of intracellular signaling that includes an increase in intracellular calcium levels. This increase in calcium is essential for GLUT4 translocation. Intracellular calcium activates certain protein kinases, such as protein kinase C (PKC) and protein kinase B (Akt), which are also involved in GLUT4 translocation. These kinases phosphorylate specific proteins that facilitate the movement of GLUT4 to the plasma membrane. The intracellular reserves of GLUT4 stored in vesicles require calcium for their mobilization. These vesicles fuse with the plasma membrane, allowing for increased glucose absorption </w:t>
      </w:r>
      <w:r w:rsidRPr="00BC5F1D">
        <w:rPr>
          <w:rFonts w:ascii="Arial" w:hAnsi="Arial" w:cs="Arial"/>
          <w:sz w:val="20"/>
          <w:szCs w:val="20"/>
        </w:rPr>
        <w:fldChar w:fldCharType="begin" w:fldLock="1"/>
      </w:r>
      <w:r w:rsidRPr="00BC5F1D">
        <w:rPr>
          <w:rFonts w:ascii="Arial" w:hAnsi="Arial" w:cs="Arial"/>
          <w:sz w:val="20"/>
          <w:szCs w:val="20"/>
          <w:lang w:val="en-US"/>
        </w:rPr>
        <w:instrText>ADDIN CSL_CITATION {"citationItems":[{"id":"ITEM-1","itemData":{"DOI":"10.1152/ajpendo.00045.2014","author":[{"dropping-particle":"","family":"Li","given":"Q","non-dropping-particle":"","parse-names":false,"suffix":""},{"dropping-particle":"","family":"Zhu","given":"X","non-dropping-particle":"","parse-names":false,"suffix":""},{"dropping-particle":"","family":"Ishikura","given":"S","non-dropping-particle":"","parse-names":false,"suffix":""},{"dropping-particle":"","family":"Zhang","given":"D","non-dropping-particle":"","parse-names":false,"suffix":""},{"dropping-particle":"","family":"Gao","given":"J","non-dropping-particle":"","parse-names":false,"suffix":""},{"dropping-particle":"","family":"Sun","given":"Y","non-dropping-particle":"","parse-names":false,"suffix":""},{"dropping-particle":"","family":"Contreras-Ferrat","given":"A","non-dropping-particle":"","parse-names":false,"suffix":""},{"dropping-particle":"","family":"Foley","given":"KP","non-dropping-particle":"","parse-names":false,"suffix":""},{"dropping-particle":"","family":"Lavandero","given":"S","non-dropping-particle":"","parse-names":false,"suffix":""},{"dropping-particle":"","family":"Yao","given":"Z","non-dropping-particle":"","parse-names":false,"suffix":""},{"dropping-particle":"","family":"Bilan","given":"PJ","non-dropping-particle":"","parse-names":false,"suffix":""},{"dropping-particle":"","family":"Klip","given":"A","non-dropping-particle":"","parse-names":false,"suffix":""},{"dropping-particle":"","family":"Niu","given":"W","non-dropping-particle":"","parse-names":false,"suffix":""}],"container-title":"American Physiological Society","id":"ITEM-1","issued":{"date-parts":[["2014"]]},"title":"Ca2+ signals promote GLUT4 exocytosis and reduce its endocytosis in muscle cells","type":"article-journal","volume":"3"},"uris":["http://www.mendeley.com/documents/?uuid=04ca6e0c-70e8-49e7-8cad-dda0301d52d4"]}],"mendeley":{"formattedCitation":"(Li et al., 2014)","plainTextFormattedCitation":"(Li et al., 2014)","previouslyFormattedCitation":"(Li et al., 2014)"},"properties":{"noteIndex":0},"schema":"https://github.com/citation-style-language/schema/raw/master/csl-citation.json"}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(Li et al., 2014)</w:t>
      </w:r>
      <w:r w:rsidRPr="00BC5F1D">
        <w:rPr>
          <w:rFonts w:ascii="Arial" w:hAnsi="Arial" w:cs="Arial"/>
          <w:sz w:val="20"/>
          <w:szCs w:val="20"/>
        </w:rPr>
        <w:fldChar w:fldCharType="end"/>
      </w:r>
      <w:r w:rsidRPr="00BC5F1D">
        <w:rPr>
          <w:rFonts w:ascii="Arial" w:hAnsi="Arial" w:cs="Arial"/>
          <w:sz w:val="20"/>
          <w:szCs w:val="20"/>
          <w:lang w:val="en-US"/>
        </w:rPr>
        <w:t>. From the above, it is clear that a significant decrease in calcium can disrupt the entire GLUT4 translocation mechanisms and significantly affect the entry of sugar, particularly glucose, into cells. This important role of calcium in GLUT4 translocation highlights its essential nature in the diet of diabetic patients.</w:t>
      </w:r>
    </w:p>
    <w:p w14:paraId="33BAD051" w14:textId="7A3BDD26"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t>Although the bioactive compounds (total polyphenols, condensed tannins, total flavonoids) did not show any significance under the study conditions, one cannot overlook the fact that their content or even their presence contributes to the movement of GLUT4 storage vesicles to the plasma membrane. This can only be attributed to the action of specific bioactive molecules contained in the powders. To this end, a determination of the bioactive compound profiles of the extracts from each powder was conducted and is presented in Figs</w:t>
      </w:r>
      <w:r w:rsidR="00883578">
        <w:rPr>
          <w:rFonts w:ascii="Arial" w:hAnsi="Arial" w:cs="Arial"/>
          <w:sz w:val="20"/>
          <w:szCs w:val="20"/>
          <w:lang w:val="en-US"/>
        </w:rPr>
        <w:t>.</w:t>
      </w:r>
      <w:r w:rsidRPr="00BC5F1D">
        <w:rPr>
          <w:rFonts w:ascii="Arial" w:hAnsi="Arial" w:cs="Arial"/>
          <w:sz w:val="20"/>
          <w:szCs w:val="20"/>
          <w:lang w:val="en-US"/>
        </w:rPr>
        <w:t xml:space="preserve"> 2, 3, and 4.</w:t>
      </w:r>
    </w:p>
    <w:p w14:paraId="20D692E3" w14:textId="1D5D5936"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lastRenderedPageBreak/>
        <w:t>Figs</w:t>
      </w:r>
      <w:r w:rsidR="00883578">
        <w:rPr>
          <w:rFonts w:ascii="Arial" w:hAnsi="Arial" w:cs="Arial"/>
          <w:sz w:val="20"/>
          <w:szCs w:val="20"/>
          <w:lang w:val="en-US"/>
        </w:rPr>
        <w:t>.</w:t>
      </w:r>
      <w:r w:rsidRPr="00BC5F1D">
        <w:rPr>
          <w:rFonts w:ascii="Arial" w:hAnsi="Arial" w:cs="Arial"/>
          <w:sz w:val="20"/>
          <w:szCs w:val="20"/>
          <w:lang w:val="en-US"/>
        </w:rPr>
        <w:t xml:space="preserve"> 2 and 3 each present a chromatogram coupled with a mass spectrum that highlight the presence of several chemical compounds contained in the extracts from </w:t>
      </w:r>
      <w:r w:rsidRPr="00BC5F1D">
        <w:rPr>
          <w:rFonts w:ascii="Arial" w:hAnsi="Arial" w:cs="Arial"/>
          <w:i/>
          <w:iCs/>
          <w:sz w:val="20"/>
          <w:szCs w:val="20"/>
          <w:lang w:val="en-US"/>
        </w:rPr>
        <w:t>A. digitata</w:t>
      </w:r>
      <w:r w:rsidRPr="00BC5F1D">
        <w:rPr>
          <w:rFonts w:ascii="Arial" w:hAnsi="Arial" w:cs="Arial"/>
          <w:sz w:val="20"/>
          <w:szCs w:val="20"/>
          <w:lang w:val="en-US"/>
        </w:rPr>
        <w:t xml:space="preserve"> and </w:t>
      </w:r>
      <w:r w:rsidRPr="00BC5F1D">
        <w:rPr>
          <w:rFonts w:ascii="Arial" w:hAnsi="Arial" w:cs="Arial"/>
          <w:i/>
          <w:iCs/>
          <w:sz w:val="20"/>
          <w:szCs w:val="20"/>
          <w:lang w:val="en-US"/>
        </w:rPr>
        <w:t>C. olitorius</w:t>
      </w:r>
      <w:r w:rsidRPr="00BC5F1D">
        <w:rPr>
          <w:rFonts w:ascii="Arial" w:hAnsi="Arial" w:cs="Arial"/>
          <w:sz w:val="20"/>
          <w:szCs w:val="20"/>
          <w:lang w:val="en-US"/>
        </w:rPr>
        <w:t xml:space="preserve"> powders, respectively. When comparing the identified chemical compounds with literature data, it is observed that in the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(Fig</w:t>
      </w:r>
      <w:r w:rsidR="00883578">
        <w:rPr>
          <w:rFonts w:ascii="Arial" w:hAnsi="Arial" w:cs="Arial"/>
          <w:sz w:val="20"/>
          <w:szCs w:val="20"/>
          <w:lang w:val="en-US"/>
        </w:rPr>
        <w:t>.</w:t>
      </w:r>
      <w:r w:rsidRPr="00BC5F1D">
        <w:rPr>
          <w:rFonts w:ascii="Arial" w:hAnsi="Arial" w:cs="Arial"/>
          <w:sz w:val="20"/>
          <w:szCs w:val="20"/>
          <w:lang w:val="en-US"/>
        </w:rPr>
        <w:t xml:space="preserve"> 1), the following flavonoids are known for their GLUT4 translocation activities: Procyanidin B1, Procyanidin C1 and C2; kaempfero</w:t>
      </w:r>
      <w:r w:rsidRPr="00883578">
        <w:rPr>
          <w:rFonts w:ascii="Arial" w:hAnsi="Arial" w:cs="Arial"/>
          <w:sz w:val="20"/>
          <w:szCs w:val="20"/>
          <w:lang w:val="en-US"/>
        </w:rPr>
        <w:t xml:space="preserve">l-3-O-rhamnosylrutinoside, </w:t>
      </w:r>
      <w:proofErr w:type="spellStart"/>
      <w:r w:rsidRPr="00883578">
        <w:rPr>
          <w:rFonts w:ascii="Arial" w:hAnsi="Arial" w:cs="Arial"/>
          <w:sz w:val="20"/>
          <w:szCs w:val="20"/>
          <w:lang w:val="en-US"/>
        </w:rPr>
        <w:t>rutin</w:t>
      </w:r>
      <w:proofErr w:type="spellEnd"/>
      <w:r w:rsidRPr="00883578">
        <w:rPr>
          <w:rFonts w:ascii="Arial" w:hAnsi="Arial" w:cs="Arial"/>
          <w:sz w:val="20"/>
          <w:szCs w:val="20"/>
          <w:lang w:val="en-US"/>
        </w:rPr>
        <w:t xml:space="preserve">, </w:t>
      </w:r>
      <w:proofErr w:type="spellStart"/>
      <w:r w:rsidRPr="00883578">
        <w:rPr>
          <w:rFonts w:ascii="Arial" w:hAnsi="Arial" w:cs="Arial"/>
          <w:sz w:val="20"/>
          <w:szCs w:val="20"/>
          <w:lang w:val="en-US"/>
        </w:rPr>
        <w:t>isoquercetin</w:t>
      </w:r>
      <w:proofErr w:type="spellEnd"/>
      <w:r w:rsidRPr="00883578">
        <w:rPr>
          <w:rFonts w:ascii="Arial" w:hAnsi="Arial" w:cs="Arial"/>
          <w:sz w:val="20"/>
          <w:szCs w:val="20"/>
          <w:lang w:val="en-US"/>
        </w:rPr>
        <w:t xml:space="preserve">, and quercetin </w:t>
      </w:r>
      <w:r w:rsidRPr="00BC5F1D">
        <w:rPr>
          <w:rFonts w:ascii="Arial" w:hAnsi="Arial" w:cs="Arial"/>
          <w:sz w:val="20"/>
          <w:szCs w:val="20"/>
        </w:rPr>
        <w:fldChar w:fldCharType="begin" w:fldLock="1"/>
      </w:r>
      <w:r w:rsidR="009A02E1" w:rsidRPr="00883578">
        <w:rPr>
          <w:rFonts w:ascii="Arial" w:hAnsi="Arial" w:cs="Arial"/>
          <w:sz w:val="20"/>
          <w:szCs w:val="20"/>
          <w:lang w:val="en-US"/>
        </w:rPr>
        <w:instrText>ADDIN CSL_CITATION {"citationItems":[{"id":"ITEM-1","itemData":{"DOI":"10.1371/journal.pone.0161704","author":[{"dropping-particle":"","family":"Yamashita","given":"Yoko","non-dropping-particle":"","parse-names":false,"suffix":""},{"dropping-particle":"","family":"Wang","given":"Liuqing","non-dropping-particle":"","parse-names":false,"suffix":""},{"dropping-particle":"","family":"Nanba","given":"Fumio","non-dropping-particle":"","parse-names":false,"suffix":""},{"dropping-particle":"","family":"Ito","given":"Chiaki","non-dropping-particle":"","parse-names":false,"suffix":""},{"dropping-particle":"","family":"Toda","given":"Toshiya","non-dropping-particle":"","parse-names":false,"suffix":""}],"container-title":"PLoS ONE","id":"ITEM-1","issue":"9","issued":{"date-parts":[["2016"]]},"page":"1-19","title":"Procyanidin Promotes Translocation of Glucose Transporter 4 in Muscle of Mice through Activation of Insulin and AMPK Signaling Pathways","type":"article-journal","volume":"11"},"uris":["http://www.mendeley.com/documents/?uuid=845a9885-c550-4951-a485-4a95c88867a0"]}],"mendeley":{"formattedCitation":"(Yamashita et al., 2016)","manualFormatting":"(Yamashita et al., 2016;","plainTextFormattedCitation":"(Yamashita et al., 2016)","previouslyFormattedCitation":"(Yamashita et al., 2016)"},"properties":{"noteIndex":0},"schema":"https://github.com/citation-style-language/schema/raw/master/csl-citation.json"}</w:instrText>
      </w:r>
      <w:r w:rsidRPr="00BC5F1D">
        <w:rPr>
          <w:rFonts w:ascii="Arial" w:hAnsi="Arial" w:cs="Arial"/>
          <w:sz w:val="20"/>
          <w:szCs w:val="20"/>
        </w:rPr>
        <w:fldChar w:fldCharType="separate"/>
      </w:r>
      <w:r w:rsidRPr="00883578">
        <w:rPr>
          <w:rFonts w:ascii="Arial" w:hAnsi="Arial" w:cs="Arial"/>
          <w:noProof/>
          <w:sz w:val="20"/>
          <w:szCs w:val="20"/>
          <w:lang w:val="en-US"/>
        </w:rPr>
        <w:t>(Yamashita et al., 2016</w:t>
      </w:r>
      <w:r w:rsidR="009A02E1" w:rsidRPr="00883578">
        <w:rPr>
          <w:rFonts w:ascii="Arial" w:hAnsi="Arial" w:cs="Arial"/>
          <w:noProof/>
          <w:sz w:val="20"/>
          <w:szCs w:val="20"/>
          <w:lang w:val="en-US"/>
        </w:rPr>
        <w:t>;</w:t>
      </w:r>
      <w:r w:rsidRPr="00BC5F1D">
        <w:rPr>
          <w:rFonts w:ascii="Arial" w:hAnsi="Arial" w:cs="Arial"/>
          <w:sz w:val="20"/>
          <w:szCs w:val="20"/>
        </w:rPr>
        <w:fldChar w:fldCharType="end"/>
      </w:r>
      <w:r w:rsidR="009A02E1" w:rsidRPr="00883578">
        <w:rPr>
          <w:rFonts w:ascii="Arial" w:hAnsi="Arial" w:cs="Arial"/>
          <w:sz w:val="20"/>
          <w:szCs w:val="20"/>
          <w:lang w:val="en-US"/>
        </w:rPr>
        <w:t xml:space="preserve"> </w:t>
      </w:r>
      <w:r w:rsidRPr="00BC5F1D">
        <w:rPr>
          <w:rFonts w:ascii="Arial" w:hAnsi="Arial" w:cs="Arial"/>
          <w:sz w:val="20"/>
          <w:szCs w:val="20"/>
        </w:rPr>
        <w:fldChar w:fldCharType="begin" w:fldLock="1"/>
      </w:r>
      <w:r w:rsidR="009A02E1" w:rsidRPr="00883578">
        <w:rPr>
          <w:rFonts w:ascii="Arial" w:hAnsi="Arial" w:cs="Arial"/>
          <w:sz w:val="20"/>
          <w:szCs w:val="20"/>
          <w:lang w:val="en-US"/>
        </w:rPr>
        <w:instrText>ADDIN CSL_CITATION {"citationItems":[{"id":"ITEM-1","itemData":{"DOI":"10.3390/molecules26133785","ISSN":"14203049","PMID":"34206320","abstract":"Type 2 diabetes (T2D) is a chronic metabolic disease, which could affect the daily life of patients and increase their risk of developing other diseases. Synthetic anti-diabetic drugs usually show severe side effects. In the last few decades, plant-derived drugs have been intensively studied, particularly because of a rapid development of the instruments used in analytical chemistry. We tested the efficacy of Gundelia tournefortii L. (GT) in increasing the translocation of glucose trans-porter-4 (GLUT4) to the myocyte plasma membrane (PM), as a main strategy to manage T2D. In this study, GT methanol extract was sub-fractionated into 10 samples using flash chromatography. The toxicity of the fractions on L6 muscle cells, stably expressing GLUTmyc, was evaluated using the MTT assay. The efficacy with which GLUT4 was attached to the L6 PM was evaluated at non-toxic conce</w:instrText>
      </w:r>
      <w:r w:rsidR="009A02E1">
        <w:rPr>
          <w:rFonts w:ascii="Arial" w:hAnsi="Arial" w:cs="Arial"/>
          <w:sz w:val="20"/>
          <w:szCs w:val="20"/>
        </w:rPr>
        <w:instrText>ntrations. Fraction 6 was the most effective, as it stimulated GLUT4 translocation in the absence and presence of insulin, 3.5 and 5.2 times (at 250 μg/mL), respectively. Fraction 1 and 3 showed no significant effects on GLUT4 translocation, while other fractions increased GLUT4 trans-location up to 2.0 times. Gas chromatography–mass spectrometry of silylated fractions revealed 98 distinct compounds. Among those compounds, 25 were considered anti-diabetic and glucose dis-posal agents. These findings suggest that GT methanol sub-fractions exert an anti-diabetic effect by modulating GLUT4 translocation in L6 muscle cells, and indicate the potential of GT extracts as novel therapeutic agents for T2D.","author":[{"dropping-particle":"","family":"Kadan","given":"Sleman","non-dropping-particle":"","parse-names":false,"suffix":""},{"dropping-particle":"","family":"Melamed","given":"Sarit","non-dropping-particle":"","parse-names":false,"suffix":""},{"dropping-particle":"","family":"Benvalid","given":"Shoshana","non-dropping-particle":"","parse-names":false,"suffix":""},{"dropping-particle":"","family":"Tietel","given":"Zipora","non-dropping-particle":"","parse-names":false,"suffix":""},{"dropping-particle":"","family":"Sasson","given":"Yoel","non-dropping-particle":"","parse-names":false,"suffix":""},{"dropping-particle":"","family":"Zaid","given":"Hilal","non-dropping-particle":"","parse-names":false,"suffix":""}],"container-title":"Molecules","id":"ITEM-1","issue":"13","issued":{"date-parts":[["2021"]]},"title":"Gundelia tournefortii: Fractionation, chemical composition and glut4 translocation enhancement in muscle cell line","type":"article-journal","volume":"26"},"uris":["http://www.mendeley.com/documents/?uuid=8b6ffebb-c2f2-49ab-b2b2-8c69be03ca03"]}],"mendeley":{"formattedCitation":"(Kadan et al., 2021)","manualFormatting":"Kadan et al., 2021;","plainTextFormattedCitation":"(Kadan et al., 2021)","previouslyFormattedCitation":"(Kadan et al., 2021)"},"properties":{"noteIndex":0},"schema":"https://github.com/citation-style-language/schema/raw/master/csl-citation.json"}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rPr>
        <w:t>Kadan et al., 2021</w:t>
      </w:r>
      <w:r w:rsidR="009A02E1">
        <w:rPr>
          <w:rFonts w:ascii="Arial" w:hAnsi="Arial" w:cs="Arial"/>
          <w:noProof/>
          <w:sz w:val="20"/>
          <w:szCs w:val="20"/>
        </w:rPr>
        <w:t>;</w:t>
      </w:r>
      <w:r w:rsidRPr="00BC5F1D">
        <w:rPr>
          <w:rFonts w:ascii="Arial" w:hAnsi="Arial" w:cs="Arial"/>
          <w:sz w:val="20"/>
          <w:szCs w:val="20"/>
        </w:rPr>
        <w:fldChar w:fldCharType="end"/>
      </w:r>
      <w:r w:rsidR="009A02E1">
        <w:rPr>
          <w:rFonts w:ascii="Arial" w:hAnsi="Arial" w:cs="Arial"/>
          <w:sz w:val="20"/>
          <w:szCs w:val="20"/>
        </w:rPr>
        <w:t xml:space="preserve"> </w:t>
      </w:r>
      <w:r w:rsidRPr="00BC5F1D">
        <w:rPr>
          <w:rFonts w:ascii="Arial" w:hAnsi="Arial" w:cs="Arial"/>
          <w:sz w:val="20"/>
          <w:szCs w:val="20"/>
        </w:rPr>
        <w:fldChar w:fldCharType="begin" w:fldLock="1"/>
      </w:r>
      <w:r w:rsidR="009A02E1">
        <w:rPr>
          <w:rFonts w:ascii="Arial" w:hAnsi="Arial" w:cs="Arial"/>
          <w:sz w:val="20"/>
          <w:szCs w:val="20"/>
        </w:rPr>
        <w:instrText>ADDIN CSL_CITATION {"citationItems":[{"id":"ITEM-1","itemData":{"DOI":"10.14421/biomedich.2023.121.289-293","ISSN":"2089-6514","abstract":"WHO reported 1.9 million death cases of diabetes patients in 2019. Diabetes is caused by damage in the pancreas which resulted in a lack of insulin or insulin resistance. Medication for T2DM mainly focuses on lowering blood glucose and treating affected organs. Current medications are still lacking, thus research is needed in finding novel medications to accommodate T2DM. This paper aims to present the current research on potential plant extract in increasing GLUT4 translocation in diabetes conditions. insulin resistance state affecting GLUT4 translocation which is important in affecting glucose uptake. Some research shows that plant extract proved to be potential in increasing the translocation of GLUT4 and helping lowering blood glucose levels.","author":[{"dropping-particle":"","family":"Sutandar","given":"Vivi Hendra","non-dropping-particle":"","parse-names":false,"suffix":""},{"dropping-particle":"","family":"Saleh","given":"Mgs. Irsan","non-dropping-particle":"","parse-names":false,"suffix":""},{"dropping-particle":"","family":"Maritska","given":"Ziske","non-dropping-particle":"","parse-names":false,"suffix":""}],"container-title":"Biology, Medicine, &amp; Natural Product Chemistry","id":"ITEM-1","issue":"1","issued":{"date-parts":[["2023"]]},"page":"289-293","title":"GLUT4 as A Protein Target for T2DM Therapy with Natural Compounds","type":"article-journal","volume":"12"},"uris":["http://www.mendeley.com/documents/?uuid=90379f2a-10d1-4092-88b4-73a60ca3c460"]}],"mendeley":{"formattedCitation":"(Sutandar et al., 2023)","manualFormatting":"Sutandar et al., 2023)","plainTextFormattedCitation":"(Sutandar et al., 2023)","previouslyFormattedCitation":"(Sutandar et al., 2023)"},"properties":{"noteIndex":0},"schema":"https://github.com/citation-style-language/schema/raw/master/csl-citation.json"}</w:instrText>
      </w:r>
      <w:r w:rsidRPr="00BC5F1D">
        <w:rPr>
          <w:rFonts w:ascii="Arial" w:hAnsi="Arial" w:cs="Arial"/>
          <w:sz w:val="20"/>
          <w:szCs w:val="20"/>
        </w:rPr>
        <w:fldChar w:fldCharType="separate"/>
      </w:r>
      <w:r w:rsidRPr="00B148EB">
        <w:rPr>
          <w:rFonts w:ascii="Arial" w:hAnsi="Arial" w:cs="Arial"/>
          <w:noProof/>
          <w:sz w:val="20"/>
          <w:szCs w:val="20"/>
        </w:rPr>
        <w:t>Sutandar et al., 2023)</w:t>
      </w:r>
      <w:r w:rsidRPr="00BC5F1D">
        <w:rPr>
          <w:rFonts w:ascii="Arial" w:hAnsi="Arial" w:cs="Arial"/>
          <w:sz w:val="20"/>
          <w:szCs w:val="20"/>
        </w:rPr>
        <w:fldChar w:fldCharType="end"/>
      </w:r>
      <w:r w:rsidRPr="00B148EB">
        <w:rPr>
          <w:rFonts w:ascii="Arial" w:hAnsi="Arial" w:cs="Arial"/>
          <w:sz w:val="20"/>
          <w:szCs w:val="20"/>
        </w:rPr>
        <w:t xml:space="preserve">. </w:t>
      </w:r>
      <w:proofErr w:type="spellStart"/>
      <w:r w:rsidRPr="00B148EB">
        <w:rPr>
          <w:rFonts w:ascii="Arial" w:hAnsi="Arial" w:cs="Arial"/>
          <w:sz w:val="20"/>
          <w:szCs w:val="20"/>
        </w:rPr>
        <w:t>Meanwhile</w:t>
      </w:r>
      <w:proofErr w:type="spellEnd"/>
      <w:r w:rsidRPr="00B148EB">
        <w:rPr>
          <w:rFonts w:ascii="Arial" w:hAnsi="Arial" w:cs="Arial"/>
          <w:sz w:val="20"/>
          <w:szCs w:val="20"/>
        </w:rPr>
        <w:t xml:space="preserve">, in the </w:t>
      </w:r>
      <w:r w:rsidRPr="00B148EB">
        <w:rPr>
          <w:rFonts w:ascii="Arial" w:hAnsi="Arial" w:cs="Arial"/>
          <w:i/>
          <w:iCs/>
          <w:sz w:val="20"/>
          <w:szCs w:val="20"/>
        </w:rPr>
        <w:t xml:space="preserve">C. </w:t>
      </w:r>
      <w:proofErr w:type="spellStart"/>
      <w:r w:rsidRPr="00B148EB">
        <w:rPr>
          <w:rFonts w:ascii="Arial" w:hAnsi="Arial" w:cs="Arial"/>
          <w:i/>
          <w:iCs/>
          <w:sz w:val="20"/>
          <w:szCs w:val="20"/>
        </w:rPr>
        <w:t>olitorius</w:t>
      </w:r>
      <w:proofErr w:type="spellEnd"/>
      <w:r w:rsidRPr="00B148EB">
        <w:rPr>
          <w:rFonts w:ascii="Arial" w:hAnsi="Arial" w:cs="Arial"/>
          <w:sz w:val="20"/>
          <w:szCs w:val="20"/>
        </w:rPr>
        <w:t xml:space="preserve"> </w:t>
      </w:r>
      <w:proofErr w:type="spellStart"/>
      <w:r w:rsidRPr="00B148EB">
        <w:rPr>
          <w:rFonts w:ascii="Arial" w:hAnsi="Arial" w:cs="Arial"/>
          <w:sz w:val="20"/>
          <w:szCs w:val="20"/>
        </w:rPr>
        <w:t>powder</w:t>
      </w:r>
      <w:proofErr w:type="spellEnd"/>
      <w:r w:rsidRPr="00B148EB">
        <w:rPr>
          <w:rFonts w:ascii="Arial" w:hAnsi="Arial" w:cs="Arial"/>
          <w:sz w:val="20"/>
          <w:szCs w:val="20"/>
        </w:rPr>
        <w:t xml:space="preserve"> (Fig</w:t>
      </w:r>
      <w:r w:rsidR="00883578" w:rsidRPr="00B148EB">
        <w:rPr>
          <w:rFonts w:ascii="Arial" w:hAnsi="Arial" w:cs="Arial"/>
          <w:sz w:val="20"/>
          <w:szCs w:val="20"/>
        </w:rPr>
        <w:t>.</w:t>
      </w:r>
      <w:r w:rsidRPr="00B148EB">
        <w:rPr>
          <w:rFonts w:ascii="Arial" w:hAnsi="Arial" w:cs="Arial"/>
          <w:sz w:val="20"/>
          <w:szCs w:val="20"/>
        </w:rPr>
        <w:t xml:space="preserve"> 2), </w:t>
      </w:r>
      <w:proofErr w:type="spellStart"/>
      <w:r w:rsidRPr="00B148EB">
        <w:rPr>
          <w:rFonts w:ascii="Arial" w:hAnsi="Arial" w:cs="Arial"/>
          <w:sz w:val="20"/>
          <w:szCs w:val="20"/>
        </w:rPr>
        <w:t>isoquercetin</w:t>
      </w:r>
      <w:proofErr w:type="spellEnd"/>
      <w:r w:rsidRPr="00B148EB">
        <w:rPr>
          <w:rFonts w:ascii="Arial" w:hAnsi="Arial" w:cs="Arial"/>
          <w:sz w:val="20"/>
          <w:szCs w:val="20"/>
        </w:rPr>
        <w:t xml:space="preserve"> and a </w:t>
      </w:r>
      <w:proofErr w:type="spellStart"/>
      <w:r w:rsidRPr="00B148EB">
        <w:rPr>
          <w:rFonts w:ascii="Arial" w:hAnsi="Arial" w:cs="Arial"/>
          <w:sz w:val="20"/>
          <w:szCs w:val="20"/>
        </w:rPr>
        <w:t>quercetin</w:t>
      </w:r>
      <w:proofErr w:type="spellEnd"/>
      <w:r w:rsidRPr="00B148EB">
        <w:rPr>
          <w:rFonts w:ascii="Arial" w:hAnsi="Arial" w:cs="Arial"/>
          <w:sz w:val="20"/>
          <w:szCs w:val="20"/>
        </w:rPr>
        <w:t xml:space="preserve"> glycoside </w:t>
      </w:r>
      <w:r w:rsidRPr="00854A90">
        <w:rPr>
          <w:rFonts w:ascii="Arial" w:hAnsi="Arial" w:cs="Arial"/>
          <w:sz w:val="20"/>
          <w:szCs w:val="20"/>
          <w:lang w:val="en-US"/>
        </w:rPr>
        <w:t xml:space="preserve">(quercetin 3-O-(6˝-acetyl-glucoside)) are also found </w:t>
      </w:r>
      <w:r w:rsidRPr="00BC5F1D">
        <w:rPr>
          <w:rFonts w:ascii="Arial" w:hAnsi="Arial" w:cs="Arial"/>
          <w:sz w:val="20"/>
          <w:szCs w:val="20"/>
        </w:rPr>
        <w:fldChar w:fldCharType="begin" w:fldLock="1"/>
      </w:r>
      <w:r w:rsidR="009A02E1" w:rsidRPr="00854A90">
        <w:rPr>
          <w:rFonts w:ascii="Arial" w:hAnsi="Arial" w:cs="Arial"/>
          <w:sz w:val="20"/>
          <w:szCs w:val="20"/>
          <w:lang w:val="en-US"/>
        </w:rPr>
        <w:instrText>ADDIN CSL_CITATION {"citationItems":[{"id":"ITEM-1","itemData":{"DOI":"10.1038/s41598-019-38711-7","ISSN":"2045-2322","author":[{"dropping-particle":"","family":"Jiang","given":"Hao","non-dropping-particle":"","parse-names":false,"suffix":""},{"dropping-particle":"","family":"Yamashita","given":"Yoko","non-dropping-particle":"","parse-names":false,"suffix":""},{"dropping-particle":"","family":"Nakamura","given":"Asuka","non-dropping-particle":"","parse-names":false,"suffix":""},{"dropping-particle":"","family":"Croft","given":"Kevin","non-dropping-particle":"","parse-names":false,"suffix":""},{"dropping-particle":"","family":"Ashida","given":"Hitoshi","non-dropping-particle":"","parse-names":false,"suffix":""}],"container-title":"Scientific Reports","id":"ITEM-1","issue":"July 2018","issued":{"date-parts":[["2019"]]},"page":"1-15","publisher":"Springer US","title":"Quercetin and its metabolite isorhamnetin promote glucose uptake through different signalling pathways in myotubes","type":"article-journal","volume":"9"},"uris":["http://www.mendeley.com/documents/?uuid=4f263281-90cf-4cc8-811b-77f871612eed"]}],"mendeley":{"formattedCitation":"(Jiang et al., 2019)","manualFormatting":"(Jiang et al., 2019;","plainTextFormattedCitation":"(Jiang et al., 2019)","previouslyFormattedCitation":"(Jiang et al., 2019)"},"properties":{"noteIndex":0},"sch</w:instrText>
      </w:r>
      <w:r w:rsidR="009A02E1">
        <w:rPr>
          <w:rFonts w:ascii="Arial" w:hAnsi="Arial" w:cs="Arial"/>
          <w:sz w:val="20"/>
          <w:szCs w:val="20"/>
          <w:lang w:val="en-US"/>
        </w:rPr>
        <w:instrText>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(Jiang et al., 2019</w:t>
      </w:r>
      <w:r w:rsidR="009A02E1">
        <w:rPr>
          <w:rFonts w:ascii="Arial" w:hAnsi="Arial" w:cs="Arial"/>
          <w:noProof/>
          <w:sz w:val="20"/>
          <w:szCs w:val="20"/>
          <w:lang w:val="en-US"/>
        </w:rPr>
        <w:t>;</w:t>
      </w:r>
      <w:r w:rsidRPr="00BC5F1D">
        <w:rPr>
          <w:rFonts w:ascii="Arial" w:hAnsi="Arial" w:cs="Arial"/>
          <w:sz w:val="20"/>
          <w:szCs w:val="20"/>
        </w:rPr>
        <w:fldChar w:fldCharType="end"/>
      </w:r>
      <w:r w:rsidRPr="00BC5F1D">
        <w:rPr>
          <w:rFonts w:ascii="Arial" w:hAnsi="Arial" w:cs="Arial"/>
          <w:sz w:val="20"/>
          <w:szCs w:val="20"/>
          <w:lang w:val="en-US"/>
        </w:rPr>
        <w:t xml:space="preserve"> </w:t>
      </w:r>
      <w:r w:rsidRPr="00BC5F1D">
        <w:rPr>
          <w:rFonts w:ascii="Arial" w:hAnsi="Arial" w:cs="Arial"/>
          <w:sz w:val="20"/>
          <w:szCs w:val="20"/>
        </w:rPr>
        <w:fldChar w:fldCharType="begin" w:fldLock="1"/>
      </w:r>
      <w:r w:rsidR="009A02E1">
        <w:rPr>
          <w:rFonts w:ascii="Arial" w:hAnsi="Arial" w:cs="Arial"/>
          <w:sz w:val="20"/>
          <w:szCs w:val="20"/>
          <w:lang w:val="en-US"/>
        </w:rPr>
        <w:instrText>ADDIN CSL_CITATION {"citationItems":[{"id":"ITEM-1","itemData":{"DOI":"10.3164/jcbn.23-30","author":[{"dropping-particle":"","family":"Yamashita","given":"Yoko","non-dropping-particle":"","parse-names":false,"suffix":""},{"dropping-particle":"","family":"Jiang","given":"Hao","non-dropping-particle":"","parse-names":false,"suffix":""},{"dropping-particle":"","family":"Okada","given":"Fukiko","non-dropping-particle":"","parse-names":false,"suffix":""},{"dropping-particle":"","family":"Kitakaze","given":"Tomoya","non-dropping-particle":"","parse-names":false,"suffix":""},{"dropping-particle":"","family":"Yoshioka","given":"Yasukiyo","non-dropping-particle":"","parse-names":false,"suffix":""},{"dropping-particle":"","family":"Ashida","given":"Hitoshi","non-dropping-particle":"","parse-names":false,"suffix":""}],"container-title":"J. Clin. Biochem. Nutr. |","id":"ITEM-1","issue":"1","issued":{"date-parts":[["2024"]]},"page":"37-46","title":"Single oral administration of quercetin glycosides prevented acute hyperglycemia by promoting GLUT4 translocation in skeletal muscles through the activation of AMPK in mice","type":"article-journal","volume":"74"},"uris":["http://www.mendeley.com/documents/?uuid=6603a7e1-f40b-47c3-9510-1e9664d95c4a"]}],"mendeley":{"formattedCitation":"(Yamashita et al., 2024)","manualFormatting":"Yamashita et al., 2024)","plainTextFormattedCitation":"(Yamashita et al., 2024)","previouslyFormattedCitation":"(Yamashita et al., 2024)"},"properties":{"noteIndex":0},"schema":"https://github.com/citation-style-language/schema/raw/master/csl-citation.json"}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Yamashita et al., 2024)</w:t>
      </w:r>
      <w:r w:rsidRPr="00BC5F1D">
        <w:rPr>
          <w:rFonts w:ascii="Arial" w:hAnsi="Arial" w:cs="Arial"/>
          <w:sz w:val="20"/>
          <w:szCs w:val="20"/>
        </w:rPr>
        <w:fldChar w:fldCharType="end"/>
      </w:r>
      <w:r w:rsidRPr="00BC5F1D">
        <w:rPr>
          <w:rFonts w:ascii="Arial" w:hAnsi="Arial" w:cs="Arial"/>
          <w:sz w:val="20"/>
          <w:szCs w:val="20"/>
          <w:lang w:val="en-US"/>
        </w:rPr>
        <w:t xml:space="preserve">. These results may explain the high GLUT4 translocation activities of the extracts from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(90.61% Insulin) and C. olitorius powder (92.52% Insulin) (Figs</w:t>
      </w:r>
      <w:r w:rsidR="00883578">
        <w:rPr>
          <w:rFonts w:ascii="Arial" w:hAnsi="Arial" w:cs="Arial"/>
          <w:sz w:val="20"/>
          <w:szCs w:val="20"/>
          <w:lang w:val="en-US"/>
        </w:rPr>
        <w:t>.</w:t>
      </w:r>
      <w:r w:rsidRPr="00BC5F1D">
        <w:rPr>
          <w:rFonts w:ascii="Arial" w:hAnsi="Arial" w:cs="Arial"/>
          <w:sz w:val="20"/>
          <w:szCs w:val="20"/>
          <w:lang w:val="en-US"/>
        </w:rPr>
        <w:t xml:space="preserve"> 1a and 1b).</w:t>
      </w:r>
    </w:p>
    <w:p w14:paraId="28CC52A1" w14:textId="03F89780" w:rsidR="00A41550" w:rsidRPr="00BC5F1D" w:rsidRDefault="007C7BF0" w:rsidP="00C26EDE">
      <w:pPr>
        <w:spacing w:line="360" w:lineRule="auto"/>
        <w:jc w:val="both"/>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4 presents a chromatogram coupled with a mass spectrum that highlights the presence of several chemical compounds contained in the extracts from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powders. Several chemical compounds are identified that do not belong to the polyphenol family, nor to flavonoids or condensed tannins, including D-gluconic acid, </w:t>
      </w:r>
      <w:proofErr w:type="spellStart"/>
      <w:r w:rsidRPr="00BC5F1D">
        <w:rPr>
          <w:rFonts w:ascii="Arial" w:hAnsi="Arial" w:cs="Arial"/>
          <w:sz w:val="20"/>
          <w:szCs w:val="20"/>
          <w:lang w:val="en-US"/>
        </w:rPr>
        <w:t>quinic</w:t>
      </w:r>
      <w:proofErr w:type="spellEnd"/>
      <w:r w:rsidRPr="00BC5F1D">
        <w:rPr>
          <w:rFonts w:ascii="Arial" w:hAnsi="Arial" w:cs="Arial"/>
          <w:sz w:val="20"/>
          <w:szCs w:val="20"/>
          <w:lang w:val="en-US"/>
        </w:rPr>
        <w:t xml:space="preserve"> acid, (+)-</w:t>
      </w:r>
      <w:proofErr w:type="spellStart"/>
      <w:r w:rsidRPr="00BC5F1D">
        <w:rPr>
          <w:rFonts w:ascii="Arial" w:hAnsi="Arial" w:cs="Arial"/>
          <w:sz w:val="20"/>
          <w:szCs w:val="20"/>
          <w:lang w:val="en-US"/>
        </w:rPr>
        <w:t>lyoniresinol</w:t>
      </w:r>
      <w:proofErr w:type="spellEnd"/>
      <w:r w:rsidRPr="00BC5F1D">
        <w:rPr>
          <w:rFonts w:ascii="Arial" w:hAnsi="Arial" w:cs="Arial"/>
          <w:sz w:val="20"/>
          <w:szCs w:val="20"/>
          <w:lang w:val="en-US"/>
        </w:rPr>
        <w:t xml:space="preserve"> 9’-O-glucoside, </w:t>
      </w:r>
      <w:proofErr w:type="spellStart"/>
      <w:r w:rsidRPr="00BC5F1D">
        <w:rPr>
          <w:rFonts w:ascii="Arial" w:hAnsi="Arial" w:cs="Arial"/>
          <w:sz w:val="20"/>
          <w:szCs w:val="20"/>
          <w:lang w:val="en-US"/>
        </w:rPr>
        <w:t>cryptostictic</w:t>
      </w:r>
      <w:proofErr w:type="spellEnd"/>
      <w:r w:rsidRPr="00BC5F1D">
        <w:rPr>
          <w:rFonts w:ascii="Arial" w:hAnsi="Arial" w:cs="Arial"/>
          <w:sz w:val="20"/>
          <w:szCs w:val="20"/>
          <w:lang w:val="en-US"/>
        </w:rPr>
        <w:t xml:space="preserve"> acid, fatty acids, and triterpenes. These organic compounds have no GLUT4 translocation activity when compared to literature data. However, their high content in the powders could have a toxic effect on the amount of GLUT4 translocated, potentially explaining the observed results on GLUT4 translocation from the extracts of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(Fig</w:t>
      </w:r>
      <w:r w:rsidR="00883578">
        <w:rPr>
          <w:rFonts w:ascii="Arial" w:hAnsi="Arial" w:cs="Arial"/>
          <w:sz w:val="20"/>
          <w:szCs w:val="20"/>
          <w:lang w:val="en-US"/>
        </w:rPr>
        <w:t>.</w:t>
      </w:r>
      <w:r w:rsidRPr="00BC5F1D">
        <w:rPr>
          <w:rFonts w:ascii="Arial" w:hAnsi="Arial" w:cs="Arial"/>
          <w:sz w:val="20"/>
          <w:szCs w:val="20"/>
          <w:lang w:val="en-US"/>
        </w:rPr>
        <w:t xml:space="preserve"> 1c).</w:t>
      </w:r>
    </w:p>
    <w:p w14:paraId="3A65DBEF" w14:textId="77777777" w:rsidR="000A657C" w:rsidRPr="00BC5F1D" w:rsidRDefault="000A657C" w:rsidP="000A657C">
      <w:pPr>
        <w:spacing w:after="0" w:line="360" w:lineRule="auto"/>
        <w:jc w:val="both"/>
        <w:rPr>
          <w:rFonts w:ascii="Arial" w:hAnsi="Arial" w:cs="Arial"/>
          <w:sz w:val="20"/>
          <w:szCs w:val="20"/>
          <w:lang w:val="en-US"/>
        </w:rPr>
      </w:pPr>
    </w:p>
    <w:p w14:paraId="019A68A6" w14:textId="7A9CD933" w:rsidR="009F3608" w:rsidRPr="00BC5F1D" w:rsidRDefault="009F3608" w:rsidP="00C26EDE">
      <w:pPr>
        <w:spacing w:line="360" w:lineRule="auto"/>
        <w:jc w:val="both"/>
        <w:rPr>
          <w:rFonts w:ascii="Arial" w:hAnsi="Arial" w:cs="Arial"/>
          <w:color w:val="000000" w:themeColor="text1"/>
          <w:sz w:val="20"/>
          <w:szCs w:val="20"/>
        </w:rPr>
      </w:pPr>
      <w:r w:rsidRPr="00BC5F1D">
        <w:rPr>
          <w:rFonts w:ascii="Arial" w:hAnsi="Arial" w:cs="Arial"/>
          <w:color w:val="000000" w:themeColor="text1"/>
          <w:sz w:val="20"/>
          <w:szCs w:val="20"/>
        </w:rPr>
        <w:t xml:space="preserve">Table </w:t>
      </w:r>
      <w:r w:rsidR="00A41550" w:rsidRPr="00BC5F1D">
        <w:rPr>
          <w:rFonts w:ascii="Arial" w:hAnsi="Arial" w:cs="Arial"/>
          <w:color w:val="000000" w:themeColor="text1"/>
          <w:sz w:val="20"/>
          <w:szCs w:val="20"/>
        </w:rPr>
        <w:t>4 :</w:t>
      </w:r>
      <w:r w:rsidRPr="00BC5F1D">
        <w:rPr>
          <w:rFonts w:ascii="Arial" w:hAnsi="Arial" w:cs="Arial"/>
          <w:color w:val="000000" w:themeColor="text1"/>
          <w:sz w:val="20"/>
          <w:szCs w:val="20"/>
        </w:rPr>
        <w:t xml:space="preserve"> Main</w:t>
      </w:r>
      <w:r w:rsidR="00DC22F0" w:rsidRPr="00BC5F1D">
        <w:rPr>
          <w:rFonts w:ascii="Arial" w:hAnsi="Arial" w:cs="Arial"/>
          <w:color w:val="000000" w:themeColor="text1"/>
          <w:sz w:val="20"/>
          <w:szCs w:val="20"/>
        </w:rPr>
        <w:t xml:space="preserve"> </w:t>
      </w:r>
      <w:proofErr w:type="spellStart"/>
      <w:r w:rsidRPr="00BC5F1D">
        <w:rPr>
          <w:rFonts w:ascii="Arial" w:hAnsi="Arial" w:cs="Arial"/>
          <w:color w:val="000000" w:themeColor="text1"/>
          <w:sz w:val="20"/>
          <w:szCs w:val="20"/>
        </w:rPr>
        <w:t>significant</w:t>
      </w:r>
      <w:proofErr w:type="spellEnd"/>
      <w:r w:rsidR="00387D8F" w:rsidRPr="00BC5F1D">
        <w:rPr>
          <w:rFonts w:ascii="Arial" w:hAnsi="Arial" w:cs="Arial"/>
          <w:color w:val="000000" w:themeColor="text1"/>
          <w:sz w:val="20"/>
          <w:szCs w:val="20"/>
        </w:rPr>
        <w:t xml:space="preserve"> and non-</w:t>
      </w:r>
      <w:proofErr w:type="spellStart"/>
      <w:r w:rsidR="00387D8F" w:rsidRPr="00BC5F1D">
        <w:rPr>
          <w:rFonts w:ascii="Arial" w:hAnsi="Arial" w:cs="Arial"/>
          <w:color w:val="000000" w:themeColor="text1"/>
          <w:sz w:val="20"/>
          <w:szCs w:val="20"/>
        </w:rPr>
        <w:t>significant</w:t>
      </w:r>
      <w:proofErr w:type="spellEnd"/>
      <w:r w:rsidRPr="00BC5F1D">
        <w:rPr>
          <w:rFonts w:ascii="Arial" w:hAnsi="Arial" w:cs="Arial"/>
          <w:color w:val="000000" w:themeColor="text1"/>
          <w:sz w:val="20"/>
          <w:szCs w:val="20"/>
        </w:rPr>
        <w:t xml:space="preserve"> </w:t>
      </w:r>
      <w:r w:rsidR="00DC22F0" w:rsidRPr="00BC5F1D">
        <w:rPr>
          <w:rFonts w:ascii="Arial" w:hAnsi="Arial" w:cs="Arial"/>
          <w:color w:val="000000" w:themeColor="text1"/>
          <w:sz w:val="20"/>
          <w:szCs w:val="20"/>
        </w:rPr>
        <w:t xml:space="preserve">high </w:t>
      </w:r>
      <w:proofErr w:type="spellStart"/>
      <w:r w:rsidRPr="00BC5F1D">
        <w:rPr>
          <w:rFonts w:ascii="Arial" w:hAnsi="Arial" w:cs="Arial"/>
          <w:color w:val="000000" w:themeColor="text1"/>
          <w:sz w:val="20"/>
          <w:szCs w:val="20"/>
        </w:rPr>
        <w:t>correlations</w:t>
      </w:r>
      <w:proofErr w:type="spellEnd"/>
      <w:r w:rsidRPr="00BC5F1D">
        <w:rPr>
          <w:rFonts w:ascii="Arial" w:hAnsi="Arial" w:cs="Arial"/>
          <w:color w:val="000000" w:themeColor="text1"/>
          <w:sz w:val="20"/>
          <w:szCs w:val="20"/>
        </w:rPr>
        <w:t xml:space="preserve"> </w:t>
      </w:r>
      <w:proofErr w:type="spellStart"/>
      <w:r w:rsidRPr="00BC5F1D">
        <w:rPr>
          <w:rFonts w:ascii="Arial" w:hAnsi="Arial" w:cs="Arial"/>
          <w:color w:val="000000" w:themeColor="text1"/>
          <w:sz w:val="20"/>
          <w:szCs w:val="20"/>
        </w:rPr>
        <w:t>between</w:t>
      </w:r>
      <w:proofErr w:type="spellEnd"/>
      <w:r w:rsidRPr="00BC5F1D">
        <w:rPr>
          <w:rFonts w:ascii="Arial" w:hAnsi="Arial" w:cs="Arial"/>
          <w:color w:val="000000" w:themeColor="text1"/>
          <w:sz w:val="20"/>
          <w:szCs w:val="20"/>
        </w:rPr>
        <w:t xml:space="preserve"> </w:t>
      </w:r>
      <w:r w:rsidR="00DC22F0" w:rsidRPr="00BC5F1D">
        <w:rPr>
          <w:rFonts w:ascii="Arial" w:hAnsi="Arial" w:cs="Arial"/>
          <w:color w:val="000000" w:themeColor="text1"/>
          <w:sz w:val="20"/>
          <w:szCs w:val="20"/>
        </w:rPr>
        <w:t>certain</w:t>
      </w:r>
      <w:r w:rsidR="00214116" w:rsidRPr="00BC5F1D">
        <w:rPr>
          <w:rFonts w:ascii="Arial" w:hAnsi="Arial" w:cs="Arial"/>
          <w:color w:val="000000" w:themeColor="text1"/>
          <w:sz w:val="20"/>
          <w:szCs w:val="20"/>
        </w:rPr>
        <w:t xml:space="preserve"> </w:t>
      </w:r>
      <w:proofErr w:type="spellStart"/>
      <w:r w:rsidRPr="00BC5F1D">
        <w:rPr>
          <w:rFonts w:ascii="Arial" w:hAnsi="Arial" w:cs="Arial"/>
          <w:color w:val="000000" w:themeColor="text1"/>
          <w:sz w:val="20"/>
          <w:szCs w:val="20"/>
        </w:rPr>
        <w:t>nutrients</w:t>
      </w:r>
      <w:proofErr w:type="spellEnd"/>
      <w:r w:rsidRPr="00BC5F1D">
        <w:rPr>
          <w:rFonts w:ascii="Arial" w:hAnsi="Arial" w:cs="Arial"/>
          <w:color w:val="000000" w:themeColor="text1"/>
          <w:sz w:val="20"/>
          <w:szCs w:val="20"/>
        </w:rPr>
        <w:t xml:space="preserve">, bioactive compounds, and GLUT4 translocation </w:t>
      </w:r>
      <w:proofErr w:type="spellStart"/>
      <w:r w:rsidRPr="00BC5F1D">
        <w:rPr>
          <w:rFonts w:ascii="Arial" w:hAnsi="Arial" w:cs="Arial"/>
          <w:color w:val="000000" w:themeColor="text1"/>
          <w:sz w:val="20"/>
          <w:szCs w:val="20"/>
        </w:rPr>
        <w:t>activit</w:t>
      </w:r>
      <w:r w:rsidR="00DC22F0" w:rsidRPr="00BC5F1D">
        <w:rPr>
          <w:rFonts w:ascii="Arial" w:hAnsi="Arial" w:cs="Arial"/>
          <w:color w:val="000000" w:themeColor="text1"/>
          <w:sz w:val="20"/>
          <w:szCs w:val="20"/>
        </w:rPr>
        <w:t>ies</w:t>
      </w:r>
      <w:proofErr w:type="spellEnd"/>
    </w:p>
    <w:tbl>
      <w:tblPr>
        <w:tblStyle w:val="TableGrid"/>
        <w:tblW w:w="10349" w:type="dxa"/>
        <w:jc w:val="center"/>
        <w:tblLayout w:type="fixed"/>
        <w:tblLook w:val="04A0" w:firstRow="1" w:lastRow="0" w:firstColumn="1" w:lastColumn="0" w:noHBand="0" w:noVBand="1"/>
      </w:tblPr>
      <w:tblGrid>
        <w:gridCol w:w="1985"/>
        <w:gridCol w:w="1984"/>
        <w:gridCol w:w="1418"/>
        <w:gridCol w:w="1559"/>
        <w:gridCol w:w="1701"/>
        <w:gridCol w:w="1702"/>
      </w:tblGrid>
      <w:tr w:rsidR="00C26EDE" w:rsidRPr="00BC5F1D" w14:paraId="55FC5750" w14:textId="72F7DDB6" w:rsidTr="00C26EDE">
        <w:trPr>
          <w:trHeight w:val="491"/>
          <w:jc w:val="center"/>
        </w:trPr>
        <w:tc>
          <w:tcPr>
            <w:tcW w:w="1985" w:type="dxa"/>
            <w:tcBorders>
              <w:left w:val="nil"/>
              <w:bottom w:val="single" w:sz="4" w:space="0" w:color="auto"/>
              <w:right w:val="nil"/>
            </w:tcBorders>
            <w:vAlign w:val="center"/>
          </w:tcPr>
          <w:p w14:paraId="1BAD684C" w14:textId="77777777" w:rsidR="00C26EDE" w:rsidRPr="00BC5F1D" w:rsidRDefault="00C26EDE">
            <w:pPr>
              <w:jc w:val="center"/>
              <w:rPr>
                <w:rFonts w:ascii="Arial" w:hAnsi="Arial" w:cs="Arial"/>
                <w:color w:val="000000" w:themeColor="text1"/>
                <w:sz w:val="18"/>
                <w:szCs w:val="18"/>
              </w:rPr>
            </w:pPr>
          </w:p>
        </w:tc>
        <w:tc>
          <w:tcPr>
            <w:tcW w:w="1984" w:type="dxa"/>
            <w:tcBorders>
              <w:left w:val="nil"/>
              <w:bottom w:val="single" w:sz="4" w:space="0" w:color="auto"/>
              <w:right w:val="nil"/>
            </w:tcBorders>
            <w:vAlign w:val="center"/>
          </w:tcPr>
          <w:p w14:paraId="6686E3BB" w14:textId="77777777" w:rsidR="00C26EDE" w:rsidRPr="00BC5F1D" w:rsidRDefault="00C26EDE">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Available carbohydrate</w:t>
            </w:r>
          </w:p>
        </w:tc>
        <w:tc>
          <w:tcPr>
            <w:tcW w:w="1418" w:type="dxa"/>
            <w:tcBorders>
              <w:left w:val="nil"/>
              <w:bottom w:val="single" w:sz="4" w:space="0" w:color="auto"/>
              <w:right w:val="nil"/>
            </w:tcBorders>
            <w:vAlign w:val="center"/>
          </w:tcPr>
          <w:p w14:paraId="5FDB6425" w14:textId="748FE982" w:rsidR="00C26EDE" w:rsidRPr="00BC5F1D" w:rsidRDefault="00C26EDE">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 xml:space="preserve">Calcium </w:t>
            </w:r>
          </w:p>
        </w:tc>
        <w:tc>
          <w:tcPr>
            <w:tcW w:w="1559" w:type="dxa"/>
            <w:tcBorders>
              <w:left w:val="nil"/>
              <w:bottom w:val="single" w:sz="4" w:space="0" w:color="auto"/>
              <w:right w:val="nil"/>
            </w:tcBorders>
            <w:vAlign w:val="center"/>
          </w:tcPr>
          <w:p w14:paraId="4B92B37B" w14:textId="30542FEF" w:rsidR="00C26EDE" w:rsidRPr="00BC5F1D" w:rsidRDefault="00C26EDE">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Total polyphenol</w:t>
            </w:r>
          </w:p>
        </w:tc>
        <w:tc>
          <w:tcPr>
            <w:tcW w:w="1701" w:type="dxa"/>
            <w:tcBorders>
              <w:left w:val="nil"/>
              <w:bottom w:val="single" w:sz="4" w:space="0" w:color="auto"/>
              <w:right w:val="nil"/>
            </w:tcBorders>
            <w:vAlign w:val="center"/>
          </w:tcPr>
          <w:p w14:paraId="039187B2" w14:textId="44C42F79" w:rsidR="00C26EDE" w:rsidRPr="00BC5F1D" w:rsidRDefault="00C26EDE" w:rsidP="005072F9">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Condensed tannins</w:t>
            </w:r>
          </w:p>
        </w:tc>
        <w:tc>
          <w:tcPr>
            <w:tcW w:w="1702" w:type="dxa"/>
            <w:tcBorders>
              <w:left w:val="nil"/>
              <w:bottom w:val="single" w:sz="4" w:space="0" w:color="auto"/>
              <w:right w:val="nil"/>
            </w:tcBorders>
            <w:vAlign w:val="center"/>
          </w:tcPr>
          <w:p w14:paraId="2A018EB9" w14:textId="112EA031" w:rsidR="00C26EDE" w:rsidRPr="00BC5F1D" w:rsidRDefault="00C26EDE" w:rsidP="005072F9">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Total flavonoids</w:t>
            </w:r>
          </w:p>
        </w:tc>
      </w:tr>
      <w:tr w:rsidR="00C26EDE" w:rsidRPr="00BC5F1D" w14:paraId="76B49CB7" w14:textId="2CA70079" w:rsidTr="00C26EDE">
        <w:trPr>
          <w:trHeight w:val="491"/>
          <w:jc w:val="center"/>
        </w:trPr>
        <w:tc>
          <w:tcPr>
            <w:tcW w:w="1985" w:type="dxa"/>
            <w:tcBorders>
              <w:top w:val="nil"/>
              <w:left w:val="nil"/>
              <w:bottom w:val="nil"/>
              <w:right w:val="nil"/>
            </w:tcBorders>
            <w:vAlign w:val="center"/>
          </w:tcPr>
          <w:p w14:paraId="7015CA9F" w14:textId="77777777" w:rsidR="00C26EDE" w:rsidRPr="00BC5F1D" w:rsidRDefault="00C26EDE" w:rsidP="00692C5A">
            <w:pPr>
              <w:rPr>
                <w:rFonts w:ascii="Arial" w:hAnsi="Arial" w:cs="Arial"/>
                <w:color w:val="000000" w:themeColor="text1"/>
                <w:sz w:val="18"/>
                <w:szCs w:val="18"/>
                <w:lang w:val="en-US"/>
              </w:rPr>
            </w:pPr>
            <w:r w:rsidRPr="00BC5F1D">
              <w:rPr>
                <w:rFonts w:ascii="Arial" w:hAnsi="Arial" w:cs="Arial"/>
                <w:color w:val="000000" w:themeColor="text1"/>
                <w:sz w:val="18"/>
                <w:szCs w:val="18"/>
                <w:lang w:val="en-US"/>
              </w:rPr>
              <w:t>Available carbohydrate</w:t>
            </w:r>
          </w:p>
        </w:tc>
        <w:tc>
          <w:tcPr>
            <w:tcW w:w="1984" w:type="dxa"/>
            <w:tcBorders>
              <w:top w:val="nil"/>
              <w:left w:val="nil"/>
              <w:bottom w:val="nil"/>
              <w:right w:val="nil"/>
            </w:tcBorders>
            <w:vAlign w:val="center"/>
          </w:tcPr>
          <w:p w14:paraId="0F0B234F" w14:textId="77777777"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1</w:t>
            </w:r>
          </w:p>
        </w:tc>
        <w:tc>
          <w:tcPr>
            <w:tcW w:w="1418" w:type="dxa"/>
            <w:tcBorders>
              <w:top w:val="nil"/>
              <w:left w:val="nil"/>
              <w:bottom w:val="nil"/>
              <w:right w:val="nil"/>
            </w:tcBorders>
            <w:vAlign w:val="center"/>
          </w:tcPr>
          <w:p w14:paraId="395656C1" w14:textId="0ACB8E44" w:rsidR="00C26EDE" w:rsidRPr="00BC5F1D" w:rsidRDefault="00C26EDE" w:rsidP="00692C5A">
            <w:pP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- 0.999 (0.007)</w:t>
            </w:r>
          </w:p>
        </w:tc>
        <w:tc>
          <w:tcPr>
            <w:tcW w:w="1559" w:type="dxa"/>
            <w:tcBorders>
              <w:top w:val="nil"/>
              <w:left w:val="nil"/>
              <w:bottom w:val="nil"/>
              <w:right w:val="nil"/>
            </w:tcBorders>
            <w:vAlign w:val="center"/>
          </w:tcPr>
          <w:p w14:paraId="0D0AE9B6" w14:textId="76AA2635"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 </w:t>
            </w:r>
          </w:p>
        </w:tc>
        <w:tc>
          <w:tcPr>
            <w:tcW w:w="1701" w:type="dxa"/>
            <w:tcBorders>
              <w:top w:val="nil"/>
              <w:left w:val="nil"/>
              <w:bottom w:val="nil"/>
              <w:right w:val="nil"/>
            </w:tcBorders>
            <w:vAlign w:val="center"/>
          </w:tcPr>
          <w:p w14:paraId="13DBA8F2" w14:textId="7888C17A"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 </w:t>
            </w:r>
          </w:p>
        </w:tc>
        <w:tc>
          <w:tcPr>
            <w:tcW w:w="1702" w:type="dxa"/>
            <w:tcBorders>
              <w:top w:val="nil"/>
              <w:left w:val="nil"/>
              <w:bottom w:val="nil"/>
              <w:right w:val="nil"/>
            </w:tcBorders>
            <w:vAlign w:val="center"/>
          </w:tcPr>
          <w:p w14:paraId="1DC9E3E5" w14:textId="317359D6"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 </w:t>
            </w:r>
          </w:p>
        </w:tc>
      </w:tr>
      <w:tr w:rsidR="00C26EDE" w:rsidRPr="00BC5F1D" w14:paraId="204D113B" w14:textId="65389C09" w:rsidTr="00C26EDE">
        <w:trPr>
          <w:trHeight w:val="491"/>
          <w:jc w:val="center"/>
        </w:trPr>
        <w:tc>
          <w:tcPr>
            <w:tcW w:w="1985" w:type="dxa"/>
            <w:tcBorders>
              <w:top w:val="nil"/>
              <w:left w:val="nil"/>
              <w:bottom w:val="nil"/>
              <w:right w:val="nil"/>
            </w:tcBorders>
            <w:vAlign w:val="center"/>
          </w:tcPr>
          <w:p w14:paraId="09ED2221" w14:textId="77777777" w:rsidR="00C26EDE" w:rsidRPr="00BC5F1D" w:rsidRDefault="00C26EDE" w:rsidP="00692C5A">
            <w:pPr>
              <w:rPr>
                <w:rFonts w:ascii="Arial" w:hAnsi="Arial" w:cs="Arial"/>
                <w:color w:val="000000" w:themeColor="text1"/>
                <w:sz w:val="18"/>
                <w:szCs w:val="18"/>
                <w:vertAlign w:val="superscript"/>
                <w:lang w:val="en-US"/>
              </w:rPr>
            </w:pPr>
            <w:r w:rsidRPr="00BC5F1D">
              <w:rPr>
                <w:rFonts w:ascii="Arial" w:hAnsi="Arial" w:cs="Arial"/>
                <w:color w:val="000000" w:themeColor="text1"/>
                <w:sz w:val="18"/>
                <w:szCs w:val="18"/>
                <w:lang w:val="en-US"/>
              </w:rPr>
              <w:t>GLUT4-10</w:t>
            </w:r>
            <w:r w:rsidRPr="00BC5F1D">
              <w:rPr>
                <w:rFonts w:ascii="Arial" w:hAnsi="Arial" w:cs="Arial"/>
                <w:color w:val="000000" w:themeColor="text1"/>
                <w:sz w:val="18"/>
                <w:szCs w:val="18"/>
                <w:vertAlign w:val="superscript"/>
                <w:lang w:val="en-US"/>
              </w:rPr>
              <w:t>1</w:t>
            </w:r>
          </w:p>
        </w:tc>
        <w:tc>
          <w:tcPr>
            <w:tcW w:w="1984" w:type="dxa"/>
            <w:tcBorders>
              <w:top w:val="nil"/>
              <w:left w:val="nil"/>
              <w:bottom w:val="nil"/>
              <w:right w:val="nil"/>
            </w:tcBorders>
            <w:vAlign w:val="center"/>
          </w:tcPr>
          <w:p w14:paraId="6942F306" w14:textId="744A75D9"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- 0.997 (0.044)</w:t>
            </w:r>
          </w:p>
        </w:tc>
        <w:tc>
          <w:tcPr>
            <w:tcW w:w="1418" w:type="dxa"/>
            <w:tcBorders>
              <w:top w:val="nil"/>
              <w:left w:val="nil"/>
              <w:bottom w:val="nil"/>
              <w:right w:val="nil"/>
            </w:tcBorders>
            <w:vAlign w:val="center"/>
          </w:tcPr>
          <w:p w14:paraId="48721F5F" w14:textId="3BDAC270"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0.998 (0.022)</w:t>
            </w:r>
          </w:p>
        </w:tc>
        <w:tc>
          <w:tcPr>
            <w:tcW w:w="1559" w:type="dxa"/>
            <w:tcBorders>
              <w:top w:val="nil"/>
              <w:left w:val="nil"/>
              <w:bottom w:val="nil"/>
              <w:right w:val="nil"/>
            </w:tcBorders>
            <w:vAlign w:val="center"/>
          </w:tcPr>
          <w:p w14:paraId="6B9077B3" w14:textId="778B5AEB"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-0.857 (0.343)</w:t>
            </w:r>
          </w:p>
        </w:tc>
        <w:tc>
          <w:tcPr>
            <w:tcW w:w="1701" w:type="dxa"/>
            <w:tcBorders>
              <w:top w:val="nil"/>
              <w:left w:val="nil"/>
              <w:bottom w:val="nil"/>
              <w:right w:val="nil"/>
            </w:tcBorders>
            <w:vAlign w:val="center"/>
          </w:tcPr>
          <w:p w14:paraId="5CF43B24" w14:textId="707810CA"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-0.993 (0.075)</w:t>
            </w:r>
          </w:p>
        </w:tc>
        <w:tc>
          <w:tcPr>
            <w:tcW w:w="1702" w:type="dxa"/>
            <w:tcBorders>
              <w:top w:val="nil"/>
              <w:left w:val="nil"/>
              <w:bottom w:val="nil"/>
              <w:right w:val="nil"/>
            </w:tcBorders>
            <w:vAlign w:val="center"/>
          </w:tcPr>
          <w:p w14:paraId="47C6E8ED" w14:textId="7B040903"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-0.932 (0.235)</w:t>
            </w:r>
          </w:p>
        </w:tc>
      </w:tr>
      <w:tr w:rsidR="00C26EDE" w:rsidRPr="00BC5F1D" w14:paraId="61DF7E41" w14:textId="34E295E7" w:rsidTr="00C26EDE">
        <w:trPr>
          <w:trHeight w:val="469"/>
          <w:jc w:val="center"/>
        </w:trPr>
        <w:tc>
          <w:tcPr>
            <w:tcW w:w="1985" w:type="dxa"/>
            <w:tcBorders>
              <w:top w:val="nil"/>
              <w:left w:val="nil"/>
              <w:bottom w:val="nil"/>
              <w:right w:val="nil"/>
            </w:tcBorders>
            <w:vAlign w:val="center"/>
          </w:tcPr>
          <w:p w14:paraId="479ABA02" w14:textId="77777777" w:rsidR="00C26EDE" w:rsidRPr="00BC5F1D" w:rsidRDefault="00C26EDE" w:rsidP="00692C5A">
            <w:pPr>
              <w:rPr>
                <w:rFonts w:ascii="Arial" w:hAnsi="Arial" w:cs="Arial"/>
                <w:color w:val="000000" w:themeColor="text1"/>
                <w:sz w:val="18"/>
                <w:szCs w:val="18"/>
                <w:vertAlign w:val="superscript"/>
                <w:lang w:val="en-US"/>
              </w:rPr>
            </w:pPr>
            <w:r w:rsidRPr="00BC5F1D">
              <w:rPr>
                <w:rFonts w:ascii="Arial" w:hAnsi="Arial" w:cs="Arial"/>
                <w:color w:val="000000" w:themeColor="text1"/>
                <w:sz w:val="18"/>
                <w:szCs w:val="18"/>
                <w:lang w:val="en-US"/>
              </w:rPr>
              <w:t>GLUT4-20</w:t>
            </w:r>
            <w:r w:rsidRPr="00BC5F1D">
              <w:rPr>
                <w:rFonts w:ascii="Arial" w:hAnsi="Arial" w:cs="Arial"/>
                <w:color w:val="000000" w:themeColor="text1"/>
                <w:sz w:val="18"/>
                <w:szCs w:val="18"/>
                <w:vertAlign w:val="superscript"/>
                <w:lang w:val="en-US"/>
              </w:rPr>
              <w:t>2</w:t>
            </w:r>
          </w:p>
        </w:tc>
        <w:tc>
          <w:tcPr>
            <w:tcW w:w="1984" w:type="dxa"/>
            <w:tcBorders>
              <w:top w:val="nil"/>
              <w:left w:val="nil"/>
              <w:bottom w:val="nil"/>
              <w:right w:val="nil"/>
            </w:tcBorders>
            <w:vAlign w:val="center"/>
          </w:tcPr>
          <w:p w14:paraId="15DEB3B3" w14:textId="56B18BBB"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- 0.998 (0.039)</w:t>
            </w:r>
          </w:p>
        </w:tc>
        <w:tc>
          <w:tcPr>
            <w:tcW w:w="1418" w:type="dxa"/>
            <w:tcBorders>
              <w:top w:val="nil"/>
              <w:left w:val="nil"/>
              <w:bottom w:val="nil"/>
              <w:right w:val="nil"/>
            </w:tcBorders>
            <w:vAlign w:val="center"/>
          </w:tcPr>
          <w:p w14:paraId="1BA08CC2" w14:textId="1F6A249A"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0.999 (0.027)</w:t>
            </w:r>
          </w:p>
        </w:tc>
        <w:tc>
          <w:tcPr>
            <w:tcW w:w="1559" w:type="dxa"/>
            <w:tcBorders>
              <w:top w:val="nil"/>
              <w:left w:val="nil"/>
              <w:bottom w:val="nil"/>
              <w:right w:val="nil"/>
            </w:tcBorders>
            <w:vAlign w:val="center"/>
          </w:tcPr>
          <w:p w14:paraId="0DB13233" w14:textId="6FBD8163"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-0.853 (0.348)</w:t>
            </w:r>
          </w:p>
        </w:tc>
        <w:tc>
          <w:tcPr>
            <w:tcW w:w="1701" w:type="dxa"/>
            <w:tcBorders>
              <w:top w:val="nil"/>
              <w:left w:val="nil"/>
              <w:bottom w:val="nil"/>
              <w:right w:val="nil"/>
            </w:tcBorders>
            <w:vAlign w:val="center"/>
          </w:tcPr>
          <w:p w14:paraId="7B242AB0" w14:textId="492914C3"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-0.994 (0.070)</w:t>
            </w:r>
          </w:p>
        </w:tc>
        <w:tc>
          <w:tcPr>
            <w:tcW w:w="1702" w:type="dxa"/>
            <w:tcBorders>
              <w:top w:val="nil"/>
              <w:left w:val="nil"/>
              <w:bottom w:val="nil"/>
              <w:right w:val="nil"/>
            </w:tcBorders>
            <w:vAlign w:val="center"/>
          </w:tcPr>
          <w:p w14:paraId="739D9588" w14:textId="64DAB18C"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-0.935 (0.230)</w:t>
            </w:r>
          </w:p>
        </w:tc>
      </w:tr>
      <w:tr w:rsidR="00C26EDE" w:rsidRPr="00BC5F1D" w14:paraId="273F45AA" w14:textId="7F7E81B5" w:rsidTr="00C26EDE">
        <w:trPr>
          <w:trHeight w:val="491"/>
          <w:jc w:val="center"/>
        </w:trPr>
        <w:tc>
          <w:tcPr>
            <w:tcW w:w="1985" w:type="dxa"/>
            <w:tcBorders>
              <w:top w:val="nil"/>
              <w:left w:val="nil"/>
              <w:bottom w:val="nil"/>
              <w:right w:val="nil"/>
            </w:tcBorders>
            <w:vAlign w:val="center"/>
          </w:tcPr>
          <w:p w14:paraId="55FB7880" w14:textId="77777777" w:rsidR="00C26EDE" w:rsidRPr="00BC5F1D" w:rsidRDefault="00C26EDE" w:rsidP="00692C5A">
            <w:pPr>
              <w:rPr>
                <w:rFonts w:ascii="Arial" w:hAnsi="Arial" w:cs="Arial"/>
                <w:color w:val="000000" w:themeColor="text1"/>
                <w:sz w:val="18"/>
                <w:szCs w:val="18"/>
                <w:vertAlign w:val="superscript"/>
                <w:lang w:val="en-US"/>
              </w:rPr>
            </w:pPr>
            <w:r w:rsidRPr="00BC5F1D">
              <w:rPr>
                <w:rFonts w:ascii="Arial" w:hAnsi="Arial" w:cs="Arial"/>
                <w:color w:val="000000" w:themeColor="text1"/>
                <w:sz w:val="18"/>
                <w:szCs w:val="18"/>
                <w:lang w:val="en-US"/>
              </w:rPr>
              <w:t>GLUT4-30</w:t>
            </w:r>
            <w:r w:rsidRPr="00BC5F1D">
              <w:rPr>
                <w:rFonts w:ascii="Arial" w:hAnsi="Arial" w:cs="Arial"/>
                <w:color w:val="000000" w:themeColor="text1"/>
                <w:sz w:val="18"/>
                <w:szCs w:val="18"/>
                <w:vertAlign w:val="superscript"/>
                <w:lang w:val="en-US"/>
              </w:rPr>
              <w:t>3</w:t>
            </w:r>
          </w:p>
        </w:tc>
        <w:tc>
          <w:tcPr>
            <w:tcW w:w="1984" w:type="dxa"/>
            <w:tcBorders>
              <w:top w:val="nil"/>
              <w:left w:val="nil"/>
              <w:bottom w:val="nil"/>
              <w:right w:val="nil"/>
            </w:tcBorders>
            <w:vAlign w:val="center"/>
          </w:tcPr>
          <w:p w14:paraId="2B4AAE21" w14:textId="4EE5887A"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- 0.997 (0.043)</w:t>
            </w:r>
          </w:p>
        </w:tc>
        <w:tc>
          <w:tcPr>
            <w:tcW w:w="1418" w:type="dxa"/>
            <w:tcBorders>
              <w:top w:val="nil"/>
              <w:left w:val="nil"/>
              <w:bottom w:val="nil"/>
              <w:right w:val="nil"/>
            </w:tcBorders>
            <w:vAlign w:val="center"/>
          </w:tcPr>
          <w:p w14:paraId="6B06E37B" w14:textId="24CE0C79"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0.998 (0.024)</w:t>
            </w:r>
          </w:p>
        </w:tc>
        <w:tc>
          <w:tcPr>
            <w:tcW w:w="1559" w:type="dxa"/>
            <w:tcBorders>
              <w:top w:val="nil"/>
              <w:left w:val="nil"/>
              <w:bottom w:val="nil"/>
              <w:right w:val="nil"/>
            </w:tcBorders>
            <w:vAlign w:val="center"/>
          </w:tcPr>
          <w:p w14:paraId="491AE13A" w14:textId="58DC07EC"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-0.856 (0.345)</w:t>
            </w:r>
          </w:p>
        </w:tc>
        <w:tc>
          <w:tcPr>
            <w:tcW w:w="1701" w:type="dxa"/>
            <w:tcBorders>
              <w:top w:val="nil"/>
              <w:left w:val="nil"/>
              <w:bottom w:val="nil"/>
              <w:right w:val="nil"/>
            </w:tcBorders>
            <w:vAlign w:val="center"/>
          </w:tcPr>
          <w:p w14:paraId="0918500D" w14:textId="480E4E96"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-0.993 (0.073)</w:t>
            </w:r>
          </w:p>
        </w:tc>
        <w:tc>
          <w:tcPr>
            <w:tcW w:w="1702" w:type="dxa"/>
            <w:tcBorders>
              <w:top w:val="nil"/>
              <w:left w:val="nil"/>
              <w:bottom w:val="nil"/>
              <w:right w:val="nil"/>
            </w:tcBorders>
            <w:vAlign w:val="center"/>
          </w:tcPr>
          <w:p w14:paraId="3342EDF9" w14:textId="34DA32A2"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-0.933 (0.234)</w:t>
            </w:r>
          </w:p>
        </w:tc>
      </w:tr>
      <w:tr w:rsidR="00C26EDE" w:rsidRPr="00854A90" w14:paraId="37E6DDE6" w14:textId="2EEA1BF7" w:rsidTr="00C26EDE">
        <w:trPr>
          <w:trHeight w:val="520"/>
          <w:jc w:val="center"/>
        </w:trPr>
        <w:tc>
          <w:tcPr>
            <w:tcW w:w="10349" w:type="dxa"/>
            <w:gridSpan w:val="6"/>
            <w:tcBorders>
              <w:top w:val="single" w:sz="4" w:space="0" w:color="auto"/>
              <w:left w:val="nil"/>
              <w:bottom w:val="nil"/>
              <w:right w:val="nil"/>
            </w:tcBorders>
            <w:vAlign w:val="center"/>
          </w:tcPr>
          <w:p w14:paraId="663FB077" w14:textId="4C43853E" w:rsidR="00C26EDE" w:rsidRPr="00BC5F1D" w:rsidRDefault="00C26EDE" w:rsidP="00797D8A">
            <w:pPr>
              <w:jc w:val="both"/>
              <w:rPr>
                <w:rFonts w:ascii="Arial" w:hAnsi="Arial" w:cs="Arial"/>
                <w:sz w:val="18"/>
                <w:szCs w:val="18"/>
                <w:lang w:val="en-US"/>
              </w:rPr>
            </w:pPr>
            <w:r w:rsidRPr="00BC5F1D">
              <w:rPr>
                <w:rFonts w:ascii="Arial" w:hAnsi="Arial" w:cs="Arial"/>
                <w:color w:val="000000" w:themeColor="text1"/>
                <w:sz w:val="18"/>
                <w:szCs w:val="18"/>
                <w:lang w:val="en-US"/>
              </w:rPr>
              <w:t xml:space="preserve">Correlation coefficient (probability threshold), </w:t>
            </w:r>
            <w:r w:rsidRPr="00BC5F1D">
              <w:rPr>
                <w:rFonts w:ascii="Arial" w:hAnsi="Arial" w:cs="Arial"/>
                <w:sz w:val="18"/>
                <w:szCs w:val="18"/>
                <w:lang w:val="en-US"/>
              </w:rPr>
              <w:t>Probability values below 0.05 indicate correlation coefficients (in bold) that are significantly different from 0 at a 95.0% confidence level.</w:t>
            </w:r>
            <w:r w:rsidRPr="00BC5F1D">
              <w:rPr>
                <w:rFonts w:ascii="Arial" w:hAnsi="Arial" w:cs="Arial"/>
                <w:color w:val="000000" w:themeColor="text1"/>
                <w:sz w:val="18"/>
                <w:szCs w:val="18"/>
                <w:lang w:val="en-US"/>
              </w:rPr>
              <w:t xml:space="preserve"> </w:t>
            </w:r>
            <w:r w:rsidRPr="00BC5F1D">
              <w:rPr>
                <w:rFonts w:ascii="Arial" w:hAnsi="Arial" w:cs="Arial"/>
                <w:color w:val="000000" w:themeColor="text1"/>
                <w:sz w:val="18"/>
                <w:szCs w:val="18"/>
                <w:vertAlign w:val="superscript"/>
                <w:lang w:val="en-US"/>
              </w:rPr>
              <w:t xml:space="preserve">1 </w:t>
            </w:r>
            <w:r w:rsidRPr="00BC5F1D">
              <w:rPr>
                <w:rFonts w:ascii="Arial" w:hAnsi="Arial" w:cs="Arial"/>
                <w:color w:val="000000" w:themeColor="text1"/>
                <w:sz w:val="18"/>
                <w:szCs w:val="18"/>
                <w:lang w:val="en-US"/>
              </w:rPr>
              <w:t xml:space="preserve">GLUT4 translocation after 10 minutes of activity on average; </w:t>
            </w:r>
            <w:r w:rsidRPr="00BC5F1D">
              <w:rPr>
                <w:rFonts w:ascii="Arial" w:hAnsi="Arial" w:cs="Arial"/>
                <w:color w:val="000000" w:themeColor="text1"/>
                <w:sz w:val="18"/>
                <w:szCs w:val="18"/>
                <w:vertAlign w:val="superscript"/>
                <w:lang w:val="en-US"/>
              </w:rPr>
              <w:t xml:space="preserve">2 </w:t>
            </w:r>
            <w:r w:rsidRPr="00BC5F1D">
              <w:rPr>
                <w:rFonts w:ascii="Arial" w:hAnsi="Arial" w:cs="Arial"/>
                <w:color w:val="000000" w:themeColor="text1"/>
                <w:sz w:val="18"/>
                <w:szCs w:val="18"/>
                <w:lang w:val="en-US"/>
              </w:rPr>
              <w:t xml:space="preserve">GLUT4 translocation after 20 minutes of activity on average; </w:t>
            </w:r>
            <w:r w:rsidRPr="00BC5F1D">
              <w:rPr>
                <w:rFonts w:ascii="Arial" w:hAnsi="Arial" w:cs="Arial"/>
                <w:color w:val="000000" w:themeColor="text1"/>
                <w:sz w:val="18"/>
                <w:szCs w:val="18"/>
                <w:vertAlign w:val="superscript"/>
                <w:lang w:val="en-US"/>
              </w:rPr>
              <w:t>3</w:t>
            </w:r>
            <w:r w:rsidRPr="00BC5F1D">
              <w:rPr>
                <w:rFonts w:ascii="Arial" w:hAnsi="Arial" w:cs="Arial"/>
                <w:color w:val="000000" w:themeColor="text1"/>
                <w:sz w:val="18"/>
                <w:szCs w:val="18"/>
                <w:lang w:val="en-US"/>
              </w:rPr>
              <w:t xml:space="preserve"> GLUT4 translocation after 30 minutes of activity on average</w:t>
            </w:r>
          </w:p>
        </w:tc>
      </w:tr>
      <w:bookmarkEnd w:id="7"/>
    </w:tbl>
    <w:p w14:paraId="70972175" w14:textId="77777777" w:rsidR="00C26EDE" w:rsidRDefault="00C26EDE" w:rsidP="00C26EDE">
      <w:pPr>
        <w:tabs>
          <w:tab w:val="left" w:pos="3633"/>
        </w:tabs>
        <w:rPr>
          <w:noProof/>
          <w:lang w:val="en-US"/>
        </w:rPr>
      </w:pPr>
    </w:p>
    <w:p w14:paraId="0D007EC7" w14:textId="77777777" w:rsidR="000A657C" w:rsidRDefault="000A657C" w:rsidP="00C26EDE">
      <w:pPr>
        <w:tabs>
          <w:tab w:val="left" w:pos="3633"/>
        </w:tabs>
        <w:rPr>
          <w:noProof/>
          <w:lang w:val="en-US"/>
        </w:rPr>
        <w:sectPr w:rsidR="000A657C" w:rsidSect="000B582C">
          <w:type w:val="continuous"/>
          <w:pgSz w:w="11906" w:h="16838"/>
          <w:pgMar w:top="1417" w:right="1417" w:bottom="1417" w:left="1417" w:header="708" w:footer="708" w:gutter="0"/>
          <w:cols w:space="708"/>
          <w:docGrid w:linePitch="360"/>
        </w:sectPr>
      </w:pPr>
    </w:p>
    <w:p w14:paraId="541B3291" w14:textId="77777777" w:rsidR="00C26EDE" w:rsidRDefault="00C26EDE" w:rsidP="00C26EDE">
      <w:pPr>
        <w:tabs>
          <w:tab w:val="left" w:pos="3633"/>
        </w:tabs>
        <w:rPr>
          <w:lang w:val="en-US"/>
        </w:rPr>
      </w:pPr>
      <w:r>
        <w:rPr>
          <w:noProof/>
        </w:rPr>
        <w:lastRenderedPageBreak/>
        <w:drawing>
          <wp:inline distT="0" distB="0" distL="0" distR="0" wp14:anchorId="7B9415F7" wp14:editId="57E2C778">
            <wp:extent cx="5760720" cy="4172537"/>
            <wp:effectExtent l="0" t="0" r="0" b="0"/>
            <wp:docPr id="46927725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172537"/>
                    </a:xfrm>
                    <a:prstGeom prst="rect">
                      <a:avLst/>
                    </a:prstGeom>
                    <a:noFill/>
                    <a:ln>
                      <a:noFill/>
                    </a:ln>
                  </pic:spPr>
                </pic:pic>
              </a:graphicData>
            </a:graphic>
          </wp:inline>
        </w:drawing>
      </w:r>
      <w:r>
        <w:rPr>
          <w:lang w:val="en-US"/>
        </w:rPr>
        <w:tab/>
      </w:r>
    </w:p>
    <w:p w14:paraId="47059125" w14:textId="4096157E" w:rsidR="0020269D" w:rsidRPr="00BC5F1D" w:rsidRDefault="00C26EDE" w:rsidP="0020269D">
      <w:pPr>
        <w:tabs>
          <w:tab w:val="left" w:pos="3633"/>
        </w:tabs>
        <w:jc w:val="center"/>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w:t>
      </w:r>
      <w:r w:rsidR="00E43983" w:rsidRPr="00BC5F1D">
        <w:rPr>
          <w:rFonts w:ascii="Arial" w:hAnsi="Arial" w:cs="Arial"/>
          <w:sz w:val="20"/>
          <w:szCs w:val="20"/>
          <w:lang w:val="en-US"/>
        </w:rPr>
        <w:t>2</w:t>
      </w:r>
      <w:r w:rsidR="00883578">
        <w:rPr>
          <w:rFonts w:ascii="Arial" w:hAnsi="Arial" w:cs="Arial"/>
          <w:sz w:val="20"/>
          <w:szCs w:val="20"/>
          <w:lang w:val="en-US"/>
        </w:rPr>
        <w:t>.</w:t>
      </w:r>
      <w:r w:rsidRPr="00BC5F1D">
        <w:rPr>
          <w:rFonts w:ascii="Arial" w:hAnsi="Arial" w:cs="Arial"/>
          <w:sz w:val="20"/>
          <w:szCs w:val="20"/>
          <w:lang w:val="en-US"/>
        </w:rPr>
        <w:t xml:space="preserve"> UPLC/ESI-TOF-MS chromatogram of </w:t>
      </w:r>
      <w:r w:rsidRPr="00BC5F1D">
        <w:rPr>
          <w:rFonts w:ascii="Arial" w:hAnsi="Arial" w:cs="Arial"/>
          <w:i/>
          <w:iCs/>
          <w:sz w:val="20"/>
          <w:szCs w:val="20"/>
          <w:lang w:val="en-US"/>
        </w:rPr>
        <w:t>Adansonia digitata</w:t>
      </w:r>
      <w:r w:rsidRPr="00BC5F1D">
        <w:rPr>
          <w:rFonts w:ascii="Arial" w:hAnsi="Arial" w:cs="Arial"/>
          <w:sz w:val="20"/>
          <w:szCs w:val="20"/>
          <w:lang w:val="en-US"/>
        </w:rPr>
        <w:t xml:space="preserve"> leaf extracts</w:t>
      </w:r>
    </w:p>
    <w:p w14:paraId="354169F4" w14:textId="77777777" w:rsidR="000A657C" w:rsidRDefault="000A657C" w:rsidP="0020269D">
      <w:pPr>
        <w:tabs>
          <w:tab w:val="left" w:pos="3633"/>
        </w:tabs>
        <w:jc w:val="center"/>
        <w:rPr>
          <w:rFonts w:ascii="Times New Roman" w:hAnsi="Times New Roman" w:cs="Times New Roman"/>
          <w:lang w:val="en-US"/>
        </w:rPr>
      </w:pPr>
    </w:p>
    <w:p w14:paraId="004405C0" w14:textId="5F5FC8F8" w:rsidR="000A657C" w:rsidRDefault="0020269D" w:rsidP="000A657C">
      <w:pPr>
        <w:tabs>
          <w:tab w:val="center" w:pos="4536"/>
        </w:tabs>
        <w:rPr>
          <w:lang w:val="en-US"/>
        </w:rPr>
      </w:pPr>
      <w:r>
        <w:rPr>
          <w:lang w:val="en-US"/>
        </w:rPr>
        <w:tab/>
      </w:r>
      <w:r w:rsidR="000A657C">
        <w:rPr>
          <w:noProof/>
        </w:rPr>
        <w:drawing>
          <wp:inline distT="0" distB="0" distL="0" distR="0" wp14:anchorId="73810AD8" wp14:editId="0F62AF11">
            <wp:extent cx="5760720" cy="3343499"/>
            <wp:effectExtent l="0" t="0" r="0" b="9525"/>
            <wp:docPr id="56593503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400" r="894"/>
                    <a:stretch/>
                  </pic:blipFill>
                  <pic:spPr bwMode="auto">
                    <a:xfrm>
                      <a:off x="0" y="0"/>
                      <a:ext cx="5760720" cy="3343499"/>
                    </a:xfrm>
                    <a:prstGeom prst="rect">
                      <a:avLst/>
                    </a:prstGeom>
                    <a:noFill/>
                    <a:ln>
                      <a:noFill/>
                    </a:ln>
                    <a:extLst>
                      <a:ext uri="{53640926-AAD7-44D8-BBD7-CCE9431645EC}">
                        <a14:shadowObscured xmlns:a14="http://schemas.microsoft.com/office/drawing/2010/main"/>
                      </a:ext>
                    </a:extLst>
                  </pic:spPr>
                </pic:pic>
              </a:graphicData>
            </a:graphic>
          </wp:inline>
        </w:drawing>
      </w:r>
    </w:p>
    <w:p w14:paraId="6CFAB5EB" w14:textId="63D5DF0B" w:rsidR="000A657C" w:rsidRPr="00BC5F1D" w:rsidRDefault="000A657C" w:rsidP="000A657C">
      <w:pPr>
        <w:spacing w:before="240"/>
        <w:jc w:val="center"/>
        <w:rPr>
          <w:rFonts w:ascii="Arial" w:hAnsi="Arial" w:cs="Arial"/>
          <w:sz w:val="20"/>
          <w:szCs w:val="20"/>
          <w:lang w:val="en-US"/>
        </w:rPr>
        <w:sectPr w:rsidR="000A657C" w:rsidRPr="00BC5F1D" w:rsidSect="000B582C">
          <w:type w:val="continuous"/>
          <w:pgSz w:w="11906" w:h="16838"/>
          <w:pgMar w:top="1135" w:right="1417" w:bottom="1417" w:left="1417" w:header="708" w:footer="708" w:gutter="0"/>
          <w:cols w:space="708"/>
          <w:docGrid w:linePitch="360"/>
        </w:sect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3</w:t>
      </w:r>
      <w:r w:rsidR="00883578">
        <w:rPr>
          <w:rFonts w:ascii="Arial" w:hAnsi="Arial" w:cs="Arial"/>
          <w:sz w:val="20"/>
          <w:szCs w:val="20"/>
          <w:lang w:val="en-US"/>
        </w:rPr>
        <w:t>.</w:t>
      </w:r>
      <w:r w:rsidRPr="00BC5F1D">
        <w:rPr>
          <w:rFonts w:ascii="Arial" w:hAnsi="Arial" w:cs="Arial"/>
          <w:sz w:val="20"/>
          <w:szCs w:val="20"/>
          <w:lang w:val="en-US"/>
        </w:rPr>
        <w:t xml:space="preserve"> UPLC/ESI-TOF-MS chromatogram of </w:t>
      </w:r>
      <w:r w:rsidRPr="00BC5F1D">
        <w:rPr>
          <w:rFonts w:ascii="Arial" w:hAnsi="Arial" w:cs="Arial"/>
          <w:i/>
          <w:iCs/>
          <w:sz w:val="20"/>
          <w:szCs w:val="20"/>
          <w:lang w:val="en-US"/>
        </w:rPr>
        <w:t>Corchorus olitorius</w:t>
      </w:r>
      <w:r w:rsidRPr="00BC5F1D">
        <w:rPr>
          <w:rFonts w:ascii="Arial" w:hAnsi="Arial" w:cs="Arial"/>
          <w:sz w:val="20"/>
          <w:szCs w:val="20"/>
          <w:lang w:val="en-US"/>
        </w:rPr>
        <w:t xml:space="preserve"> leaf extracts</w:t>
      </w:r>
    </w:p>
    <w:p w14:paraId="54B5D89E" w14:textId="77777777" w:rsidR="001B4AA3" w:rsidRDefault="001B4AA3" w:rsidP="001B4AA3">
      <w:pPr>
        <w:tabs>
          <w:tab w:val="left" w:pos="5040"/>
        </w:tabs>
        <w:jc w:val="center"/>
        <w:rPr>
          <w:rFonts w:ascii="Times New Roman" w:hAnsi="Times New Roman" w:cs="Times New Roman"/>
          <w:lang w:val="en-US"/>
        </w:rPr>
      </w:pPr>
      <w:bookmarkStart w:id="8" w:name="_Hlk189601215"/>
      <w:r>
        <w:rPr>
          <w:noProof/>
        </w:rPr>
        <w:lastRenderedPageBreak/>
        <w:drawing>
          <wp:inline distT="0" distB="0" distL="0" distR="0" wp14:anchorId="1864BC31" wp14:editId="6B946908">
            <wp:extent cx="6071388" cy="3189620"/>
            <wp:effectExtent l="0" t="0" r="5715" b="0"/>
            <wp:docPr id="157200525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4383" cy="3196447"/>
                    </a:xfrm>
                    <a:prstGeom prst="rect">
                      <a:avLst/>
                    </a:prstGeom>
                    <a:noFill/>
                    <a:ln>
                      <a:noFill/>
                    </a:ln>
                  </pic:spPr>
                </pic:pic>
              </a:graphicData>
            </a:graphic>
          </wp:inline>
        </w:drawing>
      </w:r>
    </w:p>
    <w:p w14:paraId="5F4419E9" w14:textId="628FE140" w:rsidR="001B4AA3" w:rsidRPr="00BC5F1D" w:rsidRDefault="001B4AA3" w:rsidP="001B4AA3">
      <w:pPr>
        <w:tabs>
          <w:tab w:val="left" w:pos="5040"/>
        </w:tabs>
        <w:spacing w:before="240"/>
        <w:jc w:val="center"/>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w:t>
      </w:r>
      <w:r w:rsidR="0089450A" w:rsidRPr="00BC5F1D">
        <w:rPr>
          <w:rFonts w:ascii="Arial" w:hAnsi="Arial" w:cs="Arial"/>
          <w:sz w:val="20"/>
          <w:szCs w:val="20"/>
          <w:lang w:val="en-US"/>
        </w:rPr>
        <w:t>4</w:t>
      </w:r>
      <w:r w:rsidR="00883578">
        <w:rPr>
          <w:rFonts w:ascii="Arial" w:hAnsi="Arial" w:cs="Arial"/>
          <w:sz w:val="20"/>
          <w:szCs w:val="20"/>
          <w:lang w:val="en-US"/>
        </w:rPr>
        <w:t>.</w:t>
      </w:r>
      <w:r w:rsidRPr="00BC5F1D">
        <w:rPr>
          <w:rFonts w:ascii="Arial" w:hAnsi="Arial" w:cs="Arial"/>
          <w:sz w:val="20"/>
          <w:szCs w:val="20"/>
          <w:lang w:val="en-US"/>
        </w:rPr>
        <w:t xml:space="preserve"> UPLC/ESI-TOF-MS chromatogram of </w:t>
      </w:r>
      <w:proofErr w:type="spellStart"/>
      <w:r w:rsidR="00E90A8C" w:rsidRPr="00BC5F1D">
        <w:rPr>
          <w:rFonts w:ascii="Arial" w:hAnsi="Arial" w:cs="Arial"/>
          <w:i/>
          <w:iCs/>
          <w:sz w:val="20"/>
          <w:szCs w:val="20"/>
          <w:lang w:val="en-US"/>
        </w:rPr>
        <w:t>Triumfetta</w:t>
      </w:r>
      <w:proofErr w:type="spellEnd"/>
      <w:r w:rsidR="00E90A8C" w:rsidRPr="00BC5F1D">
        <w:rPr>
          <w:rFonts w:ascii="Arial" w:hAnsi="Arial" w:cs="Arial"/>
          <w:i/>
          <w:iCs/>
          <w:sz w:val="20"/>
          <w:szCs w:val="20"/>
          <w:lang w:val="en-US"/>
        </w:rPr>
        <w:t xml:space="preserve"> </w:t>
      </w:r>
      <w:proofErr w:type="spellStart"/>
      <w:r w:rsidR="00E90A8C" w:rsidRPr="00BC5F1D">
        <w:rPr>
          <w:rFonts w:ascii="Arial" w:hAnsi="Arial" w:cs="Arial"/>
          <w:i/>
          <w:iCs/>
          <w:sz w:val="20"/>
          <w:szCs w:val="20"/>
          <w:lang w:val="en-US"/>
        </w:rPr>
        <w:t>cordifolia</w:t>
      </w:r>
      <w:proofErr w:type="spellEnd"/>
      <w:r w:rsidR="00E90A8C" w:rsidRPr="00BC5F1D">
        <w:rPr>
          <w:rFonts w:ascii="Arial" w:hAnsi="Arial" w:cs="Arial"/>
          <w:i/>
          <w:iCs/>
          <w:sz w:val="20"/>
          <w:szCs w:val="20"/>
          <w:lang w:val="en-US"/>
        </w:rPr>
        <w:t xml:space="preserve"> </w:t>
      </w:r>
      <w:r w:rsidRPr="00BC5F1D">
        <w:rPr>
          <w:rFonts w:ascii="Arial" w:hAnsi="Arial" w:cs="Arial"/>
          <w:sz w:val="20"/>
          <w:szCs w:val="20"/>
          <w:lang w:val="en-US"/>
        </w:rPr>
        <w:t>bark extracts</w:t>
      </w:r>
    </w:p>
    <w:bookmarkEnd w:id="8"/>
    <w:p w14:paraId="626896B4" w14:textId="77777777" w:rsidR="009F3856" w:rsidRDefault="009F3856" w:rsidP="00245B33">
      <w:pPr>
        <w:spacing w:line="360" w:lineRule="auto"/>
        <w:jc w:val="both"/>
        <w:rPr>
          <w:rFonts w:ascii="Times New Roman" w:hAnsi="Times New Roman" w:cs="Times New Roman"/>
          <w:lang w:val="en-US"/>
        </w:rPr>
      </w:pPr>
    </w:p>
    <w:p w14:paraId="69E586C8" w14:textId="4091A457" w:rsidR="001B4AA3" w:rsidRPr="00BC5F1D" w:rsidRDefault="003730C8" w:rsidP="001B4AA3">
      <w:pPr>
        <w:pStyle w:val="ListParagraph"/>
        <w:numPr>
          <w:ilvl w:val="0"/>
          <w:numId w:val="1"/>
        </w:numPr>
        <w:spacing w:line="360" w:lineRule="auto"/>
        <w:jc w:val="both"/>
        <w:rPr>
          <w:rFonts w:ascii="Arial" w:hAnsi="Arial" w:cs="Arial"/>
          <w:b/>
          <w:bCs/>
          <w:lang w:val="en-US"/>
        </w:rPr>
      </w:pPr>
      <w:r w:rsidRPr="00BC5F1D">
        <w:rPr>
          <w:rFonts w:ascii="Arial" w:hAnsi="Arial" w:cs="Arial"/>
          <w:b/>
          <w:bCs/>
          <w:lang w:val="en-US"/>
        </w:rPr>
        <w:t xml:space="preserve">CONCLUSION </w:t>
      </w:r>
    </w:p>
    <w:p w14:paraId="65DC85FC" w14:textId="542D64C3" w:rsidR="000A657C" w:rsidRDefault="000A657C" w:rsidP="000A657C">
      <w:pPr>
        <w:spacing w:line="360" w:lineRule="auto"/>
        <w:jc w:val="both"/>
        <w:rPr>
          <w:rFonts w:ascii="Arial" w:hAnsi="Arial" w:cs="Arial"/>
          <w:sz w:val="20"/>
          <w:szCs w:val="20"/>
          <w:lang w:val="en-US"/>
        </w:rPr>
      </w:pPr>
      <w:r w:rsidRPr="00BC5F1D">
        <w:rPr>
          <w:rFonts w:ascii="Arial" w:hAnsi="Arial" w:cs="Arial"/>
          <w:sz w:val="20"/>
          <w:szCs w:val="20"/>
          <w:lang w:val="en-US"/>
        </w:rPr>
        <w:t xml:space="preserve">This study aimed to determine the nutritional and bioactive composition of leaf powders from </w:t>
      </w:r>
      <w:r w:rsidRPr="00BC5F1D">
        <w:rPr>
          <w:rFonts w:ascii="Arial" w:hAnsi="Arial" w:cs="Arial"/>
          <w:i/>
          <w:iCs/>
          <w:sz w:val="20"/>
          <w:szCs w:val="20"/>
          <w:lang w:val="en-US"/>
        </w:rPr>
        <w:t>A. digitata, C. olitorius</w:t>
      </w:r>
      <w:r w:rsidRPr="00BC5F1D">
        <w:rPr>
          <w:rFonts w:ascii="Arial" w:hAnsi="Arial" w:cs="Arial"/>
          <w:sz w:val="20"/>
          <w:szCs w:val="20"/>
          <w:lang w:val="en-US"/>
        </w:rPr>
        <w:t xml:space="preserve">, and the bark of </w:t>
      </w:r>
      <w:r w:rsidRPr="00BC5F1D">
        <w:rPr>
          <w:rFonts w:ascii="Arial" w:hAnsi="Arial" w:cs="Arial"/>
          <w:i/>
          <w:iCs/>
          <w:sz w:val="20"/>
          <w:szCs w:val="20"/>
          <w:lang w:val="en-US"/>
        </w:rPr>
        <w:t>T. cordifolia</w:t>
      </w:r>
      <w:r w:rsidRPr="00BC5F1D">
        <w:rPr>
          <w:rFonts w:ascii="Arial" w:hAnsi="Arial" w:cs="Arial"/>
          <w:sz w:val="20"/>
          <w:szCs w:val="20"/>
          <w:lang w:val="en-US"/>
        </w:rPr>
        <w:t xml:space="preserve">, as well as their effects on GLUT4 translocation activity. The results indicate that the powders from these plants have significant nutritional potential, with high levels of essential nutrients, including proteins, trace elements (iron, zinc, copper), </w:t>
      </w:r>
      <w:proofErr w:type="spellStart"/>
      <w:r w:rsidRPr="00BC5F1D">
        <w:rPr>
          <w:rFonts w:ascii="Arial" w:hAnsi="Arial" w:cs="Arial"/>
          <w:sz w:val="20"/>
          <w:szCs w:val="20"/>
          <w:lang w:val="en-US"/>
        </w:rPr>
        <w:t>macroelements</w:t>
      </w:r>
      <w:proofErr w:type="spellEnd"/>
      <w:r w:rsidRPr="00BC5F1D">
        <w:rPr>
          <w:rFonts w:ascii="Arial" w:hAnsi="Arial" w:cs="Arial"/>
          <w:sz w:val="20"/>
          <w:szCs w:val="20"/>
          <w:lang w:val="en-US"/>
        </w:rPr>
        <w:t xml:space="preserve"> (calcium, magnesium), and crude fiber, known for their satiety-inducing and dietary regulating properties. In this regard, the powders of </w:t>
      </w:r>
      <w:r w:rsidRPr="00BC5F1D">
        <w:rPr>
          <w:rFonts w:ascii="Arial" w:hAnsi="Arial" w:cs="Arial"/>
          <w:i/>
          <w:iCs/>
          <w:sz w:val="20"/>
          <w:szCs w:val="20"/>
          <w:lang w:val="en-US"/>
        </w:rPr>
        <w:t>C. olitorius</w:t>
      </w:r>
      <w:r w:rsidRPr="00BC5F1D">
        <w:rPr>
          <w:rFonts w:ascii="Arial" w:hAnsi="Arial" w:cs="Arial"/>
          <w:sz w:val="20"/>
          <w:szCs w:val="20"/>
          <w:lang w:val="en-US"/>
        </w:rPr>
        <w:t xml:space="preserve"> followed by A. digitata exhibit better nutritional potentials that can be recommended for type 2 diabetic patients. The bioactive potential, relative to the levels of bioactive compounds (total polyphenols, condensed tannins, total flavonoids), is higher in the powder of </w:t>
      </w:r>
      <w:r w:rsidRPr="00BC5F1D">
        <w:rPr>
          <w:rFonts w:ascii="Arial" w:hAnsi="Arial" w:cs="Arial"/>
          <w:i/>
          <w:iCs/>
          <w:sz w:val="20"/>
          <w:szCs w:val="20"/>
          <w:lang w:val="en-US"/>
        </w:rPr>
        <w:t>T. cordifolia</w:t>
      </w:r>
      <w:r w:rsidRPr="00BC5F1D">
        <w:rPr>
          <w:rFonts w:ascii="Arial" w:hAnsi="Arial" w:cs="Arial"/>
          <w:sz w:val="20"/>
          <w:szCs w:val="20"/>
          <w:lang w:val="en-US"/>
        </w:rPr>
        <w:t xml:space="preserve">. However, it is the only powder that exhibits toxic effects on GLUT4 translocation activity. In contrast, the powders of </w:t>
      </w:r>
      <w:r w:rsidRPr="00BC5F1D">
        <w:rPr>
          <w:rFonts w:ascii="Arial" w:hAnsi="Arial" w:cs="Arial"/>
          <w:i/>
          <w:iCs/>
          <w:sz w:val="20"/>
          <w:szCs w:val="20"/>
          <w:lang w:val="en-US"/>
        </w:rPr>
        <w:t>C. olitorius</w:t>
      </w:r>
      <w:r w:rsidRPr="00BC5F1D">
        <w:rPr>
          <w:rFonts w:ascii="Arial" w:hAnsi="Arial" w:cs="Arial"/>
          <w:sz w:val="20"/>
          <w:szCs w:val="20"/>
          <w:lang w:val="en-US"/>
        </w:rPr>
        <w:t xml:space="preserve"> and </w:t>
      </w:r>
      <w:r w:rsidRPr="00BC5F1D">
        <w:rPr>
          <w:rFonts w:ascii="Arial" w:hAnsi="Arial" w:cs="Arial"/>
          <w:i/>
          <w:iCs/>
          <w:sz w:val="20"/>
          <w:szCs w:val="20"/>
          <w:lang w:val="en-US"/>
        </w:rPr>
        <w:t>A. digitata</w:t>
      </w:r>
      <w:r w:rsidRPr="00BC5F1D">
        <w:rPr>
          <w:rFonts w:ascii="Arial" w:hAnsi="Arial" w:cs="Arial"/>
          <w:sz w:val="20"/>
          <w:szCs w:val="20"/>
          <w:lang w:val="en-US"/>
        </w:rPr>
        <w:t xml:space="preserve"> demonstrate significant GLUT4 translocation activity, likely triggered by numerous bioactive compounds from the flavonoid family (kaempferol-3-O-rhamnosylrutinoside, </w:t>
      </w:r>
      <w:proofErr w:type="spellStart"/>
      <w:r w:rsidRPr="00BC5F1D">
        <w:rPr>
          <w:rFonts w:ascii="Arial" w:hAnsi="Arial" w:cs="Arial"/>
          <w:sz w:val="20"/>
          <w:szCs w:val="20"/>
          <w:lang w:val="en-US"/>
        </w:rPr>
        <w:t>isoquercetin</w:t>
      </w:r>
      <w:proofErr w:type="spellEnd"/>
      <w:r w:rsidRPr="00BC5F1D">
        <w:rPr>
          <w:rFonts w:ascii="Arial" w:hAnsi="Arial" w:cs="Arial"/>
          <w:sz w:val="20"/>
          <w:szCs w:val="20"/>
          <w:lang w:val="en-US"/>
        </w:rPr>
        <w:t xml:space="preserve">, quercetin, etc.), in which calcium levels play a crucial role. Nevertheless, a more in-depth study, particularly a bio-guided fractionation, will follow this research to more precisely identify the bioactive molecules responsible for the observed GLUT4 translocation activity. However, these results can nonetheless help guide type 2 diabetic patients toward the consumption of </w:t>
      </w:r>
      <w:r w:rsidRPr="00BC5F1D">
        <w:rPr>
          <w:rFonts w:ascii="Arial" w:hAnsi="Arial" w:cs="Arial"/>
          <w:i/>
          <w:iCs/>
          <w:sz w:val="20"/>
          <w:szCs w:val="20"/>
          <w:lang w:val="en-US"/>
        </w:rPr>
        <w:t>C olitorius</w:t>
      </w:r>
      <w:r w:rsidRPr="00BC5F1D">
        <w:rPr>
          <w:rFonts w:ascii="Arial" w:hAnsi="Arial" w:cs="Arial"/>
          <w:sz w:val="20"/>
          <w:szCs w:val="20"/>
          <w:lang w:val="en-US"/>
        </w:rPr>
        <w:t xml:space="preserve"> powder, as it presents a greater nutritional and bioactive potential.</w:t>
      </w:r>
    </w:p>
    <w:p w14:paraId="21DE6F50" w14:textId="77777777" w:rsidR="00BC5F1D" w:rsidRDefault="00BC5F1D" w:rsidP="000A657C">
      <w:pPr>
        <w:spacing w:line="360" w:lineRule="auto"/>
        <w:jc w:val="both"/>
        <w:rPr>
          <w:rFonts w:ascii="Arial" w:hAnsi="Arial" w:cs="Arial"/>
          <w:sz w:val="20"/>
          <w:szCs w:val="20"/>
          <w:lang w:val="en-US"/>
        </w:rPr>
      </w:pPr>
    </w:p>
    <w:p w14:paraId="364321D5" w14:textId="77777777" w:rsidR="00BC5F1D" w:rsidRDefault="00BC5F1D" w:rsidP="000A657C">
      <w:pPr>
        <w:spacing w:line="360" w:lineRule="auto"/>
        <w:jc w:val="both"/>
        <w:rPr>
          <w:rFonts w:ascii="Arial" w:hAnsi="Arial" w:cs="Arial"/>
          <w:sz w:val="20"/>
          <w:szCs w:val="20"/>
          <w:lang w:val="en-US"/>
        </w:rPr>
      </w:pPr>
    </w:p>
    <w:p w14:paraId="5E6BC61F" w14:textId="77777777" w:rsidR="00BC5F1D" w:rsidRPr="00BC5F1D" w:rsidRDefault="00BC5F1D" w:rsidP="000A657C">
      <w:pPr>
        <w:spacing w:line="360" w:lineRule="auto"/>
        <w:jc w:val="both"/>
        <w:rPr>
          <w:rFonts w:ascii="Arial" w:hAnsi="Arial" w:cs="Arial"/>
          <w:sz w:val="20"/>
          <w:szCs w:val="20"/>
          <w:lang w:val="en-US"/>
        </w:rPr>
      </w:pPr>
    </w:p>
    <w:p w14:paraId="25C53F2D" w14:textId="0781C799" w:rsidR="000A657C" w:rsidRPr="00BC5F1D" w:rsidRDefault="003730C8" w:rsidP="000A657C">
      <w:pPr>
        <w:spacing w:line="360" w:lineRule="auto"/>
        <w:jc w:val="both"/>
        <w:rPr>
          <w:rFonts w:ascii="Arial" w:hAnsi="Arial" w:cs="Arial"/>
          <w:b/>
          <w:bCs/>
          <w:sz w:val="24"/>
          <w:szCs w:val="24"/>
          <w:lang w:val="en-US"/>
        </w:rPr>
      </w:pPr>
      <w:r w:rsidRPr="00BC5F1D">
        <w:rPr>
          <w:rFonts w:ascii="Arial" w:hAnsi="Arial" w:cs="Arial"/>
          <w:b/>
          <w:bCs/>
          <w:sz w:val="24"/>
          <w:szCs w:val="24"/>
          <w:lang w:val="en-US"/>
        </w:rPr>
        <w:lastRenderedPageBreak/>
        <w:t>DISCLAIMER (ARTIFICIAL INTELLIGENCE</w:t>
      </w:r>
      <w:r w:rsidR="009851E8" w:rsidRPr="00BC5F1D">
        <w:rPr>
          <w:rFonts w:ascii="Arial" w:hAnsi="Arial" w:cs="Arial"/>
          <w:b/>
          <w:bCs/>
          <w:sz w:val="24"/>
          <w:szCs w:val="24"/>
          <w:lang w:val="en-US"/>
        </w:rPr>
        <w:t>)</w:t>
      </w:r>
    </w:p>
    <w:p w14:paraId="71D4F8E0" w14:textId="6091BF65" w:rsidR="009851E8" w:rsidRPr="00BC5F1D" w:rsidRDefault="009851E8" w:rsidP="000A657C">
      <w:pPr>
        <w:spacing w:line="360" w:lineRule="auto"/>
        <w:jc w:val="both"/>
        <w:rPr>
          <w:rFonts w:ascii="Arial" w:hAnsi="Arial" w:cs="Arial"/>
          <w:lang w:val="en-US"/>
        </w:rPr>
      </w:pPr>
      <w:r w:rsidRPr="00BC5F1D">
        <w:rPr>
          <w:rFonts w:ascii="Arial" w:hAnsi="Arial" w:cs="Arial"/>
          <w:lang w:val="en-US"/>
        </w:rPr>
        <w:t>Authors hereby declare that no generative AI technologies such as large language Models (ChatGPT, Copilot, etc.) and text to image generators have been used during the writing or editing of this manuscript</w:t>
      </w:r>
    </w:p>
    <w:p w14:paraId="250BF626" w14:textId="77777777" w:rsidR="009851E8" w:rsidRPr="00BC5F1D" w:rsidRDefault="009851E8" w:rsidP="009851E8">
      <w:pPr>
        <w:spacing w:after="0" w:line="360" w:lineRule="auto"/>
        <w:jc w:val="both"/>
        <w:rPr>
          <w:rFonts w:ascii="Arial" w:hAnsi="Arial" w:cs="Arial"/>
          <w:lang w:val="en-US"/>
        </w:rPr>
      </w:pPr>
      <w:bookmarkStart w:id="9" w:name="_GoBack"/>
      <w:bookmarkEnd w:id="9"/>
    </w:p>
    <w:p w14:paraId="6503A849" w14:textId="4EC66CC5" w:rsidR="005F0359" w:rsidRPr="00BC5F1D" w:rsidRDefault="009851E8" w:rsidP="005F0359">
      <w:pPr>
        <w:spacing w:line="360" w:lineRule="auto"/>
        <w:jc w:val="both"/>
        <w:rPr>
          <w:rFonts w:ascii="Arial" w:hAnsi="Arial" w:cs="Arial"/>
          <w:b/>
          <w:bCs/>
          <w:sz w:val="24"/>
          <w:szCs w:val="24"/>
          <w:lang w:val="en-US"/>
        </w:rPr>
      </w:pPr>
      <w:r w:rsidRPr="00BC5F1D">
        <w:rPr>
          <w:rFonts w:ascii="Arial" w:hAnsi="Arial" w:cs="Arial"/>
          <w:b/>
          <w:bCs/>
          <w:sz w:val="24"/>
          <w:szCs w:val="24"/>
          <w:lang w:val="en-US"/>
        </w:rPr>
        <w:t>REFERENCES</w:t>
      </w:r>
    </w:p>
    <w:p w14:paraId="72B97558" w14:textId="443B789D" w:rsidR="00DA6194" w:rsidRPr="00DA6194" w:rsidRDefault="005F0359" w:rsidP="00DA6194">
      <w:pPr>
        <w:widowControl w:val="0"/>
        <w:autoSpaceDE w:val="0"/>
        <w:autoSpaceDN w:val="0"/>
        <w:adjustRightInd w:val="0"/>
        <w:spacing w:line="360" w:lineRule="auto"/>
        <w:ind w:left="480" w:hanging="480"/>
        <w:rPr>
          <w:rFonts w:ascii="Arial" w:hAnsi="Arial" w:cs="Arial"/>
          <w:noProof/>
          <w:kern w:val="0"/>
          <w:sz w:val="20"/>
          <w:szCs w:val="24"/>
        </w:rPr>
      </w:pPr>
      <w:r w:rsidRPr="00BC5F1D">
        <w:rPr>
          <w:rFonts w:ascii="Arial" w:hAnsi="Arial" w:cs="Arial"/>
          <w:b/>
          <w:bCs/>
          <w:sz w:val="20"/>
          <w:szCs w:val="20"/>
          <w:lang w:val="en-US"/>
        </w:rPr>
        <w:fldChar w:fldCharType="begin" w:fldLock="1"/>
      </w:r>
      <w:r w:rsidRPr="00BC5F1D">
        <w:rPr>
          <w:rFonts w:ascii="Arial" w:hAnsi="Arial" w:cs="Arial"/>
          <w:b/>
          <w:bCs/>
          <w:sz w:val="20"/>
          <w:szCs w:val="20"/>
          <w:lang w:val="en-US"/>
        </w:rPr>
        <w:instrText xml:space="preserve">ADDIN Mendeley Bibliography CSL_BIBLIOGRAPHY </w:instrText>
      </w:r>
      <w:r w:rsidRPr="00BC5F1D">
        <w:rPr>
          <w:rFonts w:ascii="Arial" w:hAnsi="Arial" w:cs="Arial"/>
          <w:b/>
          <w:bCs/>
          <w:sz w:val="20"/>
          <w:szCs w:val="20"/>
          <w:lang w:val="en-US"/>
        </w:rPr>
        <w:fldChar w:fldCharType="separate"/>
      </w:r>
      <w:r w:rsidR="00DA6194" w:rsidRPr="00DA6194">
        <w:rPr>
          <w:rFonts w:ascii="Arial" w:hAnsi="Arial" w:cs="Arial"/>
          <w:noProof/>
          <w:kern w:val="0"/>
          <w:sz w:val="20"/>
          <w:szCs w:val="24"/>
        </w:rPr>
        <w:t xml:space="preserve">Abdel-Razek, M. A. M., Abdelwahab, M. F., Abdelmohsen, U. R., &amp; Hamed, A. N. E. (2022). Pharmacological and phytochemical biodiversity of Corchorus olitorius. </w:t>
      </w:r>
      <w:r w:rsidR="00DA6194" w:rsidRPr="00DA6194">
        <w:rPr>
          <w:rFonts w:ascii="Arial" w:hAnsi="Arial" w:cs="Arial"/>
          <w:i/>
          <w:iCs/>
          <w:noProof/>
          <w:kern w:val="0"/>
          <w:sz w:val="20"/>
          <w:szCs w:val="24"/>
        </w:rPr>
        <w:t>RSC Advances</w:t>
      </w:r>
      <w:r w:rsidR="00DA6194" w:rsidRPr="00DA6194">
        <w:rPr>
          <w:rFonts w:ascii="Arial" w:hAnsi="Arial" w:cs="Arial"/>
          <w:noProof/>
          <w:kern w:val="0"/>
          <w:sz w:val="20"/>
          <w:szCs w:val="24"/>
        </w:rPr>
        <w:t xml:space="preserve">, </w:t>
      </w:r>
      <w:r w:rsidR="00DA6194" w:rsidRPr="00DA6194">
        <w:rPr>
          <w:rFonts w:ascii="Arial" w:hAnsi="Arial" w:cs="Arial"/>
          <w:i/>
          <w:iCs/>
          <w:noProof/>
          <w:kern w:val="0"/>
          <w:sz w:val="20"/>
          <w:szCs w:val="24"/>
        </w:rPr>
        <w:t>12</w:t>
      </w:r>
      <w:r w:rsidR="00DA6194" w:rsidRPr="00DA6194">
        <w:rPr>
          <w:rFonts w:ascii="Arial" w:hAnsi="Arial" w:cs="Arial"/>
          <w:noProof/>
          <w:kern w:val="0"/>
          <w:sz w:val="20"/>
          <w:szCs w:val="24"/>
        </w:rPr>
        <w:t>(54), 35103–35114. https://doi.org/10.1039/d2ra07406k</w:t>
      </w:r>
    </w:p>
    <w:p w14:paraId="4FD7A70E"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Abiona, D., Adedapo, Z., &amp; Suleiman, M. (2015). Proximate Analysis, Phytochemical Screening and Antimicrobial Activity of Baobab (Adansonia digitata) Leaves. </w:t>
      </w:r>
      <w:r w:rsidRPr="00DA6194">
        <w:rPr>
          <w:rFonts w:ascii="Arial" w:hAnsi="Arial" w:cs="Arial"/>
          <w:i/>
          <w:iCs/>
          <w:noProof/>
          <w:kern w:val="0"/>
          <w:sz w:val="20"/>
          <w:szCs w:val="24"/>
        </w:rPr>
        <w:t>IOSR Journal of Applied Chemistry (IOSR-JAC</w:t>
      </w:r>
      <w:r w:rsidRPr="00DA6194">
        <w:rPr>
          <w:rFonts w:ascii="Arial" w:hAnsi="Arial" w:cs="Arial"/>
          <w:noProof/>
          <w:kern w:val="0"/>
          <w:sz w:val="20"/>
          <w:szCs w:val="24"/>
        </w:rPr>
        <w:t xml:space="preserve">, </w:t>
      </w:r>
      <w:r w:rsidRPr="00DA6194">
        <w:rPr>
          <w:rFonts w:ascii="Arial" w:hAnsi="Arial" w:cs="Arial"/>
          <w:i/>
          <w:iCs/>
          <w:noProof/>
          <w:kern w:val="0"/>
          <w:sz w:val="20"/>
          <w:szCs w:val="24"/>
        </w:rPr>
        <w:t>8</w:t>
      </w:r>
      <w:r w:rsidRPr="00DA6194">
        <w:rPr>
          <w:rFonts w:ascii="Arial" w:hAnsi="Arial" w:cs="Arial"/>
          <w:noProof/>
          <w:kern w:val="0"/>
          <w:sz w:val="20"/>
          <w:szCs w:val="24"/>
        </w:rPr>
        <w:t>(5), 60–65. https://doi.org/10.9790/5736-08516065</w:t>
      </w:r>
    </w:p>
    <w:p w14:paraId="1F30A81E"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Abioye, V. F., Adejuyitan, J. A., &amp; Idowu, C. F. (2014). Effects of different drying methods on the nutritional and quality attributes of baobab leaves (Adansonia digitata). </w:t>
      </w:r>
      <w:r w:rsidRPr="00DA6194">
        <w:rPr>
          <w:rFonts w:ascii="Arial" w:hAnsi="Arial" w:cs="Arial"/>
          <w:i/>
          <w:iCs/>
          <w:noProof/>
          <w:kern w:val="0"/>
          <w:sz w:val="20"/>
          <w:szCs w:val="24"/>
        </w:rPr>
        <w:t>Agriculture and Biology Journal of North America</w:t>
      </w:r>
      <w:r w:rsidRPr="00DA6194">
        <w:rPr>
          <w:rFonts w:ascii="Arial" w:hAnsi="Arial" w:cs="Arial"/>
          <w:noProof/>
          <w:kern w:val="0"/>
          <w:sz w:val="20"/>
          <w:szCs w:val="24"/>
        </w:rPr>
        <w:t xml:space="preserve">, </w:t>
      </w:r>
      <w:r w:rsidRPr="00DA6194">
        <w:rPr>
          <w:rFonts w:ascii="Arial" w:hAnsi="Arial" w:cs="Arial"/>
          <w:i/>
          <w:iCs/>
          <w:noProof/>
          <w:kern w:val="0"/>
          <w:sz w:val="20"/>
          <w:szCs w:val="24"/>
        </w:rPr>
        <w:t>5</w:t>
      </w:r>
      <w:r w:rsidRPr="00DA6194">
        <w:rPr>
          <w:rFonts w:ascii="Arial" w:hAnsi="Arial" w:cs="Arial"/>
          <w:noProof/>
          <w:kern w:val="0"/>
          <w:sz w:val="20"/>
          <w:szCs w:val="24"/>
        </w:rPr>
        <w:t>(3), 104–108. https://doi.org/10.5251/abjna.2014.5.3.104.108</w:t>
      </w:r>
    </w:p>
    <w:p w14:paraId="28AE4D2F"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AOAC. (1999). </w:t>
      </w:r>
      <w:r w:rsidRPr="00DA6194">
        <w:rPr>
          <w:rFonts w:ascii="Arial" w:hAnsi="Arial" w:cs="Arial"/>
          <w:i/>
          <w:iCs/>
          <w:noProof/>
          <w:kern w:val="0"/>
          <w:sz w:val="20"/>
          <w:szCs w:val="24"/>
        </w:rPr>
        <w:t>Official methods of analysis</w:t>
      </w:r>
      <w:r w:rsidRPr="00DA6194">
        <w:rPr>
          <w:rFonts w:ascii="Arial" w:hAnsi="Arial" w:cs="Arial"/>
          <w:noProof/>
          <w:kern w:val="0"/>
          <w:sz w:val="20"/>
          <w:szCs w:val="24"/>
        </w:rPr>
        <w:t xml:space="preserve"> (16th editi). Association of Official Analytical Chemists.</w:t>
      </w:r>
    </w:p>
    <w:p w14:paraId="41D3C616"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Assiéné, A. J. A., Djeukeu, A. W., Assiéné, O. D. S., Mbida-Mbida, Y. I., &amp; Nyangono, B. C. F. (2024). Nutritional and bioactive potentials of a powder and a decoction made from Ceylon cinnamon bark , Laurus nobilis leaves , and Curcuma longa Linn rhizome. </w:t>
      </w:r>
      <w:r w:rsidRPr="00DA6194">
        <w:rPr>
          <w:rFonts w:ascii="Arial" w:hAnsi="Arial" w:cs="Arial"/>
          <w:i/>
          <w:iCs/>
          <w:noProof/>
          <w:kern w:val="0"/>
          <w:sz w:val="20"/>
          <w:szCs w:val="24"/>
        </w:rPr>
        <w:t>Applied Food Research</w:t>
      </w:r>
      <w:r w:rsidRPr="00DA6194">
        <w:rPr>
          <w:rFonts w:ascii="Arial" w:hAnsi="Arial" w:cs="Arial"/>
          <w:noProof/>
          <w:kern w:val="0"/>
          <w:sz w:val="20"/>
          <w:szCs w:val="24"/>
        </w:rPr>
        <w:t xml:space="preserve">, </w:t>
      </w:r>
      <w:r w:rsidRPr="00DA6194">
        <w:rPr>
          <w:rFonts w:ascii="Arial" w:hAnsi="Arial" w:cs="Arial"/>
          <w:i/>
          <w:iCs/>
          <w:noProof/>
          <w:kern w:val="0"/>
          <w:sz w:val="20"/>
          <w:szCs w:val="24"/>
        </w:rPr>
        <w:t>4</w:t>
      </w:r>
      <w:r w:rsidRPr="00DA6194">
        <w:rPr>
          <w:rFonts w:ascii="Arial" w:hAnsi="Arial" w:cs="Arial"/>
          <w:noProof/>
          <w:kern w:val="0"/>
          <w:sz w:val="20"/>
          <w:szCs w:val="24"/>
        </w:rPr>
        <w:t>(2024), 100436. https://doi.org/10.1016/j.afres.2024.100436</w:t>
      </w:r>
    </w:p>
    <w:p w14:paraId="746314CD"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Assiéné, A. J. A., Djeukeu, A. W., Assiéné, O. D. S., Tize, Z., Obono, N. L., Mbango, E. P., Mboube, N. O., Keubing, F. S. R., &amp; Fongnzossie, F. E. (2024). Influence of particle size fraction and bioactive compound contents on the biological activities of Solanum torvum L. leaf powder extracts. </w:t>
      </w:r>
      <w:r w:rsidRPr="00DA6194">
        <w:rPr>
          <w:rFonts w:ascii="Arial" w:hAnsi="Arial" w:cs="Arial"/>
          <w:i/>
          <w:iCs/>
          <w:noProof/>
          <w:kern w:val="0"/>
          <w:sz w:val="20"/>
          <w:szCs w:val="24"/>
        </w:rPr>
        <w:t>Journal of Experimental Biology and Agricultural Sciences</w:t>
      </w:r>
      <w:r w:rsidRPr="00DA6194">
        <w:rPr>
          <w:rFonts w:ascii="Arial" w:hAnsi="Arial" w:cs="Arial"/>
          <w:noProof/>
          <w:kern w:val="0"/>
          <w:sz w:val="20"/>
          <w:szCs w:val="24"/>
        </w:rPr>
        <w:t xml:space="preserve">, </w:t>
      </w:r>
      <w:r w:rsidRPr="00DA6194">
        <w:rPr>
          <w:rFonts w:ascii="Arial" w:hAnsi="Arial" w:cs="Arial"/>
          <w:i/>
          <w:iCs/>
          <w:noProof/>
          <w:kern w:val="0"/>
          <w:sz w:val="20"/>
          <w:szCs w:val="24"/>
        </w:rPr>
        <w:t>12</w:t>
      </w:r>
      <w:r w:rsidRPr="00DA6194">
        <w:rPr>
          <w:rFonts w:ascii="Arial" w:hAnsi="Arial" w:cs="Arial"/>
          <w:noProof/>
          <w:kern w:val="0"/>
          <w:sz w:val="20"/>
          <w:szCs w:val="24"/>
        </w:rPr>
        <w:t>(2), 203–217. https://doi.org/10.18006/2024.12(2).203.217</w:t>
      </w:r>
    </w:p>
    <w:p w14:paraId="1822025F"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Assiéné, A. J. A., Djeukeu, A. W., Tizé, Z., &amp; Fongnzossié, F. E. (2024). Comparative Evaluation of the Bioactive Potential of a Powder and the Particle Size Fractions of Plant Organs From Dacryodes edulis , Solanum torvum , and Curcuma longa. </w:t>
      </w:r>
      <w:r w:rsidRPr="00DA6194">
        <w:rPr>
          <w:rFonts w:ascii="Arial" w:hAnsi="Arial" w:cs="Arial"/>
          <w:i/>
          <w:iCs/>
          <w:noProof/>
          <w:kern w:val="0"/>
          <w:sz w:val="20"/>
          <w:szCs w:val="24"/>
        </w:rPr>
        <w:t>Journal of Food Processing and Preservation</w:t>
      </w:r>
      <w:r w:rsidRPr="00DA6194">
        <w:rPr>
          <w:rFonts w:ascii="Arial" w:hAnsi="Arial" w:cs="Arial"/>
          <w:noProof/>
          <w:kern w:val="0"/>
          <w:sz w:val="20"/>
          <w:szCs w:val="24"/>
        </w:rPr>
        <w:t xml:space="preserve">, </w:t>
      </w:r>
      <w:r w:rsidRPr="00DA6194">
        <w:rPr>
          <w:rFonts w:ascii="Arial" w:hAnsi="Arial" w:cs="Arial"/>
          <w:i/>
          <w:iCs/>
          <w:noProof/>
          <w:kern w:val="0"/>
          <w:sz w:val="20"/>
          <w:szCs w:val="24"/>
        </w:rPr>
        <w:t>2024</w:t>
      </w:r>
      <w:r w:rsidRPr="00DA6194">
        <w:rPr>
          <w:rFonts w:ascii="Arial" w:hAnsi="Arial" w:cs="Arial"/>
          <w:noProof/>
          <w:kern w:val="0"/>
          <w:sz w:val="20"/>
          <w:szCs w:val="24"/>
        </w:rPr>
        <w:t>, 10 p. https://doi.org/10.1155/2024/2680085</w:t>
      </w:r>
    </w:p>
    <w:p w14:paraId="6BC1C0C3"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Assiéné, A. J. A., Fombang, E. N., &amp; Mbofung, C. M. F. (2015). Particular benefits can be attributed to Moringa oleifera Lam leaves based on origin and stage of maturity. </w:t>
      </w:r>
      <w:r w:rsidRPr="00DA6194">
        <w:rPr>
          <w:rFonts w:ascii="Arial" w:hAnsi="Arial" w:cs="Arial"/>
          <w:i/>
          <w:iCs/>
          <w:noProof/>
          <w:kern w:val="0"/>
          <w:sz w:val="20"/>
          <w:szCs w:val="24"/>
        </w:rPr>
        <w:t>Journal of Experimental Biology and Agricultural Sciences</w:t>
      </w:r>
      <w:r w:rsidRPr="00DA6194">
        <w:rPr>
          <w:rFonts w:ascii="Arial" w:hAnsi="Arial" w:cs="Arial"/>
          <w:noProof/>
          <w:kern w:val="0"/>
          <w:sz w:val="20"/>
          <w:szCs w:val="24"/>
        </w:rPr>
        <w:t xml:space="preserve">, </w:t>
      </w:r>
      <w:r w:rsidRPr="00DA6194">
        <w:rPr>
          <w:rFonts w:ascii="Arial" w:hAnsi="Arial" w:cs="Arial"/>
          <w:i/>
          <w:iCs/>
          <w:noProof/>
          <w:kern w:val="0"/>
          <w:sz w:val="20"/>
          <w:szCs w:val="24"/>
        </w:rPr>
        <w:t>3</w:t>
      </w:r>
      <w:r w:rsidRPr="00DA6194">
        <w:rPr>
          <w:rFonts w:ascii="Arial" w:hAnsi="Arial" w:cs="Arial"/>
          <w:noProof/>
          <w:kern w:val="0"/>
          <w:sz w:val="20"/>
          <w:szCs w:val="24"/>
        </w:rPr>
        <w:t>(2320), 541–555. https://doi.org/http://dx.doi.org/10.18006/2015.3(6).541.555</w:t>
      </w:r>
    </w:p>
    <w:p w14:paraId="030CF945"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Bourely. (1982). Observation sur le dosage de l’huile des graines de cotonnie. </w:t>
      </w:r>
      <w:r w:rsidRPr="00DA6194">
        <w:rPr>
          <w:rFonts w:ascii="Arial" w:hAnsi="Arial" w:cs="Arial"/>
          <w:i/>
          <w:iCs/>
          <w:noProof/>
          <w:kern w:val="0"/>
          <w:sz w:val="20"/>
          <w:szCs w:val="24"/>
        </w:rPr>
        <w:t>Coton et Fibres Tropicales</w:t>
      </w:r>
      <w:r w:rsidRPr="00DA6194">
        <w:rPr>
          <w:rFonts w:ascii="Arial" w:hAnsi="Arial" w:cs="Arial"/>
          <w:noProof/>
          <w:kern w:val="0"/>
          <w:sz w:val="20"/>
          <w:szCs w:val="24"/>
        </w:rPr>
        <w:t xml:space="preserve">, </w:t>
      </w:r>
      <w:r w:rsidRPr="00DA6194">
        <w:rPr>
          <w:rFonts w:ascii="Arial" w:hAnsi="Arial" w:cs="Arial"/>
          <w:i/>
          <w:iCs/>
          <w:noProof/>
          <w:kern w:val="0"/>
          <w:sz w:val="20"/>
          <w:szCs w:val="24"/>
        </w:rPr>
        <w:t>27</w:t>
      </w:r>
      <w:r w:rsidRPr="00DA6194">
        <w:rPr>
          <w:rFonts w:ascii="Arial" w:hAnsi="Arial" w:cs="Arial"/>
          <w:noProof/>
          <w:kern w:val="0"/>
          <w:sz w:val="20"/>
          <w:szCs w:val="24"/>
        </w:rPr>
        <w:t>, 183–196. https://agritrop.cirad.fr/455410/</w:t>
      </w:r>
    </w:p>
    <w:p w14:paraId="23C38C6F"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lastRenderedPageBreak/>
        <w:t xml:space="preserve">Cavalcante, M. D. A., Oliveira, J. S., Barreto, M. S. S., Pinheiro, L. P., Cantuária, P. D. C., Borges, W. L., Silva, G. A., Souza, T. M. De, Cavalcante, M. D. A., Pinheiro, L. P., Cantuária, D. C., Borges, L., Gabriel, A., De, T. M., Eryngium, L., &amp; Mart, I. (2022). </w:t>
      </w:r>
      <w:r w:rsidRPr="00DA6194">
        <w:rPr>
          <w:rFonts w:ascii="Arial" w:hAnsi="Arial" w:cs="Arial"/>
          <w:i/>
          <w:iCs/>
          <w:noProof/>
          <w:kern w:val="0"/>
          <w:sz w:val="20"/>
          <w:szCs w:val="24"/>
        </w:rPr>
        <w:t>An HPLC Method to Determine Phenolic Compounds of Plant Extracts : Application to Byrsonima crassifolia and Senna alata Leaves</w:t>
      </w:r>
      <w:r w:rsidRPr="00DA6194">
        <w:rPr>
          <w:rFonts w:ascii="Arial" w:hAnsi="Arial" w:cs="Arial"/>
          <w:noProof/>
          <w:kern w:val="0"/>
          <w:sz w:val="20"/>
          <w:szCs w:val="24"/>
        </w:rPr>
        <w:t xml:space="preserve">. </w:t>
      </w:r>
      <w:r w:rsidRPr="00DA6194">
        <w:rPr>
          <w:rFonts w:ascii="Arial" w:hAnsi="Arial" w:cs="Arial"/>
          <w:i/>
          <w:iCs/>
          <w:noProof/>
          <w:kern w:val="0"/>
          <w:sz w:val="20"/>
          <w:szCs w:val="24"/>
        </w:rPr>
        <w:t>14</w:t>
      </w:r>
      <w:r w:rsidRPr="00DA6194">
        <w:rPr>
          <w:rFonts w:ascii="Arial" w:hAnsi="Arial" w:cs="Arial"/>
          <w:noProof/>
          <w:kern w:val="0"/>
          <w:sz w:val="20"/>
          <w:szCs w:val="24"/>
        </w:rPr>
        <w:t>(4), 395–404. https://www.phcogres.com/v14/i4</w:t>
      </w:r>
    </w:p>
    <w:p w14:paraId="1FEF32EE"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Chun, D., Kim, Y., Moon, H., &amp; Lee, C. (2003). Quantification of phenolics and their antioxydant capacity in fresh plums. </w:t>
      </w:r>
      <w:r w:rsidRPr="00DA6194">
        <w:rPr>
          <w:rFonts w:ascii="Arial" w:hAnsi="Arial" w:cs="Arial"/>
          <w:i/>
          <w:iCs/>
          <w:noProof/>
          <w:kern w:val="0"/>
          <w:sz w:val="20"/>
          <w:szCs w:val="24"/>
        </w:rPr>
        <w:t>Journal of Agricultural and Food Chemistry</w:t>
      </w:r>
      <w:r w:rsidRPr="00DA6194">
        <w:rPr>
          <w:rFonts w:ascii="Arial" w:hAnsi="Arial" w:cs="Arial"/>
          <w:noProof/>
          <w:kern w:val="0"/>
          <w:sz w:val="20"/>
          <w:szCs w:val="24"/>
        </w:rPr>
        <w:t xml:space="preserve">, </w:t>
      </w:r>
      <w:r w:rsidRPr="00DA6194">
        <w:rPr>
          <w:rFonts w:ascii="Arial" w:hAnsi="Arial" w:cs="Arial"/>
          <w:i/>
          <w:iCs/>
          <w:noProof/>
          <w:kern w:val="0"/>
          <w:sz w:val="20"/>
          <w:szCs w:val="24"/>
        </w:rPr>
        <w:t>51</w:t>
      </w:r>
      <w:r w:rsidRPr="00DA6194">
        <w:rPr>
          <w:rFonts w:ascii="Arial" w:hAnsi="Arial" w:cs="Arial"/>
          <w:noProof/>
          <w:kern w:val="0"/>
          <w:sz w:val="20"/>
          <w:szCs w:val="24"/>
        </w:rPr>
        <w:t>(6509). https://doi.org/https://doi.org/10.1021/jf0343074</w:t>
      </w:r>
    </w:p>
    <w:p w14:paraId="36818C35"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Dombrowski, L. (2001). </w:t>
      </w:r>
      <w:r w:rsidRPr="00DA6194">
        <w:rPr>
          <w:rFonts w:ascii="Arial" w:hAnsi="Arial" w:cs="Arial"/>
          <w:i/>
          <w:iCs/>
          <w:noProof/>
          <w:kern w:val="0"/>
          <w:sz w:val="20"/>
          <w:szCs w:val="24"/>
        </w:rPr>
        <w:t>Mécanisme d’action de l’insuline sur les transporteurs de glucose glut4 dans le muscle squelettique de rats normaux et diabétiques</w:t>
      </w:r>
      <w:r w:rsidRPr="00DA6194">
        <w:rPr>
          <w:rFonts w:ascii="Arial" w:hAnsi="Arial" w:cs="Arial"/>
          <w:noProof/>
          <w:kern w:val="0"/>
          <w:sz w:val="20"/>
          <w:szCs w:val="24"/>
        </w:rPr>
        <w:t xml:space="preserve"> [Université Laval]. https://www.nlc-bnc.ca/obj/s4/f2/dsk3/ftp04/NQ60769.pdf</w:t>
      </w:r>
    </w:p>
    <w:p w14:paraId="22ECAC7D"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Fasuyi, A. O. (2005). Nutrient Composition and Processing Effects on Cassava Leaf (Manihot esculenta, Crantz) Antinutrients. </w:t>
      </w:r>
      <w:r w:rsidRPr="00DA6194">
        <w:rPr>
          <w:rFonts w:ascii="Arial" w:hAnsi="Arial" w:cs="Arial"/>
          <w:i/>
          <w:iCs/>
          <w:noProof/>
          <w:kern w:val="0"/>
          <w:sz w:val="20"/>
          <w:szCs w:val="24"/>
        </w:rPr>
        <w:t>Pakistan Journal of Nutrition</w:t>
      </w:r>
      <w:r w:rsidRPr="00DA6194">
        <w:rPr>
          <w:rFonts w:ascii="Arial" w:hAnsi="Arial" w:cs="Arial"/>
          <w:noProof/>
          <w:kern w:val="0"/>
          <w:sz w:val="20"/>
          <w:szCs w:val="24"/>
        </w:rPr>
        <w:t xml:space="preserve">, </w:t>
      </w:r>
      <w:r w:rsidRPr="00DA6194">
        <w:rPr>
          <w:rFonts w:ascii="Arial" w:hAnsi="Arial" w:cs="Arial"/>
          <w:i/>
          <w:iCs/>
          <w:noProof/>
          <w:kern w:val="0"/>
          <w:sz w:val="20"/>
          <w:szCs w:val="24"/>
        </w:rPr>
        <w:t>4</w:t>
      </w:r>
      <w:r w:rsidRPr="00DA6194">
        <w:rPr>
          <w:rFonts w:ascii="Arial" w:hAnsi="Arial" w:cs="Arial"/>
          <w:noProof/>
          <w:kern w:val="0"/>
          <w:sz w:val="20"/>
          <w:szCs w:val="24"/>
        </w:rPr>
        <w:t>(1), 37–42. https://doi.org/10.3923/pjn.2005.37.42</w:t>
      </w:r>
    </w:p>
    <w:p w14:paraId="6CA20C14"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Fischer, E., &amp; Stein, E. A. (1961). DNS colorimetric determination of available carbohydrates in foods. </w:t>
      </w:r>
      <w:r w:rsidRPr="00DA6194">
        <w:rPr>
          <w:rFonts w:ascii="Arial" w:hAnsi="Arial" w:cs="Arial"/>
          <w:i/>
          <w:iCs/>
          <w:noProof/>
          <w:kern w:val="0"/>
          <w:sz w:val="20"/>
          <w:szCs w:val="24"/>
        </w:rPr>
        <w:t>Biochemical Preparation</w:t>
      </w:r>
      <w:r w:rsidRPr="00DA6194">
        <w:rPr>
          <w:rFonts w:ascii="Arial" w:hAnsi="Arial" w:cs="Arial"/>
          <w:noProof/>
          <w:kern w:val="0"/>
          <w:sz w:val="20"/>
          <w:szCs w:val="24"/>
        </w:rPr>
        <w:t xml:space="preserve">, </w:t>
      </w:r>
      <w:r w:rsidRPr="00DA6194">
        <w:rPr>
          <w:rFonts w:ascii="Arial" w:hAnsi="Arial" w:cs="Arial"/>
          <w:i/>
          <w:iCs/>
          <w:noProof/>
          <w:kern w:val="0"/>
          <w:sz w:val="20"/>
          <w:szCs w:val="24"/>
        </w:rPr>
        <w:t>8</w:t>
      </w:r>
      <w:r w:rsidRPr="00DA6194">
        <w:rPr>
          <w:rFonts w:ascii="Arial" w:hAnsi="Arial" w:cs="Arial"/>
          <w:noProof/>
          <w:kern w:val="0"/>
          <w:sz w:val="20"/>
          <w:szCs w:val="24"/>
        </w:rPr>
        <w:t>, 30–37.</w:t>
      </w:r>
    </w:p>
    <w:p w14:paraId="1FB63ED9"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Foumane, M. J., Lobé, S. V, Nga, N., Ntsama, M. J., Mekoulou, M. F., Ngolsou, F., Diboué, B. P., Obono, P., Ndongo, M. N., &amp; Minkande, J. Z. (2022). Analyse Phytochimique des Extraits Aqueux de Sida Acuta et Triumfetta Cordifolia , Deux Plantes Utilisées pour Faciliter l ’ Accouchement en Médecine Traditionnelle au Cameroun. </w:t>
      </w:r>
      <w:r w:rsidRPr="00DA6194">
        <w:rPr>
          <w:rFonts w:ascii="Arial" w:hAnsi="Arial" w:cs="Arial"/>
          <w:i/>
          <w:iCs/>
          <w:noProof/>
          <w:kern w:val="0"/>
          <w:sz w:val="20"/>
          <w:szCs w:val="24"/>
        </w:rPr>
        <w:t>Health Sciences and Disease</w:t>
      </w:r>
      <w:r w:rsidRPr="00DA6194">
        <w:rPr>
          <w:rFonts w:ascii="Arial" w:hAnsi="Arial" w:cs="Arial"/>
          <w:noProof/>
          <w:kern w:val="0"/>
          <w:sz w:val="20"/>
          <w:szCs w:val="24"/>
        </w:rPr>
        <w:t xml:space="preserve">, </w:t>
      </w:r>
      <w:r w:rsidRPr="00DA6194">
        <w:rPr>
          <w:rFonts w:ascii="Arial" w:hAnsi="Arial" w:cs="Arial"/>
          <w:i/>
          <w:iCs/>
          <w:noProof/>
          <w:kern w:val="0"/>
          <w:sz w:val="20"/>
          <w:szCs w:val="24"/>
        </w:rPr>
        <w:t>23</w:t>
      </w:r>
      <w:r w:rsidRPr="00DA6194">
        <w:rPr>
          <w:rFonts w:ascii="Arial" w:hAnsi="Arial" w:cs="Arial"/>
          <w:noProof/>
          <w:kern w:val="0"/>
          <w:sz w:val="20"/>
          <w:szCs w:val="24"/>
        </w:rPr>
        <w:t>(2 Suppl 1), 14–18. www.hsd-fmsb.org</w:t>
      </w:r>
    </w:p>
    <w:p w14:paraId="2D95CDBF"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Gannon, N. P., Conn, C. A., &amp; Vaughan, R. A. (2014). Dietary stimulators of GLUT4 expression and translocation in skeletal muscle: A mini-review. </w:t>
      </w:r>
      <w:r w:rsidRPr="00DA6194">
        <w:rPr>
          <w:rFonts w:ascii="Arial" w:hAnsi="Arial" w:cs="Arial"/>
          <w:i/>
          <w:iCs/>
          <w:noProof/>
          <w:kern w:val="0"/>
          <w:sz w:val="20"/>
          <w:szCs w:val="24"/>
        </w:rPr>
        <w:t>Molecular Nutrition and Food Research</w:t>
      </w:r>
      <w:r w:rsidRPr="00DA6194">
        <w:rPr>
          <w:rFonts w:ascii="Arial" w:hAnsi="Arial" w:cs="Arial"/>
          <w:noProof/>
          <w:kern w:val="0"/>
          <w:sz w:val="20"/>
          <w:szCs w:val="24"/>
        </w:rPr>
        <w:t xml:space="preserve">, </w:t>
      </w:r>
      <w:r w:rsidRPr="00DA6194">
        <w:rPr>
          <w:rFonts w:ascii="Arial" w:hAnsi="Arial" w:cs="Arial"/>
          <w:i/>
          <w:iCs/>
          <w:noProof/>
          <w:kern w:val="0"/>
          <w:sz w:val="20"/>
          <w:szCs w:val="24"/>
        </w:rPr>
        <w:t>59</w:t>
      </w:r>
      <w:r w:rsidRPr="00DA6194">
        <w:rPr>
          <w:rFonts w:ascii="Arial" w:hAnsi="Arial" w:cs="Arial"/>
          <w:noProof/>
          <w:kern w:val="0"/>
          <w:sz w:val="20"/>
          <w:szCs w:val="24"/>
        </w:rPr>
        <w:t>(1), 48–64. https://doi.org/10.1002/mnfr.201400414</w:t>
      </w:r>
    </w:p>
    <w:p w14:paraId="6702D3BA"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Grosser, P., Siegel, C., Neinhuis, C., &amp; Lautenschläger, T. (2018). Triumfetta cordifolia: A Valuable (African) Source for Biocomposites. </w:t>
      </w:r>
      <w:r w:rsidRPr="00DA6194">
        <w:rPr>
          <w:rFonts w:ascii="Arial" w:hAnsi="Arial" w:cs="Arial"/>
          <w:i/>
          <w:iCs/>
          <w:noProof/>
          <w:kern w:val="0"/>
          <w:sz w:val="20"/>
          <w:szCs w:val="24"/>
        </w:rPr>
        <w:t>BioResources</w:t>
      </w:r>
      <w:r w:rsidRPr="00DA6194">
        <w:rPr>
          <w:rFonts w:ascii="Arial" w:hAnsi="Arial" w:cs="Arial"/>
          <w:noProof/>
          <w:kern w:val="0"/>
          <w:sz w:val="20"/>
          <w:szCs w:val="24"/>
        </w:rPr>
        <w:t xml:space="preserve">, </w:t>
      </w:r>
      <w:r w:rsidRPr="00DA6194">
        <w:rPr>
          <w:rFonts w:ascii="Arial" w:hAnsi="Arial" w:cs="Arial"/>
          <w:i/>
          <w:iCs/>
          <w:noProof/>
          <w:kern w:val="0"/>
          <w:sz w:val="20"/>
          <w:szCs w:val="24"/>
        </w:rPr>
        <w:t>13</w:t>
      </w:r>
      <w:r w:rsidRPr="00DA6194">
        <w:rPr>
          <w:rFonts w:ascii="Arial" w:hAnsi="Arial" w:cs="Arial"/>
          <w:noProof/>
          <w:kern w:val="0"/>
          <w:sz w:val="20"/>
          <w:szCs w:val="24"/>
        </w:rPr>
        <w:t>(4), 7671–7682. https://doi.org/10.15376/BIORES.13.4.7671-7682</w:t>
      </w:r>
    </w:p>
    <w:p w14:paraId="72818160"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Habte, T. Y., Suleiman, I., Ahmed, A. I., Latif, S., &amp; Krawinkel, M. B. (2021). Nutritional Value of Baobab Leaves (Adansonia digitata L.) from North- and West-Kordofan in Sudan: In-Vitro Minerals Bioavailability and Protein Quality. </w:t>
      </w:r>
      <w:r w:rsidRPr="00DA6194">
        <w:rPr>
          <w:rFonts w:ascii="Arial" w:hAnsi="Arial" w:cs="Arial"/>
          <w:i/>
          <w:iCs/>
          <w:noProof/>
          <w:kern w:val="0"/>
          <w:sz w:val="20"/>
          <w:szCs w:val="24"/>
        </w:rPr>
        <w:t>International Journal of Food Science and Agriculture</w:t>
      </w:r>
      <w:r w:rsidRPr="00DA6194">
        <w:rPr>
          <w:rFonts w:ascii="Arial" w:hAnsi="Arial" w:cs="Arial"/>
          <w:noProof/>
          <w:kern w:val="0"/>
          <w:sz w:val="20"/>
          <w:szCs w:val="24"/>
        </w:rPr>
        <w:t xml:space="preserve">, </w:t>
      </w:r>
      <w:r w:rsidRPr="00DA6194">
        <w:rPr>
          <w:rFonts w:ascii="Arial" w:hAnsi="Arial" w:cs="Arial"/>
          <w:i/>
          <w:iCs/>
          <w:noProof/>
          <w:kern w:val="0"/>
          <w:sz w:val="20"/>
          <w:szCs w:val="24"/>
        </w:rPr>
        <w:t>5</w:t>
      </w:r>
      <w:r w:rsidRPr="00DA6194">
        <w:rPr>
          <w:rFonts w:ascii="Arial" w:hAnsi="Arial" w:cs="Arial"/>
          <w:noProof/>
          <w:kern w:val="0"/>
          <w:sz w:val="20"/>
          <w:szCs w:val="24"/>
        </w:rPr>
        <w:t>(3), 482–491. https://doi.org/10.26855/ijfsa.2021.09.019</w:t>
      </w:r>
    </w:p>
    <w:p w14:paraId="6D4D34E9"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Jiang, H., Yamashita, Y., Nakamura, A., Croft, K., &amp; Ashida, H. (2019). Quercetin and its metabolite isorhamnetin promote glucose uptake through different signalling pathways in myotubes. </w:t>
      </w:r>
      <w:r w:rsidRPr="00DA6194">
        <w:rPr>
          <w:rFonts w:ascii="Arial" w:hAnsi="Arial" w:cs="Arial"/>
          <w:i/>
          <w:iCs/>
          <w:noProof/>
          <w:kern w:val="0"/>
          <w:sz w:val="20"/>
          <w:szCs w:val="24"/>
        </w:rPr>
        <w:t>Scientific Reports</w:t>
      </w:r>
      <w:r w:rsidRPr="00DA6194">
        <w:rPr>
          <w:rFonts w:ascii="Arial" w:hAnsi="Arial" w:cs="Arial"/>
          <w:noProof/>
          <w:kern w:val="0"/>
          <w:sz w:val="20"/>
          <w:szCs w:val="24"/>
        </w:rPr>
        <w:t xml:space="preserve">, </w:t>
      </w:r>
      <w:r w:rsidRPr="00DA6194">
        <w:rPr>
          <w:rFonts w:ascii="Arial" w:hAnsi="Arial" w:cs="Arial"/>
          <w:i/>
          <w:iCs/>
          <w:noProof/>
          <w:kern w:val="0"/>
          <w:sz w:val="20"/>
          <w:szCs w:val="24"/>
        </w:rPr>
        <w:t>9</w:t>
      </w:r>
      <w:r w:rsidRPr="00DA6194">
        <w:rPr>
          <w:rFonts w:ascii="Arial" w:hAnsi="Arial" w:cs="Arial"/>
          <w:noProof/>
          <w:kern w:val="0"/>
          <w:sz w:val="20"/>
          <w:szCs w:val="24"/>
        </w:rPr>
        <w:t>(July 2018), 1–15. https://doi.org/10.1038/s41598-019-38711-7</w:t>
      </w:r>
    </w:p>
    <w:p w14:paraId="45F3C45B"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Jones, B. J., &amp; Venon, C. W. (1990). Sampling, handling and analyzing plant tissue samples. In R. L. Westerman (Ed.), </w:t>
      </w:r>
      <w:r w:rsidRPr="00DA6194">
        <w:rPr>
          <w:rFonts w:ascii="Arial" w:hAnsi="Arial" w:cs="Arial"/>
          <w:i/>
          <w:iCs/>
          <w:noProof/>
          <w:kern w:val="0"/>
          <w:sz w:val="20"/>
          <w:szCs w:val="24"/>
        </w:rPr>
        <w:t>Soil Testing and Plant Analysis</w:t>
      </w:r>
      <w:r w:rsidRPr="00DA6194">
        <w:rPr>
          <w:rFonts w:ascii="Arial" w:hAnsi="Arial" w:cs="Arial"/>
          <w:noProof/>
          <w:kern w:val="0"/>
          <w:sz w:val="20"/>
          <w:szCs w:val="24"/>
        </w:rPr>
        <w:t xml:space="preserve"> (Third edit, Issue 3, pp. 389–425). </w:t>
      </w:r>
      <w:r w:rsidRPr="00DA6194">
        <w:rPr>
          <w:rFonts w:ascii="Arial" w:hAnsi="Arial" w:cs="Arial"/>
          <w:noProof/>
          <w:kern w:val="0"/>
          <w:sz w:val="20"/>
          <w:szCs w:val="24"/>
        </w:rPr>
        <w:lastRenderedPageBreak/>
        <w:t>https://doi.org/https://doi.org/10.2136/sssabookser3.3ed.c15</w:t>
      </w:r>
    </w:p>
    <w:p w14:paraId="33C0BEAF"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Julkunen-Tiitto, R. (1985). Phenolic Constituents in the Leaves of Northern Willows: Methods for the Analysis of Certain Phenolics. </w:t>
      </w:r>
      <w:r w:rsidRPr="00DA6194">
        <w:rPr>
          <w:rFonts w:ascii="Arial" w:hAnsi="Arial" w:cs="Arial"/>
          <w:i/>
          <w:iCs/>
          <w:noProof/>
          <w:kern w:val="0"/>
          <w:sz w:val="20"/>
          <w:szCs w:val="24"/>
        </w:rPr>
        <w:t>Journal of Agricultural and Food Chemistry</w:t>
      </w:r>
      <w:r w:rsidRPr="00DA6194">
        <w:rPr>
          <w:rFonts w:ascii="Arial" w:hAnsi="Arial" w:cs="Arial"/>
          <w:noProof/>
          <w:kern w:val="0"/>
          <w:sz w:val="20"/>
          <w:szCs w:val="24"/>
        </w:rPr>
        <w:t xml:space="preserve">, </w:t>
      </w:r>
      <w:r w:rsidRPr="00DA6194">
        <w:rPr>
          <w:rFonts w:ascii="Arial" w:hAnsi="Arial" w:cs="Arial"/>
          <w:i/>
          <w:iCs/>
          <w:noProof/>
          <w:kern w:val="0"/>
          <w:sz w:val="20"/>
          <w:szCs w:val="24"/>
        </w:rPr>
        <w:t>33</w:t>
      </w:r>
      <w:r w:rsidRPr="00DA6194">
        <w:rPr>
          <w:rFonts w:ascii="Arial" w:hAnsi="Arial" w:cs="Arial"/>
          <w:noProof/>
          <w:kern w:val="0"/>
          <w:sz w:val="20"/>
          <w:szCs w:val="24"/>
        </w:rPr>
        <w:t>(92), 448. https://doi.org/0021-8561/85/1433-0213$01.50/0</w:t>
      </w:r>
    </w:p>
    <w:p w14:paraId="0460216F"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Kadan, S., Melamed, S., Benvalid, S., Tietel, Z., Sasson, Y., &amp; Zaid, H. (2021). Gundelia tournefortii: Fractionation, chemical composition and glut4 translocation enhancement in muscle cell line. </w:t>
      </w:r>
      <w:r w:rsidRPr="00DA6194">
        <w:rPr>
          <w:rFonts w:ascii="Arial" w:hAnsi="Arial" w:cs="Arial"/>
          <w:i/>
          <w:iCs/>
          <w:noProof/>
          <w:kern w:val="0"/>
          <w:sz w:val="20"/>
          <w:szCs w:val="24"/>
        </w:rPr>
        <w:t>Molecules</w:t>
      </w:r>
      <w:r w:rsidRPr="00DA6194">
        <w:rPr>
          <w:rFonts w:ascii="Arial" w:hAnsi="Arial" w:cs="Arial"/>
          <w:noProof/>
          <w:kern w:val="0"/>
          <w:sz w:val="20"/>
          <w:szCs w:val="24"/>
        </w:rPr>
        <w:t xml:space="preserve">, </w:t>
      </w:r>
      <w:r w:rsidRPr="00DA6194">
        <w:rPr>
          <w:rFonts w:ascii="Arial" w:hAnsi="Arial" w:cs="Arial"/>
          <w:i/>
          <w:iCs/>
          <w:noProof/>
          <w:kern w:val="0"/>
          <w:sz w:val="20"/>
          <w:szCs w:val="24"/>
        </w:rPr>
        <w:t>26</w:t>
      </w:r>
      <w:r w:rsidRPr="00DA6194">
        <w:rPr>
          <w:rFonts w:ascii="Arial" w:hAnsi="Arial" w:cs="Arial"/>
          <w:noProof/>
          <w:kern w:val="0"/>
          <w:sz w:val="20"/>
          <w:szCs w:val="24"/>
        </w:rPr>
        <w:t>(13). https://doi.org/10.3390/molecules26133785</w:t>
      </w:r>
    </w:p>
    <w:p w14:paraId="76EF5B57"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Li, Q., Zhu, X., Ishikura, S., Zhang, D., Gao, J., Sun, Y., Contreras-Ferrat, A., Foley, K., Lavandero, S., Yao, Z., Bilan, P., Klip, A., &amp; Niu, W. (2014). Ca2+ signals promote GLUT4 exocytosis and reduce its endocytosis in muscle cells. </w:t>
      </w:r>
      <w:r w:rsidRPr="00DA6194">
        <w:rPr>
          <w:rFonts w:ascii="Arial" w:hAnsi="Arial" w:cs="Arial"/>
          <w:i/>
          <w:iCs/>
          <w:noProof/>
          <w:kern w:val="0"/>
          <w:sz w:val="20"/>
          <w:szCs w:val="24"/>
        </w:rPr>
        <w:t>American Physiological Society</w:t>
      </w:r>
      <w:r w:rsidRPr="00DA6194">
        <w:rPr>
          <w:rFonts w:ascii="Arial" w:hAnsi="Arial" w:cs="Arial"/>
          <w:noProof/>
          <w:kern w:val="0"/>
          <w:sz w:val="20"/>
          <w:szCs w:val="24"/>
        </w:rPr>
        <w:t xml:space="preserve">, </w:t>
      </w:r>
      <w:r w:rsidRPr="00DA6194">
        <w:rPr>
          <w:rFonts w:ascii="Arial" w:hAnsi="Arial" w:cs="Arial"/>
          <w:i/>
          <w:iCs/>
          <w:noProof/>
          <w:kern w:val="0"/>
          <w:sz w:val="20"/>
          <w:szCs w:val="24"/>
        </w:rPr>
        <w:t>3</w:t>
      </w:r>
      <w:r w:rsidRPr="00DA6194">
        <w:rPr>
          <w:rFonts w:ascii="Arial" w:hAnsi="Arial" w:cs="Arial"/>
          <w:noProof/>
          <w:kern w:val="0"/>
          <w:sz w:val="20"/>
          <w:szCs w:val="24"/>
        </w:rPr>
        <w:t>. https://doi.org/10.1152/ajpendo.00045.2014</w:t>
      </w:r>
    </w:p>
    <w:p w14:paraId="57900566"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Makkar, H. P. S., Siddhuraju, P., &amp; Becker, K. (2007). </w:t>
      </w:r>
      <w:r w:rsidRPr="00DA6194">
        <w:rPr>
          <w:rFonts w:ascii="Arial" w:hAnsi="Arial" w:cs="Arial"/>
          <w:i/>
          <w:iCs/>
          <w:noProof/>
          <w:kern w:val="0"/>
          <w:sz w:val="20"/>
          <w:szCs w:val="24"/>
        </w:rPr>
        <w:t>Plant secondary metabolites</w:t>
      </w:r>
      <w:r w:rsidRPr="00DA6194">
        <w:rPr>
          <w:rFonts w:ascii="Arial" w:hAnsi="Arial" w:cs="Arial"/>
          <w:noProof/>
          <w:kern w:val="0"/>
          <w:sz w:val="20"/>
          <w:szCs w:val="24"/>
        </w:rPr>
        <w:t>. Humana Press Inc., Totowa, New Jersey 07512. www.humanapress.com</w:t>
      </w:r>
    </w:p>
    <w:p w14:paraId="4B2C105E"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Markovic, T. P., &amp; Natoli, S. J. (2009). Paradoxical nutritional deficiency in overweight and obesity: the importance of nutrient density. </w:t>
      </w:r>
      <w:r w:rsidRPr="00DA6194">
        <w:rPr>
          <w:rFonts w:ascii="Arial" w:hAnsi="Arial" w:cs="Arial"/>
          <w:i/>
          <w:iCs/>
          <w:noProof/>
          <w:kern w:val="0"/>
          <w:sz w:val="20"/>
          <w:szCs w:val="24"/>
        </w:rPr>
        <w:t>Lifestyle Journal</w:t>
      </w:r>
      <w:r w:rsidRPr="00DA6194">
        <w:rPr>
          <w:rFonts w:ascii="Arial" w:hAnsi="Arial" w:cs="Arial"/>
          <w:noProof/>
          <w:kern w:val="0"/>
          <w:sz w:val="20"/>
          <w:szCs w:val="24"/>
        </w:rPr>
        <w:t xml:space="preserve">, </w:t>
      </w:r>
      <w:r w:rsidRPr="00DA6194">
        <w:rPr>
          <w:rFonts w:ascii="Arial" w:hAnsi="Arial" w:cs="Arial"/>
          <w:i/>
          <w:iCs/>
          <w:noProof/>
          <w:kern w:val="0"/>
          <w:sz w:val="20"/>
          <w:szCs w:val="24"/>
        </w:rPr>
        <w:t>190</w:t>
      </w:r>
      <w:r w:rsidRPr="00DA6194">
        <w:rPr>
          <w:rFonts w:ascii="Arial" w:hAnsi="Arial" w:cs="Arial"/>
          <w:noProof/>
          <w:kern w:val="0"/>
          <w:sz w:val="20"/>
          <w:szCs w:val="24"/>
        </w:rPr>
        <w:t>(3), 149–151. https://doi.org/https://doi.org/10.5694/j.1326-5377.2009.tb02319.x</w:t>
      </w:r>
    </w:p>
    <w:p w14:paraId="747CB8B7"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Moreau, F., Prat, R. F., Sentenac, H., Moreau, F., Prat, R. F., Maurel, C., &amp; Sentenac, H. (2017). </w:t>
      </w:r>
      <w:r w:rsidRPr="00DA6194">
        <w:rPr>
          <w:rFonts w:ascii="Arial" w:hAnsi="Arial" w:cs="Arial"/>
          <w:i/>
          <w:iCs/>
          <w:noProof/>
          <w:kern w:val="0"/>
          <w:sz w:val="20"/>
          <w:szCs w:val="24"/>
        </w:rPr>
        <w:t>Biologie végétale Nutrition et métabolisme</w:t>
      </w:r>
      <w:r w:rsidRPr="00DA6194">
        <w:rPr>
          <w:rFonts w:ascii="Arial" w:hAnsi="Arial" w:cs="Arial"/>
          <w:noProof/>
          <w:kern w:val="0"/>
          <w:sz w:val="20"/>
          <w:szCs w:val="24"/>
        </w:rPr>
        <w:t xml:space="preserve"> (Dunod (ed.); Dunod).</w:t>
      </w:r>
    </w:p>
    <w:p w14:paraId="6FC74B20"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Murphy, J., &amp; Riley, J. P. (1962). A modified single solution method for determination of phosphate in natural waters. </w:t>
      </w:r>
      <w:r w:rsidRPr="00DA6194">
        <w:rPr>
          <w:rFonts w:ascii="Arial" w:hAnsi="Arial" w:cs="Arial"/>
          <w:i/>
          <w:iCs/>
          <w:noProof/>
          <w:kern w:val="0"/>
          <w:sz w:val="20"/>
          <w:szCs w:val="24"/>
        </w:rPr>
        <w:t>Analytica Chimica Acta</w:t>
      </w:r>
      <w:r w:rsidRPr="00DA6194">
        <w:rPr>
          <w:rFonts w:ascii="Arial" w:hAnsi="Arial" w:cs="Arial"/>
          <w:noProof/>
          <w:kern w:val="0"/>
          <w:sz w:val="20"/>
          <w:szCs w:val="24"/>
        </w:rPr>
        <w:t xml:space="preserve">, </w:t>
      </w:r>
      <w:r w:rsidRPr="00DA6194">
        <w:rPr>
          <w:rFonts w:ascii="Arial" w:hAnsi="Arial" w:cs="Arial"/>
          <w:i/>
          <w:iCs/>
          <w:noProof/>
          <w:kern w:val="0"/>
          <w:sz w:val="20"/>
          <w:szCs w:val="24"/>
        </w:rPr>
        <w:t>27</w:t>
      </w:r>
      <w:r w:rsidRPr="00DA6194">
        <w:rPr>
          <w:rFonts w:ascii="Arial" w:hAnsi="Arial" w:cs="Arial"/>
          <w:noProof/>
          <w:kern w:val="0"/>
          <w:sz w:val="20"/>
          <w:szCs w:val="24"/>
        </w:rPr>
        <w:t>, 31–36. https://doi.org/10.1016/S0003-2670(00)88444-5.</w:t>
      </w:r>
    </w:p>
    <w:p w14:paraId="4B99F433"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Nielsen, S. S. (2009). Determination of Moisture Content. In </w:t>
      </w:r>
      <w:r w:rsidRPr="00DA6194">
        <w:rPr>
          <w:rFonts w:ascii="Arial" w:hAnsi="Arial" w:cs="Arial"/>
          <w:i/>
          <w:iCs/>
          <w:noProof/>
          <w:kern w:val="0"/>
          <w:sz w:val="20"/>
          <w:szCs w:val="24"/>
        </w:rPr>
        <w:t>Food Analysis Laboratory Manuel</w:t>
      </w:r>
      <w:r w:rsidRPr="00DA6194">
        <w:rPr>
          <w:rFonts w:ascii="Arial" w:hAnsi="Arial" w:cs="Arial"/>
          <w:noProof/>
          <w:kern w:val="0"/>
          <w:sz w:val="20"/>
          <w:szCs w:val="24"/>
        </w:rPr>
        <w:t xml:space="preserve"> (pp. 17–27).</w:t>
      </w:r>
    </w:p>
    <w:p w14:paraId="6C3A1FD1"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Nobosse, P., Fombang, E. N., &amp; Mbofung, C. M. F. (2017). The Effect of Steam Blanching and Drying Method on Nutrients, Phytochemicals and Antioxidant Activity of Moringa (Moringa oleifera L.) Leaves. </w:t>
      </w:r>
      <w:r w:rsidRPr="00DA6194">
        <w:rPr>
          <w:rFonts w:ascii="Arial" w:hAnsi="Arial" w:cs="Arial"/>
          <w:i/>
          <w:iCs/>
          <w:noProof/>
          <w:kern w:val="0"/>
          <w:sz w:val="20"/>
          <w:szCs w:val="24"/>
        </w:rPr>
        <w:t>American Journal of Food Science and Technology</w:t>
      </w:r>
      <w:r w:rsidRPr="00DA6194">
        <w:rPr>
          <w:rFonts w:ascii="Arial" w:hAnsi="Arial" w:cs="Arial"/>
          <w:noProof/>
          <w:kern w:val="0"/>
          <w:sz w:val="20"/>
          <w:szCs w:val="24"/>
        </w:rPr>
        <w:t xml:space="preserve">, </w:t>
      </w:r>
      <w:r w:rsidRPr="00DA6194">
        <w:rPr>
          <w:rFonts w:ascii="Arial" w:hAnsi="Arial" w:cs="Arial"/>
          <w:i/>
          <w:iCs/>
          <w:noProof/>
          <w:kern w:val="0"/>
          <w:sz w:val="20"/>
          <w:szCs w:val="24"/>
        </w:rPr>
        <w:t>5</w:t>
      </w:r>
      <w:r w:rsidRPr="00DA6194">
        <w:rPr>
          <w:rFonts w:ascii="Arial" w:hAnsi="Arial" w:cs="Arial"/>
          <w:noProof/>
          <w:kern w:val="0"/>
          <w:sz w:val="20"/>
          <w:szCs w:val="24"/>
        </w:rPr>
        <w:t>(2), 53–60. https://doi.org/10.12691/ajfst-5-2-4</w:t>
      </w:r>
    </w:p>
    <w:p w14:paraId="0CE38639"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Ogbe, A. O., &amp; Affiku, J. P. (2011). Proximate study, mineral and anti-nutrient composition of Moringa oleifera leaves harvested from Lafia, Nigeria: potential benefits in poultry nutrition and health. </w:t>
      </w:r>
      <w:r w:rsidRPr="00DA6194">
        <w:rPr>
          <w:rFonts w:ascii="Arial" w:hAnsi="Arial" w:cs="Arial"/>
          <w:i/>
          <w:iCs/>
          <w:noProof/>
          <w:kern w:val="0"/>
          <w:sz w:val="20"/>
          <w:szCs w:val="24"/>
        </w:rPr>
        <w:t>Journal of Microbiology</w:t>
      </w:r>
      <w:r w:rsidRPr="00DA6194">
        <w:rPr>
          <w:rFonts w:ascii="Arial" w:hAnsi="Arial" w:cs="Arial"/>
          <w:noProof/>
          <w:kern w:val="0"/>
          <w:sz w:val="20"/>
          <w:szCs w:val="24"/>
        </w:rPr>
        <w:t xml:space="preserve">, </w:t>
      </w:r>
      <w:r w:rsidRPr="00DA6194">
        <w:rPr>
          <w:rFonts w:ascii="Arial" w:hAnsi="Arial" w:cs="Arial"/>
          <w:i/>
          <w:iCs/>
          <w:noProof/>
          <w:kern w:val="0"/>
          <w:sz w:val="20"/>
          <w:szCs w:val="24"/>
        </w:rPr>
        <w:t>12</w:t>
      </w:r>
      <w:r w:rsidRPr="00DA6194">
        <w:rPr>
          <w:rFonts w:ascii="Arial" w:hAnsi="Arial" w:cs="Arial"/>
          <w:noProof/>
          <w:kern w:val="0"/>
          <w:sz w:val="20"/>
          <w:szCs w:val="24"/>
        </w:rPr>
        <w:t>(3), 296–308. https://office2.jmbfs.org/index.php/JMBFS/article/view/4464</w:t>
      </w:r>
    </w:p>
    <w:p w14:paraId="0FA0DE66"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Osei-Owusu, J., Kokro, K. B., Ofori, A., Apau, J., Dofuor, A. K., Vigbedor, B. Y., Aniagyei, A., Kwakye, R., Edusei, G., Antwi, B. Y., &amp; Okyere, H. (2023). Evaluation of phytochemical, proximate, antioxidant, and anti-nutrient properties of Corchorus olitorius, Solanum macrocarpon and Amaranthus cruentus in Ghana. </w:t>
      </w:r>
      <w:r w:rsidRPr="00DA6194">
        <w:rPr>
          <w:rFonts w:ascii="Arial" w:hAnsi="Arial" w:cs="Arial"/>
          <w:i/>
          <w:iCs/>
          <w:noProof/>
          <w:kern w:val="0"/>
          <w:sz w:val="20"/>
          <w:szCs w:val="24"/>
        </w:rPr>
        <w:t>International Journal of Biochemistry and Molecular Biology</w:t>
      </w:r>
      <w:r w:rsidRPr="00DA6194">
        <w:rPr>
          <w:rFonts w:ascii="Arial" w:hAnsi="Arial" w:cs="Arial"/>
          <w:noProof/>
          <w:kern w:val="0"/>
          <w:sz w:val="20"/>
          <w:szCs w:val="24"/>
        </w:rPr>
        <w:t xml:space="preserve">, </w:t>
      </w:r>
      <w:r w:rsidRPr="00DA6194">
        <w:rPr>
          <w:rFonts w:ascii="Arial" w:hAnsi="Arial" w:cs="Arial"/>
          <w:i/>
          <w:iCs/>
          <w:noProof/>
          <w:kern w:val="0"/>
          <w:sz w:val="20"/>
          <w:szCs w:val="24"/>
        </w:rPr>
        <w:lastRenderedPageBreak/>
        <w:t>14</w:t>
      </w:r>
      <w:r w:rsidRPr="00DA6194">
        <w:rPr>
          <w:rFonts w:ascii="Arial" w:hAnsi="Arial" w:cs="Arial"/>
          <w:noProof/>
          <w:kern w:val="0"/>
          <w:sz w:val="20"/>
          <w:szCs w:val="24"/>
        </w:rPr>
        <w:t>(2), 17–24. www.ijbmb.org /ISSN:2152-4114/IJBMB0149285</w:t>
      </w:r>
    </w:p>
    <w:p w14:paraId="2980B08B"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Patricia, O., Zoue, L., Megnanou, R.-M., Doue, R., &amp; Niamke, S. (2014). Proximate Composition and Nutritive Value of Leafy Vegetables Consumed in Northern Côte D’Ivoire. </w:t>
      </w:r>
      <w:r w:rsidRPr="00DA6194">
        <w:rPr>
          <w:rFonts w:ascii="Arial" w:hAnsi="Arial" w:cs="Arial"/>
          <w:i/>
          <w:iCs/>
          <w:noProof/>
          <w:kern w:val="0"/>
          <w:sz w:val="20"/>
          <w:szCs w:val="24"/>
        </w:rPr>
        <w:t>European Scientific Journal</w:t>
      </w:r>
      <w:r w:rsidRPr="00DA6194">
        <w:rPr>
          <w:rFonts w:ascii="Arial" w:hAnsi="Arial" w:cs="Arial"/>
          <w:noProof/>
          <w:kern w:val="0"/>
          <w:sz w:val="20"/>
          <w:szCs w:val="24"/>
        </w:rPr>
        <w:t xml:space="preserve">, </w:t>
      </w:r>
      <w:r w:rsidRPr="00DA6194">
        <w:rPr>
          <w:rFonts w:ascii="Arial" w:hAnsi="Arial" w:cs="Arial"/>
          <w:i/>
          <w:iCs/>
          <w:noProof/>
          <w:kern w:val="0"/>
          <w:sz w:val="20"/>
          <w:szCs w:val="24"/>
        </w:rPr>
        <w:t>10</w:t>
      </w:r>
      <w:r w:rsidRPr="00DA6194">
        <w:rPr>
          <w:rFonts w:ascii="Arial" w:hAnsi="Arial" w:cs="Arial"/>
          <w:noProof/>
          <w:kern w:val="0"/>
          <w:sz w:val="20"/>
          <w:szCs w:val="24"/>
        </w:rPr>
        <w:t>(6), 1857–7881. https://www.bing.com</w:t>
      </w:r>
    </w:p>
    <w:p w14:paraId="490194E5"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Raimi, M. M., Oyekanmi, A. M., &amp; Farombi, A. G. (2014). Proximate and Phytochemical Composition of Leaves of Ceiba pentandra, Manihot esculentus and Abelmoschus esculentus in Southwestern Nigeria. </w:t>
      </w:r>
      <w:r w:rsidRPr="00DA6194">
        <w:rPr>
          <w:rFonts w:ascii="Arial" w:hAnsi="Arial" w:cs="Arial"/>
          <w:i/>
          <w:iCs/>
          <w:noProof/>
          <w:kern w:val="0"/>
          <w:sz w:val="20"/>
          <w:szCs w:val="24"/>
        </w:rPr>
        <w:t>Scientific Research Journal (SCIRJ)</w:t>
      </w:r>
      <w:r w:rsidRPr="00DA6194">
        <w:rPr>
          <w:rFonts w:ascii="Arial" w:hAnsi="Arial" w:cs="Arial"/>
          <w:noProof/>
          <w:kern w:val="0"/>
          <w:sz w:val="20"/>
          <w:szCs w:val="24"/>
        </w:rPr>
        <w:t xml:space="preserve">, </w:t>
      </w:r>
      <w:r w:rsidRPr="00DA6194">
        <w:rPr>
          <w:rFonts w:ascii="Arial" w:hAnsi="Arial" w:cs="Arial"/>
          <w:i/>
          <w:iCs/>
          <w:noProof/>
          <w:kern w:val="0"/>
          <w:sz w:val="20"/>
          <w:szCs w:val="24"/>
        </w:rPr>
        <w:t>2</w:t>
      </w:r>
      <w:r w:rsidRPr="00DA6194">
        <w:rPr>
          <w:rFonts w:ascii="Arial" w:hAnsi="Arial" w:cs="Arial"/>
          <w:noProof/>
          <w:kern w:val="0"/>
          <w:sz w:val="20"/>
          <w:szCs w:val="24"/>
        </w:rPr>
        <w:t>(4), 30–34. http://www.scirj.org/papers-0414/scirj-P0414132.pdf</w:t>
      </w:r>
    </w:p>
    <w:p w14:paraId="5CB9EB35"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Rodríguez-Miranda, J., Ruiz-López, I. I., Herman-Lara, E., Martínez-Sánchez, C. E., Delgado-Licon, E., &amp; Vivar-Vera, M. A. (2011). Development of extruded snacks using taro (Colocasia esculenta) and nixtamalized maize (Zea mays) flour blends. </w:t>
      </w:r>
      <w:r w:rsidRPr="00DA6194">
        <w:rPr>
          <w:rFonts w:ascii="Arial" w:hAnsi="Arial" w:cs="Arial"/>
          <w:i/>
          <w:iCs/>
          <w:noProof/>
          <w:kern w:val="0"/>
          <w:sz w:val="20"/>
          <w:szCs w:val="24"/>
        </w:rPr>
        <w:t>LWT</w:t>
      </w:r>
      <w:r w:rsidRPr="00DA6194">
        <w:rPr>
          <w:rFonts w:ascii="Arial" w:hAnsi="Arial" w:cs="Arial"/>
          <w:noProof/>
          <w:kern w:val="0"/>
          <w:sz w:val="20"/>
          <w:szCs w:val="24"/>
        </w:rPr>
        <w:t xml:space="preserve">, </w:t>
      </w:r>
      <w:r w:rsidRPr="00DA6194">
        <w:rPr>
          <w:rFonts w:ascii="Arial" w:hAnsi="Arial" w:cs="Arial"/>
          <w:i/>
          <w:iCs/>
          <w:noProof/>
          <w:kern w:val="0"/>
          <w:sz w:val="20"/>
          <w:szCs w:val="24"/>
        </w:rPr>
        <w:t>44</w:t>
      </w:r>
      <w:r w:rsidRPr="00DA6194">
        <w:rPr>
          <w:rFonts w:ascii="Arial" w:hAnsi="Arial" w:cs="Arial"/>
          <w:noProof/>
          <w:kern w:val="0"/>
          <w:sz w:val="20"/>
          <w:szCs w:val="24"/>
        </w:rPr>
        <w:t>(3), 673–680. https://doi.org/10.1016/j.lwt.2010.06.036</w:t>
      </w:r>
    </w:p>
    <w:p w14:paraId="63813E2C"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Saddari, A., Yahyaoui, A., Sbibih, Y., Zrouri, H., Azizi, W., Hamdani, O., Abderrahmani, J., Harrandou, M., Sebbar, E. H., &amp; Choukri, M. (2022). Micronutriments &amp; Covid-19. </w:t>
      </w:r>
      <w:r w:rsidRPr="00DA6194">
        <w:rPr>
          <w:rFonts w:ascii="Arial" w:hAnsi="Arial" w:cs="Arial"/>
          <w:i/>
          <w:iCs/>
          <w:noProof/>
          <w:kern w:val="0"/>
          <w:sz w:val="20"/>
          <w:szCs w:val="24"/>
        </w:rPr>
        <w:t>New Journal for Science Vulgarization</w:t>
      </w:r>
      <w:r w:rsidRPr="00DA6194">
        <w:rPr>
          <w:rFonts w:ascii="Arial" w:hAnsi="Arial" w:cs="Arial"/>
          <w:noProof/>
          <w:kern w:val="0"/>
          <w:sz w:val="20"/>
          <w:szCs w:val="24"/>
        </w:rPr>
        <w:t xml:space="preserve">, </w:t>
      </w:r>
      <w:r w:rsidRPr="00DA6194">
        <w:rPr>
          <w:rFonts w:ascii="Arial" w:hAnsi="Arial" w:cs="Arial"/>
          <w:i/>
          <w:iCs/>
          <w:noProof/>
          <w:kern w:val="0"/>
          <w:sz w:val="20"/>
          <w:szCs w:val="24"/>
        </w:rPr>
        <w:t>2</w:t>
      </w:r>
      <w:r w:rsidRPr="00DA6194">
        <w:rPr>
          <w:rFonts w:ascii="Arial" w:hAnsi="Arial" w:cs="Arial"/>
          <w:noProof/>
          <w:kern w:val="0"/>
          <w:sz w:val="20"/>
          <w:szCs w:val="24"/>
        </w:rPr>
        <w:t>(1), 47–51. www.supmit.org</w:t>
      </w:r>
    </w:p>
    <w:p w14:paraId="703B09BB"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Saidou, C. (2012). </w:t>
      </w:r>
      <w:r w:rsidRPr="00DA6194">
        <w:rPr>
          <w:rFonts w:ascii="Arial" w:hAnsi="Arial" w:cs="Arial"/>
          <w:i/>
          <w:iCs/>
          <w:noProof/>
          <w:kern w:val="0"/>
          <w:sz w:val="20"/>
          <w:szCs w:val="24"/>
        </w:rPr>
        <w:t>Propriétés physico-chimiques et fonctionnelles des gommes hydrocolloïdes des écorces de Triumfetta cordifolia (tiliacée) et de Bridelia thermifolia (Euphorbiacée)</w:t>
      </w:r>
      <w:r w:rsidRPr="00DA6194">
        <w:rPr>
          <w:rFonts w:ascii="Arial" w:hAnsi="Arial" w:cs="Arial"/>
          <w:noProof/>
          <w:kern w:val="0"/>
          <w:sz w:val="20"/>
          <w:szCs w:val="24"/>
        </w:rPr>
        <w:t xml:space="preserve"> [University of Ngaoundere/ University of Grenoble]. https://theses.hal.science/tel-00870761v1</w:t>
      </w:r>
    </w:p>
    <w:p w14:paraId="23F12C6B"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Schofield, P., Mbugua, D. M., &amp; Pell, A. N. (2001). Analysis of condensed tannins : a review. </w:t>
      </w:r>
      <w:r w:rsidRPr="00DA6194">
        <w:rPr>
          <w:rFonts w:ascii="Arial" w:hAnsi="Arial" w:cs="Arial"/>
          <w:i/>
          <w:iCs/>
          <w:noProof/>
          <w:kern w:val="0"/>
          <w:sz w:val="20"/>
          <w:szCs w:val="24"/>
        </w:rPr>
        <w:t>Animal Feed Science and Technology</w:t>
      </w:r>
      <w:r w:rsidRPr="00DA6194">
        <w:rPr>
          <w:rFonts w:ascii="Arial" w:hAnsi="Arial" w:cs="Arial"/>
          <w:noProof/>
          <w:kern w:val="0"/>
          <w:sz w:val="20"/>
          <w:szCs w:val="24"/>
        </w:rPr>
        <w:t xml:space="preserve">, </w:t>
      </w:r>
      <w:r w:rsidRPr="00DA6194">
        <w:rPr>
          <w:rFonts w:ascii="Arial" w:hAnsi="Arial" w:cs="Arial"/>
          <w:i/>
          <w:iCs/>
          <w:noProof/>
          <w:kern w:val="0"/>
          <w:sz w:val="20"/>
          <w:szCs w:val="24"/>
        </w:rPr>
        <w:t>91</w:t>
      </w:r>
      <w:r w:rsidRPr="00DA6194">
        <w:rPr>
          <w:rFonts w:ascii="Arial" w:hAnsi="Arial" w:cs="Arial"/>
          <w:noProof/>
          <w:kern w:val="0"/>
          <w:sz w:val="20"/>
          <w:szCs w:val="24"/>
        </w:rPr>
        <w:t>, 21–40. https://doi.org/S0377-8401(01)00228-0</w:t>
      </w:r>
    </w:p>
    <w:p w14:paraId="7641C47B"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Sha’a, K. K., Clarkson, G. P., &amp; Artimas, S. P. (2019). Phytochemical analysis, proximate composition and antinutritional factors of Corchorus olitorius plant. </w:t>
      </w:r>
      <w:r w:rsidRPr="00DA6194">
        <w:rPr>
          <w:rFonts w:ascii="Arial" w:hAnsi="Arial" w:cs="Arial"/>
          <w:i/>
          <w:iCs/>
          <w:noProof/>
          <w:kern w:val="0"/>
          <w:sz w:val="20"/>
          <w:szCs w:val="24"/>
        </w:rPr>
        <w:t>International Journal of Biological and Chemical Sciences</w:t>
      </w:r>
      <w:r w:rsidRPr="00DA6194">
        <w:rPr>
          <w:rFonts w:ascii="Arial" w:hAnsi="Arial" w:cs="Arial"/>
          <w:noProof/>
          <w:kern w:val="0"/>
          <w:sz w:val="20"/>
          <w:szCs w:val="24"/>
        </w:rPr>
        <w:t xml:space="preserve">, </w:t>
      </w:r>
      <w:r w:rsidRPr="00DA6194">
        <w:rPr>
          <w:rFonts w:ascii="Arial" w:hAnsi="Arial" w:cs="Arial"/>
          <w:i/>
          <w:iCs/>
          <w:noProof/>
          <w:kern w:val="0"/>
          <w:sz w:val="20"/>
          <w:szCs w:val="24"/>
        </w:rPr>
        <w:t>13</w:t>
      </w:r>
      <w:r w:rsidRPr="00DA6194">
        <w:rPr>
          <w:rFonts w:ascii="Arial" w:hAnsi="Arial" w:cs="Arial"/>
          <w:noProof/>
          <w:kern w:val="0"/>
          <w:sz w:val="20"/>
          <w:szCs w:val="24"/>
        </w:rPr>
        <w:t>(4), 2147–2157. https://doi.org/https://dx.doi.org/10.4314/ijbcs.v13i4.21</w:t>
      </w:r>
    </w:p>
    <w:p w14:paraId="541BAB0D"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Singleton, V. L., Orthofer, R., &amp; Lamuela-Raventos, R. M. (1999). Analysis of Total Phenols and Other Oxidation Substrates and Antioxidants by Means of Folin-Ciocalteu Reagent. </w:t>
      </w:r>
      <w:r w:rsidRPr="00DA6194">
        <w:rPr>
          <w:rFonts w:ascii="Arial" w:hAnsi="Arial" w:cs="Arial"/>
          <w:i/>
          <w:iCs/>
          <w:noProof/>
          <w:kern w:val="0"/>
          <w:sz w:val="20"/>
          <w:szCs w:val="24"/>
        </w:rPr>
        <w:t>Methods in Enzymology</w:t>
      </w:r>
      <w:r w:rsidRPr="00DA6194">
        <w:rPr>
          <w:rFonts w:ascii="Arial" w:hAnsi="Arial" w:cs="Arial"/>
          <w:noProof/>
          <w:kern w:val="0"/>
          <w:sz w:val="20"/>
          <w:szCs w:val="24"/>
        </w:rPr>
        <w:t xml:space="preserve">, </w:t>
      </w:r>
      <w:r w:rsidRPr="00DA6194">
        <w:rPr>
          <w:rFonts w:ascii="Arial" w:hAnsi="Arial" w:cs="Arial"/>
          <w:i/>
          <w:iCs/>
          <w:noProof/>
          <w:kern w:val="0"/>
          <w:sz w:val="20"/>
          <w:szCs w:val="24"/>
        </w:rPr>
        <w:t>299</w:t>
      </w:r>
      <w:r w:rsidRPr="00DA6194">
        <w:rPr>
          <w:rFonts w:ascii="Arial" w:hAnsi="Arial" w:cs="Arial"/>
          <w:noProof/>
          <w:kern w:val="0"/>
          <w:sz w:val="20"/>
          <w:szCs w:val="24"/>
        </w:rPr>
        <w:t>(1974), 152–178. https://doi.org/0076-6879/99 $30.00</w:t>
      </w:r>
    </w:p>
    <w:p w14:paraId="447E020A"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Singleton, V. L., &amp; Rossi, J. A. (1965). Colorimetry of total phenolics with phosphomolybdicphosphotungstic acid reagents. </w:t>
      </w:r>
      <w:r w:rsidRPr="00DA6194">
        <w:rPr>
          <w:rFonts w:ascii="Arial" w:hAnsi="Arial" w:cs="Arial"/>
          <w:i/>
          <w:iCs/>
          <w:noProof/>
          <w:kern w:val="0"/>
          <w:sz w:val="20"/>
          <w:szCs w:val="24"/>
        </w:rPr>
        <w:t>Am. J. Enol. Vitic</w:t>
      </w:r>
      <w:r w:rsidRPr="00DA6194">
        <w:rPr>
          <w:rFonts w:ascii="Arial" w:hAnsi="Arial" w:cs="Arial"/>
          <w:noProof/>
          <w:kern w:val="0"/>
          <w:sz w:val="20"/>
          <w:szCs w:val="24"/>
        </w:rPr>
        <w:t xml:space="preserve">, </w:t>
      </w:r>
      <w:r w:rsidRPr="00DA6194">
        <w:rPr>
          <w:rFonts w:ascii="Arial" w:hAnsi="Arial" w:cs="Arial"/>
          <w:i/>
          <w:iCs/>
          <w:noProof/>
          <w:kern w:val="0"/>
          <w:sz w:val="20"/>
          <w:szCs w:val="24"/>
        </w:rPr>
        <w:t>16</w:t>
      </w:r>
      <w:r w:rsidRPr="00DA6194">
        <w:rPr>
          <w:rFonts w:ascii="Arial" w:hAnsi="Arial" w:cs="Arial"/>
          <w:noProof/>
          <w:kern w:val="0"/>
          <w:sz w:val="20"/>
          <w:szCs w:val="24"/>
        </w:rPr>
        <w:t>, 144–158. https://doi.org/10.5344/ajev.1965.16.3.144</w:t>
      </w:r>
    </w:p>
    <w:p w14:paraId="31211E30"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Sun, B., Ricardo-da-Silva, J. M., &amp; Spranger, I. (1998). Critical Factors of Vanillin Assay for Catechins and Proanthocyanidins. </w:t>
      </w:r>
      <w:r w:rsidRPr="00DA6194">
        <w:rPr>
          <w:rFonts w:ascii="Arial" w:hAnsi="Arial" w:cs="Arial"/>
          <w:i/>
          <w:iCs/>
          <w:noProof/>
          <w:kern w:val="0"/>
          <w:sz w:val="20"/>
          <w:szCs w:val="24"/>
        </w:rPr>
        <w:t>Journal of Agricultural and Food Chemistry</w:t>
      </w:r>
      <w:r w:rsidRPr="00DA6194">
        <w:rPr>
          <w:rFonts w:ascii="Arial" w:hAnsi="Arial" w:cs="Arial"/>
          <w:noProof/>
          <w:kern w:val="0"/>
          <w:sz w:val="20"/>
          <w:szCs w:val="24"/>
        </w:rPr>
        <w:t xml:space="preserve">, </w:t>
      </w:r>
      <w:r w:rsidRPr="00DA6194">
        <w:rPr>
          <w:rFonts w:ascii="Arial" w:hAnsi="Arial" w:cs="Arial"/>
          <w:i/>
          <w:iCs/>
          <w:noProof/>
          <w:kern w:val="0"/>
          <w:sz w:val="20"/>
          <w:szCs w:val="24"/>
        </w:rPr>
        <w:t>46</w:t>
      </w:r>
      <w:r w:rsidRPr="00DA6194">
        <w:rPr>
          <w:rFonts w:ascii="Arial" w:hAnsi="Arial" w:cs="Arial"/>
          <w:noProof/>
          <w:kern w:val="0"/>
          <w:sz w:val="20"/>
          <w:szCs w:val="24"/>
        </w:rPr>
        <w:t>(10), 4267–4274. https://doi.org/10.1021/jf980366j</w:t>
      </w:r>
    </w:p>
    <w:p w14:paraId="5E8FE822"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Sutandar, V. H., Saleh, M. I., &amp; Maritska, Z. (2023). GLUT4 as A Protein Target for T2DM Therapy with Natural Compounds. </w:t>
      </w:r>
      <w:r w:rsidRPr="00DA6194">
        <w:rPr>
          <w:rFonts w:ascii="Arial" w:hAnsi="Arial" w:cs="Arial"/>
          <w:i/>
          <w:iCs/>
          <w:noProof/>
          <w:kern w:val="0"/>
          <w:sz w:val="20"/>
          <w:szCs w:val="24"/>
        </w:rPr>
        <w:t>Biology, Medicine, &amp; Natural Product Chemistry</w:t>
      </w:r>
      <w:r w:rsidRPr="00DA6194">
        <w:rPr>
          <w:rFonts w:ascii="Arial" w:hAnsi="Arial" w:cs="Arial"/>
          <w:noProof/>
          <w:kern w:val="0"/>
          <w:sz w:val="20"/>
          <w:szCs w:val="24"/>
        </w:rPr>
        <w:t xml:space="preserve">, </w:t>
      </w:r>
      <w:r w:rsidRPr="00DA6194">
        <w:rPr>
          <w:rFonts w:ascii="Arial" w:hAnsi="Arial" w:cs="Arial"/>
          <w:i/>
          <w:iCs/>
          <w:noProof/>
          <w:kern w:val="0"/>
          <w:sz w:val="20"/>
          <w:szCs w:val="24"/>
        </w:rPr>
        <w:t>12</w:t>
      </w:r>
      <w:r w:rsidRPr="00DA6194">
        <w:rPr>
          <w:rFonts w:ascii="Arial" w:hAnsi="Arial" w:cs="Arial"/>
          <w:noProof/>
          <w:kern w:val="0"/>
          <w:sz w:val="20"/>
          <w:szCs w:val="24"/>
        </w:rPr>
        <w:t>(1), 289–293. https://doi.org/10.14421/biomedich.2023.121.289-293</w:t>
      </w:r>
    </w:p>
    <w:p w14:paraId="51C9523E"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lastRenderedPageBreak/>
        <w:t xml:space="preserve">Wang, T., Wang, J., Hu, X., Huang, X., &amp; Chen, G.-X. (2020). Current understanding of glucose transporter 4 expression and functional mechanisms. </w:t>
      </w:r>
      <w:r w:rsidRPr="00DA6194">
        <w:rPr>
          <w:rFonts w:ascii="Arial" w:hAnsi="Arial" w:cs="Arial"/>
          <w:i/>
          <w:iCs/>
          <w:noProof/>
          <w:kern w:val="0"/>
          <w:sz w:val="20"/>
          <w:szCs w:val="24"/>
        </w:rPr>
        <w:t>World Journal of Biological Chemistry</w:t>
      </w:r>
      <w:r w:rsidRPr="00DA6194">
        <w:rPr>
          <w:rFonts w:ascii="Arial" w:hAnsi="Arial" w:cs="Arial"/>
          <w:noProof/>
          <w:kern w:val="0"/>
          <w:sz w:val="20"/>
          <w:szCs w:val="24"/>
        </w:rPr>
        <w:t xml:space="preserve">, </w:t>
      </w:r>
      <w:r w:rsidRPr="00DA6194">
        <w:rPr>
          <w:rFonts w:ascii="Arial" w:hAnsi="Arial" w:cs="Arial"/>
          <w:i/>
          <w:iCs/>
          <w:noProof/>
          <w:kern w:val="0"/>
          <w:sz w:val="20"/>
          <w:szCs w:val="24"/>
        </w:rPr>
        <w:t>11</w:t>
      </w:r>
      <w:r w:rsidRPr="00DA6194">
        <w:rPr>
          <w:rFonts w:ascii="Arial" w:hAnsi="Arial" w:cs="Arial"/>
          <w:noProof/>
          <w:kern w:val="0"/>
          <w:sz w:val="20"/>
          <w:szCs w:val="24"/>
        </w:rPr>
        <w:t>(3), 76–98. https://doi.org/10.4331/wjbc.v11.i3.76</w:t>
      </w:r>
    </w:p>
    <w:p w14:paraId="3364F1F6" w14:textId="259C2673"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Wolff, J. (1968). </w:t>
      </w:r>
      <w:r w:rsidRPr="00DA6194">
        <w:rPr>
          <w:rFonts w:ascii="Arial" w:hAnsi="Arial" w:cs="Arial"/>
          <w:i/>
          <w:iCs/>
          <w:noProof/>
          <w:kern w:val="0"/>
          <w:sz w:val="20"/>
          <w:szCs w:val="24"/>
        </w:rPr>
        <w:t>Manuel d’analyse des corps gras</w:t>
      </w:r>
      <w:r w:rsidRPr="00DA6194">
        <w:rPr>
          <w:rFonts w:ascii="Arial" w:hAnsi="Arial" w:cs="Arial"/>
          <w:noProof/>
          <w:kern w:val="0"/>
          <w:sz w:val="20"/>
          <w:szCs w:val="24"/>
        </w:rPr>
        <w:t>. Azoulay.</w:t>
      </w:r>
      <w:r w:rsidR="00426BD4">
        <w:rPr>
          <w:rFonts w:ascii="Arial" w:hAnsi="Arial" w:cs="Arial"/>
          <w:noProof/>
          <w:kern w:val="0"/>
          <w:sz w:val="20"/>
          <w:szCs w:val="24"/>
        </w:rPr>
        <w:t>512 p</w:t>
      </w:r>
    </w:p>
    <w:p w14:paraId="42A33140"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Yamashita, Y., Jiang, H., Okada, F., Kitakaze, T., Yoshioka, Y., &amp; Ashida, H. (2024). Single oral administration of quercetin glycosides prevented acute hyperglycemia by promoting GLUT4 translocation in skeletal muscles through the activation of AMPK in mice. </w:t>
      </w:r>
      <w:r w:rsidRPr="00DA6194">
        <w:rPr>
          <w:rFonts w:ascii="Arial" w:hAnsi="Arial" w:cs="Arial"/>
          <w:i/>
          <w:iCs/>
          <w:noProof/>
          <w:kern w:val="0"/>
          <w:sz w:val="20"/>
          <w:szCs w:val="24"/>
        </w:rPr>
        <w:t>J. Clin. Biochem. Nutr. |</w:t>
      </w:r>
      <w:r w:rsidRPr="00DA6194">
        <w:rPr>
          <w:rFonts w:ascii="Arial" w:hAnsi="Arial" w:cs="Arial"/>
          <w:noProof/>
          <w:kern w:val="0"/>
          <w:sz w:val="20"/>
          <w:szCs w:val="24"/>
        </w:rPr>
        <w:t xml:space="preserve">, </w:t>
      </w:r>
      <w:r w:rsidRPr="00DA6194">
        <w:rPr>
          <w:rFonts w:ascii="Arial" w:hAnsi="Arial" w:cs="Arial"/>
          <w:i/>
          <w:iCs/>
          <w:noProof/>
          <w:kern w:val="0"/>
          <w:sz w:val="20"/>
          <w:szCs w:val="24"/>
        </w:rPr>
        <w:t>74</w:t>
      </w:r>
      <w:r w:rsidRPr="00DA6194">
        <w:rPr>
          <w:rFonts w:ascii="Arial" w:hAnsi="Arial" w:cs="Arial"/>
          <w:noProof/>
          <w:kern w:val="0"/>
          <w:sz w:val="20"/>
          <w:szCs w:val="24"/>
        </w:rPr>
        <w:t>(1), 37–46. https://doi.org/10.3164/jcbn.23-30</w:t>
      </w:r>
    </w:p>
    <w:p w14:paraId="09A537A6"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kern w:val="0"/>
          <w:sz w:val="20"/>
          <w:szCs w:val="24"/>
        </w:rPr>
      </w:pPr>
      <w:r w:rsidRPr="00DA6194">
        <w:rPr>
          <w:rFonts w:ascii="Arial" w:hAnsi="Arial" w:cs="Arial"/>
          <w:noProof/>
          <w:kern w:val="0"/>
          <w:sz w:val="20"/>
          <w:szCs w:val="24"/>
        </w:rPr>
        <w:t xml:space="preserve">Yamashita, Y., Wang, L., Nanba, F., Ito, C., &amp; Toda, T. (2016). Procyanidin Promotes Translocation of Glucose Transporter 4 in Muscle of Mice through Activation of Insulin and AMPK Signaling Pathways. </w:t>
      </w:r>
      <w:r w:rsidRPr="00DA6194">
        <w:rPr>
          <w:rFonts w:ascii="Arial" w:hAnsi="Arial" w:cs="Arial"/>
          <w:i/>
          <w:iCs/>
          <w:noProof/>
          <w:kern w:val="0"/>
          <w:sz w:val="20"/>
          <w:szCs w:val="24"/>
        </w:rPr>
        <w:t>PLoS ONE</w:t>
      </w:r>
      <w:r w:rsidRPr="00DA6194">
        <w:rPr>
          <w:rFonts w:ascii="Arial" w:hAnsi="Arial" w:cs="Arial"/>
          <w:noProof/>
          <w:kern w:val="0"/>
          <w:sz w:val="20"/>
          <w:szCs w:val="24"/>
        </w:rPr>
        <w:t xml:space="preserve">, </w:t>
      </w:r>
      <w:r w:rsidRPr="00DA6194">
        <w:rPr>
          <w:rFonts w:ascii="Arial" w:hAnsi="Arial" w:cs="Arial"/>
          <w:i/>
          <w:iCs/>
          <w:noProof/>
          <w:kern w:val="0"/>
          <w:sz w:val="20"/>
          <w:szCs w:val="24"/>
        </w:rPr>
        <w:t>11</w:t>
      </w:r>
      <w:r w:rsidRPr="00DA6194">
        <w:rPr>
          <w:rFonts w:ascii="Arial" w:hAnsi="Arial" w:cs="Arial"/>
          <w:noProof/>
          <w:kern w:val="0"/>
          <w:sz w:val="20"/>
          <w:szCs w:val="24"/>
        </w:rPr>
        <w:t>(9), 1–19. https://doi.org/10.1371/journal.pone.0161704</w:t>
      </w:r>
    </w:p>
    <w:p w14:paraId="22549527" w14:textId="77777777" w:rsidR="00DA6194" w:rsidRPr="00DA6194" w:rsidRDefault="00DA6194" w:rsidP="00DA6194">
      <w:pPr>
        <w:widowControl w:val="0"/>
        <w:autoSpaceDE w:val="0"/>
        <w:autoSpaceDN w:val="0"/>
        <w:adjustRightInd w:val="0"/>
        <w:spacing w:line="360" w:lineRule="auto"/>
        <w:ind w:left="480" w:hanging="480"/>
        <w:rPr>
          <w:rFonts w:ascii="Arial" w:hAnsi="Arial" w:cs="Arial"/>
          <w:noProof/>
          <w:sz w:val="20"/>
        </w:rPr>
      </w:pPr>
      <w:r w:rsidRPr="00DA6194">
        <w:rPr>
          <w:rFonts w:ascii="Arial" w:hAnsi="Arial" w:cs="Arial"/>
          <w:noProof/>
          <w:kern w:val="0"/>
          <w:sz w:val="20"/>
          <w:szCs w:val="24"/>
        </w:rPr>
        <w:t xml:space="preserve">Zhishen, J., Mengcheng, T., &amp; Jianming, W. (1999). Food Chemistry The determination of flavonoid contents in mulberry and their scavenging effects on superoxide radicals. </w:t>
      </w:r>
      <w:r w:rsidRPr="00DA6194">
        <w:rPr>
          <w:rFonts w:ascii="Arial" w:hAnsi="Arial" w:cs="Arial"/>
          <w:i/>
          <w:iCs/>
          <w:noProof/>
          <w:kern w:val="0"/>
          <w:sz w:val="20"/>
          <w:szCs w:val="24"/>
        </w:rPr>
        <w:t>Food Chemistry</w:t>
      </w:r>
      <w:r w:rsidRPr="00DA6194">
        <w:rPr>
          <w:rFonts w:ascii="Arial" w:hAnsi="Arial" w:cs="Arial"/>
          <w:noProof/>
          <w:kern w:val="0"/>
          <w:sz w:val="20"/>
          <w:szCs w:val="24"/>
        </w:rPr>
        <w:t xml:space="preserve">, </w:t>
      </w:r>
      <w:r w:rsidRPr="00DA6194">
        <w:rPr>
          <w:rFonts w:ascii="Arial" w:hAnsi="Arial" w:cs="Arial"/>
          <w:i/>
          <w:iCs/>
          <w:noProof/>
          <w:kern w:val="0"/>
          <w:sz w:val="20"/>
          <w:szCs w:val="24"/>
        </w:rPr>
        <w:t>64</w:t>
      </w:r>
      <w:r w:rsidRPr="00DA6194">
        <w:rPr>
          <w:rFonts w:ascii="Arial" w:hAnsi="Arial" w:cs="Arial"/>
          <w:noProof/>
          <w:kern w:val="0"/>
          <w:sz w:val="20"/>
          <w:szCs w:val="24"/>
        </w:rPr>
        <w:t>, 555–559. https://doi.org/S0308-8l46(98)00102-2-2</w:t>
      </w:r>
    </w:p>
    <w:p w14:paraId="1AAFC158" w14:textId="0FC8EFE2" w:rsidR="00B64D85" w:rsidRPr="00025C75" w:rsidRDefault="005F0359" w:rsidP="00025C75">
      <w:pPr>
        <w:spacing w:line="360" w:lineRule="auto"/>
        <w:rPr>
          <w:rFonts w:ascii="Arial" w:hAnsi="Arial" w:cs="Arial"/>
          <w:b/>
          <w:bCs/>
          <w:sz w:val="20"/>
          <w:szCs w:val="20"/>
          <w:lang w:val="en-US"/>
        </w:rPr>
      </w:pPr>
      <w:r w:rsidRPr="00BC5F1D">
        <w:rPr>
          <w:rFonts w:ascii="Arial" w:hAnsi="Arial" w:cs="Arial"/>
          <w:b/>
          <w:bCs/>
          <w:sz w:val="20"/>
          <w:szCs w:val="20"/>
          <w:lang w:val="en-US"/>
        </w:rPr>
        <w:fldChar w:fldCharType="end"/>
      </w:r>
    </w:p>
    <w:sectPr w:rsidR="00B64D85" w:rsidRPr="00025C75" w:rsidSect="000B582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B87D2" w14:textId="77777777" w:rsidR="00741B89" w:rsidRDefault="00741B89" w:rsidP="002F6926">
      <w:pPr>
        <w:spacing w:after="0" w:line="240" w:lineRule="auto"/>
      </w:pPr>
      <w:r>
        <w:separator/>
      </w:r>
    </w:p>
  </w:endnote>
  <w:endnote w:type="continuationSeparator" w:id="0">
    <w:p w14:paraId="7028C7EE" w14:textId="77777777" w:rsidR="00741B89" w:rsidRDefault="00741B89" w:rsidP="002F6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arisSIL">
    <w:altName w:val="Cambria"/>
    <w:charset w:val="00"/>
    <w:family w:val="roman"/>
    <w:pitch w:val="default"/>
  </w:font>
  <w:font w:name="TeX_CM_Maths_Symbols">
    <w:altName w:val="Cambria"/>
    <w:charset w:val="00"/>
    <w:family w:val="roman"/>
    <w:pitch w:val="default"/>
  </w:font>
  <w:font w:name="CharisSIL-Bold">
    <w:altName w:val="Cambria"/>
    <w:charset w:val="00"/>
    <w:family w:val="roman"/>
    <w:pitch w:val="default"/>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896058"/>
      <w:docPartObj>
        <w:docPartGallery w:val="Page Numbers (Bottom of Page)"/>
        <w:docPartUnique/>
      </w:docPartObj>
    </w:sdtPr>
    <w:sdtEndPr>
      <w:rPr>
        <w:rFonts w:ascii="Times New Roman" w:hAnsi="Times New Roman" w:cs="Times New Roman"/>
      </w:rPr>
    </w:sdtEndPr>
    <w:sdtContent>
      <w:p w14:paraId="2E022AF0" w14:textId="06756D89" w:rsidR="0001071D" w:rsidRPr="0001071D" w:rsidRDefault="0001071D">
        <w:pPr>
          <w:pStyle w:val="Footer"/>
          <w:jc w:val="right"/>
          <w:rPr>
            <w:rFonts w:ascii="Times New Roman" w:hAnsi="Times New Roman" w:cs="Times New Roman"/>
          </w:rPr>
        </w:pPr>
        <w:r w:rsidRPr="0001071D">
          <w:rPr>
            <w:rFonts w:ascii="Times New Roman" w:hAnsi="Times New Roman" w:cs="Times New Roman"/>
          </w:rPr>
          <w:fldChar w:fldCharType="begin"/>
        </w:r>
        <w:r w:rsidRPr="0001071D">
          <w:rPr>
            <w:rFonts w:ascii="Times New Roman" w:hAnsi="Times New Roman" w:cs="Times New Roman"/>
          </w:rPr>
          <w:instrText>PAGE   \* MERGEFORMAT</w:instrText>
        </w:r>
        <w:r w:rsidRPr="0001071D">
          <w:rPr>
            <w:rFonts w:ascii="Times New Roman" w:hAnsi="Times New Roman" w:cs="Times New Roman"/>
          </w:rPr>
          <w:fldChar w:fldCharType="separate"/>
        </w:r>
        <w:r w:rsidRPr="0001071D">
          <w:rPr>
            <w:rFonts w:ascii="Times New Roman" w:hAnsi="Times New Roman" w:cs="Times New Roman"/>
          </w:rPr>
          <w:t>2</w:t>
        </w:r>
        <w:r w:rsidRPr="0001071D">
          <w:rPr>
            <w:rFonts w:ascii="Times New Roman" w:hAnsi="Times New Roman" w:cs="Times New Roman"/>
          </w:rPr>
          <w:fldChar w:fldCharType="end"/>
        </w:r>
      </w:p>
    </w:sdtContent>
  </w:sdt>
  <w:p w14:paraId="38B5291E" w14:textId="77777777" w:rsidR="0001071D" w:rsidRDefault="00010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955AC" w14:textId="77777777" w:rsidR="00741B89" w:rsidRDefault="00741B89" w:rsidP="002F6926">
      <w:pPr>
        <w:spacing w:after="0" w:line="240" w:lineRule="auto"/>
      </w:pPr>
      <w:r>
        <w:separator/>
      </w:r>
    </w:p>
  </w:footnote>
  <w:footnote w:type="continuationSeparator" w:id="0">
    <w:p w14:paraId="3E3054AE" w14:textId="77777777" w:rsidR="00741B89" w:rsidRDefault="00741B89" w:rsidP="002F6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8B790" w14:textId="2F201947" w:rsidR="000B582C" w:rsidRDefault="00741B89">
    <w:pPr>
      <w:pStyle w:val="Header"/>
    </w:pPr>
    <w:r>
      <w:rPr>
        <w:noProof/>
      </w:rPr>
      <w:pict w14:anchorId="70EC2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17840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2AA1" w14:textId="52295881" w:rsidR="000B582C" w:rsidRDefault="00741B89">
    <w:pPr>
      <w:pStyle w:val="Header"/>
    </w:pPr>
    <w:r>
      <w:rPr>
        <w:noProof/>
      </w:rPr>
      <w:pict w14:anchorId="16519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17840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59FFD" w14:textId="1701F084" w:rsidR="000B582C" w:rsidRDefault="00741B89">
    <w:pPr>
      <w:pStyle w:val="Header"/>
    </w:pPr>
    <w:r>
      <w:rPr>
        <w:noProof/>
      </w:rPr>
      <w:pict w14:anchorId="726B3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17840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05A5"/>
    <w:multiLevelType w:val="multilevel"/>
    <w:tmpl w:val="67BE7D0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0E85E57"/>
    <w:multiLevelType w:val="hybridMultilevel"/>
    <w:tmpl w:val="29948F12"/>
    <w:lvl w:ilvl="0" w:tplc="1FD2399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D570CB"/>
    <w:multiLevelType w:val="multilevel"/>
    <w:tmpl w:val="E1421E10"/>
    <w:lvl w:ilvl="0">
      <w:start w:val="1"/>
      <w:numFmt w:val="decimal"/>
      <w:lvlText w:val="%1."/>
      <w:lvlJc w:val="left"/>
      <w:pPr>
        <w:ind w:left="360" w:hanging="360"/>
      </w:pPr>
      <w:rPr>
        <w:rFonts w:hint="default"/>
        <w:sz w:val="22"/>
        <w:szCs w:val="22"/>
      </w:rPr>
    </w:lvl>
    <w:lvl w:ilvl="1">
      <w:start w:val="1"/>
      <w:numFmt w:val="decimal"/>
      <w:isLgl/>
      <w:lvlText w:val="%1.%2."/>
      <w:lvlJc w:val="left"/>
      <w:pPr>
        <w:ind w:left="360" w:hanging="360"/>
      </w:pPr>
      <w:rPr>
        <w:rFonts w:ascii="Arial" w:hAnsi="Arial" w:cs="Arial"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0406B71"/>
    <w:multiLevelType w:val="multilevel"/>
    <w:tmpl w:val="BADE5F3E"/>
    <w:lvl w:ilvl="0">
      <w:start w:val="2"/>
      <w:numFmt w:val="decimal"/>
      <w:lvlText w:val="%1."/>
      <w:lvlJc w:val="left"/>
      <w:pPr>
        <w:ind w:left="720" w:hanging="360"/>
      </w:pPr>
      <w:rPr>
        <w:rFonts w:hint="default"/>
      </w:rPr>
    </w:lvl>
    <w:lvl w:ilvl="1">
      <w:start w:val="1"/>
      <w:numFmt w:val="decimal"/>
      <w:isLgl/>
      <w:lvlText w:val="%1.%2."/>
      <w:lvlJc w:val="left"/>
      <w:pPr>
        <w:ind w:left="420" w:hanging="42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 w15:restartNumberingAfterBreak="0">
    <w:nsid w:val="51840E62"/>
    <w:multiLevelType w:val="hybridMultilevel"/>
    <w:tmpl w:val="AD54DDA0"/>
    <w:lvl w:ilvl="0" w:tplc="D7B4BC76">
      <w:start w:val="1"/>
      <w:numFmt w:val="lowerLetter"/>
      <w:lvlText w:val="(%1)"/>
      <w:lvlJc w:val="left"/>
      <w:pPr>
        <w:ind w:left="720" w:hanging="360"/>
      </w:pPr>
      <w:rPr>
        <w:rFonts w:ascii="Times New Roman" w:hAnsi="Times New Roman" w:cs="Times New Roman"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75E"/>
    <w:rsid w:val="00000A53"/>
    <w:rsid w:val="00001265"/>
    <w:rsid w:val="000014B6"/>
    <w:rsid w:val="000068E4"/>
    <w:rsid w:val="00006F88"/>
    <w:rsid w:val="00007542"/>
    <w:rsid w:val="0001071D"/>
    <w:rsid w:val="00014FD3"/>
    <w:rsid w:val="00017A19"/>
    <w:rsid w:val="00022A7B"/>
    <w:rsid w:val="0002450A"/>
    <w:rsid w:val="00025C75"/>
    <w:rsid w:val="00030CDC"/>
    <w:rsid w:val="00036B2B"/>
    <w:rsid w:val="00036E7F"/>
    <w:rsid w:val="00040D0A"/>
    <w:rsid w:val="00044632"/>
    <w:rsid w:val="00044D0C"/>
    <w:rsid w:val="00044E0A"/>
    <w:rsid w:val="000452B1"/>
    <w:rsid w:val="0005746A"/>
    <w:rsid w:val="00063BE7"/>
    <w:rsid w:val="00067C2A"/>
    <w:rsid w:val="0007097F"/>
    <w:rsid w:val="00070CFA"/>
    <w:rsid w:val="000715FE"/>
    <w:rsid w:val="00073A9D"/>
    <w:rsid w:val="00073F6F"/>
    <w:rsid w:val="00081A72"/>
    <w:rsid w:val="00082024"/>
    <w:rsid w:val="0008256F"/>
    <w:rsid w:val="00085CF4"/>
    <w:rsid w:val="00092106"/>
    <w:rsid w:val="000A23DC"/>
    <w:rsid w:val="000A3E36"/>
    <w:rsid w:val="000A657C"/>
    <w:rsid w:val="000B0BC0"/>
    <w:rsid w:val="000B1A5C"/>
    <w:rsid w:val="000B582C"/>
    <w:rsid w:val="000B5972"/>
    <w:rsid w:val="000C2A46"/>
    <w:rsid w:val="000C652E"/>
    <w:rsid w:val="000C6D82"/>
    <w:rsid w:val="000D52E3"/>
    <w:rsid w:val="000D5690"/>
    <w:rsid w:val="000D5819"/>
    <w:rsid w:val="000D6978"/>
    <w:rsid w:val="000E201B"/>
    <w:rsid w:val="000E6016"/>
    <w:rsid w:val="000F0D41"/>
    <w:rsid w:val="000F57C0"/>
    <w:rsid w:val="0010471E"/>
    <w:rsid w:val="00104C63"/>
    <w:rsid w:val="00107CDC"/>
    <w:rsid w:val="00113BB8"/>
    <w:rsid w:val="001228A1"/>
    <w:rsid w:val="001356B3"/>
    <w:rsid w:val="00142A52"/>
    <w:rsid w:val="00144A15"/>
    <w:rsid w:val="00153DB4"/>
    <w:rsid w:val="00157126"/>
    <w:rsid w:val="00166D39"/>
    <w:rsid w:val="0017175A"/>
    <w:rsid w:val="00173EFA"/>
    <w:rsid w:val="00175A5E"/>
    <w:rsid w:val="0018006E"/>
    <w:rsid w:val="00184151"/>
    <w:rsid w:val="0018551C"/>
    <w:rsid w:val="00194CFE"/>
    <w:rsid w:val="001963B5"/>
    <w:rsid w:val="001A07D5"/>
    <w:rsid w:val="001B4AA3"/>
    <w:rsid w:val="001C2A04"/>
    <w:rsid w:val="001C691F"/>
    <w:rsid w:val="001D3FD8"/>
    <w:rsid w:val="001E33F3"/>
    <w:rsid w:val="001E5D73"/>
    <w:rsid w:val="001E70E7"/>
    <w:rsid w:val="001F374C"/>
    <w:rsid w:val="001F6256"/>
    <w:rsid w:val="001F7377"/>
    <w:rsid w:val="0020255D"/>
    <w:rsid w:val="0020269D"/>
    <w:rsid w:val="00203A59"/>
    <w:rsid w:val="00213405"/>
    <w:rsid w:val="00213F2E"/>
    <w:rsid w:val="00214116"/>
    <w:rsid w:val="002144A7"/>
    <w:rsid w:val="002166EF"/>
    <w:rsid w:val="00217202"/>
    <w:rsid w:val="002176BC"/>
    <w:rsid w:val="0022115A"/>
    <w:rsid w:val="002266AE"/>
    <w:rsid w:val="002276E8"/>
    <w:rsid w:val="0023419E"/>
    <w:rsid w:val="00234CC1"/>
    <w:rsid w:val="00236DBD"/>
    <w:rsid w:val="00245B33"/>
    <w:rsid w:val="002461EE"/>
    <w:rsid w:val="002477EE"/>
    <w:rsid w:val="00247D00"/>
    <w:rsid w:val="00251C08"/>
    <w:rsid w:val="002635B6"/>
    <w:rsid w:val="00263C8C"/>
    <w:rsid w:val="00267AFF"/>
    <w:rsid w:val="00273BB9"/>
    <w:rsid w:val="002809BB"/>
    <w:rsid w:val="00280C35"/>
    <w:rsid w:val="00280EE6"/>
    <w:rsid w:val="0028118A"/>
    <w:rsid w:val="00281C86"/>
    <w:rsid w:val="00283DA1"/>
    <w:rsid w:val="00291CB3"/>
    <w:rsid w:val="00292080"/>
    <w:rsid w:val="002A27FE"/>
    <w:rsid w:val="002A29FA"/>
    <w:rsid w:val="002A305A"/>
    <w:rsid w:val="002A3DDD"/>
    <w:rsid w:val="002A4575"/>
    <w:rsid w:val="002A7DA8"/>
    <w:rsid w:val="002B065A"/>
    <w:rsid w:val="002B184A"/>
    <w:rsid w:val="002B188B"/>
    <w:rsid w:val="002B54E4"/>
    <w:rsid w:val="002B75BB"/>
    <w:rsid w:val="002C3B22"/>
    <w:rsid w:val="002C5A12"/>
    <w:rsid w:val="002D211C"/>
    <w:rsid w:val="002E0DF6"/>
    <w:rsid w:val="002E1CD0"/>
    <w:rsid w:val="002F6926"/>
    <w:rsid w:val="003050C6"/>
    <w:rsid w:val="00314969"/>
    <w:rsid w:val="003168D0"/>
    <w:rsid w:val="003253AB"/>
    <w:rsid w:val="00326FD0"/>
    <w:rsid w:val="003276F2"/>
    <w:rsid w:val="003312B6"/>
    <w:rsid w:val="00333115"/>
    <w:rsid w:val="0033419D"/>
    <w:rsid w:val="00337711"/>
    <w:rsid w:val="003400A2"/>
    <w:rsid w:val="003435E6"/>
    <w:rsid w:val="003517E6"/>
    <w:rsid w:val="00352609"/>
    <w:rsid w:val="00357A1D"/>
    <w:rsid w:val="0036243C"/>
    <w:rsid w:val="003730C8"/>
    <w:rsid w:val="00376679"/>
    <w:rsid w:val="00380934"/>
    <w:rsid w:val="00380BA4"/>
    <w:rsid w:val="003816B7"/>
    <w:rsid w:val="00381D3C"/>
    <w:rsid w:val="00382AB6"/>
    <w:rsid w:val="00385C92"/>
    <w:rsid w:val="00387D8F"/>
    <w:rsid w:val="0039100C"/>
    <w:rsid w:val="00392322"/>
    <w:rsid w:val="003970D8"/>
    <w:rsid w:val="003A2E65"/>
    <w:rsid w:val="003A6EB1"/>
    <w:rsid w:val="003B09B6"/>
    <w:rsid w:val="003B13AC"/>
    <w:rsid w:val="003B5F3D"/>
    <w:rsid w:val="003B6203"/>
    <w:rsid w:val="003B6966"/>
    <w:rsid w:val="003B7479"/>
    <w:rsid w:val="003C13FB"/>
    <w:rsid w:val="003D16BE"/>
    <w:rsid w:val="003D398C"/>
    <w:rsid w:val="003D4F02"/>
    <w:rsid w:val="003E5576"/>
    <w:rsid w:val="003F71EC"/>
    <w:rsid w:val="003F77BD"/>
    <w:rsid w:val="00404DE9"/>
    <w:rsid w:val="0041370B"/>
    <w:rsid w:val="004156DF"/>
    <w:rsid w:val="00417947"/>
    <w:rsid w:val="0041794C"/>
    <w:rsid w:val="00422D46"/>
    <w:rsid w:val="00424CF2"/>
    <w:rsid w:val="00426BD4"/>
    <w:rsid w:val="00427F04"/>
    <w:rsid w:val="00427FCC"/>
    <w:rsid w:val="00432551"/>
    <w:rsid w:val="00433280"/>
    <w:rsid w:val="00434346"/>
    <w:rsid w:val="00437025"/>
    <w:rsid w:val="00441D88"/>
    <w:rsid w:val="00444C6A"/>
    <w:rsid w:val="0044590D"/>
    <w:rsid w:val="0045295C"/>
    <w:rsid w:val="00460B07"/>
    <w:rsid w:val="00464585"/>
    <w:rsid w:val="00472927"/>
    <w:rsid w:val="004768DF"/>
    <w:rsid w:val="00481778"/>
    <w:rsid w:val="00487A12"/>
    <w:rsid w:val="00487DA1"/>
    <w:rsid w:val="0049348E"/>
    <w:rsid w:val="00493640"/>
    <w:rsid w:val="00494942"/>
    <w:rsid w:val="004A4449"/>
    <w:rsid w:val="004B07D9"/>
    <w:rsid w:val="004B198B"/>
    <w:rsid w:val="004C1F52"/>
    <w:rsid w:val="004C2775"/>
    <w:rsid w:val="004C515D"/>
    <w:rsid w:val="004C5D96"/>
    <w:rsid w:val="004C74A0"/>
    <w:rsid w:val="004C7EB8"/>
    <w:rsid w:val="004D1E4D"/>
    <w:rsid w:val="004D39C9"/>
    <w:rsid w:val="004E0443"/>
    <w:rsid w:val="004E2C49"/>
    <w:rsid w:val="004E348B"/>
    <w:rsid w:val="004E34DC"/>
    <w:rsid w:val="004E7197"/>
    <w:rsid w:val="004F2892"/>
    <w:rsid w:val="004F703C"/>
    <w:rsid w:val="005003E7"/>
    <w:rsid w:val="00504BF3"/>
    <w:rsid w:val="005072F9"/>
    <w:rsid w:val="00513380"/>
    <w:rsid w:val="00513E37"/>
    <w:rsid w:val="00524870"/>
    <w:rsid w:val="00524B34"/>
    <w:rsid w:val="00525731"/>
    <w:rsid w:val="00532579"/>
    <w:rsid w:val="0054325C"/>
    <w:rsid w:val="00544EEF"/>
    <w:rsid w:val="00545373"/>
    <w:rsid w:val="00545EC0"/>
    <w:rsid w:val="00545EDE"/>
    <w:rsid w:val="005639C2"/>
    <w:rsid w:val="00574844"/>
    <w:rsid w:val="00575265"/>
    <w:rsid w:val="005817DD"/>
    <w:rsid w:val="00583389"/>
    <w:rsid w:val="00584BEE"/>
    <w:rsid w:val="005854DB"/>
    <w:rsid w:val="00590C8F"/>
    <w:rsid w:val="00595C48"/>
    <w:rsid w:val="005A08EC"/>
    <w:rsid w:val="005A17B4"/>
    <w:rsid w:val="005A2809"/>
    <w:rsid w:val="005A76A6"/>
    <w:rsid w:val="005C1612"/>
    <w:rsid w:val="005C5C10"/>
    <w:rsid w:val="005C7E63"/>
    <w:rsid w:val="005D2433"/>
    <w:rsid w:val="005D5524"/>
    <w:rsid w:val="005D71A7"/>
    <w:rsid w:val="005E0F41"/>
    <w:rsid w:val="005E35B0"/>
    <w:rsid w:val="005F0359"/>
    <w:rsid w:val="005F0425"/>
    <w:rsid w:val="005F0AFA"/>
    <w:rsid w:val="005F3CB3"/>
    <w:rsid w:val="006012A2"/>
    <w:rsid w:val="00603515"/>
    <w:rsid w:val="00606588"/>
    <w:rsid w:val="0061043A"/>
    <w:rsid w:val="00612BF4"/>
    <w:rsid w:val="00612CFC"/>
    <w:rsid w:val="0061311D"/>
    <w:rsid w:val="006159A6"/>
    <w:rsid w:val="006163FB"/>
    <w:rsid w:val="00617A5C"/>
    <w:rsid w:val="006210D5"/>
    <w:rsid w:val="006241F5"/>
    <w:rsid w:val="00626488"/>
    <w:rsid w:val="00626B3C"/>
    <w:rsid w:val="00626D28"/>
    <w:rsid w:val="006329FE"/>
    <w:rsid w:val="00633E3B"/>
    <w:rsid w:val="006355AB"/>
    <w:rsid w:val="006363A6"/>
    <w:rsid w:val="0063694C"/>
    <w:rsid w:val="00641873"/>
    <w:rsid w:val="0064351C"/>
    <w:rsid w:val="0064364C"/>
    <w:rsid w:val="0065373C"/>
    <w:rsid w:val="006575C7"/>
    <w:rsid w:val="006614BF"/>
    <w:rsid w:val="00667192"/>
    <w:rsid w:val="00667197"/>
    <w:rsid w:val="00667764"/>
    <w:rsid w:val="006762F8"/>
    <w:rsid w:val="00682CB6"/>
    <w:rsid w:val="00685F9D"/>
    <w:rsid w:val="00691D2F"/>
    <w:rsid w:val="00692C5A"/>
    <w:rsid w:val="00695B93"/>
    <w:rsid w:val="0069773B"/>
    <w:rsid w:val="006A00EE"/>
    <w:rsid w:val="006A22EA"/>
    <w:rsid w:val="006A5EA6"/>
    <w:rsid w:val="006A76B2"/>
    <w:rsid w:val="006B2225"/>
    <w:rsid w:val="006B486C"/>
    <w:rsid w:val="006B6485"/>
    <w:rsid w:val="006B6842"/>
    <w:rsid w:val="006B6F66"/>
    <w:rsid w:val="006C06C3"/>
    <w:rsid w:val="006C1F9B"/>
    <w:rsid w:val="006C647B"/>
    <w:rsid w:val="006D53B3"/>
    <w:rsid w:val="006D6449"/>
    <w:rsid w:val="006D74F9"/>
    <w:rsid w:val="006E02F2"/>
    <w:rsid w:val="006E7106"/>
    <w:rsid w:val="006F175C"/>
    <w:rsid w:val="00701B0E"/>
    <w:rsid w:val="007026D4"/>
    <w:rsid w:val="00707743"/>
    <w:rsid w:val="00710992"/>
    <w:rsid w:val="00711145"/>
    <w:rsid w:val="00713EC2"/>
    <w:rsid w:val="00723418"/>
    <w:rsid w:val="00723E5A"/>
    <w:rsid w:val="00736906"/>
    <w:rsid w:val="0073701E"/>
    <w:rsid w:val="00737110"/>
    <w:rsid w:val="00741B89"/>
    <w:rsid w:val="0074275E"/>
    <w:rsid w:val="00743DD4"/>
    <w:rsid w:val="00752DD6"/>
    <w:rsid w:val="007545F3"/>
    <w:rsid w:val="0075774B"/>
    <w:rsid w:val="007607A7"/>
    <w:rsid w:val="00763ABE"/>
    <w:rsid w:val="0076431E"/>
    <w:rsid w:val="00772E0A"/>
    <w:rsid w:val="00773CB8"/>
    <w:rsid w:val="00775F97"/>
    <w:rsid w:val="0077760C"/>
    <w:rsid w:val="00781A7E"/>
    <w:rsid w:val="007861AE"/>
    <w:rsid w:val="007902E0"/>
    <w:rsid w:val="00792610"/>
    <w:rsid w:val="00792CCF"/>
    <w:rsid w:val="00794DFB"/>
    <w:rsid w:val="00797D8A"/>
    <w:rsid w:val="007A18BD"/>
    <w:rsid w:val="007A32A6"/>
    <w:rsid w:val="007A6B55"/>
    <w:rsid w:val="007B170A"/>
    <w:rsid w:val="007B3547"/>
    <w:rsid w:val="007B41D3"/>
    <w:rsid w:val="007B45EB"/>
    <w:rsid w:val="007B5BCB"/>
    <w:rsid w:val="007B5E2E"/>
    <w:rsid w:val="007B6E7B"/>
    <w:rsid w:val="007C1E48"/>
    <w:rsid w:val="007C3017"/>
    <w:rsid w:val="007C38AE"/>
    <w:rsid w:val="007C4C35"/>
    <w:rsid w:val="007C7BF0"/>
    <w:rsid w:val="007D1BE6"/>
    <w:rsid w:val="007D653E"/>
    <w:rsid w:val="007D6B53"/>
    <w:rsid w:val="007D6C25"/>
    <w:rsid w:val="007D6ECD"/>
    <w:rsid w:val="007E434C"/>
    <w:rsid w:val="007E5505"/>
    <w:rsid w:val="007F275F"/>
    <w:rsid w:val="007F793A"/>
    <w:rsid w:val="00801C34"/>
    <w:rsid w:val="00802046"/>
    <w:rsid w:val="00802A12"/>
    <w:rsid w:val="00810AE9"/>
    <w:rsid w:val="008118B4"/>
    <w:rsid w:val="00812DBF"/>
    <w:rsid w:val="00813F4C"/>
    <w:rsid w:val="0081466B"/>
    <w:rsid w:val="00815430"/>
    <w:rsid w:val="0081707D"/>
    <w:rsid w:val="00820C80"/>
    <w:rsid w:val="00822EFC"/>
    <w:rsid w:val="008248C7"/>
    <w:rsid w:val="0084531E"/>
    <w:rsid w:val="0085371A"/>
    <w:rsid w:val="00854A90"/>
    <w:rsid w:val="00856635"/>
    <w:rsid w:val="008608C4"/>
    <w:rsid w:val="008660C6"/>
    <w:rsid w:val="00883578"/>
    <w:rsid w:val="00885B75"/>
    <w:rsid w:val="00886B6B"/>
    <w:rsid w:val="0089012D"/>
    <w:rsid w:val="00890672"/>
    <w:rsid w:val="00891798"/>
    <w:rsid w:val="00894114"/>
    <w:rsid w:val="0089450A"/>
    <w:rsid w:val="008A146B"/>
    <w:rsid w:val="008A28A8"/>
    <w:rsid w:val="008A41A6"/>
    <w:rsid w:val="008A65E8"/>
    <w:rsid w:val="008A77C4"/>
    <w:rsid w:val="008A77E5"/>
    <w:rsid w:val="008A7ED8"/>
    <w:rsid w:val="008B049D"/>
    <w:rsid w:val="008B41B3"/>
    <w:rsid w:val="008C5136"/>
    <w:rsid w:val="008C7A29"/>
    <w:rsid w:val="008D4B5F"/>
    <w:rsid w:val="008D4C16"/>
    <w:rsid w:val="008D58F1"/>
    <w:rsid w:val="008D67FC"/>
    <w:rsid w:val="008E43B4"/>
    <w:rsid w:val="008E46ED"/>
    <w:rsid w:val="008F258E"/>
    <w:rsid w:val="008F3734"/>
    <w:rsid w:val="008F7D50"/>
    <w:rsid w:val="00901973"/>
    <w:rsid w:val="00902771"/>
    <w:rsid w:val="009031A8"/>
    <w:rsid w:val="0090364B"/>
    <w:rsid w:val="00904E7E"/>
    <w:rsid w:val="0091292C"/>
    <w:rsid w:val="00921B08"/>
    <w:rsid w:val="009249E6"/>
    <w:rsid w:val="00925E6C"/>
    <w:rsid w:val="009340D0"/>
    <w:rsid w:val="0094143F"/>
    <w:rsid w:val="009422D6"/>
    <w:rsid w:val="0094600F"/>
    <w:rsid w:val="00950DB5"/>
    <w:rsid w:val="00951091"/>
    <w:rsid w:val="009521BA"/>
    <w:rsid w:val="00960993"/>
    <w:rsid w:val="009666C3"/>
    <w:rsid w:val="00982737"/>
    <w:rsid w:val="00983EB5"/>
    <w:rsid w:val="009847D3"/>
    <w:rsid w:val="00984E3A"/>
    <w:rsid w:val="009851E8"/>
    <w:rsid w:val="00987502"/>
    <w:rsid w:val="00992FE3"/>
    <w:rsid w:val="009949BD"/>
    <w:rsid w:val="0099583C"/>
    <w:rsid w:val="00997EC3"/>
    <w:rsid w:val="009A02E1"/>
    <w:rsid w:val="009A063C"/>
    <w:rsid w:val="009A14D8"/>
    <w:rsid w:val="009A35D9"/>
    <w:rsid w:val="009A40C7"/>
    <w:rsid w:val="009A4D35"/>
    <w:rsid w:val="009A731B"/>
    <w:rsid w:val="009B325E"/>
    <w:rsid w:val="009B6911"/>
    <w:rsid w:val="009D208A"/>
    <w:rsid w:val="009D41DD"/>
    <w:rsid w:val="009D4259"/>
    <w:rsid w:val="009D6F6B"/>
    <w:rsid w:val="009D7F88"/>
    <w:rsid w:val="009E0EF9"/>
    <w:rsid w:val="009E5572"/>
    <w:rsid w:val="009F3608"/>
    <w:rsid w:val="009F3856"/>
    <w:rsid w:val="009F5C67"/>
    <w:rsid w:val="00A0242E"/>
    <w:rsid w:val="00A0256B"/>
    <w:rsid w:val="00A03B31"/>
    <w:rsid w:val="00A04772"/>
    <w:rsid w:val="00A075F3"/>
    <w:rsid w:val="00A10723"/>
    <w:rsid w:val="00A1137A"/>
    <w:rsid w:val="00A1495A"/>
    <w:rsid w:val="00A20F4E"/>
    <w:rsid w:val="00A35F8A"/>
    <w:rsid w:val="00A41550"/>
    <w:rsid w:val="00A41BE8"/>
    <w:rsid w:val="00A45DC5"/>
    <w:rsid w:val="00A5319D"/>
    <w:rsid w:val="00A62595"/>
    <w:rsid w:val="00A670D8"/>
    <w:rsid w:val="00A73931"/>
    <w:rsid w:val="00A761EA"/>
    <w:rsid w:val="00A769E7"/>
    <w:rsid w:val="00A775AB"/>
    <w:rsid w:val="00A86DCA"/>
    <w:rsid w:val="00A90096"/>
    <w:rsid w:val="00A90702"/>
    <w:rsid w:val="00A92300"/>
    <w:rsid w:val="00A939F3"/>
    <w:rsid w:val="00A974E9"/>
    <w:rsid w:val="00A9778F"/>
    <w:rsid w:val="00AA0583"/>
    <w:rsid w:val="00AA5296"/>
    <w:rsid w:val="00AB275A"/>
    <w:rsid w:val="00AB4C92"/>
    <w:rsid w:val="00AB774D"/>
    <w:rsid w:val="00AD1DAF"/>
    <w:rsid w:val="00AD28B1"/>
    <w:rsid w:val="00AD2ECA"/>
    <w:rsid w:val="00AD4FEE"/>
    <w:rsid w:val="00AD5440"/>
    <w:rsid w:val="00AE3E44"/>
    <w:rsid w:val="00AE7E57"/>
    <w:rsid w:val="00AF77F8"/>
    <w:rsid w:val="00B007FF"/>
    <w:rsid w:val="00B02616"/>
    <w:rsid w:val="00B107C4"/>
    <w:rsid w:val="00B148EB"/>
    <w:rsid w:val="00B16C24"/>
    <w:rsid w:val="00B2079D"/>
    <w:rsid w:val="00B21659"/>
    <w:rsid w:val="00B223C2"/>
    <w:rsid w:val="00B345F4"/>
    <w:rsid w:val="00B34F2D"/>
    <w:rsid w:val="00B402B4"/>
    <w:rsid w:val="00B4158C"/>
    <w:rsid w:val="00B50A52"/>
    <w:rsid w:val="00B577A1"/>
    <w:rsid w:val="00B64D85"/>
    <w:rsid w:val="00B652DC"/>
    <w:rsid w:val="00B6650A"/>
    <w:rsid w:val="00B676E6"/>
    <w:rsid w:val="00B710A4"/>
    <w:rsid w:val="00B735A2"/>
    <w:rsid w:val="00B770FD"/>
    <w:rsid w:val="00B82EC4"/>
    <w:rsid w:val="00B85A36"/>
    <w:rsid w:val="00B87E45"/>
    <w:rsid w:val="00B90437"/>
    <w:rsid w:val="00B93F5E"/>
    <w:rsid w:val="00B953D7"/>
    <w:rsid w:val="00B95407"/>
    <w:rsid w:val="00BA079E"/>
    <w:rsid w:val="00BA201E"/>
    <w:rsid w:val="00BA7803"/>
    <w:rsid w:val="00BB378F"/>
    <w:rsid w:val="00BC17CD"/>
    <w:rsid w:val="00BC424A"/>
    <w:rsid w:val="00BC5CED"/>
    <w:rsid w:val="00BC5F1D"/>
    <w:rsid w:val="00BD0657"/>
    <w:rsid w:val="00BD32E8"/>
    <w:rsid w:val="00BE1473"/>
    <w:rsid w:val="00BE4242"/>
    <w:rsid w:val="00BF571E"/>
    <w:rsid w:val="00C06456"/>
    <w:rsid w:val="00C07EC9"/>
    <w:rsid w:val="00C265B0"/>
    <w:rsid w:val="00C26EDE"/>
    <w:rsid w:val="00C30EAC"/>
    <w:rsid w:val="00C31686"/>
    <w:rsid w:val="00C36373"/>
    <w:rsid w:val="00C40A67"/>
    <w:rsid w:val="00C41777"/>
    <w:rsid w:val="00C46131"/>
    <w:rsid w:val="00C47801"/>
    <w:rsid w:val="00C50D1E"/>
    <w:rsid w:val="00C510C9"/>
    <w:rsid w:val="00C5179B"/>
    <w:rsid w:val="00C526B0"/>
    <w:rsid w:val="00C623D1"/>
    <w:rsid w:val="00C75334"/>
    <w:rsid w:val="00C777B5"/>
    <w:rsid w:val="00C815B0"/>
    <w:rsid w:val="00C82E9C"/>
    <w:rsid w:val="00CA5B8D"/>
    <w:rsid w:val="00CB239C"/>
    <w:rsid w:val="00CC3FBF"/>
    <w:rsid w:val="00CC42DC"/>
    <w:rsid w:val="00CD462A"/>
    <w:rsid w:val="00CE63AD"/>
    <w:rsid w:val="00CE744E"/>
    <w:rsid w:val="00CF11BF"/>
    <w:rsid w:val="00CF1B3E"/>
    <w:rsid w:val="00CF42EC"/>
    <w:rsid w:val="00D00E2D"/>
    <w:rsid w:val="00D01EC4"/>
    <w:rsid w:val="00D01F40"/>
    <w:rsid w:val="00D064D4"/>
    <w:rsid w:val="00D135A0"/>
    <w:rsid w:val="00D14C00"/>
    <w:rsid w:val="00D21AA4"/>
    <w:rsid w:val="00D2634B"/>
    <w:rsid w:val="00D26977"/>
    <w:rsid w:val="00D32927"/>
    <w:rsid w:val="00D3542B"/>
    <w:rsid w:val="00D35C83"/>
    <w:rsid w:val="00D431A5"/>
    <w:rsid w:val="00D4381C"/>
    <w:rsid w:val="00D54390"/>
    <w:rsid w:val="00D54EDA"/>
    <w:rsid w:val="00D62A4D"/>
    <w:rsid w:val="00D630D1"/>
    <w:rsid w:val="00D67185"/>
    <w:rsid w:val="00D678F6"/>
    <w:rsid w:val="00D746DB"/>
    <w:rsid w:val="00D84680"/>
    <w:rsid w:val="00D93F43"/>
    <w:rsid w:val="00D97C32"/>
    <w:rsid w:val="00DA1F03"/>
    <w:rsid w:val="00DA3508"/>
    <w:rsid w:val="00DA4635"/>
    <w:rsid w:val="00DA532E"/>
    <w:rsid w:val="00DA6194"/>
    <w:rsid w:val="00DB0CD7"/>
    <w:rsid w:val="00DB71BC"/>
    <w:rsid w:val="00DC1E4D"/>
    <w:rsid w:val="00DC22F0"/>
    <w:rsid w:val="00DC3BF8"/>
    <w:rsid w:val="00DC583A"/>
    <w:rsid w:val="00DD4677"/>
    <w:rsid w:val="00DD4CCF"/>
    <w:rsid w:val="00DD70B3"/>
    <w:rsid w:val="00DE271F"/>
    <w:rsid w:val="00DE63F6"/>
    <w:rsid w:val="00DF5070"/>
    <w:rsid w:val="00E00D6E"/>
    <w:rsid w:val="00E05A46"/>
    <w:rsid w:val="00E0640F"/>
    <w:rsid w:val="00E10D0E"/>
    <w:rsid w:val="00E110D0"/>
    <w:rsid w:val="00E144C3"/>
    <w:rsid w:val="00E239A9"/>
    <w:rsid w:val="00E303DC"/>
    <w:rsid w:val="00E3165B"/>
    <w:rsid w:val="00E31DF6"/>
    <w:rsid w:val="00E32424"/>
    <w:rsid w:val="00E32F13"/>
    <w:rsid w:val="00E34F77"/>
    <w:rsid w:val="00E3553F"/>
    <w:rsid w:val="00E41CB2"/>
    <w:rsid w:val="00E43983"/>
    <w:rsid w:val="00E46097"/>
    <w:rsid w:val="00E46CED"/>
    <w:rsid w:val="00E506C6"/>
    <w:rsid w:val="00E575E4"/>
    <w:rsid w:val="00E61D3A"/>
    <w:rsid w:val="00E66301"/>
    <w:rsid w:val="00E84A05"/>
    <w:rsid w:val="00E851FE"/>
    <w:rsid w:val="00E85869"/>
    <w:rsid w:val="00E90A8C"/>
    <w:rsid w:val="00E92243"/>
    <w:rsid w:val="00EA410F"/>
    <w:rsid w:val="00EA7211"/>
    <w:rsid w:val="00EB279E"/>
    <w:rsid w:val="00EB658E"/>
    <w:rsid w:val="00EB731C"/>
    <w:rsid w:val="00EB7863"/>
    <w:rsid w:val="00EC45CE"/>
    <w:rsid w:val="00EC4667"/>
    <w:rsid w:val="00ED0421"/>
    <w:rsid w:val="00ED3722"/>
    <w:rsid w:val="00ED4437"/>
    <w:rsid w:val="00ED7F81"/>
    <w:rsid w:val="00EE51CB"/>
    <w:rsid w:val="00EE5681"/>
    <w:rsid w:val="00EF3E4A"/>
    <w:rsid w:val="00EF45EE"/>
    <w:rsid w:val="00EF7308"/>
    <w:rsid w:val="00F11221"/>
    <w:rsid w:val="00F16BA3"/>
    <w:rsid w:val="00F2251D"/>
    <w:rsid w:val="00F26F57"/>
    <w:rsid w:val="00F443A8"/>
    <w:rsid w:val="00F55EC5"/>
    <w:rsid w:val="00F56D07"/>
    <w:rsid w:val="00F56FC8"/>
    <w:rsid w:val="00F61ACC"/>
    <w:rsid w:val="00F61B66"/>
    <w:rsid w:val="00F6397A"/>
    <w:rsid w:val="00F63D22"/>
    <w:rsid w:val="00F66DB6"/>
    <w:rsid w:val="00F66F85"/>
    <w:rsid w:val="00F70EF9"/>
    <w:rsid w:val="00F72479"/>
    <w:rsid w:val="00F77D22"/>
    <w:rsid w:val="00F8148B"/>
    <w:rsid w:val="00F83189"/>
    <w:rsid w:val="00F85D82"/>
    <w:rsid w:val="00F91066"/>
    <w:rsid w:val="00F921B0"/>
    <w:rsid w:val="00F96E0F"/>
    <w:rsid w:val="00FA2ADD"/>
    <w:rsid w:val="00FA2E41"/>
    <w:rsid w:val="00FB11B2"/>
    <w:rsid w:val="00FB3872"/>
    <w:rsid w:val="00FB74ED"/>
    <w:rsid w:val="00FB7ED6"/>
    <w:rsid w:val="00FC1695"/>
    <w:rsid w:val="00FC6FB6"/>
    <w:rsid w:val="00FC7989"/>
    <w:rsid w:val="00FC7B23"/>
    <w:rsid w:val="00FD077F"/>
    <w:rsid w:val="00FD17F0"/>
    <w:rsid w:val="00FD3BB5"/>
    <w:rsid w:val="00FD680F"/>
    <w:rsid w:val="00FD7084"/>
    <w:rsid w:val="00FE270E"/>
    <w:rsid w:val="00FE3D40"/>
    <w:rsid w:val="00FE4832"/>
    <w:rsid w:val="00FF01A1"/>
    <w:rsid w:val="00FF41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CD4F45"/>
  <w15:chartTrackingRefBased/>
  <w15:docId w15:val="{533B83E5-FFA9-4112-978D-03FC44313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45B33"/>
    <w:pPr>
      <w:ind w:left="720"/>
      <w:contextualSpacing/>
    </w:pPr>
  </w:style>
  <w:style w:type="character" w:customStyle="1" w:styleId="ListParagraphChar">
    <w:name w:val="List Paragraph Char"/>
    <w:basedOn w:val="DefaultParagraphFont"/>
    <w:link w:val="ListParagraph"/>
    <w:uiPriority w:val="34"/>
    <w:locked/>
    <w:rsid w:val="00245B33"/>
  </w:style>
  <w:style w:type="character" w:styleId="Hyperlink">
    <w:name w:val="Hyperlink"/>
    <w:basedOn w:val="DefaultParagraphFont"/>
    <w:uiPriority w:val="99"/>
    <w:unhideWhenUsed/>
    <w:rsid w:val="00245B33"/>
    <w:rPr>
      <w:color w:val="0000FF"/>
      <w:u w:val="single"/>
    </w:rPr>
  </w:style>
  <w:style w:type="table" w:styleId="TableGrid">
    <w:name w:val="Table Grid"/>
    <w:basedOn w:val="TableNormal"/>
    <w:uiPriority w:val="39"/>
    <w:rsid w:val="008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69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6926"/>
  </w:style>
  <w:style w:type="paragraph" w:styleId="Footer">
    <w:name w:val="footer"/>
    <w:basedOn w:val="Normal"/>
    <w:link w:val="FooterChar"/>
    <w:uiPriority w:val="99"/>
    <w:unhideWhenUsed/>
    <w:rsid w:val="002F69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6926"/>
  </w:style>
  <w:style w:type="paragraph" w:styleId="NormalWeb">
    <w:name w:val="Normal (Web)"/>
    <w:basedOn w:val="Normal"/>
    <w:link w:val="NormalWebChar"/>
    <w:uiPriority w:val="99"/>
    <w:unhideWhenUsed/>
    <w:rsid w:val="009A731B"/>
    <w:pPr>
      <w:spacing w:before="100" w:beforeAutospacing="1" w:after="100" w:afterAutospacing="1" w:line="240" w:lineRule="auto"/>
      <w:jc w:val="both"/>
    </w:pPr>
    <w:rPr>
      <w:rFonts w:ascii="Times New Roman" w:eastAsia="Times New Roman" w:hAnsi="Times New Roman" w:cs="Times New Roman"/>
      <w:kern w:val="0"/>
      <w:sz w:val="24"/>
      <w:szCs w:val="24"/>
      <w:lang w:eastAsia="fr-FR"/>
      <w14:ligatures w14:val="none"/>
    </w:rPr>
  </w:style>
  <w:style w:type="character" w:customStyle="1" w:styleId="NormalWebChar">
    <w:name w:val="Normal (Web) Char"/>
    <w:link w:val="NormalWeb"/>
    <w:uiPriority w:val="99"/>
    <w:locked/>
    <w:rsid w:val="009A731B"/>
    <w:rPr>
      <w:rFonts w:ascii="Times New Roman" w:eastAsia="Times New Roman" w:hAnsi="Times New Roman" w:cs="Times New Roman"/>
      <w:kern w:val="0"/>
      <w:sz w:val="24"/>
      <w:szCs w:val="24"/>
      <w:lang w:eastAsia="fr-FR"/>
      <w14:ligatures w14:val="none"/>
    </w:rPr>
  </w:style>
  <w:style w:type="character" w:styleId="PlaceholderText">
    <w:name w:val="Placeholder Text"/>
    <w:basedOn w:val="DefaultParagraphFont"/>
    <w:uiPriority w:val="99"/>
    <w:semiHidden/>
    <w:rsid w:val="00583389"/>
    <w:rPr>
      <w:color w:val="666666"/>
    </w:rPr>
  </w:style>
  <w:style w:type="character" w:customStyle="1" w:styleId="fontstyle01">
    <w:name w:val="fontstyle01"/>
    <w:basedOn w:val="DefaultParagraphFont"/>
    <w:rsid w:val="006D53B3"/>
    <w:rPr>
      <w:rFonts w:ascii="CharisSIL" w:hAnsi="CharisSIL" w:hint="default"/>
      <w:b w:val="0"/>
      <w:bCs w:val="0"/>
      <w:i w:val="0"/>
      <w:iCs w:val="0"/>
      <w:color w:val="000000"/>
      <w:sz w:val="16"/>
      <w:szCs w:val="16"/>
    </w:rPr>
  </w:style>
  <w:style w:type="character" w:customStyle="1" w:styleId="fontstyle21">
    <w:name w:val="fontstyle21"/>
    <w:basedOn w:val="DefaultParagraphFont"/>
    <w:rsid w:val="006D53B3"/>
    <w:rPr>
      <w:rFonts w:ascii="TeX_CM_Maths_Symbols" w:hAnsi="TeX_CM_Maths_Symbols" w:hint="default"/>
      <w:b w:val="0"/>
      <w:bCs w:val="0"/>
      <w:i w:val="0"/>
      <w:iCs w:val="0"/>
      <w:color w:val="000000"/>
      <w:sz w:val="12"/>
      <w:szCs w:val="12"/>
    </w:rPr>
  </w:style>
  <w:style w:type="character" w:customStyle="1" w:styleId="fontstyle31">
    <w:name w:val="fontstyle31"/>
    <w:basedOn w:val="DefaultParagraphFont"/>
    <w:rsid w:val="006D53B3"/>
    <w:rPr>
      <w:rFonts w:ascii="CharisSIL-Bold" w:hAnsi="CharisSIL-Bold" w:hint="default"/>
      <w:b/>
      <w:bCs/>
      <w:i w:val="0"/>
      <w:iCs w:val="0"/>
      <w:color w:val="000000"/>
      <w:sz w:val="16"/>
      <w:szCs w:val="16"/>
    </w:rPr>
  </w:style>
  <w:style w:type="character" w:customStyle="1" w:styleId="fontstyle41">
    <w:name w:val="fontstyle41"/>
    <w:basedOn w:val="DefaultParagraphFont"/>
    <w:rsid w:val="006D53B3"/>
    <w:rPr>
      <w:rFonts w:ascii="TimesNewRomanPSMT" w:hAnsi="TimesNewRomanPSMT" w:hint="default"/>
      <w:b w:val="0"/>
      <w:bCs w:val="0"/>
      <w:i w:val="0"/>
      <w:iCs w:val="0"/>
      <w:color w:val="2196D1"/>
      <w:sz w:val="16"/>
      <w:szCs w:val="16"/>
    </w:rPr>
  </w:style>
  <w:style w:type="character" w:styleId="LineNumber">
    <w:name w:val="line number"/>
    <w:basedOn w:val="DefaultParagraphFont"/>
    <w:uiPriority w:val="99"/>
    <w:semiHidden/>
    <w:unhideWhenUsed/>
    <w:rsid w:val="0001071D"/>
  </w:style>
  <w:style w:type="character" w:styleId="UnresolvedMention">
    <w:name w:val="Unresolved Mention"/>
    <w:basedOn w:val="DefaultParagraphFont"/>
    <w:uiPriority w:val="99"/>
    <w:semiHidden/>
    <w:unhideWhenUsed/>
    <w:rsid w:val="00AD4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12129">
      <w:bodyDiv w:val="1"/>
      <w:marLeft w:val="0"/>
      <w:marRight w:val="0"/>
      <w:marTop w:val="0"/>
      <w:marBottom w:val="0"/>
      <w:divBdr>
        <w:top w:val="none" w:sz="0" w:space="0" w:color="auto"/>
        <w:left w:val="none" w:sz="0" w:space="0" w:color="auto"/>
        <w:bottom w:val="none" w:sz="0" w:space="0" w:color="auto"/>
        <w:right w:val="none" w:sz="0" w:space="0" w:color="auto"/>
      </w:divBdr>
    </w:div>
    <w:div w:id="9063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98157-4789-4C53-B7F5-3E4EE11DA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23</Pages>
  <Words>25784</Words>
  <Characters>146970</Characters>
  <Application>Microsoft Office Word</Application>
  <DocSecurity>0</DocSecurity>
  <Lines>1224</Lines>
  <Paragraphs>344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Arymel</dc:creator>
  <cp:keywords/>
  <dc:description/>
  <cp:lastModifiedBy>Editor-14</cp:lastModifiedBy>
  <cp:revision>110</cp:revision>
  <dcterms:created xsi:type="dcterms:W3CDTF">2025-02-01T16:17:00Z</dcterms:created>
  <dcterms:modified xsi:type="dcterms:W3CDTF">2025-02-20T05:50:00Z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http://www.zotero.org/styles/elsevier-vancouver-author-date</vt:lpwstr>
  </property>
  <property fmtid="{D5CDD505-2E9C-101B-9397-08002B2CF9AE}" pid="13" name="Mendeley Recent Style Name 5_1">
    <vt:lpwstr>Elsevier - Vancouver (author-date)</vt:lpwstr>
  </property>
  <property fmtid="{D5CDD505-2E9C-101B-9397-08002B2CF9AE}" pid="14" name="Mendeley Recent Style Id 6_1">
    <vt:lpwstr>http://www.zotero.org/styles/food-bioscience</vt:lpwstr>
  </property>
  <property fmtid="{D5CDD505-2E9C-101B-9397-08002B2CF9AE}" pid="15" name="Mendeley Recent Style Name 6_1">
    <vt:lpwstr>Food Bioscience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http://www.zotero.org/styles/south-african-journal-of-botany</vt:lpwstr>
  </property>
  <property fmtid="{D5CDD505-2E9C-101B-9397-08002B2CF9AE}" pid="19" name="Mendeley Recent Style Name 8_1">
    <vt:lpwstr>South African Journal of Botany</vt:lpwstr>
  </property>
  <property fmtid="{D5CDD505-2E9C-101B-9397-08002B2CF9AE}" pid="20" name="Mendeley Recent Style Id 9_1">
    <vt:lpwstr>http://www.zotero.org/styles/springer-vancouver</vt:lpwstr>
  </property>
  <property fmtid="{D5CDD505-2E9C-101B-9397-08002B2CF9AE}" pid="21" name="Mendeley Recent Style Name 9_1">
    <vt:lpwstr>Springer - Vancouver</vt:lpwstr>
  </property>
  <property fmtid="{D5CDD505-2E9C-101B-9397-08002B2CF9AE}" pid="22" name="Mendeley Document_1">
    <vt:lpwstr>True</vt:lpwstr>
  </property>
  <property fmtid="{D5CDD505-2E9C-101B-9397-08002B2CF9AE}" pid="23" name="Mendeley Unique User Id_1">
    <vt:lpwstr>f4a8946f-5915-3795-8045-c086df93df8b</vt:lpwstr>
  </property>
  <property fmtid="{D5CDD505-2E9C-101B-9397-08002B2CF9AE}" pid="24" name="Mendeley Citation Style_1">
    <vt:lpwstr>http://www.zotero.org/styles/apa</vt:lpwstr>
  </property>
</Properties>
</file>