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32D65" w14:textId="788435B4" w:rsidR="00A258C3" w:rsidRPr="0054404D" w:rsidRDefault="00A774A6" w:rsidP="00441B6F">
      <w:pPr>
        <w:pStyle w:val="Author"/>
        <w:spacing w:line="240" w:lineRule="auto"/>
        <w:jc w:val="both"/>
        <w:rPr>
          <w:rFonts w:ascii="Arial" w:hAnsi="Arial" w:cs="Arial"/>
          <w:sz w:val="36"/>
        </w:rPr>
      </w:pPr>
      <w:r w:rsidRPr="00770B46">
        <w:rPr>
          <w:rFonts w:ascii="Arial" w:hAnsi="Arial" w:cs="Arial"/>
          <w:sz w:val="36"/>
          <w:highlight w:val="yellow"/>
        </w:rPr>
        <w:t>Sociodemographic Factors and Risk Indicators for Functional Impairment in Elderly Patients in Primary Care Settings: A Cross-Sectional Study</w:t>
      </w:r>
    </w:p>
    <w:p w14:paraId="02347F4B" w14:textId="77777777" w:rsidR="00CA6FAB" w:rsidRPr="00A774A6" w:rsidRDefault="00CA6FAB" w:rsidP="00441B6F">
      <w:pPr>
        <w:pStyle w:val="Affiliation"/>
        <w:spacing w:after="0" w:line="240" w:lineRule="auto"/>
        <w:jc w:val="both"/>
        <w:rPr>
          <w:rFonts w:ascii="Arial" w:hAnsi="Arial" w:cs="Arial"/>
          <w:lang w:val="en-US"/>
        </w:rPr>
      </w:pPr>
    </w:p>
    <w:p w14:paraId="7655A45D" w14:textId="77777777" w:rsidR="00C05086" w:rsidRPr="00770B46" w:rsidRDefault="00C05086" w:rsidP="00441B6F">
      <w:pPr>
        <w:pStyle w:val="Affiliation"/>
        <w:spacing w:after="0" w:line="240" w:lineRule="auto"/>
        <w:jc w:val="both"/>
        <w:rPr>
          <w:rFonts w:ascii="Arial" w:hAnsi="Arial" w:cs="Arial"/>
          <w:lang w:val="es-MX"/>
        </w:rPr>
      </w:pPr>
    </w:p>
    <w:p w14:paraId="675B04BB" w14:textId="77777777" w:rsidR="00C05086" w:rsidRPr="00770B46" w:rsidRDefault="00C05086" w:rsidP="00441B6F">
      <w:pPr>
        <w:pStyle w:val="Affiliation"/>
        <w:spacing w:after="0" w:line="240" w:lineRule="auto"/>
        <w:jc w:val="both"/>
        <w:rPr>
          <w:rFonts w:ascii="Arial" w:hAnsi="Arial" w:cs="Arial"/>
          <w:lang w:val="es-MX"/>
        </w:rPr>
      </w:pPr>
    </w:p>
    <w:p w14:paraId="4789A3E2" w14:textId="68A087C7" w:rsidR="00B01FCD" w:rsidRPr="007B7932" w:rsidRDefault="00DA76F5" w:rsidP="00441B6F">
      <w:pPr>
        <w:pStyle w:val="Copyright"/>
        <w:spacing w:after="0" w:line="240" w:lineRule="auto"/>
        <w:jc w:val="both"/>
        <w:rPr>
          <w:rFonts w:ascii="Arial" w:hAnsi="Arial" w:cs="Arial"/>
          <w:lang w:val="es-MX"/>
        </w:rPr>
        <w:sectPr w:rsidR="00B01FCD" w:rsidRPr="007B7932" w:rsidSect="006A7D6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54404D">
        <w:rPr>
          <w:rFonts w:ascii="Arial" w:hAnsi="Arial" w:cs="Arial"/>
          <w:noProof/>
          <w:lang w:val="es-MX" w:eastAsia="es-MX"/>
        </w:rPr>
        <mc:AlternateContent>
          <mc:Choice Requires="wps">
            <w:drawing>
              <wp:inline distT="0" distB="0" distL="0" distR="0" wp14:anchorId="2E04302C" wp14:editId="438F3993">
                <wp:extent cx="5303520" cy="635"/>
                <wp:effectExtent l="13335" t="18415" r="17145" b="10160"/>
                <wp:docPr id="17957601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8C75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7B7932">
        <w:rPr>
          <w:rFonts w:ascii="Arial" w:hAnsi="Arial" w:cs="Arial"/>
          <w:lang w:val="es-MX"/>
        </w:rPr>
        <w:t>.</w:t>
      </w:r>
    </w:p>
    <w:p w14:paraId="0660E80D" w14:textId="416D9C49" w:rsidR="00B01FCD" w:rsidRPr="007B7932" w:rsidRDefault="00B01FCD" w:rsidP="00441B6F">
      <w:pPr>
        <w:pStyle w:val="AbstHead"/>
        <w:spacing w:after="0"/>
        <w:jc w:val="both"/>
        <w:rPr>
          <w:rFonts w:ascii="Arial" w:hAnsi="Arial" w:cs="Arial"/>
          <w:lang w:val="es-MX"/>
        </w:rPr>
      </w:pPr>
      <w:r w:rsidRPr="007B7932">
        <w:rPr>
          <w:rFonts w:ascii="Arial" w:hAnsi="Arial" w:cs="Arial"/>
          <w:lang w:val="es-MX"/>
        </w:rPr>
        <w:t>ABSTRACT</w:t>
      </w:r>
    </w:p>
    <w:p w14:paraId="4EB2F11F" w14:textId="77777777" w:rsidR="00790ADA" w:rsidRPr="007B7932" w:rsidRDefault="00790ADA" w:rsidP="00441B6F">
      <w:pPr>
        <w:pStyle w:val="AbstHead"/>
        <w:spacing w:after="0"/>
        <w:jc w:val="both"/>
        <w:rPr>
          <w:rFonts w:ascii="Arial" w:hAnsi="Arial" w:cs="Arial"/>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54404D" w14:paraId="2AFDD217" w14:textId="77777777" w:rsidTr="001E44FE">
        <w:tc>
          <w:tcPr>
            <w:tcW w:w="9576" w:type="dxa"/>
            <w:shd w:val="clear" w:color="auto" w:fill="F2F2F2"/>
          </w:tcPr>
          <w:p w14:paraId="617E0140" w14:textId="248AF262" w:rsidR="00BA1B01" w:rsidRPr="0054404D" w:rsidRDefault="00BA1B01" w:rsidP="00441B6F">
            <w:pPr>
              <w:pStyle w:val="Body"/>
              <w:spacing w:after="0"/>
              <w:rPr>
                <w:rFonts w:ascii="Arial" w:eastAsia="Calibri" w:hAnsi="Arial" w:cs="Arial"/>
                <w:szCs w:val="22"/>
              </w:rPr>
            </w:pPr>
            <w:r w:rsidRPr="0054404D">
              <w:rPr>
                <w:rFonts w:ascii="Arial" w:eastAsia="Calibri" w:hAnsi="Arial" w:cs="Arial"/>
                <w:b/>
                <w:szCs w:val="22"/>
              </w:rPr>
              <w:t xml:space="preserve">Aims: </w:t>
            </w:r>
            <w:r w:rsidR="00A6546E" w:rsidRPr="00A6546E">
              <w:rPr>
                <w:rFonts w:ascii="Arial" w:eastAsia="Calibri" w:hAnsi="Arial" w:cs="Arial"/>
                <w:szCs w:val="22"/>
              </w:rPr>
              <w:t xml:space="preserve">To </w:t>
            </w:r>
            <w:r w:rsidR="00EF18C2" w:rsidRPr="00EF18C2">
              <w:rPr>
                <w:rFonts w:ascii="Arial" w:eastAsia="Calibri" w:hAnsi="Arial" w:cs="Arial"/>
                <w:szCs w:val="22"/>
              </w:rPr>
              <w:t>identify and describe sociodemographic characteristics of elderly subjects with functional impairment and their associated factors.</w:t>
            </w:r>
          </w:p>
          <w:p w14:paraId="5F19ABF7" w14:textId="12234E6D" w:rsidR="00EF18C2" w:rsidRDefault="00BA1B01" w:rsidP="00EF18C2">
            <w:pPr>
              <w:pStyle w:val="Body"/>
              <w:spacing w:after="0"/>
              <w:rPr>
                <w:rFonts w:ascii="Arial" w:eastAsia="Calibri" w:hAnsi="Arial" w:cs="Arial"/>
                <w:szCs w:val="22"/>
              </w:rPr>
            </w:pPr>
            <w:r w:rsidRPr="0054404D">
              <w:rPr>
                <w:rFonts w:ascii="Arial" w:eastAsia="Calibri" w:hAnsi="Arial" w:cs="Arial"/>
                <w:b/>
                <w:szCs w:val="22"/>
              </w:rPr>
              <w:t>Study design:</w:t>
            </w:r>
            <w:r w:rsidRPr="0054404D">
              <w:rPr>
                <w:rFonts w:ascii="Arial" w:eastAsia="Calibri" w:hAnsi="Arial" w:cs="Arial"/>
                <w:szCs w:val="22"/>
              </w:rPr>
              <w:t xml:space="preserve">  </w:t>
            </w:r>
            <w:r w:rsidR="00BC1EFA">
              <w:rPr>
                <w:rFonts w:ascii="Arial" w:eastAsia="Calibri" w:hAnsi="Arial" w:cs="Arial"/>
                <w:szCs w:val="22"/>
              </w:rPr>
              <w:t xml:space="preserve">it was designed a </w:t>
            </w:r>
            <w:r w:rsidR="00EF18C2" w:rsidRPr="00EF18C2">
              <w:rPr>
                <w:rFonts w:ascii="Arial" w:eastAsia="Calibri" w:hAnsi="Arial" w:cs="Arial"/>
                <w:szCs w:val="22"/>
              </w:rPr>
              <w:t xml:space="preserve">descriptive, </w:t>
            </w:r>
            <w:r w:rsidR="00DB654C" w:rsidRPr="00DB654C">
              <w:rPr>
                <w:rFonts w:ascii="Arial" w:eastAsia="Calibri" w:hAnsi="Arial" w:cs="Arial"/>
                <w:szCs w:val="22"/>
                <w:highlight w:val="yellow"/>
              </w:rPr>
              <w:t xml:space="preserve">and </w:t>
            </w:r>
            <w:r w:rsidR="00EF18C2" w:rsidRPr="00DB654C">
              <w:rPr>
                <w:rFonts w:ascii="Arial" w:eastAsia="Calibri" w:hAnsi="Arial" w:cs="Arial"/>
                <w:szCs w:val="22"/>
                <w:highlight w:val="yellow"/>
              </w:rPr>
              <w:t>cross-sectional study</w:t>
            </w:r>
            <w:r w:rsidR="00EF18C2" w:rsidRPr="00EF18C2">
              <w:rPr>
                <w:rFonts w:ascii="Arial" w:eastAsia="Calibri" w:hAnsi="Arial" w:cs="Arial"/>
                <w:szCs w:val="22"/>
              </w:rPr>
              <w:t xml:space="preserve"> with an </w:t>
            </w:r>
            <w:r w:rsidR="00BC1EFA">
              <w:rPr>
                <w:rFonts w:ascii="Arial" w:eastAsia="Calibri" w:hAnsi="Arial" w:cs="Arial"/>
                <w:szCs w:val="22"/>
              </w:rPr>
              <w:t>analytical approach.</w:t>
            </w:r>
          </w:p>
          <w:p w14:paraId="50241569" w14:textId="77777777" w:rsidR="00EF18C2" w:rsidRDefault="00BA1B01" w:rsidP="00EF18C2">
            <w:pPr>
              <w:pStyle w:val="Body"/>
              <w:spacing w:after="0"/>
              <w:rPr>
                <w:rFonts w:ascii="Arial" w:eastAsia="Calibri" w:hAnsi="Arial" w:cs="Arial"/>
                <w:szCs w:val="22"/>
              </w:rPr>
            </w:pPr>
            <w:r w:rsidRPr="0054404D">
              <w:rPr>
                <w:rFonts w:ascii="Arial" w:eastAsia="Calibri" w:hAnsi="Arial" w:cs="Arial"/>
                <w:b/>
                <w:szCs w:val="22"/>
              </w:rPr>
              <w:t>Place and Duration of Study:</w:t>
            </w:r>
            <w:r w:rsidRPr="0054404D">
              <w:rPr>
                <w:rFonts w:ascii="Arial" w:eastAsia="Calibri" w:hAnsi="Arial" w:cs="Arial"/>
                <w:szCs w:val="22"/>
              </w:rPr>
              <w:t xml:space="preserve"> </w:t>
            </w:r>
          </w:p>
          <w:p w14:paraId="186FA815" w14:textId="465FD999" w:rsidR="00BA1B01" w:rsidRPr="0054404D" w:rsidRDefault="001F2314" w:rsidP="00EF18C2">
            <w:pPr>
              <w:pStyle w:val="Body"/>
              <w:spacing w:after="0"/>
              <w:rPr>
                <w:rFonts w:ascii="Arial" w:eastAsia="Calibri" w:hAnsi="Arial" w:cs="Arial"/>
                <w:szCs w:val="22"/>
              </w:rPr>
            </w:pPr>
            <w:r w:rsidRPr="001F2314">
              <w:rPr>
                <w:rFonts w:ascii="Arial" w:eastAsia="Calibri" w:hAnsi="Arial" w:cs="Arial"/>
                <w:szCs w:val="22"/>
              </w:rPr>
              <w:t xml:space="preserve">Ambulatory Care Medical Unit. The study was conducted </w:t>
            </w:r>
            <w:r w:rsidR="00BC1EFA">
              <w:rPr>
                <w:rFonts w:ascii="Arial" w:eastAsia="Calibri" w:hAnsi="Arial" w:cs="Arial"/>
                <w:szCs w:val="22"/>
              </w:rPr>
              <w:t xml:space="preserve">from </w:t>
            </w:r>
            <w:r w:rsidR="00EF18C2">
              <w:rPr>
                <w:rFonts w:ascii="Arial" w:eastAsia="Calibri" w:hAnsi="Arial" w:cs="Arial"/>
                <w:szCs w:val="22"/>
              </w:rPr>
              <w:t>July</w:t>
            </w:r>
            <w:r w:rsidR="009D6997" w:rsidRPr="009D6997">
              <w:rPr>
                <w:rFonts w:ascii="Arial" w:eastAsia="Calibri" w:hAnsi="Arial" w:cs="Arial"/>
                <w:szCs w:val="22"/>
              </w:rPr>
              <w:t xml:space="preserve"> 1st to December 31st, 2024</w:t>
            </w:r>
            <w:r w:rsidRPr="001F2314">
              <w:rPr>
                <w:rFonts w:ascii="Arial" w:eastAsia="Calibri" w:hAnsi="Arial" w:cs="Arial"/>
                <w:szCs w:val="22"/>
              </w:rPr>
              <w:t xml:space="preserve">, with </w:t>
            </w:r>
            <w:r w:rsidR="00EF18C2" w:rsidRPr="00EF18C2">
              <w:rPr>
                <w:rFonts w:ascii="Arial" w:eastAsia="Calibri" w:hAnsi="Arial" w:cs="Arial"/>
                <w:szCs w:val="22"/>
              </w:rPr>
              <w:t>Mexican elderly patients who attended outpatient consultations in the Family Medicine Specialty and General Medicine departments</w:t>
            </w:r>
            <w:r w:rsidR="009D6997" w:rsidRPr="009D6997">
              <w:rPr>
                <w:rFonts w:ascii="Arial" w:eastAsia="Calibri" w:hAnsi="Arial" w:cs="Arial"/>
                <w:szCs w:val="22"/>
              </w:rPr>
              <w:t xml:space="preserve"> at the "División del Norte" Family Medicine Clinic, ISSSTE, in Mexico City, Mexico</w:t>
            </w:r>
            <w:r w:rsidR="009D6997">
              <w:rPr>
                <w:rFonts w:ascii="Arial" w:eastAsia="Calibri" w:hAnsi="Arial" w:cs="Arial"/>
                <w:szCs w:val="22"/>
              </w:rPr>
              <w:t xml:space="preserve">. </w:t>
            </w:r>
            <w:r w:rsidR="00EF18C2" w:rsidRPr="00EF18C2">
              <w:rPr>
                <w:rFonts w:ascii="Arial" w:eastAsia="Calibri" w:hAnsi="Arial" w:cs="Arial"/>
                <w:szCs w:val="22"/>
              </w:rPr>
              <w:t xml:space="preserve">The data was </w:t>
            </w:r>
            <w:r w:rsidR="00BC1EFA">
              <w:rPr>
                <w:rFonts w:ascii="Arial" w:eastAsia="Calibri" w:hAnsi="Arial" w:cs="Arial"/>
                <w:szCs w:val="22"/>
              </w:rPr>
              <w:t>collected from</w:t>
            </w:r>
            <w:r w:rsidR="00EF18C2" w:rsidRPr="00EF18C2">
              <w:rPr>
                <w:rFonts w:ascii="Arial" w:eastAsia="Calibri" w:hAnsi="Arial" w:cs="Arial"/>
                <w:szCs w:val="22"/>
              </w:rPr>
              <w:t xml:space="preserve"> October to December, 2024.</w:t>
            </w:r>
          </w:p>
          <w:p w14:paraId="0E8FDE56" w14:textId="0C46C37D" w:rsidR="00BA1B01" w:rsidRPr="0054404D" w:rsidRDefault="00BA1B01" w:rsidP="00441B6F">
            <w:pPr>
              <w:pStyle w:val="Body"/>
              <w:spacing w:after="0"/>
              <w:rPr>
                <w:rFonts w:ascii="Arial" w:eastAsia="Calibri" w:hAnsi="Arial" w:cs="Arial"/>
                <w:szCs w:val="22"/>
              </w:rPr>
            </w:pPr>
            <w:r w:rsidRPr="0054404D">
              <w:rPr>
                <w:rFonts w:ascii="Arial" w:eastAsia="Calibri" w:hAnsi="Arial" w:cs="Arial"/>
                <w:b/>
                <w:bCs/>
                <w:szCs w:val="22"/>
              </w:rPr>
              <w:t>Methodology:</w:t>
            </w:r>
            <w:r w:rsidRPr="0054404D">
              <w:rPr>
                <w:rFonts w:ascii="Arial" w:eastAsia="Calibri" w:hAnsi="Arial" w:cs="Arial"/>
                <w:szCs w:val="22"/>
              </w:rPr>
              <w:t xml:space="preserve"> </w:t>
            </w:r>
            <w:r w:rsidR="00BC1EFA">
              <w:rPr>
                <w:rFonts w:ascii="Arial" w:eastAsia="Calibri" w:hAnsi="Arial" w:cs="Arial"/>
                <w:szCs w:val="22"/>
              </w:rPr>
              <w:t>the d</w:t>
            </w:r>
            <w:r w:rsidR="00EF18C2" w:rsidRPr="00EF18C2">
              <w:rPr>
                <w:rFonts w:ascii="Arial" w:eastAsia="Calibri" w:hAnsi="Arial" w:cs="Arial"/>
                <w:szCs w:val="22"/>
              </w:rPr>
              <w:t xml:space="preserve">ata collection was conducted using six questionnaires: 1) a sociodemographic factors questionnaire, 2) the AMAI questionnaire, 3) the Barthel Index for Activities of Daily Living, 4) the Katz Index </w:t>
            </w:r>
            <w:r w:rsidR="00356F8A" w:rsidRPr="00356F8A">
              <w:rPr>
                <w:rFonts w:ascii="Arial" w:eastAsia="Calibri" w:hAnsi="Arial" w:cs="Arial"/>
                <w:szCs w:val="22"/>
              </w:rPr>
              <w:t>for Activities of Daily Living</w:t>
            </w:r>
            <w:r w:rsidR="00EF18C2" w:rsidRPr="00EF18C2">
              <w:rPr>
                <w:rFonts w:ascii="Arial" w:eastAsia="Calibri" w:hAnsi="Arial" w:cs="Arial"/>
                <w:szCs w:val="22"/>
              </w:rPr>
              <w:t xml:space="preserve">, 5) the Lawton and Brody </w:t>
            </w:r>
            <w:proofErr w:type="gramStart"/>
            <w:r w:rsidR="00EF18C2" w:rsidRPr="00EF18C2">
              <w:rPr>
                <w:rFonts w:ascii="Arial" w:eastAsia="Calibri" w:hAnsi="Arial" w:cs="Arial"/>
                <w:szCs w:val="22"/>
              </w:rPr>
              <w:t>for  Activities</w:t>
            </w:r>
            <w:proofErr w:type="gramEnd"/>
            <w:r w:rsidR="00EF18C2" w:rsidRPr="00EF18C2">
              <w:rPr>
                <w:rFonts w:ascii="Arial" w:eastAsia="Calibri" w:hAnsi="Arial" w:cs="Arial"/>
                <w:szCs w:val="22"/>
              </w:rPr>
              <w:t xml:space="preserve"> of Daily Living Scale, and 6) the Geriatric Depression Scale of </w:t>
            </w:r>
            <w:proofErr w:type="spellStart"/>
            <w:r w:rsidR="00EF18C2" w:rsidRPr="00EF18C2">
              <w:rPr>
                <w:rFonts w:ascii="Arial" w:eastAsia="Calibri" w:hAnsi="Arial" w:cs="Arial"/>
                <w:szCs w:val="22"/>
              </w:rPr>
              <w:t>Yesavage</w:t>
            </w:r>
            <w:proofErr w:type="spellEnd"/>
            <w:r w:rsidR="00EF18C2" w:rsidRPr="00EF18C2">
              <w:rPr>
                <w:rFonts w:ascii="Arial" w:eastAsia="Calibri" w:hAnsi="Arial" w:cs="Arial"/>
                <w:szCs w:val="22"/>
              </w:rPr>
              <w:t>.</w:t>
            </w:r>
            <w:r w:rsidR="00F90D55">
              <w:t xml:space="preserve"> </w:t>
            </w:r>
            <w:r w:rsidR="00F90D55" w:rsidRPr="00F90D55">
              <w:rPr>
                <w:highlight w:val="yellow"/>
              </w:rPr>
              <w:t>T</w:t>
            </w:r>
            <w:r w:rsidR="00F90D55" w:rsidRPr="00F90D55">
              <w:rPr>
                <w:rFonts w:ascii="Arial" w:eastAsia="Calibri" w:hAnsi="Arial" w:cs="Arial"/>
                <w:szCs w:val="22"/>
                <w:highlight w:val="yellow"/>
              </w:rPr>
              <w:t>he questionnaires were interviewer-</w:t>
            </w:r>
            <w:r w:rsidR="00F90D55" w:rsidRPr="00D555DF">
              <w:rPr>
                <w:rFonts w:ascii="Arial" w:eastAsia="Calibri" w:hAnsi="Arial" w:cs="Arial"/>
                <w:szCs w:val="22"/>
                <w:highlight w:val="yellow"/>
              </w:rPr>
              <w:t>administered.</w:t>
            </w:r>
            <w:r w:rsidR="00567338" w:rsidRPr="00D555DF">
              <w:rPr>
                <w:highlight w:val="yellow"/>
              </w:rPr>
              <w:t xml:space="preserve"> </w:t>
            </w:r>
            <w:r w:rsidR="00567338" w:rsidRPr="00D555DF">
              <w:rPr>
                <w:rFonts w:ascii="Arial" w:eastAsia="Calibri" w:hAnsi="Arial" w:cs="Arial"/>
                <w:szCs w:val="22"/>
                <w:highlight w:val="yellow"/>
              </w:rPr>
              <w:t xml:space="preserve">The </w:t>
            </w:r>
            <w:r w:rsidR="00567338" w:rsidRPr="00567338">
              <w:rPr>
                <w:rFonts w:ascii="Arial" w:eastAsia="Calibri" w:hAnsi="Arial" w:cs="Arial"/>
                <w:szCs w:val="22"/>
                <w:highlight w:val="yellow"/>
              </w:rPr>
              <w:t>protocol was approved by two committees</w:t>
            </w:r>
            <w:r w:rsidR="00BF6E5F">
              <w:rPr>
                <w:rFonts w:ascii="Arial" w:eastAsia="Calibri" w:hAnsi="Arial" w:cs="Arial"/>
                <w:szCs w:val="22"/>
                <w:highlight w:val="yellow"/>
              </w:rPr>
              <w:t xml:space="preserve"> (</w:t>
            </w:r>
            <w:r w:rsidR="00567338" w:rsidRPr="00567338">
              <w:rPr>
                <w:rFonts w:ascii="Arial" w:eastAsia="Calibri" w:hAnsi="Arial" w:cs="Arial"/>
                <w:szCs w:val="22"/>
                <w:highlight w:val="yellow"/>
              </w:rPr>
              <w:t>The Research Committee and the Ethics Committee in Research of the Family Medicine Clinic "División del Norte</w:t>
            </w:r>
            <w:r w:rsidR="00567338" w:rsidRPr="00BF6E5F">
              <w:rPr>
                <w:rFonts w:ascii="Arial" w:eastAsia="Calibri" w:hAnsi="Arial" w:cs="Arial"/>
                <w:szCs w:val="22"/>
                <w:highlight w:val="yellow"/>
              </w:rPr>
              <w:t>"</w:t>
            </w:r>
            <w:r w:rsidR="00BF6E5F" w:rsidRPr="00BF6E5F">
              <w:rPr>
                <w:rFonts w:ascii="Arial" w:eastAsia="Calibri" w:hAnsi="Arial" w:cs="Arial"/>
                <w:szCs w:val="22"/>
                <w:highlight w:val="yellow"/>
              </w:rPr>
              <w:t>)</w:t>
            </w:r>
            <w:r w:rsidR="00567338" w:rsidRPr="00BF6E5F">
              <w:rPr>
                <w:rFonts w:ascii="Arial" w:eastAsia="Calibri" w:hAnsi="Arial" w:cs="Arial"/>
                <w:szCs w:val="22"/>
                <w:highlight w:val="yellow"/>
              </w:rPr>
              <w:t>.</w:t>
            </w:r>
            <w:r w:rsidR="00BF6E5F" w:rsidRPr="00BF6E5F">
              <w:rPr>
                <w:rFonts w:ascii="Arial" w:eastAsia="Calibri" w:hAnsi="Arial" w:cs="Arial"/>
                <w:szCs w:val="22"/>
                <w:highlight w:val="yellow"/>
              </w:rPr>
              <w:t xml:space="preserve"> All participants sign</w:t>
            </w:r>
            <w:r w:rsidR="00BC1EFA">
              <w:rPr>
                <w:rFonts w:ascii="Arial" w:eastAsia="Calibri" w:hAnsi="Arial" w:cs="Arial"/>
                <w:szCs w:val="22"/>
                <w:highlight w:val="yellow"/>
              </w:rPr>
              <w:t>ed</w:t>
            </w:r>
            <w:r w:rsidR="00BF6E5F" w:rsidRPr="00BF6E5F">
              <w:rPr>
                <w:rFonts w:ascii="Arial" w:eastAsia="Calibri" w:hAnsi="Arial" w:cs="Arial"/>
                <w:szCs w:val="22"/>
                <w:highlight w:val="yellow"/>
              </w:rPr>
              <w:t xml:space="preserve"> the informed consent form.</w:t>
            </w:r>
          </w:p>
          <w:p w14:paraId="0862F847" w14:textId="426AE11E" w:rsidR="006633EF" w:rsidRDefault="00BA1B01" w:rsidP="00290AF0">
            <w:pPr>
              <w:pStyle w:val="Body"/>
              <w:spacing w:after="0"/>
              <w:rPr>
                <w:rFonts w:ascii="Arial" w:eastAsia="Calibri" w:hAnsi="Arial" w:cs="Arial"/>
                <w:szCs w:val="22"/>
              </w:rPr>
            </w:pPr>
            <w:r w:rsidRPr="0054404D">
              <w:rPr>
                <w:rFonts w:ascii="Arial" w:eastAsia="Calibri" w:hAnsi="Arial" w:cs="Arial"/>
                <w:b/>
                <w:bCs/>
                <w:szCs w:val="22"/>
              </w:rPr>
              <w:t>Results:</w:t>
            </w:r>
            <w:r w:rsidRPr="0054404D">
              <w:rPr>
                <w:rFonts w:ascii="Arial" w:eastAsia="Calibri" w:hAnsi="Arial" w:cs="Arial"/>
                <w:szCs w:val="22"/>
              </w:rPr>
              <w:t xml:space="preserve"> </w:t>
            </w:r>
            <w:r w:rsidR="00CC0047" w:rsidRPr="00CC0047">
              <w:rPr>
                <w:rFonts w:ascii="Arial" w:eastAsia="Calibri" w:hAnsi="Arial" w:cs="Arial"/>
                <w:szCs w:val="22"/>
              </w:rPr>
              <w:t xml:space="preserve">We included </w:t>
            </w:r>
            <w:r w:rsidR="00355C58">
              <w:rPr>
                <w:rFonts w:ascii="Arial" w:eastAsia="Calibri" w:hAnsi="Arial" w:cs="Arial"/>
                <w:szCs w:val="22"/>
              </w:rPr>
              <w:t>55</w:t>
            </w:r>
            <w:r w:rsidR="009D6997">
              <w:rPr>
                <w:rFonts w:ascii="Arial" w:eastAsia="Calibri" w:hAnsi="Arial" w:cs="Arial"/>
                <w:szCs w:val="22"/>
              </w:rPr>
              <w:t xml:space="preserve"> </w:t>
            </w:r>
            <w:r w:rsidR="00CC0047" w:rsidRPr="00290AF0">
              <w:rPr>
                <w:rFonts w:ascii="Arial" w:eastAsia="Calibri" w:hAnsi="Arial" w:cs="Arial"/>
                <w:szCs w:val="22"/>
              </w:rPr>
              <w:t xml:space="preserve">patients, mainly </w:t>
            </w:r>
            <w:r w:rsidR="00355C58">
              <w:rPr>
                <w:rFonts w:ascii="Arial" w:eastAsia="Calibri" w:hAnsi="Arial" w:cs="Arial"/>
                <w:szCs w:val="22"/>
              </w:rPr>
              <w:t>females</w:t>
            </w:r>
            <w:r w:rsidR="00290AF0" w:rsidRPr="00290AF0">
              <w:rPr>
                <w:rFonts w:ascii="Arial" w:eastAsia="Calibri" w:hAnsi="Arial" w:cs="Arial"/>
                <w:szCs w:val="22"/>
              </w:rPr>
              <w:t xml:space="preserve"> (5</w:t>
            </w:r>
            <w:r w:rsidR="00355C58">
              <w:rPr>
                <w:rFonts w:ascii="Arial" w:eastAsia="Calibri" w:hAnsi="Arial" w:cs="Arial"/>
                <w:szCs w:val="22"/>
              </w:rPr>
              <w:t>8</w:t>
            </w:r>
            <w:r w:rsidR="00290AF0" w:rsidRPr="00290AF0">
              <w:rPr>
                <w:rFonts w:ascii="Arial" w:eastAsia="Calibri" w:hAnsi="Arial" w:cs="Arial"/>
                <w:szCs w:val="22"/>
              </w:rPr>
              <w:t>.</w:t>
            </w:r>
            <w:r w:rsidR="00355C58">
              <w:rPr>
                <w:rFonts w:ascii="Arial" w:eastAsia="Calibri" w:hAnsi="Arial" w:cs="Arial"/>
                <w:szCs w:val="22"/>
              </w:rPr>
              <w:t>2</w:t>
            </w:r>
            <w:r w:rsidR="00290AF0" w:rsidRPr="00290AF0">
              <w:rPr>
                <w:rFonts w:ascii="Arial" w:eastAsia="Calibri" w:hAnsi="Arial" w:cs="Arial"/>
                <w:szCs w:val="22"/>
              </w:rPr>
              <w:t>%)</w:t>
            </w:r>
            <w:r w:rsidR="00CC0047" w:rsidRPr="00290AF0">
              <w:rPr>
                <w:rFonts w:ascii="Arial" w:eastAsia="Calibri" w:hAnsi="Arial" w:cs="Arial"/>
                <w:szCs w:val="22"/>
              </w:rPr>
              <w:t xml:space="preserve">. </w:t>
            </w:r>
            <w:r w:rsidR="00355C58" w:rsidRPr="00355C58">
              <w:rPr>
                <w:rFonts w:ascii="Arial" w:eastAsia="Calibri" w:hAnsi="Arial" w:cs="Arial"/>
                <w:szCs w:val="22"/>
              </w:rPr>
              <w:t>The median age was higher in female patients (76.0 years old, IQR=68.5-85.75) compared to male patients (75.0 years old, IQR=70-81; p=0.767, Median Test between independent groups)</w:t>
            </w:r>
            <w:r w:rsidR="00355C58">
              <w:rPr>
                <w:rFonts w:ascii="Arial" w:eastAsia="Calibri" w:hAnsi="Arial" w:cs="Arial"/>
                <w:szCs w:val="22"/>
              </w:rPr>
              <w:t xml:space="preserve">, but without </w:t>
            </w:r>
            <w:r w:rsidR="00355C58" w:rsidRPr="00355C58">
              <w:rPr>
                <w:rFonts w:ascii="Arial" w:eastAsia="Calibri" w:hAnsi="Arial" w:cs="Arial"/>
                <w:szCs w:val="22"/>
              </w:rPr>
              <w:t>a statistically significant difference</w:t>
            </w:r>
            <w:r w:rsidR="00290AF0" w:rsidRPr="00290AF0">
              <w:rPr>
                <w:rFonts w:ascii="Arial" w:eastAsia="Calibri" w:hAnsi="Arial" w:cs="Arial"/>
                <w:szCs w:val="22"/>
              </w:rPr>
              <w:t xml:space="preserve">. </w:t>
            </w:r>
            <w:r w:rsidR="006633EF">
              <w:rPr>
                <w:rFonts w:ascii="Arial" w:eastAsia="Calibri" w:hAnsi="Arial" w:cs="Arial"/>
                <w:szCs w:val="22"/>
              </w:rPr>
              <w:t>F</w:t>
            </w:r>
            <w:r w:rsidR="006633EF" w:rsidRPr="006633EF">
              <w:rPr>
                <w:rFonts w:ascii="Arial" w:eastAsia="Calibri" w:hAnsi="Arial" w:cs="Arial"/>
                <w:szCs w:val="22"/>
              </w:rPr>
              <w:t>emales are better represented at the basic education level, while males are more inclined to hold higher education degrees and postgraduate qualifications.</w:t>
            </w:r>
            <w:r w:rsidR="006633EF">
              <w:t xml:space="preserve"> Males</w:t>
            </w:r>
            <w:r w:rsidR="006633EF" w:rsidRPr="006633EF">
              <w:rPr>
                <w:rFonts w:ascii="Arial" w:eastAsia="Calibri" w:hAnsi="Arial" w:cs="Arial"/>
                <w:szCs w:val="22"/>
              </w:rPr>
              <w:t xml:space="preserve"> are more represented in higher socioeconomic levels, particularly Levels A/B, whereas </w:t>
            </w:r>
            <w:r w:rsidR="006633EF">
              <w:rPr>
                <w:rFonts w:ascii="Arial" w:eastAsia="Calibri" w:hAnsi="Arial" w:cs="Arial"/>
                <w:szCs w:val="22"/>
              </w:rPr>
              <w:t>females</w:t>
            </w:r>
            <w:r w:rsidR="006633EF" w:rsidRPr="006633EF">
              <w:rPr>
                <w:rFonts w:ascii="Arial" w:eastAsia="Calibri" w:hAnsi="Arial" w:cs="Arial"/>
                <w:szCs w:val="22"/>
              </w:rPr>
              <w:t xml:space="preserve"> are more concentrated in Levels C- and E.</w:t>
            </w:r>
            <w:r w:rsidR="007615BF">
              <w:t xml:space="preserve"> </w:t>
            </w:r>
            <w:r w:rsidR="007615BF" w:rsidRPr="007615BF">
              <w:rPr>
                <w:rFonts w:ascii="Arial" w:eastAsia="Calibri" w:hAnsi="Arial" w:cs="Arial"/>
                <w:szCs w:val="22"/>
              </w:rPr>
              <w:t>Less than 10% of participants experience</w:t>
            </w:r>
            <w:r w:rsidR="00B93685">
              <w:rPr>
                <w:rFonts w:ascii="Arial" w:eastAsia="Calibri" w:hAnsi="Arial" w:cs="Arial"/>
                <w:szCs w:val="22"/>
              </w:rPr>
              <w:t>d</w:t>
            </w:r>
            <w:r w:rsidR="007615BF" w:rsidRPr="007615BF">
              <w:rPr>
                <w:rFonts w:ascii="Arial" w:eastAsia="Calibri" w:hAnsi="Arial" w:cs="Arial"/>
                <w:szCs w:val="22"/>
              </w:rPr>
              <w:t xml:space="preserve"> moderate to severe functional impairment. (3.6% severe functional </w:t>
            </w:r>
            <w:r w:rsidR="00DC78AA" w:rsidRPr="00DC78AA">
              <w:rPr>
                <w:rFonts w:ascii="Arial" w:eastAsia="Calibri" w:hAnsi="Arial" w:cs="Arial"/>
                <w:szCs w:val="22"/>
                <w:highlight w:val="yellow"/>
              </w:rPr>
              <w:t>impairment</w:t>
            </w:r>
            <w:r w:rsidR="007615BF" w:rsidRPr="007615BF">
              <w:rPr>
                <w:rFonts w:ascii="Arial" w:eastAsia="Calibri" w:hAnsi="Arial" w:cs="Arial"/>
                <w:szCs w:val="22"/>
              </w:rPr>
              <w:t xml:space="preserve">, and 5.5% moderate functional </w:t>
            </w:r>
            <w:r w:rsidR="00DC78AA" w:rsidRPr="00DC78AA">
              <w:rPr>
                <w:rFonts w:ascii="Arial" w:eastAsia="Calibri" w:hAnsi="Arial" w:cs="Arial"/>
                <w:szCs w:val="22"/>
                <w:highlight w:val="yellow"/>
              </w:rPr>
              <w:t>impairment</w:t>
            </w:r>
            <w:r w:rsidR="007615BF" w:rsidRPr="007615BF">
              <w:rPr>
                <w:rFonts w:ascii="Arial" w:eastAsia="Calibri" w:hAnsi="Arial" w:cs="Arial"/>
                <w:szCs w:val="22"/>
              </w:rPr>
              <w:t xml:space="preserve">). </w:t>
            </w:r>
            <w:r w:rsidR="007615BF" w:rsidRPr="00DC78AA">
              <w:rPr>
                <w:rFonts w:ascii="Arial" w:eastAsia="Calibri" w:hAnsi="Arial" w:cs="Arial"/>
                <w:szCs w:val="22"/>
                <w:highlight w:val="yellow"/>
              </w:rPr>
              <w:t xml:space="preserve">At least 90% can bathe themselves, dress independently, use the toilet without assistance, </w:t>
            </w:r>
            <w:r w:rsidR="00DC78AA" w:rsidRPr="00DC78AA">
              <w:rPr>
                <w:rFonts w:ascii="Arial" w:eastAsia="Calibri" w:hAnsi="Arial" w:cs="Arial"/>
                <w:szCs w:val="22"/>
                <w:highlight w:val="yellow"/>
              </w:rPr>
              <w:t xml:space="preserve">show independence in mobility </w:t>
            </w:r>
            <w:r w:rsidR="007615BF" w:rsidRPr="00DC78AA">
              <w:rPr>
                <w:rFonts w:ascii="Arial" w:eastAsia="Calibri" w:hAnsi="Arial" w:cs="Arial"/>
                <w:szCs w:val="22"/>
                <w:highlight w:val="yellow"/>
              </w:rPr>
              <w:t>and all participants are independent in feeding themselves.</w:t>
            </w:r>
            <w:r w:rsidR="007615BF" w:rsidRPr="007615BF">
              <w:rPr>
                <w:rFonts w:ascii="Arial" w:eastAsia="Calibri" w:hAnsi="Arial" w:cs="Arial"/>
                <w:szCs w:val="22"/>
              </w:rPr>
              <w:t xml:space="preserve"> For instrumental activities of daily living, less than 2% of participants exhibit maximum dependence, 85% maintain some degree of autonomy, and less than 40% achieve full independence. Sedentarism was highly prevalent (58.2%), and healthy eating habits were reported by 83.6%. Hypertension (65.5%), Type 2 Diabetes (56.4%), Overweight/Obesity (50.9%), and Dyslipidaemia (12.7%) demonstrate a significant burden of cardiovascular and metabolic diseases. The regression model indicates that the likelihood of functional dependency increases with age (beta=0.157, OR=1.170; CI 95%= 1.029-1.329, p=0.016). Additionally, elderly individuals with a</w:t>
            </w:r>
            <w:r w:rsidR="00647ED9">
              <w:rPr>
                <w:rFonts w:ascii="Arial" w:eastAsia="Calibri" w:hAnsi="Arial" w:cs="Arial"/>
                <w:szCs w:val="22"/>
              </w:rPr>
              <w:t>n alcoholism history</w:t>
            </w:r>
            <w:r w:rsidR="007615BF" w:rsidRPr="007615BF">
              <w:rPr>
                <w:rFonts w:ascii="Arial" w:eastAsia="Calibri" w:hAnsi="Arial" w:cs="Arial"/>
                <w:szCs w:val="22"/>
              </w:rPr>
              <w:t xml:space="preserve"> (beta=2.359, OR=10.576; CI 95% 1.340-83.491, p=0.025) are significantly more likely to experience functional dependency. Similarly, hearing loss (beta=2.255, OR=9.536; CI 95% 1.282-70.923, p=0.028) is a risk factor of functional dependency.</w:t>
            </w:r>
          </w:p>
          <w:p w14:paraId="5A1321A0" w14:textId="69FE3F5C" w:rsidR="00505F06" w:rsidRPr="0054404D" w:rsidRDefault="00BA1B01" w:rsidP="00647ED9">
            <w:pPr>
              <w:pStyle w:val="Body"/>
              <w:spacing w:after="0"/>
              <w:rPr>
                <w:rFonts w:ascii="Arial" w:eastAsia="Calibri" w:hAnsi="Arial" w:cs="Arial"/>
                <w:szCs w:val="22"/>
              </w:rPr>
            </w:pPr>
            <w:r w:rsidRPr="00B26192">
              <w:rPr>
                <w:rFonts w:ascii="Arial" w:eastAsia="Calibri" w:hAnsi="Arial" w:cs="Arial"/>
                <w:b/>
                <w:bCs/>
                <w:szCs w:val="22"/>
              </w:rPr>
              <w:lastRenderedPageBreak/>
              <w:t>Conclusion:</w:t>
            </w:r>
            <w:r w:rsidRPr="00B26192">
              <w:rPr>
                <w:rFonts w:ascii="Arial" w:eastAsia="Calibri" w:hAnsi="Arial" w:cs="Arial"/>
                <w:szCs w:val="22"/>
              </w:rPr>
              <w:t xml:space="preserve"> </w:t>
            </w:r>
            <w:r w:rsidR="00A54D68" w:rsidRPr="00A54D68">
              <w:rPr>
                <w:rFonts w:ascii="Arial" w:eastAsia="Calibri" w:hAnsi="Arial" w:cs="Arial"/>
                <w:szCs w:val="22"/>
              </w:rPr>
              <w:t xml:space="preserve">Gender disparities are evident in education and socioeconomic status. While most participants maintain functional independence, instrumental activities of daily living present greater challenges. Sedentarism is highly prevalent, despite a majority reporting healthy eating habit. </w:t>
            </w:r>
            <w:r w:rsidR="00647ED9">
              <w:rPr>
                <w:rFonts w:ascii="Arial" w:eastAsia="Calibri" w:hAnsi="Arial" w:cs="Arial"/>
                <w:szCs w:val="22"/>
              </w:rPr>
              <w:t xml:space="preserve"> Moreover, c</w:t>
            </w:r>
            <w:r w:rsidR="00A54D68" w:rsidRPr="00A54D68">
              <w:rPr>
                <w:rFonts w:ascii="Arial" w:eastAsia="Calibri" w:hAnsi="Arial" w:cs="Arial"/>
                <w:szCs w:val="22"/>
              </w:rPr>
              <w:t>ardiovascular and metabolic diseases impose a significant burden on diseases. Functional dependency is strongly associated with increasing age, a</w:t>
            </w:r>
            <w:r w:rsidR="00647ED9">
              <w:rPr>
                <w:rFonts w:ascii="Arial" w:eastAsia="Calibri" w:hAnsi="Arial" w:cs="Arial"/>
                <w:szCs w:val="22"/>
              </w:rPr>
              <w:t>n</w:t>
            </w:r>
            <w:r w:rsidR="00A54D68" w:rsidRPr="00A54D68">
              <w:rPr>
                <w:rFonts w:ascii="Arial" w:eastAsia="Calibri" w:hAnsi="Arial" w:cs="Arial"/>
                <w:szCs w:val="22"/>
              </w:rPr>
              <w:t xml:space="preserve"> history, and hearing loss</w:t>
            </w:r>
            <w:r w:rsidR="00647ED9">
              <w:rPr>
                <w:rFonts w:ascii="Arial" w:eastAsia="Calibri" w:hAnsi="Arial" w:cs="Arial"/>
                <w:szCs w:val="22"/>
              </w:rPr>
              <w:t xml:space="preserve"> as </w:t>
            </w:r>
            <w:proofErr w:type="gramStart"/>
            <w:r w:rsidR="00647ED9">
              <w:rPr>
                <w:rFonts w:ascii="Arial" w:eastAsia="Calibri" w:hAnsi="Arial" w:cs="Arial"/>
                <w:szCs w:val="22"/>
              </w:rPr>
              <w:t xml:space="preserve">well </w:t>
            </w:r>
            <w:r w:rsidR="00A54D68" w:rsidRPr="00A54D68">
              <w:rPr>
                <w:rFonts w:ascii="Arial" w:eastAsia="Calibri" w:hAnsi="Arial" w:cs="Arial"/>
                <w:szCs w:val="22"/>
              </w:rPr>
              <w:t>,</w:t>
            </w:r>
            <w:proofErr w:type="gramEnd"/>
            <w:r w:rsidR="00A54D68" w:rsidRPr="00A54D68">
              <w:rPr>
                <w:rFonts w:ascii="Arial" w:eastAsia="Calibri" w:hAnsi="Arial" w:cs="Arial"/>
                <w:szCs w:val="22"/>
              </w:rPr>
              <w:t xml:space="preserve"> emphasising the need for targeted interventions to promote healthy ageing and prevent disability.</w:t>
            </w:r>
          </w:p>
        </w:tc>
      </w:tr>
    </w:tbl>
    <w:p w14:paraId="66718376" w14:textId="77777777" w:rsidR="00636EB2" w:rsidRPr="0054404D" w:rsidRDefault="00636EB2" w:rsidP="00441B6F">
      <w:pPr>
        <w:pStyle w:val="Body"/>
        <w:spacing w:after="0"/>
        <w:rPr>
          <w:rFonts w:ascii="Arial" w:hAnsi="Arial" w:cs="Arial"/>
          <w:i/>
        </w:rPr>
      </w:pPr>
    </w:p>
    <w:p w14:paraId="2BCD2E2B" w14:textId="4C6451DF" w:rsidR="00A24E7E" w:rsidRPr="0054404D" w:rsidRDefault="00A24E7E" w:rsidP="00441B6F">
      <w:pPr>
        <w:pStyle w:val="Body"/>
        <w:spacing w:after="0"/>
        <w:rPr>
          <w:rFonts w:ascii="Arial" w:hAnsi="Arial" w:cs="Arial"/>
          <w:i/>
        </w:rPr>
      </w:pPr>
      <w:r w:rsidRPr="0054404D">
        <w:rPr>
          <w:rFonts w:ascii="Arial" w:hAnsi="Arial" w:cs="Arial"/>
          <w:i/>
        </w:rPr>
        <w:t xml:space="preserve">Keywords: </w:t>
      </w:r>
      <w:r w:rsidR="005575C5" w:rsidRPr="005575C5">
        <w:rPr>
          <w:rFonts w:ascii="Arial" w:hAnsi="Arial" w:cs="Arial"/>
          <w:i/>
        </w:rPr>
        <w:t>Functional impairment</w:t>
      </w:r>
      <w:r w:rsidR="004F66EB">
        <w:rPr>
          <w:rFonts w:ascii="Arial" w:hAnsi="Arial" w:cs="Arial"/>
          <w:i/>
        </w:rPr>
        <w:t xml:space="preserve">; </w:t>
      </w:r>
      <w:r w:rsidR="00713C50">
        <w:rPr>
          <w:rFonts w:ascii="Arial" w:hAnsi="Arial" w:cs="Arial"/>
          <w:i/>
        </w:rPr>
        <w:t>non-communicable diseases</w:t>
      </w:r>
      <w:r w:rsidR="00084A11" w:rsidRPr="0054404D">
        <w:rPr>
          <w:rFonts w:ascii="Arial" w:hAnsi="Arial" w:cs="Arial"/>
          <w:i/>
        </w:rPr>
        <w:t>; primary care</w:t>
      </w:r>
      <w:r w:rsidR="004F66EB" w:rsidRPr="0054404D">
        <w:rPr>
          <w:rFonts w:ascii="Arial" w:hAnsi="Arial" w:cs="Arial"/>
          <w:i/>
        </w:rPr>
        <w:t>.</w:t>
      </w:r>
    </w:p>
    <w:p w14:paraId="112B1908" w14:textId="77777777" w:rsidR="00505F06" w:rsidRPr="0054404D" w:rsidRDefault="00505F06" w:rsidP="00441B6F">
      <w:pPr>
        <w:pStyle w:val="Body"/>
        <w:spacing w:after="0"/>
        <w:rPr>
          <w:rFonts w:ascii="Arial" w:hAnsi="Arial" w:cs="Arial"/>
          <w:i/>
        </w:rPr>
      </w:pPr>
    </w:p>
    <w:p w14:paraId="3D6BFF5B" w14:textId="73B19F3A" w:rsidR="007F7B32" w:rsidRPr="0054404D" w:rsidRDefault="00902823" w:rsidP="00441B6F">
      <w:pPr>
        <w:pStyle w:val="AbstHead"/>
        <w:spacing w:after="0"/>
        <w:jc w:val="both"/>
        <w:rPr>
          <w:rFonts w:ascii="Arial" w:hAnsi="Arial" w:cs="Arial"/>
        </w:rPr>
      </w:pPr>
      <w:r w:rsidRPr="0054404D">
        <w:rPr>
          <w:rFonts w:ascii="Arial" w:hAnsi="Arial" w:cs="Arial"/>
        </w:rPr>
        <w:t xml:space="preserve">1. </w:t>
      </w:r>
      <w:r w:rsidR="00B01FCD" w:rsidRPr="0054404D">
        <w:rPr>
          <w:rFonts w:ascii="Arial" w:hAnsi="Arial" w:cs="Arial"/>
        </w:rPr>
        <w:t>INTRODUCTION</w:t>
      </w:r>
    </w:p>
    <w:p w14:paraId="6A0FBB4B" w14:textId="5A97548E" w:rsidR="0025163C" w:rsidRPr="0032138D" w:rsidRDefault="0025163C" w:rsidP="00CA754A">
      <w:pPr>
        <w:pStyle w:val="Body"/>
        <w:spacing w:after="0"/>
        <w:rPr>
          <w:rFonts w:ascii="Arial" w:hAnsi="Arial" w:cs="Arial"/>
          <w:lang w:val="en-US"/>
        </w:rPr>
      </w:pPr>
      <w:r w:rsidRPr="0025163C">
        <w:rPr>
          <w:rFonts w:ascii="Arial" w:hAnsi="Arial" w:cs="Arial"/>
        </w:rPr>
        <w:t>Functional impairme</w:t>
      </w:r>
      <w:r w:rsidR="00900C75">
        <w:rPr>
          <w:rFonts w:ascii="Arial" w:hAnsi="Arial" w:cs="Arial"/>
        </w:rPr>
        <w:t xml:space="preserve">nt is a critical issue among </w:t>
      </w:r>
      <w:r w:rsidRPr="0025163C">
        <w:rPr>
          <w:rFonts w:ascii="Arial" w:hAnsi="Arial" w:cs="Arial"/>
        </w:rPr>
        <w:t xml:space="preserve">elderly population aged 60 and above, with profound implications for their </w:t>
      </w:r>
      <w:r w:rsidR="00900C75">
        <w:rPr>
          <w:rFonts w:ascii="Arial" w:hAnsi="Arial" w:cs="Arial"/>
        </w:rPr>
        <w:t>life quality</w:t>
      </w:r>
      <w:r w:rsidRPr="0025163C">
        <w:rPr>
          <w:rFonts w:ascii="Arial" w:hAnsi="Arial" w:cs="Arial"/>
        </w:rPr>
        <w:t>, autonomy, and overall well-being</w:t>
      </w:r>
      <w:r w:rsidR="00673D6E" w:rsidRPr="00673D6E">
        <w:rPr>
          <w:rFonts w:ascii="Arial" w:hAnsi="Arial" w:cs="Arial"/>
        </w:rPr>
        <w:t>, therefore, their dependency relationship increases</w:t>
      </w:r>
      <w:r w:rsidR="005575C5">
        <w:rPr>
          <w:rFonts w:ascii="Arial" w:hAnsi="Arial" w:cs="Arial"/>
        </w:rPr>
        <w:t xml:space="preserve"> (</w:t>
      </w:r>
      <w:r w:rsidR="005575C5" w:rsidRPr="005575C5">
        <w:rPr>
          <w:rFonts w:ascii="Arial" w:hAnsi="Arial" w:cs="Arial"/>
          <w:lang w:val="en-US"/>
        </w:rPr>
        <w:t>Torres-de</w:t>
      </w:r>
      <w:r w:rsidR="005575C5">
        <w:rPr>
          <w:rFonts w:ascii="Arial" w:hAnsi="Arial" w:cs="Arial"/>
        </w:rPr>
        <w:t>-</w:t>
      </w:r>
      <w:r w:rsidR="005575C5" w:rsidRPr="005575C5">
        <w:rPr>
          <w:rFonts w:ascii="Arial" w:hAnsi="Arial" w:cs="Arial"/>
          <w:lang w:val="en-US"/>
        </w:rPr>
        <w:t>Araújo</w:t>
      </w:r>
      <w:r w:rsidR="005575C5">
        <w:rPr>
          <w:rFonts w:ascii="Arial" w:hAnsi="Arial" w:cs="Arial"/>
          <w:lang w:val="en-US"/>
        </w:rPr>
        <w:t xml:space="preserve"> et al. 2018, </w:t>
      </w:r>
      <w:r w:rsidR="005575C5" w:rsidRPr="005575C5">
        <w:rPr>
          <w:rFonts w:ascii="Arial" w:hAnsi="Arial" w:cs="Arial"/>
          <w:lang w:val="en-US"/>
        </w:rPr>
        <w:t>Takele</w:t>
      </w:r>
      <w:r w:rsidR="005575C5">
        <w:rPr>
          <w:rFonts w:ascii="Arial" w:hAnsi="Arial" w:cs="Arial"/>
          <w:lang w:val="en-US"/>
        </w:rPr>
        <w:t xml:space="preserve"> et al. 2024</w:t>
      </w:r>
      <w:r w:rsidR="00673D6E">
        <w:rPr>
          <w:rFonts w:ascii="Arial" w:hAnsi="Arial" w:cs="Arial"/>
          <w:lang w:val="en-US"/>
        </w:rPr>
        <w:t>, Lopez-Hernandez et al. 2024</w:t>
      </w:r>
      <w:r w:rsidR="0036578E">
        <w:rPr>
          <w:rFonts w:ascii="Arial" w:hAnsi="Arial" w:cs="Arial"/>
          <w:lang w:val="en-US"/>
        </w:rPr>
        <w:t>a</w:t>
      </w:r>
      <w:r w:rsidR="005575C5">
        <w:rPr>
          <w:rFonts w:ascii="Arial" w:hAnsi="Arial" w:cs="Arial"/>
          <w:lang w:val="en-US"/>
        </w:rPr>
        <w:t>)</w:t>
      </w:r>
      <w:r w:rsidRPr="0025163C">
        <w:rPr>
          <w:rFonts w:ascii="Arial" w:hAnsi="Arial" w:cs="Arial"/>
        </w:rPr>
        <w:t>.</w:t>
      </w:r>
      <w:r w:rsidR="00900C75">
        <w:rPr>
          <w:rFonts w:ascii="Arial" w:hAnsi="Arial" w:cs="Arial"/>
        </w:rPr>
        <w:t>thus, i</w:t>
      </w:r>
      <w:r w:rsidRPr="0025163C">
        <w:rPr>
          <w:rFonts w:ascii="Arial" w:hAnsi="Arial" w:cs="Arial"/>
        </w:rPr>
        <w:t>t encompasses a spectrum of difficulties in performing essential tasks</w:t>
      </w:r>
      <w:r w:rsidR="00900C75">
        <w:rPr>
          <w:rFonts w:ascii="Arial" w:hAnsi="Arial" w:cs="Arial"/>
        </w:rPr>
        <w:t xml:space="preserve"> which are</w:t>
      </w:r>
      <w:r w:rsidRPr="0025163C">
        <w:rPr>
          <w:rFonts w:ascii="Arial" w:hAnsi="Arial" w:cs="Arial"/>
        </w:rPr>
        <w:t xml:space="preserve"> necessary for daily living, ranging from basic activities such as bathing, dressing, and eating to more complex instrumental activities like managing finances, cooking, and using transportation</w:t>
      </w:r>
      <w:r w:rsidR="003B2AD4">
        <w:rPr>
          <w:rFonts w:ascii="Arial" w:hAnsi="Arial" w:cs="Arial"/>
        </w:rPr>
        <w:t xml:space="preserve"> (Katz et al. 1970, </w:t>
      </w:r>
      <w:r w:rsidR="003B2AD4" w:rsidRPr="003B2AD4">
        <w:rPr>
          <w:rFonts w:ascii="Arial" w:hAnsi="Arial" w:cs="Arial"/>
          <w:lang w:val="en-US"/>
        </w:rPr>
        <w:t>Successful Aging after Elective Surgery Functional Measures Working Group</w:t>
      </w:r>
      <w:r w:rsidR="003B2AD4">
        <w:rPr>
          <w:rFonts w:ascii="Arial" w:hAnsi="Arial" w:cs="Arial"/>
          <w:lang w:val="en-US"/>
        </w:rPr>
        <w:t xml:space="preserve">, SAESFMWG et al. 2015, </w:t>
      </w:r>
      <w:r w:rsidR="00AD3F96" w:rsidRPr="00AD3F96">
        <w:rPr>
          <w:rFonts w:ascii="Arial" w:hAnsi="Arial" w:cs="Arial"/>
          <w:lang w:val="en-US"/>
        </w:rPr>
        <w:t>Guo</w:t>
      </w:r>
      <w:r w:rsidR="00AD3F96">
        <w:rPr>
          <w:rFonts w:ascii="Arial" w:hAnsi="Arial" w:cs="Arial"/>
          <w:lang w:val="en-US"/>
        </w:rPr>
        <w:t xml:space="preserve"> &amp;</w:t>
      </w:r>
      <w:r w:rsidR="00AD3F96" w:rsidRPr="00AD3F96">
        <w:rPr>
          <w:rFonts w:ascii="Arial" w:hAnsi="Arial" w:cs="Arial"/>
          <w:lang w:val="en-US"/>
        </w:rPr>
        <w:t xml:space="preserve"> Sapra </w:t>
      </w:r>
      <w:r w:rsidR="00AD3F96">
        <w:rPr>
          <w:rFonts w:ascii="Arial" w:hAnsi="Arial" w:cs="Arial"/>
          <w:lang w:val="en-US"/>
        </w:rPr>
        <w:t xml:space="preserve">2022, </w:t>
      </w:r>
      <w:r w:rsidR="003B2AD4" w:rsidRPr="003B2AD4">
        <w:rPr>
          <w:rFonts w:ascii="Arial" w:hAnsi="Arial" w:cs="Arial"/>
        </w:rPr>
        <w:t xml:space="preserve">Rathnayake </w:t>
      </w:r>
      <w:r w:rsidR="003B2AD4">
        <w:rPr>
          <w:rFonts w:ascii="Arial" w:hAnsi="Arial" w:cs="Arial"/>
        </w:rPr>
        <w:t xml:space="preserve">et al. 2023, </w:t>
      </w:r>
      <w:r w:rsidR="00AD3F96" w:rsidRPr="00AD3F96">
        <w:rPr>
          <w:rFonts w:ascii="Arial" w:hAnsi="Arial" w:cs="Arial"/>
        </w:rPr>
        <w:t>Wei</w:t>
      </w:r>
      <w:r w:rsidR="00AD3F96">
        <w:rPr>
          <w:rFonts w:ascii="Arial" w:hAnsi="Arial" w:cs="Arial"/>
        </w:rPr>
        <w:t xml:space="preserve"> &amp;</w:t>
      </w:r>
      <w:r w:rsidR="00AD3F96" w:rsidRPr="00AD3F96">
        <w:rPr>
          <w:rFonts w:ascii="Arial" w:hAnsi="Arial" w:cs="Arial"/>
        </w:rPr>
        <w:t xml:space="preserve"> Hodgson 2023</w:t>
      </w:r>
      <w:r w:rsidR="00AD3F96">
        <w:rPr>
          <w:rFonts w:ascii="Arial" w:hAnsi="Arial" w:cs="Arial"/>
        </w:rPr>
        <w:t xml:space="preserve">, </w:t>
      </w:r>
      <w:r w:rsidR="003B2AD4" w:rsidRPr="003B2AD4">
        <w:rPr>
          <w:rFonts w:ascii="Arial" w:hAnsi="Arial" w:cs="Arial"/>
        </w:rPr>
        <w:t>Moreno-Martin</w:t>
      </w:r>
      <w:r w:rsidR="003B2AD4">
        <w:rPr>
          <w:rFonts w:ascii="Arial" w:hAnsi="Arial" w:cs="Arial"/>
        </w:rPr>
        <w:t xml:space="preserve"> et al. 2024)</w:t>
      </w:r>
      <w:r w:rsidRPr="0025163C">
        <w:rPr>
          <w:rFonts w:ascii="Arial" w:hAnsi="Arial" w:cs="Arial"/>
        </w:rPr>
        <w:t xml:space="preserve">. </w:t>
      </w:r>
      <w:r w:rsidR="008823F9" w:rsidRPr="008823F9">
        <w:rPr>
          <w:rFonts w:ascii="Arial" w:hAnsi="Arial" w:cs="Arial"/>
        </w:rPr>
        <w:t>The progression of functional impairment in older adults often results in a marked loss of independence and autonomy, leading to an increasing reliance on the elderly population for assistance with activities of daily life</w:t>
      </w:r>
      <w:r w:rsidRPr="0025163C">
        <w:rPr>
          <w:rFonts w:ascii="Arial" w:hAnsi="Arial" w:cs="Arial"/>
        </w:rPr>
        <w:t xml:space="preserve">, </w:t>
      </w:r>
      <w:r w:rsidR="008823F9">
        <w:rPr>
          <w:rFonts w:ascii="Arial" w:hAnsi="Arial" w:cs="Arial"/>
        </w:rPr>
        <w:t xml:space="preserve">with several impacts on the </w:t>
      </w:r>
      <w:r w:rsidR="00900C75">
        <w:rPr>
          <w:rFonts w:ascii="Arial" w:hAnsi="Arial" w:cs="Arial"/>
        </w:rPr>
        <w:t xml:space="preserve">life </w:t>
      </w:r>
      <w:proofErr w:type="gramStart"/>
      <w:r w:rsidR="00900C75">
        <w:rPr>
          <w:rFonts w:ascii="Arial" w:hAnsi="Arial" w:cs="Arial"/>
        </w:rPr>
        <w:t xml:space="preserve">quality </w:t>
      </w:r>
      <w:r w:rsidR="008823F9">
        <w:rPr>
          <w:rFonts w:ascii="Arial" w:hAnsi="Arial" w:cs="Arial"/>
        </w:rPr>
        <w:t xml:space="preserve"> of</w:t>
      </w:r>
      <w:proofErr w:type="gramEnd"/>
      <w:r w:rsidR="008823F9">
        <w:rPr>
          <w:rFonts w:ascii="Arial" w:hAnsi="Arial" w:cs="Arial"/>
        </w:rPr>
        <w:t xml:space="preserve"> </w:t>
      </w:r>
      <w:r w:rsidR="008823F9" w:rsidRPr="008823F9">
        <w:rPr>
          <w:rFonts w:ascii="Arial" w:hAnsi="Arial" w:cs="Arial"/>
        </w:rPr>
        <w:t>caregivers</w:t>
      </w:r>
      <w:r w:rsidR="008823F9">
        <w:rPr>
          <w:rFonts w:ascii="Arial" w:hAnsi="Arial" w:cs="Arial"/>
        </w:rPr>
        <w:t xml:space="preserve">, </w:t>
      </w:r>
      <w:r w:rsidRPr="0025163C">
        <w:rPr>
          <w:rFonts w:ascii="Arial" w:hAnsi="Arial" w:cs="Arial"/>
        </w:rPr>
        <w:t>and a greater burden on healthcare systems, making it a significant public health concern</w:t>
      </w:r>
      <w:r w:rsidR="0095039D">
        <w:rPr>
          <w:rFonts w:ascii="Arial" w:hAnsi="Arial" w:cs="Arial"/>
        </w:rPr>
        <w:t xml:space="preserve"> (</w:t>
      </w:r>
      <w:r w:rsidR="0095039D" w:rsidRPr="0095039D">
        <w:rPr>
          <w:rFonts w:ascii="Arial" w:hAnsi="Arial" w:cs="Arial"/>
        </w:rPr>
        <w:t>Committee on Family Caregiving for Older Adults</w:t>
      </w:r>
      <w:r w:rsidR="0095039D">
        <w:rPr>
          <w:rFonts w:ascii="Arial" w:hAnsi="Arial" w:cs="Arial"/>
        </w:rPr>
        <w:t>, CFCOA, et al. 2016, F</w:t>
      </w:r>
      <w:r w:rsidR="0095039D" w:rsidRPr="0095039D">
        <w:rPr>
          <w:rFonts w:ascii="Arial" w:hAnsi="Arial" w:cs="Arial"/>
        </w:rPr>
        <w:t>alck</w:t>
      </w:r>
      <w:r w:rsidR="0095039D">
        <w:rPr>
          <w:rFonts w:ascii="Arial" w:hAnsi="Arial" w:cs="Arial"/>
        </w:rPr>
        <w:t xml:space="preserve"> et al. </w:t>
      </w:r>
      <w:r w:rsidR="0095039D" w:rsidRPr="0095039D">
        <w:rPr>
          <w:rFonts w:ascii="Arial" w:hAnsi="Arial" w:cs="Arial"/>
        </w:rPr>
        <w:t>2022</w:t>
      </w:r>
      <w:r w:rsidR="0095039D">
        <w:rPr>
          <w:rFonts w:ascii="Arial" w:hAnsi="Arial" w:cs="Arial"/>
        </w:rPr>
        <w:t>, Lopez-Hernandez et al. 2024</w:t>
      </w:r>
      <w:r w:rsidR="0036578E">
        <w:rPr>
          <w:rFonts w:ascii="Arial" w:hAnsi="Arial" w:cs="Arial"/>
        </w:rPr>
        <w:t>a</w:t>
      </w:r>
      <w:r w:rsidR="0095039D">
        <w:rPr>
          <w:rFonts w:ascii="Arial" w:hAnsi="Arial" w:cs="Arial"/>
        </w:rPr>
        <w:t>)</w:t>
      </w:r>
      <w:r w:rsidRPr="0025163C">
        <w:rPr>
          <w:rFonts w:ascii="Arial" w:hAnsi="Arial" w:cs="Arial"/>
        </w:rPr>
        <w:t>.</w:t>
      </w:r>
      <w:r w:rsidR="00CA754A">
        <w:rPr>
          <w:rFonts w:ascii="Arial" w:hAnsi="Arial" w:cs="Arial"/>
        </w:rPr>
        <w:t xml:space="preserve"> </w:t>
      </w:r>
      <w:r w:rsidRPr="0025163C">
        <w:rPr>
          <w:rFonts w:ascii="Arial" w:hAnsi="Arial" w:cs="Arial"/>
        </w:rPr>
        <w:t>This condition often emerges due to age-related physiological changes, compounded by chronic illnesses, cognitive decline, and environmental factors</w:t>
      </w:r>
      <w:r w:rsidR="005404BA">
        <w:rPr>
          <w:rFonts w:ascii="Arial" w:hAnsi="Arial" w:cs="Arial"/>
        </w:rPr>
        <w:t xml:space="preserve"> (</w:t>
      </w:r>
      <w:r w:rsidR="005404BA" w:rsidRPr="005404BA">
        <w:rPr>
          <w:rFonts w:ascii="Arial" w:hAnsi="Arial" w:cs="Arial"/>
        </w:rPr>
        <w:t>Colita</w:t>
      </w:r>
      <w:r w:rsidR="005404BA">
        <w:rPr>
          <w:rFonts w:ascii="Arial" w:hAnsi="Arial" w:cs="Arial"/>
        </w:rPr>
        <w:t xml:space="preserve"> et al. </w:t>
      </w:r>
      <w:r w:rsidR="005404BA" w:rsidRPr="005404BA">
        <w:rPr>
          <w:rFonts w:ascii="Arial" w:hAnsi="Arial" w:cs="Arial"/>
        </w:rPr>
        <w:t>2024</w:t>
      </w:r>
      <w:r w:rsidR="005404BA">
        <w:rPr>
          <w:rFonts w:ascii="Arial" w:hAnsi="Arial" w:cs="Arial"/>
        </w:rPr>
        <w:t xml:space="preserve">, </w:t>
      </w:r>
      <w:r w:rsidR="005404BA" w:rsidRPr="005404BA">
        <w:rPr>
          <w:rFonts w:ascii="Arial" w:hAnsi="Arial" w:cs="Arial"/>
        </w:rPr>
        <w:t>Kang &amp; Kim 2022</w:t>
      </w:r>
      <w:r w:rsidR="005404BA">
        <w:rPr>
          <w:rFonts w:ascii="Arial" w:hAnsi="Arial" w:cs="Arial"/>
        </w:rPr>
        <w:t>)</w:t>
      </w:r>
      <w:r w:rsidR="00900C75">
        <w:rPr>
          <w:rFonts w:ascii="Arial" w:hAnsi="Arial" w:cs="Arial"/>
        </w:rPr>
        <w:t xml:space="preserve"> c</w:t>
      </w:r>
      <w:r w:rsidRPr="0025163C">
        <w:rPr>
          <w:rFonts w:ascii="Arial" w:hAnsi="Arial" w:cs="Arial"/>
        </w:rPr>
        <w:t>ommonly associated</w:t>
      </w:r>
      <w:r w:rsidR="00900C75">
        <w:rPr>
          <w:rFonts w:ascii="Arial" w:hAnsi="Arial" w:cs="Arial"/>
        </w:rPr>
        <w:t xml:space="preserve"> to</w:t>
      </w:r>
      <w:r w:rsidRPr="0025163C">
        <w:rPr>
          <w:rFonts w:ascii="Arial" w:hAnsi="Arial" w:cs="Arial"/>
        </w:rPr>
        <w:t xml:space="preserve"> chronic conditions, including diabetes, hypertension, arthritis, and cardiovascular diseases,</w:t>
      </w:r>
      <w:r w:rsidR="00943A37">
        <w:rPr>
          <w:rFonts w:ascii="Arial" w:hAnsi="Arial" w:cs="Arial"/>
        </w:rPr>
        <w:t xml:space="preserve"> which</w:t>
      </w:r>
      <w:r w:rsidRPr="0025163C">
        <w:rPr>
          <w:rFonts w:ascii="Arial" w:hAnsi="Arial" w:cs="Arial"/>
        </w:rPr>
        <w:t xml:space="preserve"> can accelerate the deterioration of physical and mental capabilities</w:t>
      </w:r>
      <w:r w:rsidR="005404BA">
        <w:rPr>
          <w:rFonts w:ascii="Arial" w:hAnsi="Arial" w:cs="Arial"/>
        </w:rPr>
        <w:t xml:space="preserve"> (</w:t>
      </w:r>
      <w:r w:rsidR="005404BA" w:rsidRPr="005404BA">
        <w:rPr>
          <w:rFonts w:ascii="Arial" w:hAnsi="Arial" w:cs="Arial"/>
        </w:rPr>
        <w:t>Fong 2019</w:t>
      </w:r>
      <w:r w:rsidR="005404BA">
        <w:rPr>
          <w:rFonts w:ascii="Arial" w:hAnsi="Arial" w:cs="Arial"/>
        </w:rPr>
        <w:t xml:space="preserve">, </w:t>
      </w:r>
      <w:r w:rsidR="005404BA" w:rsidRPr="005404BA">
        <w:rPr>
          <w:rFonts w:ascii="Arial" w:hAnsi="Arial" w:cs="Arial"/>
        </w:rPr>
        <w:t>Kang &amp; Kim 2022</w:t>
      </w:r>
      <w:r w:rsidR="009C4EA5">
        <w:rPr>
          <w:rFonts w:ascii="Arial" w:hAnsi="Arial" w:cs="Arial"/>
        </w:rPr>
        <w:t xml:space="preserve">, </w:t>
      </w:r>
      <w:r w:rsidR="009C4EA5" w:rsidRPr="009C4EA5">
        <w:rPr>
          <w:rFonts w:ascii="Arial" w:hAnsi="Arial" w:cs="Arial"/>
        </w:rPr>
        <w:t xml:space="preserve">Rueda-De-la-Rosa </w:t>
      </w:r>
      <w:r w:rsidR="009C4EA5">
        <w:rPr>
          <w:rFonts w:ascii="Arial" w:hAnsi="Arial" w:cs="Arial"/>
        </w:rPr>
        <w:t xml:space="preserve">et al. </w:t>
      </w:r>
      <w:r w:rsidR="009C4EA5" w:rsidRPr="009C4EA5">
        <w:rPr>
          <w:rFonts w:ascii="Arial" w:hAnsi="Arial" w:cs="Arial"/>
        </w:rPr>
        <w:t>2024</w:t>
      </w:r>
      <w:r w:rsidR="005404BA">
        <w:rPr>
          <w:rFonts w:ascii="Arial" w:hAnsi="Arial" w:cs="Arial"/>
        </w:rPr>
        <w:t>)</w:t>
      </w:r>
      <w:r w:rsidRPr="0025163C">
        <w:rPr>
          <w:rFonts w:ascii="Arial" w:hAnsi="Arial" w:cs="Arial"/>
        </w:rPr>
        <w:t>. Furthermore, social determinants such as low educational attainment, poor financial status, and inadequate access to health care exacerbate the risk and impact of functional decline</w:t>
      </w:r>
      <w:r w:rsidR="009C4EA5">
        <w:rPr>
          <w:rFonts w:ascii="Arial" w:hAnsi="Arial" w:cs="Arial"/>
        </w:rPr>
        <w:t xml:space="preserve"> (</w:t>
      </w:r>
      <w:r w:rsidR="00D05CFC" w:rsidRPr="00D05CFC">
        <w:rPr>
          <w:rFonts w:ascii="Arial" w:hAnsi="Arial" w:cs="Arial"/>
        </w:rPr>
        <w:t>Jia</w:t>
      </w:r>
      <w:r w:rsidR="00D05CFC">
        <w:rPr>
          <w:rFonts w:ascii="Arial" w:hAnsi="Arial" w:cs="Arial"/>
        </w:rPr>
        <w:t xml:space="preserve"> et al. 2020, </w:t>
      </w:r>
      <w:proofErr w:type="spellStart"/>
      <w:r w:rsidR="002007E8" w:rsidRPr="002007E8">
        <w:rPr>
          <w:rFonts w:ascii="Arial" w:hAnsi="Arial" w:cs="Arial"/>
        </w:rPr>
        <w:t>Majoka</w:t>
      </w:r>
      <w:proofErr w:type="spellEnd"/>
      <w:r w:rsidR="002007E8" w:rsidRPr="002007E8">
        <w:rPr>
          <w:rFonts w:ascii="Arial" w:hAnsi="Arial" w:cs="Arial"/>
        </w:rPr>
        <w:t xml:space="preserve"> &amp; Schimming 2021</w:t>
      </w:r>
      <w:r w:rsidR="002007E8">
        <w:rPr>
          <w:rFonts w:ascii="Arial" w:hAnsi="Arial" w:cs="Arial"/>
        </w:rPr>
        <w:t xml:space="preserve">, </w:t>
      </w:r>
      <w:r w:rsidR="009C4EA5" w:rsidRPr="009C4EA5">
        <w:rPr>
          <w:rFonts w:ascii="Arial" w:hAnsi="Arial" w:cs="Arial"/>
        </w:rPr>
        <w:t>Hwang 2022</w:t>
      </w:r>
      <w:r w:rsidR="009C4EA5">
        <w:rPr>
          <w:rFonts w:ascii="Arial" w:hAnsi="Arial" w:cs="Arial"/>
        </w:rPr>
        <w:t xml:space="preserve">, </w:t>
      </w:r>
      <w:r w:rsidR="0032138D" w:rsidRPr="0032138D">
        <w:rPr>
          <w:rFonts w:ascii="Arial" w:hAnsi="Arial" w:cs="Arial"/>
        </w:rPr>
        <w:t>Tan &amp; Merchant 2022</w:t>
      </w:r>
      <w:r w:rsidR="0032138D" w:rsidRPr="0032138D">
        <w:rPr>
          <w:rFonts w:ascii="Arial" w:hAnsi="Arial" w:cs="Arial"/>
          <w:lang w:val="en-US"/>
        </w:rPr>
        <w:t xml:space="preserve">, </w:t>
      </w:r>
      <w:r w:rsidR="002007E8" w:rsidRPr="002007E8">
        <w:rPr>
          <w:rFonts w:ascii="Arial" w:hAnsi="Arial" w:cs="Arial"/>
          <w:lang w:val="en-US"/>
        </w:rPr>
        <w:t>Rebok</w:t>
      </w:r>
      <w:r w:rsidR="002007E8">
        <w:rPr>
          <w:rFonts w:ascii="Arial" w:hAnsi="Arial" w:cs="Arial"/>
          <w:lang w:val="en-US"/>
        </w:rPr>
        <w:t xml:space="preserve"> et al.</w:t>
      </w:r>
      <w:r w:rsidR="002007E8" w:rsidRPr="002007E8">
        <w:rPr>
          <w:rFonts w:ascii="Arial" w:hAnsi="Arial" w:cs="Arial"/>
          <w:lang w:val="en-US"/>
        </w:rPr>
        <w:t xml:space="preserve"> 2023</w:t>
      </w:r>
      <w:r w:rsidR="002007E8">
        <w:rPr>
          <w:rFonts w:ascii="Arial" w:hAnsi="Arial" w:cs="Arial"/>
          <w:lang w:val="en-US"/>
        </w:rPr>
        <w:t xml:space="preserve">, </w:t>
      </w:r>
      <w:r w:rsidR="0032138D" w:rsidRPr="0032138D">
        <w:rPr>
          <w:rFonts w:ascii="Arial" w:hAnsi="Arial" w:cs="Arial"/>
          <w:lang w:val="en-US"/>
        </w:rPr>
        <w:t xml:space="preserve">Santamaria-Garcia et al. 2023, </w:t>
      </w:r>
      <w:r w:rsidR="002007E8" w:rsidRPr="002007E8">
        <w:rPr>
          <w:rFonts w:ascii="Arial" w:hAnsi="Arial" w:cs="Arial"/>
          <w:lang w:val="en-US"/>
        </w:rPr>
        <w:t>Huang</w:t>
      </w:r>
      <w:r w:rsidR="002007E8">
        <w:rPr>
          <w:rFonts w:ascii="Arial" w:hAnsi="Arial" w:cs="Arial"/>
          <w:lang w:val="en-US"/>
        </w:rPr>
        <w:t xml:space="preserve"> et AL.</w:t>
      </w:r>
      <w:r w:rsidR="002007E8" w:rsidRPr="002007E8">
        <w:rPr>
          <w:rFonts w:ascii="Arial" w:hAnsi="Arial" w:cs="Arial"/>
          <w:lang w:val="en-US"/>
        </w:rPr>
        <w:t xml:space="preserve"> 2024</w:t>
      </w:r>
      <w:r w:rsidR="002007E8">
        <w:rPr>
          <w:rFonts w:ascii="Arial" w:hAnsi="Arial" w:cs="Arial"/>
          <w:lang w:val="en-US"/>
        </w:rPr>
        <w:t>,</w:t>
      </w:r>
      <w:r w:rsidR="002007E8" w:rsidRPr="0032138D">
        <w:rPr>
          <w:rFonts w:ascii="Arial" w:hAnsi="Arial" w:cs="Arial"/>
          <w:lang w:val="en-US"/>
        </w:rPr>
        <w:t xml:space="preserve"> </w:t>
      </w:r>
      <w:r w:rsidR="009C4EA5" w:rsidRPr="0032138D">
        <w:rPr>
          <w:rFonts w:ascii="Arial" w:hAnsi="Arial" w:cs="Arial"/>
          <w:lang w:val="en-US"/>
        </w:rPr>
        <w:t>Rueda-De-la-Rosa et al. 2024</w:t>
      </w:r>
      <w:r w:rsidR="0032138D">
        <w:rPr>
          <w:rFonts w:ascii="Arial" w:hAnsi="Arial" w:cs="Arial"/>
          <w:lang w:val="en-US"/>
        </w:rPr>
        <w:t xml:space="preserve">, </w:t>
      </w:r>
      <w:r w:rsidR="0032138D" w:rsidRPr="0032138D">
        <w:rPr>
          <w:rFonts w:ascii="Arial" w:hAnsi="Arial" w:cs="Arial"/>
          <w:lang w:val="en-US"/>
        </w:rPr>
        <w:t>Zhao</w:t>
      </w:r>
      <w:r w:rsidR="0032138D">
        <w:rPr>
          <w:rFonts w:ascii="Arial" w:hAnsi="Arial" w:cs="Arial"/>
          <w:lang w:val="en-US"/>
        </w:rPr>
        <w:t xml:space="preserve"> et al.</w:t>
      </w:r>
      <w:r w:rsidR="0032138D" w:rsidRPr="0032138D">
        <w:rPr>
          <w:rFonts w:ascii="Arial" w:hAnsi="Arial" w:cs="Arial"/>
          <w:lang w:val="en-US"/>
        </w:rPr>
        <w:t xml:space="preserve"> 2024</w:t>
      </w:r>
      <w:r w:rsidR="009C4EA5" w:rsidRPr="0032138D">
        <w:rPr>
          <w:rFonts w:ascii="Arial" w:hAnsi="Arial" w:cs="Arial"/>
          <w:lang w:val="en-US"/>
        </w:rPr>
        <w:t>)</w:t>
      </w:r>
      <w:r w:rsidRPr="0032138D">
        <w:rPr>
          <w:rFonts w:ascii="Arial" w:hAnsi="Arial" w:cs="Arial"/>
          <w:lang w:val="en-US"/>
        </w:rPr>
        <w:t>.</w:t>
      </w:r>
    </w:p>
    <w:p w14:paraId="789126D3" w14:textId="77777777" w:rsidR="0025163C" w:rsidRPr="0032138D" w:rsidRDefault="0025163C" w:rsidP="00CA754A">
      <w:pPr>
        <w:pStyle w:val="Body"/>
        <w:spacing w:after="0"/>
        <w:rPr>
          <w:rFonts w:ascii="Arial" w:hAnsi="Arial" w:cs="Arial"/>
          <w:lang w:val="en-US"/>
        </w:rPr>
      </w:pPr>
    </w:p>
    <w:p w14:paraId="2CE16687" w14:textId="459E6E79" w:rsidR="00CA754A" w:rsidRDefault="00943A37" w:rsidP="00CA754A">
      <w:pPr>
        <w:pStyle w:val="Body"/>
        <w:spacing w:after="0"/>
        <w:rPr>
          <w:rFonts w:ascii="Arial" w:hAnsi="Arial" w:cs="Arial"/>
        </w:rPr>
      </w:pPr>
      <w:r>
        <w:rPr>
          <w:rFonts w:ascii="Arial" w:hAnsi="Arial" w:cs="Arial"/>
        </w:rPr>
        <w:t>Additionally, f</w:t>
      </w:r>
      <w:r w:rsidR="0025163C" w:rsidRPr="0025163C">
        <w:rPr>
          <w:rFonts w:ascii="Arial" w:hAnsi="Arial" w:cs="Arial"/>
        </w:rPr>
        <w:t>unctional impairment a</w:t>
      </w:r>
      <w:r>
        <w:rPr>
          <w:rFonts w:ascii="Arial" w:hAnsi="Arial" w:cs="Arial"/>
        </w:rPr>
        <w:t>lso has cascading effects on elderly</w:t>
      </w:r>
      <w:r w:rsidR="0025163C" w:rsidRPr="0025163C">
        <w:rPr>
          <w:rFonts w:ascii="Arial" w:hAnsi="Arial" w:cs="Arial"/>
        </w:rPr>
        <w:t xml:space="preserve"> mental health of </w:t>
      </w:r>
      <w:r w:rsidR="00D0126C">
        <w:rPr>
          <w:rFonts w:ascii="Arial" w:hAnsi="Arial" w:cs="Arial"/>
        </w:rPr>
        <w:t>(</w:t>
      </w:r>
      <w:r w:rsidR="00D0126C" w:rsidRPr="00D0126C">
        <w:rPr>
          <w:rFonts w:ascii="Arial" w:hAnsi="Arial" w:cs="Arial"/>
        </w:rPr>
        <w:t>Muramatsu &amp; Hedeker 2010</w:t>
      </w:r>
      <w:r w:rsidR="00D0126C">
        <w:rPr>
          <w:rFonts w:ascii="Arial" w:hAnsi="Arial" w:cs="Arial"/>
        </w:rPr>
        <w:t>,</w:t>
      </w:r>
      <w:r w:rsidR="00D0126C" w:rsidRPr="00D0126C">
        <w:rPr>
          <w:rFonts w:ascii="Arial" w:hAnsi="Arial" w:cs="Arial"/>
          <w:lang w:val="en-US"/>
        </w:rPr>
        <w:t xml:space="preserve"> </w:t>
      </w:r>
      <w:r w:rsidR="002E2631" w:rsidRPr="002E2631">
        <w:rPr>
          <w:rFonts w:ascii="Arial" w:hAnsi="Arial" w:cs="Arial"/>
          <w:lang w:val="en-US"/>
        </w:rPr>
        <w:t xml:space="preserve">Hofmann </w:t>
      </w:r>
      <w:r w:rsidR="002E2631">
        <w:rPr>
          <w:rFonts w:ascii="Arial" w:hAnsi="Arial" w:cs="Arial"/>
          <w:lang w:val="en-US"/>
        </w:rPr>
        <w:t xml:space="preserve">et al. 2020, </w:t>
      </w:r>
      <w:r w:rsidR="00D0126C" w:rsidRPr="00D0126C">
        <w:rPr>
          <w:rFonts w:ascii="Arial" w:hAnsi="Arial" w:cs="Arial"/>
          <w:lang w:val="en-US"/>
        </w:rPr>
        <w:t>Reynolds et al. 2022)</w:t>
      </w:r>
      <w:r w:rsidR="0025163C" w:rsidRPr="00D0126C">
        <w:rPr>
          <w:rFonts w:ascii="Arial" w:hAnsi="Arial" w:cs="Arial"/>
          <w:lang w:val="en-US"/>
        </w:rPr>
        <w:t xml:space="preserve">. </w:t>
      </w:r>
      <w:r>
        <w:rPr>
          <w:rFonts w:ascii="Arial" w:hAnsi="Arial" w:cs="Arial"/>
          <w:lang w:val="en-US"/>
        </w:rPr>
        <w:t xml:space="preserve">So, </w:t>
      </w:r>
      <w:r>
        <w:rPr>
          <w:rFonts w:ascii="Arial" w:hAnsi="Arial" w:cs="Arial"/>
        </w:rPr>
        <w:t>t</w:t>
      </w:r>
      <w:r w:rsidR="0025163C" w:rsidRPr="0025163C">
        <w:rPr>
          <w:rFonts w:ascii="Arial" w:hAnsi="Arial" w:cs="Arial"/>
        </w:rPr>
        <w:t xml:space="preserve">he loss of independence can lead to </w:t>
      </w:r>
      <w:r>
        <w:rPr>
          <w:rFonts w:ascii="Arial" w:hAnsi="Arial" w:cs="Arial"/>
        </w:rPr>
        <w:t xml:space="preserve">frustration </w:t>
      </w:r>
      <w:r w:rsidR="0025163C" w:rsidRPr="0025163C">
        <w:rPr>
          <w:rFonts w:ascii="Arial" w:hAnsi="Arial" w:cs="Arial"/>
        </w:rPr>
        <w:t>feelings, anxiety, and depression, further affecting their overall health</w:t>
      </w:r>
      <w:r w:rsidR="002E2631">
        <w:rPr>
          <w:rFonts w:ascii="Arial" w:hAnsi="Arial" w:cs="Arial"/>
        </w:rPr>
        <w:t xml:space="preserve"> (</w:t>
      </w:r>
      <w:proofErr w:type="spellStart"/>
      <w:r w:rsidR="002E2631" w:rsidRPr="002E2631">
        <w:rPr>
          <w:rFonts w:ascii="Arial" w:hAnsi="Arial" w:cs="Arial"/>
        </w:rPr>
        <w:t>Mofatteh</w:t>
      </w:r>
      <w:proofErr w:type="spellEnd"/>
      <w:r w:rsidR="002E2631" w:rsidRPr="002E2631">
        <w:rPr>
          <w:rFonts w:ascii="Arial" w:hAnsi="Arial" w:cs="Arial"/>
        </w:rPr>
        <w:t xml:space="preserve"> 2020</w:t>
      </w:r>
      <w:r w:rsidR="002E2631">
        <w:rPr>
          <w:rFonts w:ascii="Arial" w:hAnsi="Arial" w:cs="Arial"/>
        </w:rPr>
        <w:t>)</w:t>
      </w:r>
      <w:r w:rsidR="0025163C" w:rsidRPr="0025163C">
        <w:rPr>
          <w:rFonts w:ascii="Arial" w:hAnsi="Arial" w:cs="Arial"/>
        </w:rPr>
        <w:t>. Additionally, family members and caregivers often experience emotional, physical, and financial strain while providing support, highlighting the ripple effects of this condition beyond the individual</w:t>
      </w:r>
      <w:r w:rsidR="002E2631">
        <w:rPr>
          <w:rFonts w:ascii="Arial" w:hAnsi="Arial" w:cs="Arial"/>
        </w:rPr>
        <w:t xml:space="preserve"> (</w:t>
      </w:r>
      <w:r w:rsidR="0036578E" w:rsidRPr="0036578E">
        <w:rPr>
          <w:rFonts w:ascii="Arial" w:hAnsi="Arial" w:cs="Arial"/>
        </w:rPr>
        <w:t>Schulz &amp; Sherwood 2008</w:t>
      </w:r>
      <w:r w:rsidR="0036578E">
        <w:rPr>
          <w:rFonts w:ascii="Arial" w:hAnsi="Arial" w:cs="Arial"/>
        </w:rPr>
        <w:t xml:space="preserve">, </w:t>
      </w:r>
      <w:r w:rsidR="002E2631">
        <w:rPr>
          <w:rFonts w:ascii="Arial" w:hAnsi="Arial" w:cs="Arial"/>
        </w:rPr>
        <w:t xml:space="preserve">CFCOA, et al. 2016, </w:t>
      </w:r>
      <w:r w:rsidR="002E2631" w:rsidRPr="00D0126C">
        <w:rPr>
          <w:rFonts w:ascii="Arial" w:hAnsi="Arial" w:cs="Arial"/>
          <w:lang w:val="en-US"/>
        </w:rPr>
        <w:t>Reynolds et al. 2022)</w:t>
      </w:r>
      <w:r w:rsidR="0025163C" w:rsidRPr="0025163C">
        <w:rPr>
          <w:rFonts w:ascii="Arial" w:hAnsi="Arial" w:cs="Arial"/>
        </w:rPr>
        <w:t>.</w:t>
      </w:r>
      <w:r>
        <w:rPr>
          <w:rFonts w:ascii="Arial" w:hAnsi="Arial" w:cs="Arial"/>
        </w:rPr>
        <w:t xml:space="preserve"> In fact, u</w:t>
      </w:r>
      <w:r w:rsidR="0025163C" w:rsidRPr="0025163C">
        <w:rPr>
          <w:rFonts w:ascii="Arial" w:hAnsi="Arial" w:cs="Arial"/>
        </w:rPr>
        <w:t xml:space="preserve">nderstanding the prevalence, risk factors, and comorbidities associated with functional impairment is crucial for developing effective interventions. Strategies such as early screening, rehabilitation programmes, and community-based support can mitigate the impact of functional decline. </w:t>
      </w:r>
      <w:r>
        <w:rPr>
          <w:rFonts w:ascii="Arial" w:hAnsi="Arial" w:cs="Arial"/>
        </w:rPr>
        <w:t>Likewise, p</w:t>
      </w:r>
      <w:r w:rsidR="0025163C" w:rsidRPr="0025163C">
        <w:rPr>
          <w:rFonts w:ascii="Arial" w:hAnsi="Arial" w:cs="Arial"/>
        </w:rPr>
        <w:t>romoting healthy ageing through physical activity, balanced nutrition, and social engagement can also serve as preventive measures.</w:t>
      </w:r>
    </w:p>
    <w:p w14:paraId="54DECAC0" w14:textId="77777777" w:rsidR="00CA754A" w:rsidRDefault="00CA754A" w:rsidP="00CA754A">
      <w:pPr>
        <w:pStyle w:val="Body"/>
        <w:spacing w:after="0"/>
        <w:rPr>
          <w:rFonts w:ascii="Arial" w:hAnsi="Arial" w:cs="Arial"/>
        </w:rPr>
      </w:pPr>
    </w:p>
    <w:p w14:paraId="0748AB81" w14:textId="7F358A02" w:rsidR="00DD399C" w:rsidRDefault="00943A37" w:rsidP="00CA754A">
      <w:pPr>
        <w:pStyle w:val="Body"/>
        <w:spacing w:after="0"/>
        <w:rPr>
          <w:rFonts w:ascii="Arial" w:hAnsi="Arial" w:cs="Arial"/>
        </w:rPr>
      </w:pPr>
      <w:r>
        <w:rPr>
          <w:rFonts w:ascii="Arial" w:hAnsi="Arial" w:cs="Arial"/>
        </w:rPr>
        <w:t>Since</w:t>
      </w:r>
      <w:r w:rsidR="0025163C" w:rsidRPr="0025163C">
        <w:rPr>
          <w:rFonts w:ascii="Arial" w:hAnsi="Arial" w:cs="Arial"/>
        </w:rPr>
        <w:t xml:space="preserve"> the rapidly growing elderly population globally</w:t>
      </w:r>
      <w:r w:rsidR="0036578E">
        <w:rPr>
          <w:rFonts w:ascii="Arial" w:hAnsi="Arial" w:cs="Arial"/>
        </w:rPr>
        <w:t xml:space="preserve"> (</w:t>
      </w:r>
      <w:r w:rsidR="0036578E" w:rsidRPr="009C4EA5">
        <w:rPr>
          <w:rFonts w:ascii="Arial" w:hAnsi="Arial" w:cs="Arial"/>
        </w:rPr>
        <w:t>Rueda-De-la-Rosa</w:t>
      </w:r>
      <w:r w:rsidR="0036578E">
        <w:rPr>
          <w:rFonts w:ascii="Arial" w:hAnsi="Arial" w:cs="Arial"/>
        </w:rPr>
        <w:t xml:space="preserve"> et al. 2024, López-Hernández et al. 2024b)</w:t>
      </w:r>
      <w:r>
        <w:rPr>
          <w:rFonts w:ascii="Arial" w:hAnsi="Arial" w:cs="Arial"/>
        </w:rPr>
        <w:t xml:space="preserve"> it is essential to address</w:t>
      </w:r>
      <w:r w:rsidR="0025163C" w:rsidRPr="0025163C">
        <w:rPr>
          <w:rFonts w:ascii="Arial" w:hAnsi="Arial" w:cs="Arial"/>
        </w:rPr>
        <w:t xml:space="preserve"> functional impairm</w:t>
      </w:r>
      <w:r>
        <w:rPr>
          <w:rFonts w:ascii="Arial" w:hAnsi="Arial" w:cs="Arial"/>
        </w:rPr>
        <w:t>ent</w:t>
      </w:r>
      <w:r w:rsidR="0025163C" w:rsidRPr="0025163C">
        <w:rPr>
          <w:rFonts w:ascii="Arial" w:hAnsi="Arial" w:cs="Arial"/>
        </w:rPr>
        <w:t xml:space="preserve"> for fostering an environment that supports the dignity, independence, and well-being of older adults. </w:t>
      </w:r>
      <w:r>
        <w:rPr>
          <w:rFonts w:ascii="Arial" w:hAnsi="Arial" w:cs="Arial"/>
        </w:rPr>
        <w:t xml:space="preserve">Moreover, </w:t>
      </w:r>
      <w:r w:rsidRPr="0025163C">
        <w:rPr>
          <w:rFonts w:ascii="Arial" w:hAnsi="Arial" w:cs="Arial"/>
        </w:rPr>
        <w:t>integrating</w:t>
      </w:r>
      <w:r w:rsidR="0025163C" w:rsidRPr="0025163C">
        <w:rPr>
          <w:rFonts w:ascii="Arial" w:hAnsi="Arial" w:cs="Arial"/>
        </w:rPr>
        <w:t xml:space="preserve"> multidisciplinary approaches in healthcare and public policy can ensure </w:t>
      </w:r>
      <w:r w:rsidR="0025163C" w:rsidRPr="0025163C">
        <w:rPr>
          <w:rFonts w:ascii="Arial" w:hAnsi="Arial" w:cs="Arial"/>
        </w:rPr>
        <w:lastRenderedPageBreak/>
        <w:t>a more holistic response to the challenges posed by this critical issue</w:t>
      </w:r>
      <w:r w:rsidR="00DA70A9">
        <w:rPr>
          <w:rFonts w:ascii="Arial" w:hAnsi="Arial" w:cs="Arial"/>
        </w:rPr>
        <w:t xml:space="preserve"> (</w:t>
      </w:r>
      <w:r w:rsidR="00DA70A9" w:rsidRPr="00D0126C">
        <w:rPr>
          <w:rFonts w:ascii="Arial" w:hAnsi="Arial" w:cs="Arial"/>
          <w:lang w:val="en-US"/>
        </w:rPr>
        <w:t>Reynolds et al. 2022</w:t>
      </w:r>
      <w:r w:rsidR="00DA70A9">
        <w:rPr>
          <w:rFonts w:ascii="Arial" w:hAnsi="Arial" w:cs="Arial"/>
          <w:lang w:val="en-US"/>
        </w:rPr>
        <w:t xml:space="preserve">, </w:t>
      </w:r>
      <w:r w:rsidR="00DA70A9" w:rsidRPr="00DA70A9">
        <w:rPr>
          <w:rFonts w:ascii="Arial" w:hAnsi="Arial" w:cs="Arial"/>
          <w:lang w:val="en-US"/>
        </w:rPr>
        <w:t>Culberson</w:t>
      </w:r>
      <w:r w:rsidR="00DA70A9">
        <w:rPr>
          <w:rFonts w:ascii="Arial" w:hAnsi="Arial" w:cs="Arial"/>
          <w:lang w:val="en-US"/>
        </w:rPr>
        <w:t xml:space="preserve"> et al. </w:t>
      </w:r>
      <w:r w:rsidR="00DA70A9" w:rsidRPr="00DA70A9">
        <w:rPr>
          <w:rFonts w:ascii="Arial" w:hAnsi="Arial" w:cs="Arial"/>
          <w:lang w:val="en-US"/>
        </w:rPr>
        <w:t>2023</w:t>
      </w:r>
      <w:r w:rsidR="009D10F5">
        <w:rPr>
          <w:rFonts w:ascii="Arial" w:hAnsi="Arial" w:cs="Arial"/>
          <w:lang w:val="en-US"/>
        </w:rPr>
        <w:t xml:space="preserve">, </w:t>
      </w:r>
      <w:r w:rsidR="009D10F5" w:rsidRPr="009D10F5">
        <w:rPr>
          <w:rFonts w:ascii="Arial" w:hAnsi="Arial" w:cs="Arial"/>
          <w:lang w:val="en-US"/>
        </w:rPr>
        <w:t>Hong</w:t>
      </w:r>
      <w:r w:rsidR="009D10F5">
        <w:rPr>
          <w:rFonts w:ascii="Arial" w:hAnsi="Arial" w:cs="Arial"/>
          <w:lang w:val="en-US"/>
        </w:rPr>
        <w:t xml:space="preserve"> et al. </w:t>
      </w:r>
      <w:r w:rsidR="009D10F5" w:rsidRPr="009D10F5">
        <w:rPr>
          <w:rFonts w:ascii="Arial" w:hAnsi="Arial" w:cs="Arial"/>
          <w:lang w:val="en-US"/>
        </w:rPr>
        <w:t>2023</w:t>
      </w:r>
      <w:r w:rsidR="00DA70A9">
        <w:rPr>
          <w:rFonts w:ascii="Arial" w:hAnsi="Arial" w:cs="Arial"/>
          <w:lang w:val="en-US"/>
        </w:rPr>
        <w:t>)</w:t>
      </w:r>
      <w:r w:rsidR="0025163C" w:rsidRPr="0025163C">
        <w:rPr>
          <w:rFonts w:ascii="Arial" w:hAnsi="Arial" w:cs="Arial"/>
        </w:rPr>
        <w:t>.</w:t>
      </w:r>
      <w:r w:rsidR="00CA754A" w:rsidRPr="00CA754A">
        <w:t xml:space="preserve"> </w:t>
      </w:r>
      <w:r w:rsidR="00CA754A" w:rsidRPr="00CA754A">
        <w:rPr>
          <w:rFonts w:ascii="Arial" w:hAnsi="Arial" w:cs="Arial"/>
        </w:rPr>
        <w:t>This research seeks to provide insights into the underlying causes of functional impairment and its impact on older adults’ daily lives by identifying and comprehensively characterising elderly subjects with functional impairment and their associated factors. Its findings will contribute to the development of evidence-based strategies to reduce functional decline, promote independence, and improve the quality of care and life for the ageing population.</w:t>
      </w:r>
    </w:p>
    <w:p w14:paraId="7F028027" w14:textId="77777777" w:rsidR="00CA754A" w:rsidRPr="00515BFE" w:rsidRDefault="00CA754A" w:rsidP="00CA754A">
      <w:pPr>
        <w:pStyle w:val="Body"/>
        <w:spacing w:after="0"/>
        <w:rPr>
          <w:rFonts w:ascii="Arial" w:hAnsi="Arial" w:cs="Arial"/>
        </w:rPr>
      </w:pPr>
    </w:p>
    <w:p w14:paraId="735A5630" w14:textId="7F1F7B71" w:rsidR="009B427A" w:rsidRPr="0054404D" w:rsidRDefault="009B427A" w:rsidP="00CA754A">
      <w:pPr>
        <w:pStyle w:val="Body"/>
        <w:spacing w:after="0"/>
        <w:rPr>
          <w:rFonts w:ascii="Arial" w:hAnsi="Arial" w:cs="Arial"/>
          <w:b/>
          <w:caps/>
          <w:sz w:val="22"/>
        </w:rPr>
      </w:pPr>
      <w:r w:rsidRPr="0054404D">
        <w:rPr>
          <w:rFonts w:ascii="Arial" w:hAnsi="Arial" w:cs="Arial"/>
          <w:b/>
          <w:caps/>
          <w:sz w:val="22"/>
        </w:rPr>
        <w:t xml:space="preserve">1.1 </w:t>
      </w:r>
      <w:r w:rsidR="00A27614" w:rsidRPr="0054404D">
        <w:rPr>
          <w:rFonts w:ascii="Arial" w:hAnsi="Arial" w:cs="Arial"/>
          <w:b/>
          <w:sz w:val="22"/>
        </w:rPr>
        <w:t>The Aim</w:t>
      </w:r>
      <w:r w:rsidR="00515BFE">
        <w:rPr>
          <w:rFonts w:ascii="Arial" w:hAnsi="Arial" w:cs="Arial"/>
          <w:b/>
          <w:sz w:val="22"/>
        </w:rPr>
        <w:t>s</w:t>
      </w:r>
      <w:r w:rsidR="00A27614" w:rsidRPr="0054404D">
        <w:rPr>
          <w:rFonts w:ascii="Arial" w:hAnsi="Arial" w:cs="Arial"/>
          <w:b/>
          <w:sz w:val="22"/>
        </w:rPr>
        <w:t xml:space="preserve"> of the Study</w:t>
      </w:r>
      <w:r w:rsidRPr="0054404D">
        <w:rPr>
          <w:rFonts w:ascii="Arial" w:hAnsi="Arial" w:cs="Arial"/>
          <w:b/>
          <w:sz w:val="22"/>
        </w:rPr>
        <w:t>.</w:t>
      </w:r>
    </w:p>
    <w:p w14:paraId="7042DC8D" w14:textId="2896C30A" w:rsidR="00D81186" w:rsidRDefault="00CA754A" w:rsidP="00CA754A">
      <w:pPr>
        <w:pStyle w:val="Body"/>
        <w:spacing w:after="0"/>
        <w:rPr>
          <w:rFonts w:ascii="Arial" w:hAnsi="Arial" w:cs="Arial"/>
        </w:rPr>
      </w:pPr>
      <w:r w:rsidRPr="00CA754A">
        <w:rPr>
          <w:rFonts w:ascii="Arial" w:hAnsi="Arial" w:cs="Arial"/>
        </w:rPr>
        <w:t>This study aims to identify and describe sociodemographic characteristics of elderly subjects with functional impairment and their associated factors.</w:t>
      </w:r>
    </w:p>
    <w:p w14:paraId="0744432B" w14:textId="77777777" w:rsidR="00283791" w:rsidRPr="0054404D" w:rsidRDefault="00283791" w:rsidP="00CA754A">
      <w:pPr>
        <w:pStyle w:val="Body"/>
        <w:spacing w:after="0"/>
        <w:rPr>
          <w:rFonts w:ascii="Arial" w:hAnsi="Arial" w:cs="Arial"/>
        </w:rPr>
      </w:pPr>
    </w:p>
    <w:p w14:paraId="0813E6FA" w14:textId="6E37181E" w:rsidR="007F7B32" w:rsidRPr="0054404D" w:rsidRDefault="00902823" w:rsidP="00CA754A">
      <w:pPr>
        <w:pStyle w:val="AbstHead"/>
        <w:spacing w:after="0"/>
        <w:jc w:val="both"/>
        <w:rPr>
          <w:rFonts w:ascii="Arial" w:hAnsi="Arial" w:cs="Arial"/>
        </w:rPr>
      </w:pPr>
      <w:r w:rsidRPr="0054404D">
        <w:rPr>
          <w:rFonts w:ascii="Arial" w:hAnsi="Arial" w:cs="Arial"/>
        </w:rPr>
        <w:t>2. material and method</w:t>
      </w:r>
      <w:r w:rsidR="00000F8F" w:rsidRPr="0054404D">
        <w:rPr>
          <w:rFonts w:ascii="Arial" w:hAnsi="Arial" w:cs="Arial"/>
        </w:rPr>
        <w:t>s</w:t>
      </w:r>
    </w:p>
    <w:p w14:paraId="6DBB30AA" w14:textId="6480BF92" w:rsidR="00C751D3" w:rsidRPr="0054404D" w:rsidRDefault="00AA74E0" w:rsidP="00CA754A">
      <w:pPr>
        <w:pStyle w:val="Body"/>
        <w:spacing w:after="0"/>
        <w:rPr>
          <w:rFonts w:ascii="Arial" w:hAnsi="Arial" w:cs="Arial"/>
          <w:b/>
          <w:caps/>
          <w:sz w:val="22"/>
        </w:rPr>
      </w:pPr>
      <w:r w:rsidRPr="0054404D">
        <w:rPr>
          <w:rFonts w:ascii="Arial" w:hAnsi="Arial" w:cs="Arial"/>
          <w:b/>
          <w:caps/>
          <w:sz w:val="22"/>
        </w:rPr>
        <w:t xml:space="preserve">2.1 </w:t>
      </w:r>
      <w:r w:rsidR="00C751D3" w:rsidRPr="0054404D">
        <w:rPr>
          <w:rFonts w:ascii="Arial" w:hAnsi="Arial" w:cs="Arial"/>
          <w:b/>
          <w:sz w:val="22"/>
        </w:rPr>
        <w:t>Study design and settings.</w:t>
      </w:r>
    </w:p>
    <w:p w14:paraId="31FD28A6" w14:textId="0BD5E899" w:rsidR="006C6321" w:rsidRDefault="00FD11A4" w:rsidP="00CA754A">
      <w:pPr>
        <w:pStyle w:val="Body"/>
        <w:spacing w:after="0"/>
        <w:rPr>
          <w:rFonts w:ascii="Arial" w:hAnsi="Arial" w:cs="Arial"/>
        </w:rPr>
      </w:pPr>
      <w:bookmarkStart w:id="0" w:name="_Hlk189935402"/>
      <w:r w:rsidRPr="00FD11A4">
        <w:rPr>
          <w:rFonts w:ascii="Arial" w:hAnsi="Arial" w:cs="Arial"/>
        </w:rPr>
        <w:t xml:space="preserve">A </w:t>
      </w:r>
      <w:r w:rsidR="005C6F35">
        <w:rPr>
          <w:rFonts w:ascii="Arial" w:hAnsi="Arial" w:cs="Arial"/>
        </w:rPr>
        <w:t>descriptive</w:t>
      </w:r>
      <w:r w:rsidR="00E71AE8">
        <w:rPr>
          <w:rFonts w:ascii="Arial" w:hAnsi="Arial" w:cs="Arial"/>
        </w:rPr>
        <w:t>,</w:t>
      </w:r>
      <w:r w:rsidR="005C6F35">
        <w:rPr>
          <w:rFonts w:ascii="Arial" w:hAnsi="Arial" w:cs="Arial"/>
        </w:rPr>
        <w:t xml:space="preserve"> </w:t>
      </w:r>
      <w:r w:rsidR="00DB654C" w:rsidRPr="00DB654C">
        <w:rPr>
          <w:rFonts w:ascii="Arial" w:hAnsi="Arial" w:cs="Arial"/>
          <w:highlight w:val="yellow"/>
        </w:rPr>
        <w:t xml:space="preserve">and </w:t>
      </w:r>
      <w:r w:rsidRPr="00DB654C">
        <w:rPr>
          <w:rFonts w:ascii="Arial" w:hAnsi="Arial" w:cs="Arial"/>
          <w:highlight w:val="yellow"/>
        </w:rPr>
        <w:t>cross-sectional study</w:t>
      </w:r>
      <w:r w:rsidRPr="00FD11A4">
        <w:rPr>
          <w:rFonts w:ascii="Arial" w:hAnsi="Arial" w:cs="Arial"/>
        </w:rPr>
        <w:t xml:space="preserve"> </w:t>
      </w:r>
      <w:r w:rsidR="00772665" w:rsidRPr="00772665">
        <w:rPr>
          <w:rFonts w:ascii="Arial" w:hAnsi="Arial" w:cs="Arial"/>
        </w:rPr>
        <w:t>with an analytical approach</w:t>
      </w:r>
      <w:bookmarkEnd w:id="0"/>
      <w:r w:rsidR="00772665" w:rsidRPr="00772665">
        <w:rPr>
          <w:rFonts w:ascii="Arial" w:hAnsi="Arial" w:cs="Arial"/>
        </w:rPr>
        <w:t xml:space="preserve"> </w:t>
      </w:r>
      <w:r w:rsidRPr="00FD11A4">
        <w:rPr>
          <w:rFonts w:ascii="Arial" w:hAnsi="Arial" w:cs="Arial"/>
        </w:rPr>
        <w:t>was designed and conducted</w:t>
      </w:r>
      <w:r w:rsidR="00943A37">
        <w:rPr>
          <w:rFonts w:ascii="Arial" w:hAnsi="Arial" w:cs="Arial"/>
        </w:rPr>
        <w:t xml:space="preserve"> with </w:t>
      </w:r>
      <w:r w:rsidRPr="00FD11A4">
        <w:rPr>
          <w:rFonts w:ascii="Arial" w:hAnsi="Arial" w:cs="Arial"/>
        </w:rPr>
        <w:t xml:space="preserve">Mexican </w:t>
      </w:r>
      <w:r w:rsidR="00E71AE8">
        <w:rPr>
          <w:rFonts w:ascii="Arial" w:hAnsi="Arial" w:cs="Arial"/>
        </w:rPr>
        <w:t xml:space="preserve">elderly </w:t>
      </w:r>
      <w:r w:rsidRPr="00FD11A4">
        <w:rPr>
          <w:rFonts w:ascii="Arial" w:hAnsi="Arial" w:cs="Arial"/>
        </w:rPr>
        <w:t xml:space="preserve">patients </w:t>
      </w:r>
      <w:r w:rsidR="00E71AE8" w:rsidRPr="00E71AE8">
        <w:rPr>
          <w:rFonts w:ascii="Arial" w:hAnsi="Arial" w:cs="Arial"/>
        </w:rPr>
        <w:t xml:space="preserve">who attended </w:t>
      </w:r>
      <w:r w:rsidRPr="00FD11A4">
        <w:rPr>
          <w:rFonts w:ascii="Arial" w:hAnsi="Arial" w:cs="Arial"/>
        </w:rPr>
        <w:t>outpatient consultations in the Family Medicine Specialty and General Medicine departments at the "División del Norte" Family Medicine Clinic (FMC), ISSSTE, in Mexico C</w:t>
      </w:r>
      <w:r w:rsidR="00943A37">
        <w:rPr>
          <w:rFonts w:ascii="Arial" w:hAnsi="Arial" w:cs="Arial"/>
        </w:rPr>
        <w:t>ity, Mexico. The data</w:t>
      </w:r>
      <w:r w:rsidRPr="00FD11A4">
        <w:rPr>
          <w:rFonts w:ascii="Arial" w:hAnsi="Arial" w:cs="Arial"/>
        </w:rPr>
        <w:t xml:space="preserve"> was</w:t>
      </w:r>
      <w:r w:rsidR="00943A37">
        <w:rPr>
          <w:rFonts w:ascii="Arial" w:hAnsi="Arial" w:cs="Arial"/>
        </w:rPr>
        <w:t xml:space="preserve"> collected from</w:t>
      </w:r>
      <w:r w:rsidRPr="00FD11A4">
        <w:rPr>
          <w:rFonts w:ascii="Arial" w:hAnsi="Arial" w:cs="Arial"/>
        </w:rPr>
        <w:t xml:space="preserve"> </w:t>
      </w:r>
      <w:r w:rsidR="00D35183">
        <w:rPr>
          <w:rFonts w:ascii="Arial" w:hAnsi="Arial" w:cs="Arial"/>
        </w:rPr>
        <w:t>October</w:t>
      </w:r>
      <w:r w:rsidRPr="00FD11A4">
        <w:rPr>
          <w:rFonts w:ascii="Arial" w:hAnsi="Arial" w:cs="Arial"/>
        </w:rPr>
        <w:t xml:space="preserve"> to December, 202</w:t>
      </w:r>
      <w:r w:rsidR="001B1E3E">
        <w:rPr>
          <w:rFonts w:ascii="Arial" w:hAnsi="Arial" w:cs="Arial"/>
        </w:rPr>
        <w:t>4</w:t>
      </w:r>
      <w:r w:rsidRPr="00FD11A4">
        <w:rPr>
          <w:rFonts w:ascii="Arial" w:hAnsi="Arial" w:cs="Arial"/>
        </w:rPr>
        <w:t>.</w:t>
      </w:r>
    </w:p>
    <w:p w14:paraId="06B7B484" w14:textId="77777777" w:rsidR="006C6321" w:rsidRDefault="006C6321" w:rsidP="00CA754A">
      <w:pPr>
        <w:pStyle w:val="Body"/>
        <w:spacing w:after="0"/>
        <w:rPr>
          <w:rFonts w:ascii="Arial" w:hAnsi="Arial" w:cs="Arial"/>
        </w:rPr>
      </w:pPr>
    </w:p>
    <w:p w14:paraId="003D4BD0" w14:textId="2DEA0B13" w:rsidR="00AA74E0" w:rsidRDefault="001B1E3E" w:rsidP="00CA754A">
      <w:pPr>
        <w:pStyle w:val="Body"/>
        <w:spacing w:after="0"/>
        <w:rPr>
          <w:rFonts w:ascii="Arial" w:hAnsi="Arial" w:cs="Arial"/>
        </w:rPr>
      </w:pPr>
      <w:r w:rsidRPr="001B1E3E">
        <w:rPr>
          <w:rFonts w:ascii="Arial" w:hAnsi="Arial" w:cs="Arial"/>
        </w:rPr>
        <w:t xml:space="preserve">Data collection was conducted using </w:t>
      </w:r>
      <w:r w:rsidR="00D35183">
        <w:rPr>
          <w:rFonts w:ascii="Arial" w:hAnsi="Arial" w:cs="Arial"/>
        </w:rPr>
        <w:t>six</w:t>
      </w:r>
      <w:r w:rsidRPr="001B1E3E">
        <w:rPr>
          <w:rFonts w:ascii="Arial" w:hAnsi="Arial" w:cs="Arial"/>
        </w:rPr>
        <w:t xml:space="preserve"> questionnaires: 1) a sociodemographic factors questionnaire, 2) </w:t>
      </w:r>
      <w:r w:rsidR="00D35183">
        <w:rPr>
          <w:rFonts w:ascii="Arial" w:hAnsi="Arial" w:cs="Arial"/>
        </w:rPr>
        <w:t xml:space="preserve">the AMAI questionnaire, 3) </w:t>
      </w:r>
      <w:r w:rsidRPr="001B1E3E">
        <w:rPr>
          <w:rFonts w:ascii="Arial" w:hAnsi="Arial" w:cs="Arial"/>
        </w:rPr>
        <w:t xml:space="preserve">the </w:t>
      </w:r>
      <w:r w:rsidR="0008469C" w:rsidRPr="0008469C">
        <w:rPr>
          <w:rFonts w:ascii="Arial" w:hAnsi="Arial" w:cs="Arial"/>
        </w:rPr>
        <w:t>Barthel Index</w:t>
      </w:r>
      <w:r w:rsidR="0008469C">
        <w:rPr>
          <w:rFonts w:ascii="Arial" w:hAnsi="Arial" w:cs="Arial"/>
        </w:rPr>
        <w:t xml:space="preserve"> (BI)</w:t>
      </w:r>
      <w:r w:rsidR="0008469C" w:rsidRPr="0008469C">
        <w:rPr>
          <w:rFonts w:ascii="Arial" w:hAnsi="Arial" w:cs="Arial"/>
        </w:rPr>
        <w:t xml:space="preserve"> for Activities of Daily Living (ADL)</w:t>
      </w:r>
      <w:r w:rsidR="005813C7">
        <w:rPr>
          <w:rFonts w:ascii="Arial" w:hAnsi="Arial" w:cs="Arial"/>
        </w:rPr>
        <w:t xml:space="preserve"> (</w:t>
      </w:r>
      <w:r w:rsidR="005813C7" w:rsidRPr="005813C7">
        <w:rPr>
          <w:rFonts w:ascii="Arial" w:hAnsi="Arial" w:cs="Arial"/>
        </w:rPr>
        <w:t>Collin</w:t>
      </w:r>
      <w:r w:rsidR="005813C7">
        <w:rPr>
          <w:rFonts w:ascii="Arial" w:hAnsi="Arial" w:cs="Arial"/>
        </w:rPr>
        <w:t xml:space="preserve"> et al. </w:t>
      </w:r>
      <w:r w:rsidR="005813C7" w:rsidRPr="005813C7">
        <w:rPr>
          <w:rFonts w:ascii="Arial" w:hAnsi="Arial" w:cs="Arial"/>
        </w:rPr>
        <w:t>1988</w:t>
      </w:r>
      <w:r w:rsidR="005813C7">
        <w:rPr>
          <w:rFonts w:ascii="Arial" w:hAnsi="Arial" w:cs="Arial"/>
        </w:rPr>
        <w:t xml:space="preserve">, </w:t>
      </w:r>
      <w:r w:rsidR="005813C7" w:rsidRPr="005813C7">
        <w:rPr>
          <w:rFonts w:ascii="Arial" w:hAnsi="Arial" w:cs="Arial"/>
        </w:rPr>
        <w:t>de Haan</w:t>
      </w:r>
      <w:r w:rsidR="005813C7">
        <w:rPr>
          <w:rFonts w:ascii="Arial" w:hAnsi="Arial" w:cs="Arial"/>
        </w:rPr>
        <w:t xml:space="preserve"> et al. </w:t>
      </w:r>
      <w:r w:rsidR="005813C7" w:rsidRPr="005813C7">
        <w:rPr>
          <w:rFonts w:ascii="Arial" w:hAnsi="Arial" w:cs="Arial"/>
        </w:rPr>
        <w:t>1993</w:t>
      </w:r>
      <w:r w:rsidR="005813C7">
        <w:rPr>
          <w:rFonts w:ascii="Arial" w:hAnsi="Arial" w:cs="Arial"/>
        </w:rPr>
        <w:t xml:space="preserve">, </w:t>
      </w:r>
      <w:proofErr w:type="spellStart"/>
      <w:r w:rsidR="005813C7" w:rsidRPr="005813C7">
        <w:rPr>
          <w:rFonts w:ascii="Arial" w:hAnsi="Arial" w:cs="Arial"/>
        </w:rPr>
        <w:t>Bouwstra</w:t>
      </w:r>
      <w:proofErr w:type="spellEnd"/>
      <w:r w:rsidR="005813C7">
        <w:rPr>
          <w:rFonts w:ascii="Arial" w:hAnsi="Arial" w:cs="Arial"/>
        </w:rPr>
        <w:t xml:space="preserve"> et al. </w:t>
      </w:r>
      <w:r w:rsidR="005813C7" w:rsidRPr="005813C7">
        <w:rPr>
          <w:rFonts w:ascii="Arial" w:hAnsi="Arial" w:cs="Arial"/>
        </w:rPr>
        <w:t>2019</w:t>
      </w:r>
      <w:r w:rsidR="005813C7">
        <w:rPr>
          <w:rFonts w:ascii="Arial" w:hAnsi="Arial" w:cs="Arial"/>
        </w:rPr>
        <w:t>)</w:t>
      </w:r>
      <w:r>
        <w:rPr>
          <w:rFonts w:ascii="Arial" w:hAnsi="Arial" w:cs="Arial"/>
        </w:rPr>
        <w:t xml:space="preserve">, </w:t>
      </w:r>
      <w:r w:rsidR="00D35183">
        <w:rPr>
          <w:rFonts w:ascii="Arial" w:hAnsi="Arial" w:cs="Arial"/>
        </w:rPr>
        <w:t>4</w:t>
      </w:r>
      <w:r>
        <w:rPr>
          <w:rFonts w:ascii="Arial" w:hAnsi="Arial" w:cs="Arial"/>
        </w:rPr>
        <w:t xml:space="preserve">) </w:t>
      </w:r>
      <w:r w:rsidR="0061571A">
        <w:rPr>
          <w:rFonts w:ascii="Arial" w:hAnsi="Arial" w:cs="Arial"/>
        </w:rPr>
        <w:t xml:space="preserve">the </w:t>
      </w:r>
      <w:r w:rsidR="0061571A" w:rsidRPr="0061571A">
        <w:rPr>
          <w:rFonts w:ascii="Arial" w:hAnsi="Arial" w:cs="Arial"/>
        </w:rPr>
        <w:t xml:space="preserve">Katz </w:t>
      </w:r>
      <w:r w:rsidR="0061571A">
        <w:rPr>
          <w:rFonts w:ascii="Arial" w:hAnsi="Arial" w:cs="Arial"/>
        </w:rPr>
        <w:t>I</w:t>
      </w:r>
      <w:r w:rsidR="0061571A" w:rsidRPr="0061571A">
        <w:rPr>
          <w:rFonts w:ascii="Arial" w:hAnsi="Arial" w:cs="Arial"/>
        </w:rPr>
        <w:t xml:space="preserve">ndex </w:t>
      </w:r>
      <w:r w:rsidR="0061571A">
        <w:rPr>
          <w:rFonts w:ascii="Arial" w:hAnsi="Arial" w:cs="Arial"/>
        </w:rPr>
        <w:t xml:space="preserve">(KI) </w:t>
      </w:r>
      <w:r w:rsidR="0061571A" w:rsidRPr="0061571A">
        <w:rPr>
          <w:rFonts w:ascii="Arial" w:hAnsi="Arial" w:cs="Arial"/>
        </w:rPr>
        <w:t>of ADL</w:t>
      </w:r>
      <w:r w:rsidR="007C009F">
        <w:rPr>
          <w:rFonts w:ascii="Arial" w:hAnsi="Arial" w:cs="Arial"/>
        </w:rPr>
        <w:t xml:space="preserve"> (</w:t>
      </w:r>
      <w:r w:rsidR="007C009F" w:rsidRPr="007C009F">
        <w:rPr>
          <w:rFonts w:ascii="Arial" w:hAnsi="Arial" w:cs="Arial"/>
        </w:rPr>
        <w:t>Arik</w:t>
      </w:r>
      <w:r w:rsidR="007C009F">
        <w:rPr>
          <w:rFonts w:ascii="Arial" w:hAnsi="Arial" w:cs="Arial"/>
        </w:rPr>
        <w:t xml:space="preserve"> et al. 2015,</w:t>
      </w:r>
      <w:r w:rsidR="007C009F" w:rsidRPr="007C009F">
        <w:rPr>
          <w:rFonts w:ascii="Arial" w:hAnsi="Arial" w:cs="Arial"/>
        </w:rPr>
        <w:t xml:space="preserve"> Rathnayake</w:t>
      </w:r>
      <w:r w:rsidR="007C009F">
        <w:rPr>
          <w:rFonts w:ascii="Arial" w:hAnsi="Arial" w:cs="Arial"/>
        </w:rPr>
        <w:t xml:space="preserve"> et al. 2023)</w:t>
      </w:r>
      <w:r w:rsidR="00D35183">
        <w:rPr>
          <w:rFonts w:ascii="Arial" w:hAnsi="Arial" w:cs="Arial"/>
        </w:rPr>
        <w:t xml:space="preserve">, 5) </w:t>
      </w:r>
      <w:r w:rsidR="0061571A">
        <w:rPr>
          <w:rFonts w:ascii="Arial" w:hAnsi="Arial" w:cs="Arial"/>
        </w:rPr>
        <w:t xml:space="preserve">the </w:t>
      </w:r>
      <w:r w:rsidR="0061571A" w:rsidRPr="0061571A">
        <w:rPr>
          <w:rFonts w:ascii="Arial" w:hAnsi="Arial" w:cs="Arial"/>
        </w:rPr>
        <w:t>Lawton</w:t>
      </w:r>
      <w:r w:rsidR="00DF1C04">
        <w:rPr>
          <w:rFonts w:ascii="Arial" w:hAnsi="Arial" w:cs="Arial"/>
        </w:rPr>
        <w:t xml:space="preserve"> and </w:t>
      </w:r>
      <w:r w:rsidR="0061571A" w:rsidRPr="0061571A">
        <w:rPr>
          <w:rFonts w:ascii="Arial" w:hAnsi="Arial" w:cs="Arial"/>
        </w:rPr>
        <w:t xml:space="preserve">Brody </w:t>
      </w:r>
      <w:r w:rsidR="0061571A">
        <w:rPr>
          <w:rFonts w:ascii="Arial" w:hAnsi="Arial" w:cs="Arial"/>
        </w:rPr>
        <w:t xml:space="preserve">for </w:t>
      </w:r>
      <w:r w:rsidR="0061571A" w:rsidRPr="0061571A">
        <w:rPr>
          <w:rFonts w:ascii="Arial" w:hAnsi="Arial" w:cs="Arial"/>
        </w:rPr>
        <w:t>Instrumental Activities of Daily Living Scale (</w:t>
      </w:r>
      <w:r w:rsidR="00DF1C04">
        <w:rPr>
          <w:rFonts w:ascii="Arial" w:hAnsi="Arial" w:cs="Arial"/>
        </w:rPr>
        <w:t>LB-</w:t>
      </w:r>
      <w:r w:rsidR="0061571A" w:rsidRPr="0061571A">
        <w:rPr>
          <w:rFonts w:ascii="Arial" w:hAnsi="Arial" w:cs="Arial"/>
        </w:rPr>
        <w:t>IADL</w:t>
      </w:r>
      <w:r w:rsidR="0061571A">
        <w:rPr>
          <w:rFonts w:ascii="Arial" w:hAnsi="Arial" w:cs="Arial"/>
        </w:rPr>
        <w:t>S</w:t>
      </w:r>
      <w:r w:rsidR="0061571A" w:rsidRPr="0061571A">
        <w:rPr>
          <w:rFonts w:ascii="Arial" w:hAnsi="Arial" w:cs="Arial"/>
        </w:rPr>
        <w:t>)</w:t>
      </w:r>
      <w:r w:rsidR="0024281A">
        <w:rPr>
          <w:rFonts w:ascii="Arial" w:hAnsi="Arial" w:cs="Arial"/>
        </w:rPr>
        <w:t xml:space="preserve"> (</w:t>
      </w:r>
      <w:r w:rsidR="0024281A" w:rsidRPr="0024281A">
        <w:rPr>
          <w:rFonts w:ascii="Arial" w:hAnsi="Arial" w:cs="Arial"/>
        </w:rPr>
        <w:t>Wei &amp; Hodgson 2023</w:t>
      </w:r>
      <w:r w:rsidR="0024281A">
        <w:rPr>
          <w:rFonts w:ascii="Arial" w:hAnsi="Arial" w:cs="Arial"/>
        </w:rPr>
        <w:t>)</w:t>
      </w:r>
      <w:r w:rsidR="00D35183">
        <w:rPr>
          <w:rFonts w:ascii="Arial" w:hAnsi="Arial" w:cs="Arial"/>
        </w:rPr>
        <w:t xml:space="preserve">, and 6) </w:t>
      </w:r>
      <w:r w:rsidR="0061571A">
        <w:rPr>
          <w:rFonts w:ascii="Arial" w:hAnsi="Arial" w:cs="Arial"/>
        </w:rPr>
        <w:t xml:space="preserve">the </w:t>
      </w:r>
      <w:r w:rsidR="00DF1C04" w:rsidRPr="00DF1C04">
        <w:rPr>
          <w:rFonts w:ascii="Arial" w:hAnsi="Arial" w:cs="Arial"/>
        </w:rPr>
        <w:t xml:space="preserve">Geriatric Depression Scale </w:t>
      </w:r>
      <w:r w:rsidR="00DF1C04">
        <w:rPr>
          <w:rFonts w:ascii="Arial" w:hAnsi="Arial" w:cs="Arial"/>
        </w:rPr>
        <w:t xml:space="preserve">of </w:t>
      </w:r>
      <w:proofErr w:type="spellStart"/>
      <w:r w:rsidR="00DF1C04">
        <w:rPr>
          <w:rFonts w:ascii="Arial" w:hAnsi="Arial" w:cs="Arial"/>
        </w:rPr>
        <w:t>Yesavage</w:t>
      </w:r>
      <w:proofErr w:type="spellEnd"/>
      <w:r w:rsidR="00DF1C04">
        <w:rPr>
          <w:rFonts w:ascii="Arial" w:hAnsi="Arial" w:cs="Arial"/>
        </w:rPr>
        <w:t xml:space="preserve"> </w:t>
      </w:r>
      <w:r w:rsidR="00DF1C04" w:rsidRPr="00DF1C04">
        <w:rPr>
          <w:rFonts w:ascii="Arial" w:hAnsi="Arial" w:cs="Arial"/>
        </w:rPr>
        <w:t>(</w:t>
      </w:r>
      <w:r w:rsidR="00DF1C04">
        <w:rPr>
          <w:rFonts w:ascii="Arial" w:hAnsi="Arial" w:cs="Arial"/>
        </w:rPr>
        <w:t>Y-</w:t>
      </w:r>
      <w:r w:rsidR="00DF1C04" w:rsidRPr="00DF1C04">
        <w:rPr>
          <w:rFonts w:ascii="Arial" w:hAnsi="Arial" w:cs="Arial"/>
        </w:rPr>
        <w:t>GDS)</w:t>
      </w:r>
      <w:r w:rsidR="006C6321">
        <w:rPr>
          <w:rFonts w:ascii="Arial" w:hAnsi="Arial" w:cs="Arial"/>
        </w:rPr>
        <w:t xml:space="preserve"> (</w:t>
      </w:r>
      <w:proofErr w:type="spellStart"/>
      <w:r w:rsidR="006C6321" w:rsidRPr="006C6321">
        <w:rPr>
          <w:rFonts w:ascii="Arial" w:hAnsi="Arial" w:cs="Arial"/>
        </w:rPr>
        <w:t>Yesavage</w:t>
      </w:r>
      <w:proofErr w:type="spellEnd"/>
      <w:r w:rsidR="006C6321" w:rsidRPr="006C6321">
        <w:rPr>
          <w:rFonts w:ascii="Arial" w:hAnsi="Arial" w:cs="Arial"/>
        </w:rPr>
        <w:t xml:space="preserve"> et al. 1982, Erazo et al. 2020</w:t>
      </w:r>
      <w:r w:rsidR="006C6321">
        <w:rPr>
          <w:rFonts w:ascii="Arial" w:hAnsi="Arial" w:cs="Arial"/>
        </w:rPr>
        <w:t>)</w:t>
      </w:r>
      <w:r w:rsidRPr="001B1E3E">
        <w:rPr>
          <w:rFonts w:ascii="Arial" w:hAnsi="Arial" w:cs="Arial"/>
        </w:rPr>
        <w:t>.</w:t>
      </w:r>
      <w:r w:rsidR="00FD11A4">
        <w:rPr>
          <w:rFonts w:ascii="Arial" w:hAnsi="Arial" w:cs="Arial"/>
        </w:rPr>
        <w:t xml:space="preserve"> </w:t>
      </w:r>
      <w:r w:rsidR="007061FC" w:rsidRPr="007061FC">
        <w:rPr>
          <w:rFonts w:ascii="Arial" w:hAnsi="Arial" w:cs="Arial"/>
        </w:rPr>
        <w:t xml:space="preserve">The study was conducted from </w:t>
      </w:r>
      <w:r w:rsidR="00DF1C04">
        <w:rPr>
          <w:rFonts w:ascii="Arial" w:hAnsi="Arial" w:cs="Arial"/>
        </w:rPr>
        <w:t>July</w:t>
      </w:r>
      <w:r w:rsidR="007061FC" w:rsidRPr="007061FC">
        <w:rPr>
          <w:rFonts w:ascii="Arial" w:hAnsi="Arial" w:cs="Arial"/>
        </w:rPr>
        <w:t xml:space="preserve"> 1st to December 31st, 2024.</w:t>
      </w:r>
    </w:p>
    <w:p w14:paraId="2C47AAE2" w14:textId="77777777" w:rsidR="007329FE" w:rsidRDefault="007329FE" w:rsidP="007329FE">
      <w:pPr>
        <w:pStyle w:val="Body"/>
        <w:spacing w:after="0"/>
        <w:rPr>
          <w:rFonts w:ascii="Arial" w:hAnsi="Arial" w:cs="Arial"/>
        </w:rPr>
      </w:pPr>
    </w:p>
    <w:p w14:paraId="69116F19" w14:textId="77777777" w:rsidR="007329FE" w:rsidRPr="007329FE" w:rsidRDefault="007329FE" w:rsidP="007329FE">
      <w:pPr>
        <w:pStyle w:val="Body"/>
        <w:spacing w:after="0"/>
        <w:rPr>
          <w:rFonts w:ascii="Arial" w:hAnsi="Arial" w:cs="Arial"/>
          <w:highlight w:val="yellow"/>
        </w:rPr>
      </w:pPr>
      <w:r w:rsidRPr="007329FE">
        <w:rPr>
          <w:rFonts w:ascii="Arial" w:hAnsi="Arial" w:cs="Arial"/>
          <w:highlight w:val="yellow"/>
        </w:rPr>
        <w:t>Functional impairment was determined using the BI, KI, and LB Scale. The BI was classified according to the following scores: 80–100 points: slight functional impairment, 60–79 points: mild functional impairment, 45–59 points: moderate functional impairment and &lt;45 points: severe functional impairment. A patient was considered to have functional impairment if they scored 60 or below, indicating mild to severe functional dependence. According to the KI, functional impairment was identified when a patient exhibited dependence in one or more basic activities of daily living. The LB Index employs a scoring system ranging from 0 to 8, where 0 indicates full dependence and 8 signifies full independence in IADL. The classifications were as follows:</w:t>
      </w:r>
    </w:p>
    <w:p w14:paraId="5C682962" w14:textId="7FE68AF0" w:rsidR="007329FE" w:rsidRPr="007329FE" w:rsidRDefault="007329FE" w:rsidP="007329FE">
      <w:pPr>
        <w:pStyle w:val="Body"/>
        <w:numPr>
          <w:ilvl w:val="0"/>
          <w:numId w:val="34"/>
        </w:numPr>
        <w:spacing w:after="0"/>
        <w:rPr>
          <w:rFonts w:ascii="Arial" w:hAnsi="Arial" w:cs="Arial"/>
          <w:highlight w:val="yellow"/>
        </w:rPr>
      </w:pPr>
      <w:r w:rsidRPr="007329FE">
        <w:rPr>
          <w:rFonts w:ascii="Arial" w:hAnsi="Arial" w:cs="Arial"/>
          <w:highlight w:val="yellow"/>
        </w:rPr>
        <w:t>Dependence: Score 1–3.</w:t>
      </w:r>
    </w:p>
    <w:p w14:paraId="2308799B" w14:textId="4475E501" w:rsidR="007329FE" w:rsidRPr="007329FE" w:rsidRDefault="007329FE" w:rsidP="007329FE">
      <w:pPr>
        <w:pStyle w:val="Body"/>
        <w:numPr>
          <w:ilvl w:val="0"/>
          <w:numId w:val="34"/>
        </w:numPr>
        <w:spacing w:after="0"/>
        <w:rPr>
          <w:rFonts w:ascii="Arial" w:hAnsi="Arial" w:cs="Arial"/>
          <w:highlight w:val="yellow"/>
        </w:rPr>
      </w:pPr>
      <w:r w:rsidRPr="007329FE">
        <w:rPr>
          <w:rFonts w:ascii="Arial" w:hAnsi="Arial" w:cs="Arial"/>
          <w:highlight w:val="yellow"/>
        </w:rPr>
        <w:t xml:space="preserve">Partial independence: Score 4, indicating increasing autonomy with some </w:t>
      </w:r>
      <w:r w:rsidR="004209B7">
        <w:rPr>
          <w:rFonts w:ascii="Arial" w:hAnsi="Arial" w:cs="Arial"/>
          <w:highlight w:val="yellow"/>
        </w:rPr>
        <w:t xml:space="preserve">required </w:t>
      </w:r>
      <w:proofErr w:type="spellStart"/>
      <w:r w:rsidRPr="007329FE">
        <w:rPr>
          <w:rFonts w:ascii="Arial" w:hAnsi="Arial" w:cs="Arial"/>
          <w:highlight w:val="yellow"/>
        </w:rPr>
        <w:t>a</w:t>
      </w:r>
      <w:r w:rsidR="004209B7">
        <w:rPr>
          <w:rFonts w:ascii="Arial" w:hAnsi="Arial" w:cs="Arial"/>
          <w:highlight w:val="yellow"/>
        </w:rPr>
        <w:t>assistance</w:t>
      </w:r>
      <w:proofErr w:type="spellEnd"/>
      <w:r w:rsidRPr="007329FE">
        <w:rPr>
          <w:rFonts w:ascii="Arial" w:hAnsi="Arial" w:cs="Arial"/>
          <w:highlight w:val="yellow"/>
        </w:rPr>
        <w:t>, and</w:t>
      </w:r>
    </w:p>
    <w:p w14:paraId="172E0375" w14:textId="4A6D1737" w:rsidR="007329FE" w:rsidRPr="007329FE" w:rsidRDefault="007329FE" w:rsidP="007329FE">
      <w:pPr>
        <w:pStyle w:val="Body"/>
        <w:numPr>
          <w:ilvl w:val="0"/>
          <w:numId w:val="34"/>
        </w:numPr>
        <w:spacing w:after="0"/>
        <w:rPr>
          <w:rFonts w:ascii="Arial" w:hAnsi="Arial" w:cs="Arial"/>
          <w:highlight w:val="yellow"/>
        </w:rPr>
      </w:pPr>
      <w:r w:rsidRPr="007329FE">
        <w:rPr>
          <w:rFonts w:ascii="Arial" w:hAnsi="Arial" w:cs="Arial"/>
          <w:highlight w:val="yellow"/>
        </w:rPr>
        <w:t>Independence: Score 5–7.</w:t>
      </w:r>
    </w:p>
    <w:p w14:paraId="38E4114D" w14:textId="77777777" w:rsidR="007329FE" w:rsidRPr="007329FE" w:rsidRDefault="007329FE" w:rsidP="007329FE">
      <w:pPr>
        <w:pStyle w:val="Body"/>
        <w:spacing w:after="0"/>
        <w:rPr>
          <w:rFonts w:ascii="Arial" w:hAnsi="Arial" w:cs="Arial"/>
          <w:highlight w:val="yellow"/>
        </w:rPr>
      </w:pPr>
    </w:p>
    <w:p w14:paraId="6BE6520F" w14:textId="38D6EBB6" w:rsidR="007329FE" w:rsidRDefault="007329FE" w:rsidP="007329FE">
      <w:pPr>
        <w:pStyle w:val="Body"/>
        <w:spacing w:after="0"/>
        <w:rPr>
          <w:rFonts w:ascii="Arial" w:hAnsi="Arial" w:cs="Arial"/>
        </w:rPr>
      </w:pPr>
      <w:r w:rsidRPr="007329FE">
        <w:rPr>
          <w:rFonts w:ascii="Arial" w:hAnsi="Arial" w:cs="Arial"/>
          <w:highlight w:val="yellow"/>
        </w:rPr>
        <w:t>All individuals who demonstrated any degree of dependence or functional impairment, based on their respective classification, were categorised as having functional impairment.</w:t>
      </w:r>
    </w:p>
    <w:p w14:paraId="5E2F47F8" w14:textId="77777777" w:rsidR="00D81186" w:rsidRPr="0054404D" w:rsidRDefault="00D81186" w:rsidP="00295E48">
      <w:pPr>
        <w:pStyle w:val="Body"/>
        <w:spacing w:after="0"/>
        <w:rPr>
          <w:rFonts w:ascii="Arial" w:hAnsi="Arial" w:cs="Arial"/>
        </w:rPr>
      </w:pPr>
    </w:p>
    <w:p w14:paraId="2B4E4129" w14:textId="6CE200E4" w:rsidR="00C751D3" w:rsidRPr="0054404D" w:rsidRDefault="00C751D3" w:rsidP="003E3CA5">
      <w:pPr>
        <w:pStyle w:val="Body"/>
        <w:spacing w:after="0"/>
        <w:rPr>
          <w:rFonts w:ascii="Arial" w:hAnsi="Arial" w:cs="Arial"/>
          <w:b/>
          <w:caps/>
          <w:sz w:val="22"/>
        </w:rPr>
      </w:pPr>
      <w:r w:rsidRPr="0054404D">
        <w:rPr>
          <w:rFonts w:ascii="Arial" w:hAnsi="Arial" w:cs="Arial"/>
          <w:b/>
          <w:caps/>
          <w:sz w:val="22"/>
        </w:rPr>
        <w:t xml:space="preserve">2.2 </w:t>
      </w:r>
      <w:r w:rsidR="00DE0C73" w:rsidRPr="0054404D">
        <w:rPr>
          <w:rFonts w:ascii="Arial" w:hAnsi="Arial" w:cs="Arial"/>
          <w:b/>
          <w:sz w:val="22"/>
        </w:rPr>
        <w:t>S</w:t>
      </w:r>
      <w:r w:rsidR="00295E48">
        <w:rPr>
          <w:rFonts w:ascii="Arial" w:hAnsi="Arial" w:cs="Arial"/>
          <w:b/>
          <w:sz w:val="22"/>
        </w:rPr>
        <w:t>ampling.</w:t>
      </w:r>
    </w:p>
    <w:p w14:paraId="1FA75EDD" w14:textId="2A7E9E9A" w:rsidR="00295E48" w:rsidRDefault="006455B4" w:rsidP="00150993">
      <w:pPr>
        <w:jc w:val="both"/>
        <w:rPr>
          <w:rFonts w:ascii="Arial" w:hAnsi="Arial" w:cs="Arial"/>
          <w:lang w:val="en-US" w:eastAsia="es-MX"/>
        </w:rPr>
      </w:pPr>
      <w:r w:rsidRPr="006455B4">
        <w:rPr>
          <w:rFonts w:ascii="Arial" w:hAnsi="Arial" w:cs="Arial"/>
          <w:lang w:val="en-US" w:eastAsia="es-MX"/>
        </w:rPr>
        <w:t>An intentional sampling method was employed. This method involved selecting individuals who self-reported functional impairment concerns or whose caregivers or clinicians reported functional impairment issues. While this approach ensured the inclusion of individuals relevant to the study's objectives, it also introduced the potential for selection bias. The participants who did not report functional impairment concerns or were less engaged with healthcare services may have been underrepresented, potentially affecting the findings that need to be extrapolated to the broader population of older patients.</w:t>
      </w:r>
    </w:p>
    <w:p w14:paraId="72EF1581" w14:textId="77777777" w:rsidR="00295E48" w:rsidRPr="009B51E0" w:rsidRDefault="00295E48" w:rsidP="00295E48">
      <w:pPr>
        <w:rPr>
          <w:rFonts w:ascii="Arial" w:hAnsi="Arial" w:cs="Arial"/>
          <w:lang w:val="en-US" w:eastAsia="es-MX"/>
        </w:rPr>
      </w:pPr>
    </w:p>
    <w:p w14:paraId="38E4B1D9" w14:textId="031D6AA1" w:rsidR="00295E48" w:rsidRDefault="00295E48" w:rsidP="00295E48">
      <w:pPr>
        <w:pStyle w:val="Body"/>
        <w:spacing w:after="0"/>
        <w:rPr>
          <w:rFonts w:ascii="Arial" w:hAnsi="Arial" w:cs="Arial"/>
          <w:b/>
          <w:sz w:val="22"/>
        </w:rPr>
      </w:pPr>
      <w:r>
        <w:rPr>
          <w:rFonts w:ascii="Arial" w:hAnsi="Arial" w:cs="Arial"/>
          <w:b/>
          <w:sz w:val="22"/>
        </w:rPr>
        <w:t>2.3 S</w:t>
      </w:r>
      <w:r w:rsidRPr="0054404D">
        <w:rPr>
          <w:rFonts w:ascii="Arial" w:hAnsi="Arial" w:cs="Arial"/>
          <w:b/>
          <w:sz w:val="22"/>
        </w:rPr>
        <w:t xml:space="preserve">tudy Population, </w:t>
      </w:r>
      <w:r>
        <w:rPr>
          <w:rFonts w:ascii="Arial" w:hAnsi="Arial" w:cs="Arial"/>
          <w:b/>
          <w:sz w:val="22"/>
        </w:rPr>
        <w:t xml:space="preserve">and </w:t>
      </w:r>
      <w:r w:rsidRPr="0054404D">
        <w:rPr>
          <w:rFonts w:ascii="Arial" w:hAnsi="Arial" w:cs="Arial"/>
          <w:b/>
          <w:sz w:val="22"/>
        </w:rPr>
        <w:t>Data Collection.</w:t>
      </w:r>
    </w:p>
    <w:p w14:paraId="332A0142" w14:textId="4C83A64C" w:rsidR="00C751D3" w:rsidRPr="0054404D" w:rsidRDefault="004B3A17" w:rsidP="00295E48">
      <w:pPr>
        <w:pStyle w:val="Body"/>
        <w:spacing w:after="0"/>
        <w:rPr>
          <w:rFonts w:ascii="Arial" w:hAnsi="Arial" w:cs="Arial"/>
        </w:rPr>
      </w:pPr>
      <w:r w:rsidRPr="004B3A17">
        <w:rPr>
          <w:rFonts w:ascii="Arial" w:hAnsi="Arial" w:cs="Arial"/>
        </w:rPr>
        <w:t xml:space="preserve">Participants were selected based on the following inclusion criteria: subjects </w:t>
      </w:r>
      <w:r w:rsidR="00FE5DCB">
        <w:rPr>
          <w:rFonts w:ascii="Arial" w:hAnsi="Arial" w:cs="Arial"/>
        </w:rPr>
        <w:t xml:space="preserve">of </w:t>
      </w:r>
      <w:r w:rsidRPr="004B3A17">
        <w:rPr>
          <w:rFonts w:ascii="Arial" w:hAnsi="Arial" w:cs="Arial"/>
        </w:rPr>
        <w:t>60 years old</w:t>
      </w:r>
      <w:r w:rsidR="00FE5DCB" w:rsidRPr="00FE5DCB">
        <w:rPr>
          <w:rFonts w:ascii="Arial" w:hAnsi="Arial" w:cs="Arial"/>
        </w:rPr>
        <w:t xml:space="preserve"> </w:t>
      </w:r>
      <w:r w:rsidR="00FE5DCB">
        <w:rPr>
          <w:rFonts w:ascii="Arial" w:hAnsi="Arial" w:cs="Arial"/>
        </w:rPr>
        <w:t xml:space="preserve">and </w:t>
      </w:r>
      <w:r w:rsidR="00FE5DCB" w:rsidRPr="004B3A17">
        <w:rPr>
          <w:rFonts w:ascii="Arial" w:hAnsi="Arial" w:cs="Arial"/>
        </w:rPr>
        <w:t>over</w:t>
      </w:r>
      <w:r w:rsidRPr="004B3A17">
        <w:rPr>
          <w:rFonts w:ascii="Arial" w:hAnsi="Arial" w:cs="Arial"/>
        </w:rPr>
        <w:t>, beneficiaries of t</w:t>
      </w:r>
      <w:r w:rsidR="004209B7">
        <w:rPr>
          <w:rFonts w:ascii="Arial" w:hAnsi="Arial" w:cs="Arial"/>
        </w:rPr>
        <w:t>he “División del Norte” FMC, who</w:t>
      </w:r>
      <w:r w:rsidRPr="004B3A17">
        <w:rPr>
          <w:rFonts w:ascii="Arial" w:hAnsi="Arial" w:cs="Arial"/>
        </w:rPr>
        <w:t xml:space="preserve"> agreed to participate in the study voluntarily and signed an informed </w:t>
      </w:r>
      <w:r w:rsidR="004209B7">
        <w:rPr>
          <w:rFonts w:ascii="Arial" w:hAnsi="Arial" w:cs="Arial"/>
        </w:rPr>
        <w:t xml:space="preserve">a </w:t>
      </w:r>
      <w:r w:rsidRPr="004B3A17">
        <w:rPr>
          <w:rFonts w:ascii="Arial" w:hAnsi="Arial" w:cs="Arial"/>
        </w:rPr>
        <w:t>consent form.</w:t>
      </w:r>
      <w:r w:rsidR="005D136F">
        <w:rPr>
          <w:rFonts w:ascii="Arial" w:hAnsi="Arial" w:cs="Arial"/>
        </w:rPr>
        <w:t xml:space="preserve"> </w:t>
      </w:r>
      <w:r w:rsidR="005D136F" w:rsidRPr="005D136F">
        <w:rPr>
          <w:rFonts w:ascii="Arial" w:hAnsi="Arial" w:cs="Arial"/>
        </w:rPr>
        <w:t xml:space="preserve">The exclusion criteria </w:t>
      </w:r>
      <w:r w:rsidR="00B1315D" w:rsidRPr="005D136F">
        <w:rPr>
          <w:rFonts w:ascii="Arial" w:hAnsi="Arial" w:cs="Arial"/>
        </w:rPr>
        <w:t>aim</w:t>
      </w:r>
      <w:r w:rsidR="005D136F" w:rsidRPr="005D136F">
        <w:rPr>
          <w:rFonts w:ascii="Arial" w:hAnsi="Arial" w:cs="Arial"/>
        </w:rPr>
        <w:t xml:space="preserve"> to ensure the reliability and homogeneity of the sample by eliminating potential confounding factors. The study excluded elderly individuals with cognitive impairment, Parkinson’s disease, sequelae of cerebrovascular disease, or any other neurological condition. Furthermore, those with acute heart failure, chronic pain, or a diagnosis of any geriatric syndrome were also excluded.</w:t>
      </w:r>
      <w:r w:rsidR="005D136F">
        <w:rPr>
          <w:rFonts w:ascii="Arial" w:hAnsi="Arial" w:cs="Arial"/>
        </w:rPr>
        <w:t xml:space="preserve"> </w:t>
      </w:r>
      <w:r w:rsidR="006A31C0" w:rsidRPr="006A31C0">
        <w:rPr>
          <w:rFonts w:ascii="Arial" w:hAnsi="Arial" w:cs="Arial"/>
        </w:rPr>
        <w:t>The collected data was stored in an Excel workbook, which served as the statistical database for subsequent analysis. This procedure ensured the accuracy, quality, and reliability of the extracted data, supporting the integrity of our study’s findings.</w:t>
      </w:r>
    </w:p>
    <w:p w14:paraId="03824599" w14:textId="77777777" w:rsidR="00C751D3" w:rsidRPr="009B51E0" w:rsidRDefault="00C751D3" w:rsidP="009B51E0">
      <w:pPr>
        <w:pStyle w:val="Body"/>
        <w:spacing w:after="0"/>
        <w:rPr>
          <w:rFonts w:ascii="Arial" w:hAnsi="Arial" w:cs="Arial"/>
          <w:b/>
          <w:u w:val="single"/>
        </w:rPr>
      </w:pPr>
    </w:p>
    <w:p w14:paraId="6A17E490" w14:textId="1493D5F0" w:rsidR="00C751D3" w:rsidRPr="0050774D" w:rsidRDefault="00C751D3" w:rsidP="009B51E0">
      <w:pPr>
        <w:pStyle w:val="Body"/>
        <w:spacing w:after="0"/>
        <w:rPr>
          <w:rFonts w:ascii="Arial" w:hAnsi="Arial" w:cs="Arial"/>
          <w:b/>
          <w:caps/>
          <w:sz w:val="22"/>
          <w:szCs w:val="22"/>
        </w:rPr>
      </w:pPr>
      <w:r w:rsidRPr="0050774D">
        <w:rPr>
          <w:rFonts w:ascii="Arial" w:hAnsi="Arial" w:cs="Arial"/>
          <w:b/>
          <w:caps/>
          <w:sz w:val="22"/>
          <w:szCs w:val="22"/>
        </w:rPr>
        <w:t>2.</w:t>
      </w:r>
      <w:r w:rsidR="0050774D" w:rsidRPr="0050774D">
        <w:rPr>
          <w:rFonts w:ascii="Arial" w:hAnsi="Arial" w:cs="Arial"/>
          <w:b/>
          <w:caps/>
          <w:sz w:val="22"/>
          <w:szCs w:val="22"/>
        </w:rPr>
        <w:t>4</w:t>
      </w:r>
      <w:r w:rsidRPr="0050774D">
        <w:rPr>
          <w:rFonts w:ascii="Arial" w:hAnsi="Arial" w:cs="Arial"/>
          <w:b/>
          <w:caps/>
          <w:sz w:val="22"/>
          <w:szCs w:val="22"/>
        </w:rPr>
        <w:t xml:space="preserve"> </w:t>
      </w:r>
      <w:r w:rsidR="00232064" w:rsidRPr="0050774D">
        <w:rPr>
          <w:rFonts w:ascii="Arial" w:hAnsi="Arial" w:cs="Arial"/>
          <w:b/>
          <w:sz w:val="22"/>
          <w:szCs w:val="22"/>
        </w:rPr>
        <w:t>Statistical analysis.</w:t>
      </w:r>
    </w:p>
    <w:p w14:paraId="26CBD717" w14:textId="3F47A512" w:rsidR="00232064" w:rsidRPr="0054404D" w:rsidRDefault="00CC7737" w:rsidP="009B51E0">
      <w:pPr>
        <w:pStyle w:val="Body"/>
        <w:spacing w:after="0"/>
        <w:rPr>
          <w:rFonts w:ascii="Arial" w:hAnsi="Arial" w:cs="Arial"/>
        </w:rPr>
      </w:pPr>
      <w:r>
        <w:rPr>
          <w:rFonts w:ascii="Arial" w:hAnsi="Arial" w:cs="Arial"/>
        </w:rPr>
        <w:t xml:space="preserve">We included all </w:t>
      </w:r>
      <w:r w:rsidR="00DF2964" w:rsidRPr="00DF2964">
        <w:rPr>
          <w:rFonts w:ascii="Arial" w:hAnsi="Arial" w:cs="Arial"/>
        </w:rPr>
        <w:t xml:space="preserve">complete records, ensuring a comprehensive dataset. </w:t>
      </w:r>
      <w:r w:rsidR="00232064" w:rsidRPr="0054404D">
        <w:rPr>
          <w:rFonts w:ascii="Arial" w:hAnsi="Arial" w:cs="Arial"/>
        </w:rPr>
        <w:t>The categorical variables are described as absolute frequency and percentage, and quantitative variables as mean, standard deviation (SD), and interquartile range (IQR). Confidence Interval 95% (CI95%) was included.</w:t>
      </w:r>
      <w:r w:rsidR="003C7465" w:rsidRPr="0054404D">
        <w:t xml:space="preserve"> </w:t>
      </w:r>
      <w:r w:rsidR="003C7465" w:rsidRPr="0054404D">
        <w:rPr>
          <w:rFonts w:ascii="Arial" w:hAnsi="Arial" w:cs="Arial"/>
        </w:rPr>
        <w:t>Categorical variables were compared using Yates' corrected chi-square (</w:t>
      </w:r>
      <w:r w:rsidR="003C7465" w:rsidRPr="0054404D">
        <w:rPr>
          <w:rFonts w:ascii="Arial" w:hAnsi="Arial" w:cs="Arial"/>
          <w:i/>
          <w:iCs/>
        </w:rPr>
        <w:t>X</w:t>
      </w:r>
      <w:r w:rsidR="003C7465" w:rsidRPr="0054404D">
        <w:rPr>
          <w:rFonts w:ascii="Arial" w:hAnsi="Arial" w:cs="Arial"/>
          <w:i/>
          <w:iCs/>
          <w:vertAlign w:val="superscript"/>
        </w:rPr>
        <w:t>2</w:t>
      </w:r>
      <w:r w:rsidR="003C7465" w:rsidRPr="0054404D">
        <w:rPr>
          <w:rFonts w:ascii="Arial" w:hAnsi="Arial" w:cs="Arial"/>
        </w:rPr>
        <w:t xml:space="preserve">) test and likelihood ratio, as appropriate. </w:t>
      </w:r>
      <w:r w:rsidR="00D026D9">
        <w:rPr>
          <w:rFonts w:ascii="Arial" w:hAnsi="Arial" w:cs="Arial"/>
        </w:rPr>
        <w:t>Besides, q</w:t>
      </w:r>
      <w:r w:rsidR="003C7465" w:rsidRPr="0054404D">
        <w:rPr>
          <w:rFonts w:ascii="Arial" w:hAnsi="Arial" w:cs="Arial"/>
        </w:rPr>
        <w:t>uantitative variables were compared using the Mann-Whitney U test or Student's T test as appropriate. A P value &lt; 0.05 (two-tailed test) was considered significant.</w:t>
      </w:r>
    </w:p>
    <w:p w14:paraId="31A85BB4" w14:textId="4FB5D507" w:rsidR="00C751D3" w:rsidRPr="0054404D" w:rsidRDefault="00C751D3" w:rsidP="00C751D3">
      <w:pPr>
        <w:pStyle w:val="Body"/>
        <w:spacing w:after="0"/>
        <w:rPr>
          <w:rFonts w:ascii="Arial" w:hAnsi="Arial" w:cs="Arial"/>
        </w:rPr>
      </w:pPr>
    </w:p>
    <w:p w14:paraId="19491179" w14:textId="21371294" w:rsidR="00C751D3" w:rsidRPr="0054404D" w:rsidRDefault="00C751D3" w:rsidP="00C751D3">
      <w:pPr>
        <w:pStyle w:val="Body"/>
        <w:spacing w:after="0"/>
        <w:rPr>
          <w:rFonts w:ascii="Arial" w:hAnsi="Arial" w:cs="Arial"/>
          <w:b/>
          <w:caps/>
          <w:sz w:val="22"/>
        </w:rPr>
      </w:pPr>
      <w:r w:rsidRPr="0054404D">
        <w:rPr>
          <w:rFonts w:ascii="Arial" w:hAnsi="Arial" w:cs="Arial"/>
          <w:b/>
          <w:caps/>
          <w:sz w:val="22"/>
        </w:rPr>
        <w:t>2.</w:t>
      </w:r>
      <w:r w:rsidR="00D43034">
        <w:rPr>
          <w:rFonts w:ascii="Arial" w:hAnsi="Arial" w:cs="Arial"/>
          <w:b/>
          <w:caps/>
          <w:sz w:val="22"/>
        </w:rPr>
        <w:t>4</w:t>
      </w:r>
      <w:r w:rsidRPr="0054404D">
        <w:rPr>
          <w:rFonts w:ascii="Arial" w:hAnsi="Arial" w:cs="Arial"/>
          <w:b/>
          <w:caps/>
          <w:sz w:val="22"/>
        </w:rPr>
        <w:t xml:space="preserve"> </w:t>
      </w:r>
      <w:r w:rsidR="00232064" w:rsidRPr="0054404D">
        <w:rPr>
          <w:rFonts w:ascii="Arial" w:hAnsi="Arial" w:cs="Arial"/>
          <w:b/>
          <w:sz w:val="22"/>
        </w:rPr>
        <w:t>Ethical Considerations.</w:t>
      </w:r>
    </w:p>
    <w:p w14:paraId="0D107208" w14:textId="0348D96A" w:rsidR="00232064" w:rsidRPr="0054404D" w:rsidRDefault="00232064" w:rsidP="00232064">
      <w:pPr>
        <w:pStyle w:val="Body"/>
        <w:spacing w:after="0"/>
        <w:rPr>
          <w:rFonts w:ascii="Arial" w:hAnsi="Arial" w:cs="Arial"/>
        </w:rPr>
      </w:pPr>
      <w:r w:rsidRPr="0054404D">
        <w:rPr>
          <w:rFonts w:ascii="Arial" w:hAnsi="Arial" w:cs="Arial"/>
        </w:rPr>
        <w:t xml:space="preserve">The study was conducted in accordance with the Good Clinical Practice Guidelines of our laws and the Declaration of Helsinki for human experiments. </w:t>
      </w:r>
      <w:r w:rsidR="00317273" w:rsidRPr="00317273">
        <w:rPr>
          <w:rFonts w:ascii="Arial" w:hAnsi="Arial" w:cs="Arial"/>
        </w:rPr>
        <w:t xml:space="preserve">The protocol was approved by two committees: The Research Committee and the Ethics Committee in Research of the FMC "División del Norte". </w:t>
      </w:r>
      <w:r w:rsidR="00B3318B" w:rsidRPr="00B3318B">
        <w:rPr>
          <w:rFonts w:ascii="Arial" w:hAnsi="Arial" w:cs="Arial"/>
        </w:rPr>
        <w:t>A medical professional informed all participants about the study's objective, its benefits, and potential adverse events. After providing a clear explanation, the signatures of those who voluntarily decided to participate in the study were collected, ensuring that participants had sufficient time to read and sign the corresponding informed consent form.</w:t>
      </w:r>
      <w:r w:rsidR="00B3318B">
        <w:rPr>
          <w:rFonts w:ascii="Arial" w:hAnsi="Arial" w:cs="Arial"/>
        </w:rPr>
        <w:t xml:space="preserve"> </w:t>
      </w:r>
      <w:r w:rsidR="00317273" w:rsidRPr="00317273">
        <w:rPr>
          <w:rFonts w:ascii="Arial" w:hAnsi="Arial" w:cs="Arial"/>
        </w:rPr>
        <w:t>The Dat</w:t>
      </w:r>
      <w:r w:rsidR="00D026D9">
        <w:rPr>
          <w:rFonts w:ascii="Arial" w:hAnsi="Arial" w:cs="Arial"/>
        </w:rPr>
        <w:t>a was treated confidentially. In order to</w:t>
      </w:r>
      <w:r w:rsidR="00317273" w:rsidRPr="00317273">
        <w:rPr>
          <w:rFonts w:ascii="Arial" w:hAnsi="Arial" w:cs="Arial"/>
        </w:rPr>
        <w:t xml:space="preserve"> guarantee confidentiality, only the principal investigators had access to the complete dataset, including identifiable patient information (e.g., names). The patient names were replaced with unique identification numbers. The assigned number allows the data to be linked to a specific individual without revealing the individual's identity. This approach ensured that all patient data were handled under ethical standards and maintained the highest level of confidentiality throughout the study. This anonymization was conducted before sharing the dataset for statistical analysis with some researchers. After the statistical analysis, only the</w:t>
      </w:r>
      <w:r w:rsidR="00D026D9">
        <w:rPr>
          <w:rFonts w:ascii="Arial" w:hAnsi="Arial" w:cs="Arial"/>
        </w:rPr>
        <w:t xml:space="preserve"> processed statistical data was</w:t>
      </w:r>
      <w:r w:rsidR="00317273" w:rsidRPr="00317273">
        <w:rPr>
          <w:rFonts w:ascii="Arial" w:hAnsi="Arial" w:cs="Arial"/>
        </w:rPr>
        <w:t xml:space="preserve"> available to the rest of the research team.</w:t>
      </w:r>
    </w:p>
    <w:p w14:paraId="4B28D732" w14:textId="77777777" w:rsidR="00C751D3" w:rsidRPr="0054404D" w:rsidRDefault="00C751D3" w:rsidP="00441B6F">
      <w:pPr>
        <w:pStyle w:val="Body"/>
        <w:spacing w:after="0"/>
        <w:rPr>
          <w:rFonts w:ascii="Arial" w:hAnsi="Arial" w:cs="Arial"/>
          <w:b/>
          <w:u w:val="single"/>
        </w:rPr>
      </w:pPr>
    </w:p>
    <w:p w14:paraId="5D6EE891" w14:textId="71B6F797" w:rsidR="00902823" w:rsidRPr="007A721D" w:rsidRDefault="00000F8F" w:rsidP="005D3AD2">
      <w:pPr>
        <w:pStyle w:val="Head1"/>
        <w:spacing w:after="0"/>
        <w:jc w:val="both"/>
        <w:rPr>
          <w:rFonts w:ascii="Arial" w:hAnsi="Arial" w:cs="Arial"/>
          <w:szCs w:val="22"/>
        </w:rPr>
      </w:pPr>
      <w:r w:rsidRPr="007A721D">
        <w:rPr>
          <w:rFonts w:ascii="Arial" w:hAnsi="Arial" w:cs="Arial"/>
          <w:szCs w:val="22"/>
        </w:rPr>
        <w:t>3</w:t>
      </w:r>
      <w:r w:rsidR="00902823" w:rsidRPr="007A721D">
        <w:rPr>
          <w:rFonts w:ascii="Arial" w:hAnsi="Arial" w:cs="Arial"/>
          <w:szCs w:val="22"/>
        </w:rPr>
        <w:t xml:space="preserve">. </w:t>
      </w:r>
      <w:r w:rsidRPr="007A721D">
        <w:rPr>
          <w:rFonts w:ascii="Arial" w:hAnsi="Arial" w:cs="Arial"/>
          <w:szCs w:val="22"/>
        </w:rPr>
        <w:t>results and discussion</w:t>
      </w:r>
      <w:r w:rsidR="00034843" w:rsidRPr="007A721D">
        <w:rPr>
          <w:rFonts w:ascii="Arial" w:hAnsi="Arial" w:cs="Arial"/>
          <w:szCs w:val="22"/>
        </w:rPr>
        <w:t>.</w:t>
      </w:r>
    </w:p>
    <w:p w14:paraId="373A8E3C" w14:textId="71DE2871" w:rsidR="00CB46CE" w:rsidRPr="007A721D" w:rsidRDefault="00CB46CE" w:rsidP="005D3AD2">
      <w:pPr>
        <w:pStyle w:val="Body"/>
        <w:spacing w:after="0"/>
        <w:rPr>
          <w:rFonts w:ascii="Arial" w:hAnsi="Arial" w:cs="Arial"/>
          <w:sz w:val="22"/>
          <w:szCs w:val="22"/>
        </w:rPr>
      </w:pPr>
      <w:r w:rsidRPr="007A721D">
        <w:rPr>
          <w:rFonts w:ascii="Arial" w:hAnsi="Arial" w:cs="Arial"/>
          <w:b/>
          <w:caps/>
          <w:sz w:val="22"/>
          <w:szCs w:val="22"/>
        </w:rPr>
        <w:t xml:space="preserve">3.1 </w:t>
      </w:r>
      <w:r w:rsidR="002F0814" w:rsidRPr="007A721D">
        <w:rPr>
          <w:rFonts w:ascii="Arial" w:hAnsi="Arial" w:cs="Arial"/>
          <w:b/>
          <w:sz w:val="22"/>
          <w:szCs w:val="22"/>
        </w:rPr>
        <w:t>Characteristics</w:t>
      </w:r>
      <w:r w:rsidR="002F0814" w:rsidRPr="007A721D">
        <w:rPr>
          <w:rFonts w:ascii="Arial" w:hAnsi="Arial" w:cs="Arial"/>
          <w:b/>
          <w:caps/>
          <w:sz w:val="22"/>
          <w:szCs w:val="22"/>
        </w:rPr>
        <w:t xml:space="preserve"> </w:t>
      </w:r>
      <w:r w:rsidR="002F0814" w:rsidRPr="007A721D">
        <w:rPr>
          <w:rFonts w:ascii="Arial" w:hAnsi="Arial" w:cs="Arial"/>
          <w:b/>
          <w:sz w:val="22"/>
          <w:szCs w:val="22"/>
        </w:rPr>
        <w:t>of</w:t>
      </w:r>
      <w:r w:rsidR="002F0814" w:rsidRPr="007A721D">
        <w:rPr>
          <w:rFonts w:ascii="Arial" w:hAnsi="Arial" w:cs="Arial"/>
          <w:b/>
          <w:caps/>
          <w:sz w:val="22"/>
          <w:szCs w:val="22"/>
        </w:rPr>
        <w:t xml:space="preserve"> </w:t>
      </w:r>
      <w:r w:rsidRPr="007A721D">
        <w:rPr>
          <w:rFonts w:ascii="Arial" w:hAnsi="Arial" w:cs="Arial"/>
          <w:b/>
          <w:sz w:val="22"/>
          <w:szCs w:val="22"/>
        </w:rPr>
        <w:t>the study population</w:t>
      </w:r>
    </w:p>
    <w:p w14:paraId="5193B826" w14:textId="02AF046E" w:rsidR="00956B7C" w:rsidRDefault="00B362CF" w:rsidP="00682C9B">
      <w:pPr>
        <w:pStyle w:val="Body"/>
        <w:spacing w:after="0"/>
        <w:rPr>
          <w:rFonts w:ascii="Arial" w:hAnsi="Arial" w:cs="Arial"/>
        </w:rPr>
      </w:pPr>
      <w:r w:rsidRPr="005D3AD2">
        <w:rPr>
          <w:rFonts w:ascii="Arial" w:hAnsi="Arial" w:cs="Arial"/>
        </w:rPr>
        <w:t xml:space="preserve">We included </w:t>
      </w:r>
      <w:r w:rsidR="00181D91">
        <w:rPr>
          <w:rFonts w:ascii="Arial" w:hAnsi="Arial" w:cs="Arial"/>
        </w:rPr>
        <w:t>5</w:t>
      </w:r>
      <w:r w:rsidR="006248B7">
        <w:rPr>
          <w:rFonts w:ascii="Arial" w:hAnsi="Arial" w:cs="Arial"/>
        </w:rPr>
        <w:t>5</w:t>
      </w:r>
      <w:r w:rsidR="00181D91">
        <w:rPr>
          <w:rFonts w:ascii="Arial" w:hAnsi="Arial" w:cs="Arial"/>
        </w:rPr>
        <w:t xml:space="preserve"> elderly</w:t>
      </w:r>
      <w:r w:rsidRPr="005D3AD2">
        <w:rPr>
          <w:rFonts w:ascii="Arial" w:hAnsi="Arial" w:cs="Arial"/>
        </w:rPr>
        <w:t xml:space="preserve"> patients</w:t>
      </w:r>
      <w:r w:rsidR="006248B7">
        <w:rPr>
          <w:rFonts w:ascii="Arial" w:hAnsi="Arial" w:cs="Arial"/>
        </w:rPr>
        <w:t xml:space="preserve">. </w:t>
      </w:r>
      <w:r w:rsidR="006248B7" w:rsidRPr="006248B7">
        <w:rPr>
          <w:rFonts w:ascii="Arial" w:hAnsi="Arial" w:cs="Arial"/>
        </w:rPr>
        <w:t xml:space="preserve">The majority of the participants are </w:t>
      </w:r>
      <w:r w:rsidR="006248B7">
        <w:rPr>
          <w:rFonts w:ascii="Arial" w:hAnsi="Arial" w:cs="Arial"/>
        </w:rPr>
        <w:t>females</w:t>
      </w:r>
      <w:r w:rsidR="006248B7" w:rsidRPr="006248B7">
        <w:rPr>
          <w:rFonts w:ascii="Arial" w:hAnsi="Arial" w:cs="Arial"/>
        </w:rPr>
        <w:t xml:space="preserve"> as shown in Table 1, while men account for </w:t>
      </w:r>
      <w:r w:rsidR="006248B7">
        <w:rPr>
          <w:rFonts w:ascii="Arial" w:hAnsi="Arial" w:cs="Arial"/>
        </w:rPr>
        <w:t xml:space="preserve">less than </w:t>
      </w:r>
      <w:r w:rsidR="006248B7" w:rsidRPr="006248B7">
        <w:rPr>
          <w:rFonts w:ascii="Arial" w:hAnsi="Arial" w:cs="Arial"/>
        </w:rPr>
        <w:t>4</w:t>
      </w:r>
      <w:r w:rsidR="006248B7">
        <w:rPr>
          <w:rFonts w:ascii="Arial" w:hAnsi="Arial" w:cs="Arial"/>
        </w:rPr>
        <w:t>2</w:t>
      </w:r>
      <w:r w:rsidR="006248B7" w:rsidRPr="006248B7">
        <w:rPr>
          <w:rFonts w:ascii="Arial" w:hAnsi="Arial" w:cs="Arial"/>
        </w:rPr>
        <w:t>%.</w:t>
      </w:r>
      <w:r w:rsidR="00956B7C">
        <w:rPr>
          <w:rFonts w:ascii="Arial" w:hAnsi="Arial" w:cs="Arial"/>
        </w:rPr>
        <w:t xml:space="preserve"> </w:t>
      </w:r>
      <w:r w:rsidR="00956B7C" w:rsidRPr="00956B7C">
        <w:rPr>
          <w:rFonts w:ascii="Arial" w:hAnsi="Arial" w:cs="Arial"/>
        </w:rPr>
        <w:t xml:space="preserve">The average age was </w:t>
      </w:r>
      <w:r w:rsidR="00956B7C">
        <w:rPr>
          <w:rFonts w:ascii="Arial" w:hAnsi="Arial" w:cs="Arial"/>
        </w:rPr>
        <w:t>76</w:t>
      </w:r>
      <w:r w:rsidR="00956B7C" w:rsidRPr="00956B7C">
        <w:rPr>
          <w:rFonts w:ascii="Arial" w:hAnsi="Arial" w:cs="Arial"/>
        </w:rPr>
        <w:t>.3</w:t>
      </w:r>
      <w:r w:rsidR="00956B7C">
        <w:rPr>
          <w:rFonts w:ascii="Arial" w:hAnsi="Arial" w:cs="Arial"/>
        </w:rPr>
        <w:t>1</w:t>
      </w:r>
      <w:r w:rsidR="00956B7C" w:rsidRPr="00956B7C">
        <w:rPr>
          <w:rFonts w:ascii="Arial" w:hAnsi="Arial" w:cs="Arial"/>
        </w:rPr>
        <w:t xml:space="preserve"> years old (SD=</w:t>
      </w:r>
      <w:r w:rsidR="00956B7C">
        <w:rPr>
          <w:rFonts w:ascii="Arial" w:hAnsi="Arial" w:cs="Arial"/>
        </w:rPr>
        <w:t>8</w:t>
      </w:r>
      <w:r w:rsidR="00956B7C" w:rsidRPr="00956B7C">
        <w:rPr>
          <w:rFonts w:ascii="Arial" w:hAnsi="Arial" w:cs="Arial"/>
        </w:rPr>
        <w:t>.</w:t>
      </w:r>
      <w:r w:rsidR="00956B7C">
        <w:rPr>
          <w:rFonts w:ascii="Arial" w:hAnsi="Arial" w:cs="Arial"/>
        </w:rPr>
        <w:t>92</w:t>
      </w:r>
      <w:r w:rsidR="00956B7C" w:rsidRPr="00956B7C">
        <w:rPr>
          <w:rFonts w:ascii="Arial" w:hAnsi="Arial" w:cs="Arial"/>
        </w:rPr>
        <w:t>, range=</w:t>
      </w:r>
      <w:r w:rsidR="00956B7C">
        <w:rPr>
          <w:rFonts w:ascii="Arial" w:hAnsi="Arial" w:cs="Arial"/>
        </w:rPr>
        <w:t>34</w:t>
      </w:r>
      <w:r w:rsidR="00956B7C" w:rsidRPr="00956B7C">
        <w:rPr>
          <w:rFonts w:ascii="Arial" w:hAnsi="Arial" w:cs="Arial"/>
        </w:rPr>
        <w:t>, minimum age=</w:t>
      </w:r>
      <w:r w:rsidR="00956B7C">
        <w:rPr>
          <w:rFonts w:ascii="Arial" w:hAnsi="Arial" w:cs="Arial"/>
        </w:rPr>
        <w:t>62</w:t>
      </w:r>
      <w:r w:rsidR="00956B7C" w:rsidRPr="00956B7C">
        <w:rPr>
          <w:rFonts w:ascii="Arial" w:hAnsi="Arial" w:cs="Arial"/>
        </w:rPr>
        <w:t>, maximum age=9</w:t>
      </w:r>
      <w:r w:rsidR="00956B7C">
        <w:rPr>
          <w:rFonts w:ascii="Arial" w:hAnsi="Arial" w:cs="Arial"/>
        </w:rPr>
        <w:t>6</w:t>
      </w:r>
      <w:r w:rsidR="00956B7C" w:rsidRPr="00956B7C">
        <w:rPr>
          <w:rFonts w:ascii="Arial" w:hAnsi="Arial" w:cs="Arial"/>
        </w:rPr>
        <w:t xml:space="preserve"> years old, median age=</w:t>
      </w:r>
      <w:r w:rsidR="00956B7C">
        <w:rPr>
          <w:rFonts w:ascii="Arial" w:hAnsi="Arial" w:cs="Arial"/>
        </w:rPr>
        <w:t>76</w:t>
      </w:r>
      <w:r w:rsidR="00956B7C" w:rsidRPr="00956B7C">
        <w:rPr>
          <w:rFonts w:ascii="Arial" w:hAnsi="Arial" w:cs="Arial"/>
        </w:rPr>
        <w:t xml:space="preserve"> [IQR=</w:t>
      </w:r>
      <w:r w:rsidR="00956B7C">
        <w:rPr>
          <w:rFonts w:ascii="Arial" w:hAnsi="Arial" w:cs="Arial"/>
        </w:rPr>
        <w:t>70</w:t>
      </w:r>
      <w:r w:rsidR="00956B7C" w:rsidRPr="00956B7C">
        <w:rPr>
          <w:rFonts w:ascii="Arial" w:hAnsi="Arial" w:cs="Arial"/>
        </w:rPr>
        <w:t>-</w:t>
      </w:r>
      <w:r w:rsidR="00956B7C">
        <w:rPr>
          <w:rFonts w:ascii="Arial" w:hAnsi="Arial" w:cs="Arial"/>
        </w:rPr>
        <w:t>82</w:t>
      </w:r>
      <w:r w:rsidR="00956B7C" w:rsidRPr="00956B7C">
        <w:rPr>
          <w:rFonts w:ascii="Arial" w:hAnsi="Arial" w:cs="Arial"/>
        </w:rPr>
        <w:t>]) years old. The median age was higher in female patients (</w:t>
      </w:r>
      <w:r w:rsidR="00AF23D7">
        <w:rPr>
          <w:rFonts w:ascii="Arial" w:hAnsi="Arial" w:cs="Arial"/>
        </w:rPr>
        <w:t>76.0</w:t>
      </w:r>
      <w:r w:rsidR="00956B7C" w:rsidRPr="00956B7C">
        <w:rPr>
          <w:rFonts w:ascii="Arial" w:hAnsi="Arial" w:cs="Arial"/>
        </w:rPr>
        <w:t xml:space="preserve"> years old,</w:t>
      </w:r>
      <w:r w:rsidR="00AF23D7">
        <w:rPr>
          <w:rFonts w:ascii="Arial" w:hAnsi="Arial" w:cs="Arial"/>
        </w:rPr>
        <w:t xml:space="preserve"> </w:t>
      </w:r>
      <w:r w:rsidR="00956B7C" w:rsidRPr="00956B7C">
        <w:rPr>
          <w:rFonts w:ascii="Arial" w:hAnsi="Arial" w:cs="Arial"/>
        </w:rPr>
        <w:t>IQR=</w:t>
      </w:r>
      <w:r w:rsidR="00AF23D7">
        <w:rPr>
          <w:rFonts w:ascii="Arial" w:hAnsi="Arial" w:cs="Arial"/>
        </w:rPr>
        <w:t>68.5</w:t>
      </w:r>
      <w:r w:rsidR="00956B7C" w:rsidRPr="00956B7C">
        <w:rPr>
          <w:rFonts w:ascii="Arial" w:hAnsi="Arial" w:cs="Arial"/>
        </w:rPr>
        <w:t>-</w:t>
      </w:r>
      <w:r w:rsidR="00AF23D7">
        <w:rPr>
          <w:rFonts w:ascii="Arial" w:hAnsi="Arial" w:cs="Arial"/>
        </w:rPr>
        <w:t>85.75</w:t>
      </w:r>
      <w:r w:rsidR="00956B7C" w:rsidRPr="00956B7C">
        <w:rPr>
          <w:rFonts w:ascii="Arial" w:hAnsi="Arial" w:cs="Arial"/>
        </w:rPr>
        <w:t>, range=</w:t>
      </w:r>
      <w:r w:rsidR="00AF23D7">
        <w:rPr>
          <w:rFonts w:ascii="Arial" w:hAnsi="Arial" w:cs="Arial"/>
        </w:rPr>
        <w:t xml:space="preserve">34 </w:t>
      </w:r>
      <w:r w:rsidR="00956B7C" w:rsidRPr="00956B7C">
        <w:rPr>
          <w:rFonts w:ascii="Arial" w:hAnsi="Arial" w:cs="Arial"/>
        </w:rPr>
        <w:t>years old, minimum age=</w:t>
      </w:r>
      <w:r w:rsidR="00AF23D7">
        <w:rPr>
          <w:rFonts w:ascii="Arial" w:hAnsi="Arial" w:cs="Arial"/>
        </w:rPr>
        <w:t>62</w:t>
      </w:r>
      <w:r w:rsidR="00956B7C" w:rsidRPr="00956B7C">
        <w:rPr>
          <w:rFonts w:ascii="Arial" w:hAnsi="Arial" w:cs="Arial"/>
        </w:rPr>
        <w:t xml:space="preserve"> years old, maximum age=9</w:t>
      </w:r>
      <w:r w:rsidR="00AF23D7">
        <w:rPr>
          <w:rFonts w:ascii="Arial" w:hAnsi="Arial" w:cs="Arial"/>
        </w:rPr>
        <w:t>6</w:t>
      </w:r>
      <w:r w:rsidR="00956B7C" w:rsidRPr="00956B7C">
        <w:rPr>
          <w:rFonts w:ascii="Arial" w:hAnsi="Arial" w:cs="Arial"/>
        </w:rPr>
        <w:t xml:space="preserve"> years old) compared to male patients (</w:t>
      </w:r>
      <w:r w:rsidR="00AF23D7">
        <w:rPr>
          <w:rFonts w:ascii="Arial" w:hAnsi="Arial" w:cs="Arial"/>
        </w:rPr>
        <w:t>75.0</w:t>
      </w:r>
      <w:r w:rsidR="00956B7C" w:rsidRPr="00956B7C">
        <w:rPr>
          <w:rFonts w:ascii="Arial" w:hAnsi="Arial" w:cs="Arial"/>
        </w:rPr>
        <w:t xml:space="preserve"> years old, IQR=</w:t>
      </w:r>
      <w:r w:rsidR="00AF23D7">
        <w:rPr>
          <w:rFonts w:ascii="Arial" w:hAnsi="Arial" w:cs="Arial"/>
        </w:rPr>
        <w:t>70</w:t>
      </w:r>
      <w:r w:rsidR="00956B7C" w:rsidRPr="00956B7C">
        <w:rPr>
          <w:rFonts w:ascii="Arial" w:hAnsi="Arial" w:cs="Arial"/>
        </w:rPr>
        <w:t>-8</w:t>
      </w:r>
      <w:r w:rsidR="00AF23D7">
        <w:rPr>
          <w:rFonts w:ascii="Arial" w:hAnsi="Arial" w:cs="Arial"/>
        </w:rPr>
        <w:t>1</w:t>
      </w:r>
      <w:r w:rsidR="00956B7C" w:rsidRPr="00956B7C">
        <w:rPr>
          <w:rFonts w:ascii="Arial" w:hAnsi="Arial" w:cs="Arial"/>
        </w:rPr>
        <w:t>, range=</w:t>
      </w:r>
      <w:r w:rsidR="00AF23D7">
        <w:rPr>
          <w:rFonts w:ascii="Arial" w:hAnsi="Arial" w:cs="Arial"/>
        </w:rPr>
        <w:t>2</w:t>
      </w:r>
      <w:r w:rsidR="00956B7C" w:rsidRPr="00956B7C">
        <w:rPr>
          <w:rFonts w:ascii="Arial" w:hAnsi="Arial" w:cs="Arial"/>
        </w:rPr>
        <w:t>7 years old, minimum age=</w:t>
      </w:r>
      <w:r w:rsidR="00AF23D7">
        <w:rPr>
          <w:rFonts w:ascii="Arial" w:hAnsi="Arial" w:cs="Arial"/>
        </w:rPr>
        <w:t xml:space="preserve">62 </w:t>
      </w:r>
      <w:r w:rsidR="00956B7C" w:rsidRPr="00956B7C">
        <w:rPr>
          <w:rFonts w:ascii="Arial" w:hAnsi="Arial" w:cs="Arial"/>
        </w:rPr>
        <w:t>year</w:t>
      </w:r>
      <w:r w:rsidR="00AF23D7">
        <w:rPr>
          <w:rFonts w:ascii="Arial" w:hAnsi="Arial" w:cs="Arial"/>
        </w:rPr>
        <w:t xml:space="preserve">s </w:t>
      </w:r>
      <w:r w:rsidR="00956B7C" w:rsidRPr="00956B7C">
        <w:rPr>
          <w:rFonts w:ascii="Arial" w:hAnsi="Arial" w:cs="Arial"/>
        </w:rPr>
        <w:t>old, maximum age=</w:t>
      </w:r>
      <w:r w:rsidR="00AF23D7">
        <w:rPr>
          <w:rFonts w:ascii="Arial" w:hAnsi="Arial" w:cs="Arial"/>
        </w:rPr>
        <w:t>8</w:t>
      </w:r>
      <w:r w:rsidR="00956B7C" w:rsidRPr="00956B7C">
        <w:rPr>
          <w:rFonts w:ascii="Arial" w:hAnsi="Arial" w:cs="Arial"/>
        </w:rPr>
        <w:t>9 years old; p</w:t>
      </w:r>
      <w:r w:rsidR="00AF23D7">
        <w:rPr>
          <w:rFonts w:ascii="Arial" w:hAnsi="Arial" w:cs="Arial"/>
        </w:rPr>
        <w:t>=</w:t>
      </w:r>
      <w:r w:rsidR="00956B7C" w:rsidRPr="00956B7C">
        <w:rPr>
          <w:rFonts w:ascii="Arial" w:hAnsi="Arial" w:cs="Arial"/>
        </w:rPr>
        <w:t>0.</w:t>
      </w:r>
      <w:r w:rsidR="00AF23D7">
        <w:rPr>
          <w:rFonts w:ascii="Arial" w:hAnsi="Arial" w:cs="Arial"/>
        </w:rPr>
        <w:t>767</w:t>
      </w:r>
      <w:r w:rsidR="00956B7C" w:rsidRPr="00956B7C">
        <w:rPr>
          <w:rFonts w:ascii="Arial" w:hAnsi="Arial" w:cs="Arial"/>
        </w:rPr>
        <w:t>,</w:t>
      </w:r>
      <w:r w:rsidR="00B1315D">
        <w:rPr>
          <w:rFonts w:ascii="Arial" w:hAnsi="Arial" w:cs="Arial"/>
        </w:rPr>
        <w:t xml:space="preserve"> a median t</w:t>
      </w:r>
      <w:r w:rsidR="00956B7C" w:rsidRPr="00956B7C">
        <w:rPr>
          <w:rFonts w:ascii="Arial" w:hAnsi="Arial" w:cs="Arial"/>
        </w:rPr>
        <w:t>est between independent groups).</w:t>
      </w:r>
      <w:r w:rsidR="00AF23D7">
        <w:rPr>
          <w:rFonts w:ascii="Arial" w:hAnsi="Arial" w:cs="Arial"/>
        </w:rPr>
        <w:t xml:space="preserve"> </w:t>
      </w:r>
      <w:r w:rsidR="00D62287" w:rsidRPr="00D62287">
        <w:rPr>
          <w:rFonts w:ascii="Arial" w:hAnsi="Arial" w:cs="Arial"/>
        </w:rPr>
        <w:t xml:space="preserve">However, this age difference was not significant, </w:t>
      </w:r>
      <w:r w:rsidR="00B1315D">
        <w:rPr>
          <w:rFonts w:ascii="Arial" w:hAnsi="Arial" w:cs="Arial"/>
        </w:rPr>
        <w:t xml:space="preserve">which indicates </w:t>
      </w:r>
      <w:r w:rsidR="00D62287" w:rsidRPr="00D62287">
        <w:rPr>
          <w:rFonts w:ascii="Arial" w:hAnsi="Arial" w:cs="Arial"/>
        </w:rPr>
        <w:t>that the distribution between sexes was homogeneous.</w:t>
      </w:r>
      <w:r w:rsidR="00D62287">
        <w:rPr>
          <w:rFonts w:ascii="Arial" w:hAnsi="Arial" w:cs="Arial"/>
        </w:rPr>
        <w:t xml:space="preserve"> </w:t>
      </w:r>
      <w:r w:rsidR="00AF23D7" w:rsidRPr="00AF23D7">
        <w:rPr>
          <w:rFonts w:ascii="Arial" w:hAnsi="Arial" w:cs="Arial"/>
        </w:rPr>
        <w:t>Additionally, the average age was similar for both sexes (females=76.88, SD=9.61 years vs. males=75.52, SD</w:t>
      </w:r>
      <w:r w:rsidR="00AF23D7">
        <w:rPr>
          <w:rFonts w:ascii="Arial" w:hAnsi="Arial" w:cs="Arial"/>
        </w:rPr>
        <w:t>=</w:t>
      </w:r>
      <w:r w:rsidR="00AF23D7" w:rsidRPr="00AF23D7">
        <w:rPr>
          <w:rFonts w:ascii="Arial" w:hAnsi="Arial" w:cs="Arial"/>
        </w:rPr>
        <w:t>8.01 years).</w:t>
      </w:r>
    </w:p>
    <w:p w14:paraId="2479D031" w14:textId="77777777" w:rsidR="00956B7C" w:rsidRDefault="00956B7C" w:rsidP="00682C9B">
      <w:pPr>
        <w:pStyle w:val="Body"/>
        <w:spacing w:after="0"/>
        <w:rPr>
          <w:rFonts w:ascii="Arial" w:hAnsi="Arial" w:cs="Arial"/>
        </w:rPr>
      </w:pPr>
    </w:p>
    <w:p w14:paraId="38BD764F" w14:textId="7AB927FD" w:rsidR="00682C9B" w:rsidRDefault="00B1315D" w:rsidP="00682C9B">
      <w:pPr>
        <w:pStyle w:val="Body"/>
        <w:spacing w:after="0"/>
        <w:rPr>
          <w:rFonts w:ascii="Arial" w:hAnsi="Arial" w:cs="Arial"/>
        </w:rPr>
      </w:pPr>
      <w:r>
        <w:rPr>
          <w:rFonts w:ascii="Arial" w:hAnsi="Arial" w:cs="Arial"/>
        </w:rPr>
        <w:lastRenderedPageBreak/>
        <w:t>On the other</w:t>
      </w:r>
      <w:r w:rsidR="00AF23D7">
        <w:rPr>
          <w:rFonts w:ascii="Arial" w:hAnsi="Arial" w:cs="Arial"/>
        </w:rPr>
        <w:t xml:space="preserve"> hand, t</w:t>
      </w:r>
      <w:r w:rsidR="006248B7" w:rsidRPr="006248B7">
        <w:rPr>
          <w:rFonts w:ascii="Arial" w:hAnsi="Arial" w:cs="Arial"/>
        </w:rPr>
        <w:t>he most common age group includes individuals aged 65 years and older.</w:t>
      </w:r>
      <w:r w:rsidR="00AB7F00">
        <w:rPr>
          <w:rFonts w:ascii="Arial" w:hAnsi="Arial" w:cs="Arial"/>
        </w:rPr>
        <w:t xml:space="preserve"> </w:t>
      </w:r>
      <w:r w:rsidR="00AB7F00" w:rsidRPr="00AB7F00">
        <w:rPr>
          <w:rFonts w:ascii="Arial" w:hAnsi="Arial" w:cs="Arial"/>
        </w:rPr>
        <w:t>Regarding marital status, over half of the participants are married, followed by subjects who are widowed. Less than 20% of the population is single (living in a consensual union, or divorced). This distribution highlights the predominance of long-term partnerships. In terms of occupation, the largest group consists of retirees or pensioners, followed by homemakers. A smaller proportion of participants are employed and a minority population are unemployed.</w:t>
      </w:r>
      <w:r w:rsidR="00682C9B">
        <w:rPr>
          <w:rFonts w:ascii="Arial" w:hAnsi="Arial" w:cs="Arial"/>
        </w:rPr>
        <w:t xml:space="preserve"> </w:t>
      </w:r>
      <w:r w:rsidR="00682C9B" w:rsidRPr="00682C9B">
        <w:rPr>
          <w:rFonts w:ascii="Arial" w:hAnsi="Arial" w:cs="Arial"/>
        </w:rPr>
        <w:t>The analysis of educational levels reveals that nearly half of the parti</w:t>
      </w:r>
      <w:r>
        <w:rPr>
          <w:rFonts w:ascii="Arial" w:hAnsi="Arial" w:cs="Arial"/>
        </w:rPr>
        <w:t>cipants have a basic education where a</w:t>
      </w:r>
      <w:r w:rsidR="00682C9B" w:rsidRPr="00682C9B">
        <w:rPr>
          <w:rFonts w:ascii="Arial" w:hAnsi="Arial" w:cs="Arial"/>
        </w:rPr>
        <w:t>pproximately one-quarter of the participants have completed secondary education or hold a higher education degree. However, only a small minority (less than 10%) possess postgraduate qualifications, such as a master’s or doctoral degree. This distribution highlights the limited access to advanced education within this cohort.</w:t>
      </w:r>
      <w:r w:rsidR="00682C9B">
        <w:rPr>
          <w:rFonts w:ascii="Arial" w:hAnsi="Arial" w:cs="Arial"/>
        </w:rPr>
        <w:t xml:space="preserve"> </w:t>
      </w:r>
      <w:r w:rsidR="00682C9B" w:rsidRPr="00682C9B">
        <w:rPr>
          <w:rFonts w:ascii="Arial" w:hAnsi="Arial" w:cs="Arial"/>
        </w:rPr>
        <w:t>In terms of housing, the majority of participants are homeowners, with only 3.6% renting and 1.8% residing under alternative arrangements. This suggests a predominantly stable and independent living situation for most individuals in the cohort.</w:t>
      </w:r>
      <w:r w:rsidR="00682C9B">
        <w:rPr>
          <w:rFonts w:ascii="Arial" w:hAnsi="Arial" w:cs="Arial"/>
        </w:rPr>
        <w:t xml:space="preserve"> </w:t>
      </w:r>
      <w:r w:rsidR="00682C9B" w:rsidRPr="00682C9B">
        <w:rPr>
          <w:rFonts w:ascii="Arial" w:hAnsi="Arial" w:cs="Arial"/>
        </w:rPr>
        <w:t xml:space="preserve">Socioeconomic status predominantly falls within the middle-to-lower classes (levels C and D), with </w:t>
      </w:r>
      <w:r w:rsidR="00FA2FF3">
        <w:rPr>
          <w:rFonts w:ascii="Arial" w:hAnsi="Arial" w:cs="Arial"/>
        </w:rPr>
        <w:t xml:space="preserve">at </w:t>
      </w:r>
      <w:r w:rsidR="00FA2FF3" w:rsidRPr="00FA2FF3">
        <w:rPr>
          <w:rFonts w:ascii="Arial" w:hAnsi="Arial" w:cs="Arial"/>
        </w:rPr>
        <w:t>least</w:t>
      </w:r>
      <w:r w:rsidR="00FA2FF3">
        <w:rPr>
          <w:rFonts w:ascii="Arial" w:hAnsi="Arial" w:cs="Arial"/>
        </w:rPr>
        <w:t xml:space="preserve"> </w:t>
      </w:r>
      <w:r w:rsidR="00682C9B" w:rsidRPr="00682C9B">
        <w:rPr>
          <w:rFonts w:ascii="Arial" w:hAnsi="Arial" w:cs="Arial"/>
        </w:rPr>
        <w:t>20% of participants in each category. Less than 10% belong to the upper socioeconomic class (A/B), while 5.5% are in the lowest socioeconomic level (E). This highlights the study population’s concentration in middle and lower socioeconomic strata</w:t>
      </w:r>
      <w:r w:rsidR="00682C9B">
        <w:rPr>
          <w:rFonts w:ascii="Arial" w:hAnsi="Arial" w:cs="Arial"/>
        </w:rPr>
        <w:t xml:space="preserve"> (table 1)</w:t>
      </w:r>
      <w:r w:rsidR="00682C9B" w:rsidRPr="00682C9B">
        <w:rPr>
          <w:rFonts w:ascii="Arial" w:hAnsi="Arial" w:cs="Arial"/>
        </w:rPr>
        <w:t>.</w:t>
      </w:r>
    </w:p>
    <w:p w14:paraId="40B9D7CE" w14:textId="77777777" w:rsidR="00682C9B" w:rsidRDefault="00682C9B" w:rsidP="00A34137">
      <w:pPr>
        <w:pStyle w:val="Body"/>
        <w:spacing w:after="0"/>
        <w:rPr>
          <w:rFonts w:ascii="Arial" w:hAnsi="Arial" w:cs="Arial"/>
        </w:rPr>
      </w:pPr>
    </w:p>
    <w:p w14:paraId="0AB4F455" w14:textId="28599BC1" w:rsidR="00A34137" w:rsidRPr="00A34137" w:rsidRDefault="00A34137" w:rsidP="00A34137">
      <w:pPr>
        <w:pStyle w:val="Body"/>
        <w:spacing w:after="0"/>
        <w:rPr>
          <w:rFonts w:ascii="Arial" w:hAnsi="Arial" w:cs="Arial"/>
          <w:b/>
          <w:bCs/>
        </w:rPr>
      </w:pPr>
      <w:r w:rsidRPr="00A34137">
        <w:rPr>
          <w:rFonts w:ascii="Arial" w:hAnsi="Arial" w:cs="Arial"/>
          <w:b/>
          <w:bCs/>
        </w:rPr>
        <w:t>Table 1. General characteristics of the study population.</w:t>
      </w:r>
    </w:p>
    <w:tbl>
      <w:tblPr>
        <w:tblW w:w="880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47"/>
        <w:gridCol w:w="2126"/>
        <w:gridCol w:w="2126"/>
        <w:gridCol w:w="2005"/>
      </w:tblGrid>
      <w:tr w:rsidR="00A37A46" w:rsidRPr="00A34137" w14:paraId="68C61A6B" w14:textId="77777777" w:rsidTr="00772665">
        <w:trPr>
          <w:trHeight w:val="301"/>
          <w:jc w:val="center"/>
        </w:trPr>
        <w:tc>
          <w:tcPr>
            <w:tcW w:w="2547" w:type="dxa"/>
            <w:tcBorders>
              <w:bottom w:val="single" w:sz="4" w:space="0" w:color="auto"/>
            </w:tcBorders>
            <w:vAlign w:val="center"/>
          </w:tcPr>
          <w:p w14:paraId="544B7B12" w14:textId="41CB8A6D" w:rsidR="00A37A46" w:rsidRPr="00A34137" w:rsidRDefault="00A37A46" w:rsidP="00BD62D4">
            <w:pPr>
              <w:rPr>
                <w:rFonts w:ascii="Arial" w:hAnsi="Arial" w:cs="Arial"/>
                <w:color w:val="000000"/>
                <w:lang w:eastAsia="es-MX"/>
              </w:rPr>
            </w:pPr>
            <w:r w:rsidRPr="00A34137">
              <w:rPr>
                <w:rFonts w:ascii="Arial" w:hAnsi="Arial" w:cs="Arial"/>
              </w:rPr>
              <w:t>Variables</w:t>
            </w:r>
          </w:p>
        </w:tc>
        <w:tc>
          <w:tcPr>
            <w:tcW w:w="2126" w:type="dxa"/>
            <w:tcBorders>
              <w:bottom w:val="single" w:sz="4" w:space="0" w:color="auto"/>
            </w:tcBorders>
            <w:vAlign w:val="center"/>
          </w:tcPr>
          <w:p w14:paraId="4904DC91" w14:textId="594B7DA0" w:rsidR="00A37A46" w:rsidRDefault="00A37A46" w:rsidP="00BD62D4">
            <w:pPr>
              <w:jc w:val="center"/>
              <w:rPr>
                <w:rFonts w:ascii="Arial" w:hAnsi="Arial" w:cs="Arial"/>
              </w:rPr>
            </w:pPr>
            <w:r>
              <w:rPr>
                <w:rFonts w:ascii="Arial" w:hAnsi="Arial" w:cs="Arial"/>
              </w:rPr>
              <w:t>Total (N=55)</w:t>
            </w:r>
          </w:p>
          <w:p w14:paraId="6EBD320C" w14:textId="0DD94BDB" w:rsidR="00A37A46" w:rsidRPr="00A34137" w:rsidRDefault="00A37A46" w:rsidP="00BD62D4">
            <w:pPr>
              <w:jc w:val="center"/>
              <w:rPr>
                <w:rFonts w:ascii="Arial" w:hAnsi="Arial" w:cs="Arial"/>
                <w:color w:val="000000"/>
                <w:lang w:eastAsia="es-MX"/>
              </w:rPr>
            </w:pPr>
            <w:r>
              <w:rPr>
                <w:rFonts w:ascii="Arial" w:hAnsi="Arial" w:cs="Arial"/>
              </w:rPr>
              <w:t>n, % (95%CI)</w:t>
            </w:r>
          </w:p>
        </w:tc>
        <w:tc>
          <w:tcPr>
            <w:tcW w:w="2126" w:type="dxa"/>
            <w:tcBorders>
              <w:bottom w:val="single" w:sz="4" w:space="0" w:color="auto"/>
            </w:tcBorders>
            <w:vAlign w:val="center"/>
          </w:tcPr>
          <w:p w14:paraId="5703C4B1" w14:textId="77777777" w:rsidR="00A37A46" w:rsidRDefault="00A37A46" w:rsidP="00BD62D4">
            <w:pPr>
              <w:jc w:val="center"/>
              <w:rPr>
                <w:rFonts w:ascii="Arial" w:hAnsi="Arial" w:cs="Arial"/>
                <w:color w:val="000000"/>
                <w:lang w:eastAsia="es-MX"/>
              </w:rPr>
            </w:pPr>
            <w:r>
              <w:rPr>
                <w:rFonts w:ascii="Arial" w:hAnsi="Arial" w:cs="Arial"/>
                <w:color w:val="000000"/>
                <w:lang w:eastAsia="es-MX"/>
              </w:rPr>
              <w:t>Females (n=32)</w:t>
            </w:r>
          </w:p>
          <w:p w14:paraId="6B35EA0C" w14:textId="643FC9BA" w:rsidR="00A37A46" w:rsidRPr="00A34137" w:rsidRDefault="00A37A46" w:rsidP="00BD62D4">
            <w:pPr>
              <w:jc w:val="center"/>
              <w:rPr>
                <w:rFonts w:ascii="Arial" w:hAnsi="Arial" w:cs="Arial"/>
                <w:color w:val="000000"/>
                <w:lang w:eastAsia="es-MX"/>
              </w:rPr>
            </w:pPr>
            <w:r>
              <w:rPr>
                <w:rFonts w:ascii="Arial" w:hAnsi="Arial" w:cs="Arial"/>
              </w:rPr>
              <w:t>n, % (95%CI)</w:t>
            </w:r>
          </w:p>
        </w:tc>
        <w:tc>
          <w:tcPr>
            <w:tcW w:w="2005" w:type="dxa"/>
            <w:tcBorders>
              <w:bottom w:val="single" w:sz="4" w:space="0" w:color="auto"/>
            </w:tcBorders>
            <w:shd w:val="clear" w:color="auto" w:fill="auto"/>
            <w:vAlign w:val="center"/>
          </w:tcPr>
          <w:p w14:paraId="1F131D4F" w14:textId="77777777" w:rsidR="00A37A46" w:rsidRDefault="00A37A46" w:rsidP="00BD62D4">
            <w:pPr>
              <w:jc w:val="center"/>
              <w:rPr>
                <w:rFonts w:ascii="Arial" w:hAnsi="Arial" w:cs="Arial"/>
                <w:color w:val="000000"/>
                <w:lang w:eastAsia="es-MX"/>
              </w:rPr>
            </w:pPr>
            <w:r>
              <w:rPr>
                <w:rFonts w:ascii="Arial" w:hAnsi="Arial" w:cs="Arial"/>
                <w:color w:val="000000"/>
                <w:lang w:eastAsia="es-MX"/>
              </w:rPr>
              <w:t>Males (n=23)</w:t>
            </w:r>
          </w:p>
          <w:p w14:paraId="0E60B996" w14:textId="7E2AD51C" w:rsidR="00A37A46" w:rsidRPr="00A34137" w:rsidRDefault="00A37A46" w:rsidP="00BD62D4">
            <w:pPr>
              <w:jc w:val="center"/>
              <w:rPr>
                <w:rFonts w:ascii="Arial" w:hAnsi="Arial" w:cs="Arial"/>
                <w:color w:val="000000"/>
                <w:lang w:eastAsia="es-MX"/>
              </w:rPr>
            </w:pPr>
            <w:r>
              <w:rPr>
                <w:rFonts w:ascii="Arial" w:hAnsi="Arial" w:cs="Arial"/>
              </w:rPr>
              <w:t>n, % (95%CI)</w:t>
            </w:r>
          </w:p>
        </w:tc>
      </w:tr>
      <w:tr w:rsidR="00A37A46" w:rsidRPr="00A34137" w14:paraId="0FD8E369" w14:textId="77777777" w:rsidTr="00772665">
        <w:trPr>
          <w:trHeight w:val="301"/>
          <w:jc w:val="center"/>
        </w:trPr>
        <w:tc>
          <w:tcPr>
            <w:tcW w:w="2547" w:type="dxa"/>
            <w:tcBorders>
              <w:top w:val="single" w:sz="4" w:space="0" w:color="auto"/>
              <w:bottom w:val="nil"/>
            </w:tcBorders>
            <w:vAlign w:val="center"/>
          </w:tcPr>
          <w:p w14:paraId="5295FEF1" w14:textId="627A1564" w:rsidR="00A37A46" w:rsidRPr="00A34137" w:rsidRDefault="00A37A46" w:rsidP="00BD62D4">
            <w:pPr>
              <w:rPr>
                <w:rFonts w:ascii="Arial" w:hAnsi="Arial" w:cs="Arial"/>
                <w:color w:val="000000"/>
                <w:lang w:eastAsia="es-MX"/>
              </w:rPr>
            </w:pPr>
            <w:r w:rsidRPr="00A34137">
              <w:rPr>
                <w:rFonts w:ascii="Arial" w:hAnsi="Arial" w:cs="Arial"/>
                <w:color w:val="000000"/>
                <w:lang w:eastAsia="es-MX"/>
              </w:rPr>
              <w:t>Sex</w:t>
            </w:r>
          </w:p>
        </w:tc>
        <w:tc>
          <w:tcPr>
            <w:tcW w:w="2126" w:type="dxa"/>
            <w:tcBorders>
              <w:top w:val="single" w:sz="4" w:space="0" w:color="auto"/>
              <w:bottom w:val="nil"/>
            </w:tcBorders>
            <w:vAlign w:val="center"/>
          </w:tcPr>
          <w:p w14:paraId="5F6253F1" w14:textId="77777777" w:rsidR="00A37A46" w:rsidRPr="00A34137" w:rsidRDefault="00A37A46" w:rsidP="00BD62D4">
            <w:pPr>
              <w:jc w:val="center"/>
              <w:rPr>
                <w:rFonts w:ascii="Arial" w:hAnsi="Arial" w:cs="Arial"/>
                <w:color w:val="000000"/>
                <w:lang w:eastAsia="es-MX"/>
              </w:rPr>
            </w:pPr>
          </w:p>
        </w:tc>
        <w:tc>
          <w:tcPr>
            <w:tcW w:w="2126" w:type="dxa"/>
            <w:tcBorders>
              <w:top w:val="single" w:sz="4" w:space="0" w:color="auto"/>
              <w:bottom w:val="nil"/>
            </w:tcBorders>
            <w:vAlign w:val="center"/>
          </w:tcPr>
          <w:p w14:paraId="5A3B3012" w14:textId="77777777" w:rsidR="00A37A46" w:rsidRPr="00A34137" w:rsidRDefault="00A37A46" w:rsidP="00BD62D4">
            <w:pPr>
              <w:jc w:val="center"/>
              <w:rPr>
                <w:rFonts w:ascii="Arial" w:hAnsi="Arial" w:cs="Arial"/>
                <w:color w:val="000000"/>
                <w:lang w:eastAsia="es-MX"/>
              </w:rPr>
            </w:pPr>
          </w:p>
        </w:tc>
        <w:tc>
          <w:tcPr>
            <w:tcW w:w="2005" w:type="dxa"/>
            <w:tcBorders>
              <w:top w:val="single" w:sz="4" w:space="0" w:color="auto"/>
              <w:bottom w:val="nil"/>
            </w:tcBorders>
            <w:shd w:val="clear" w:color="auto" w:fill="auto"/>
            <w:vAlign w:val="center"/>
          </w:tcPr>
          <w:p w14:paraId="2BB0157B" w14:textId="77777777" w:rsidR="00A37A46" w:rsidRPr="00A34137" w:rsidRDefault="00A37A46" w:rsidP="00BD62D4">
            <w:pPr>
              <w:jc w:val="center"/>
              <w:rPr>
                <w:rFonts w:ascii="Arial" w:hAnsi="Arial" w:cs="Arial"/>
                <w:color w:val="000000"/>
                <w:lang w:eastAsia="es-MX"/>
              </w:rPr>
            </w:pPr>
          </w:p>
        </w:tc>
      </w:tr>
      <w:tr w:rsidR="00A37A46" w:rsidRPr="00A34137" w14:paraId="0CBA8299" w14:textId="77777777" w:rsidTr="00772665">
        <w:trPr>
          <w:trHeight w:val="301"/>
          <w:jc w:val="center"/>
        </w:trPr>
        <w:tc>
          <w:tcPr>
            <w:tcW w:w="2547" w:type="dxa"/>
            <w:tcBorders>
              <w:top w:val="nil"/>
            </w:tcBorders>
            <w:vAlign w:val="center"/>
          </w:tcPr>
          <w:p w14:paraId="12F07588" w14:textId="7EF7E6F4" w:rsidR="00A37A46" w:rsidRPr="00A34137" w:rsidRDefault="00A37A46" w:rsidP="00BD62D4">
            <w:pPr>
              <w:rPr>
                <w:rFonts w:ascii="Arial" w:hAnsi="Arial" w:cs="Arial"/>
                <w:color w:val="000000"/>
                <w:lang w:eastAsia="es-MX"/>
              </w:rPr>
            </w:pPr>
            <w:r w:rsidRPr="00A34137">
              <w:rPr>
                <w:rFonts w:ascii="Arial" w:hAnsi="Arial" w:cs="Arial"/>
              </w:rPr>
              <w:t xml:space="preserve">     Male</w:t>
            </w:r>
          </w:p>
        </w:tc>
        <w:tc>
          <w:tcPr>
            <w:tcW w:w="2126" w:type="dxa"/>
            <w:tcBorders>
              <w:top w:val="nil"/>
            </w:tcBorders>
            <w:vAlign w:val="center"/>
          </w:tcPr>
          <w:p w14:paraId="2DD9A325" w14:textId="136793F3" w:rsidR="00A37A46" w:rsidRPr="00A34137" w:rsidRDefault="00A37A46" w:rsidP="00BD62D4">
            <w:pPr>
              <w:jc w:val="center"/>
              <w:rPr>
                <w:rFonts w:ascii="Arial" w:hAnsi="Arial" w:cs="Arial"/>
                <w:color w:val="000000"/>
                <w:lang w:eastAsia="es-MX"/>
              </w:rPr>
            </w:pPr>
            <w:r w:rsidRPr="00A34137">
              <w:rPr>
                <w:rFonts w:ascii="Arial" w:hAnsi="Arial" w:cs="Arial"/>
                <w:color w:val="000000"/>
                <w:lang w:eastAsia="es-MX"/>
              </w:rPr>
              <w:t>23</w:t>
            </w:r>
            <w:r>
              <w:rPr>
                <w:rFonts w:ascii="Arial" w:hAnsi="Arial" w:cs="Arial"/>
                <w:color w:val="000000"/>
                <w:lang w:eastAsia="es-MX"/>
              </w:rPr>
              <w:t xml:space="preserve">, </w:t>
            </w:r>
            <w:r w:rsidRPr="00A34137">
              <w:rPr>
                <w:rFonts w:ascii="Arial" w:hAnsi="Arial" w:cs="Arial"/>
                <w:color w:val="000000"/>
                <w:lang w:eastAsia="es-MX"/>
              </w:rPr>
              <w:t>41.8</w:t>
            </w:r>
            <w:r>
              <w:rPr>
                <w:rFonts w:ascii="Arial" w:hAnsi="Arial" w:cs="Arial"/>
                <w:color w:val="000000"/>
                <w:lang w:eastAsia="es-MX"/>
              </w:rPr>
              <w:t xml:space="preserve"> (</w:t>
            </w:r>
            <w:r w:rsidRPr="00A34137">
              <w:rPr>
                <w:rFonts w:ascii="Arial" w:hAnsi="Arial" w:cs="Arial"/>
                <w:color w:val="000000"/>
                <w:lang w:eastAsia="es-MX"/>
              </w:rPr>
              <w:t>29.1</w:t>
            </w:r>
            <w:r>
              <w:rPr>
                <w:rFonts w:ascii="Arial" w:hAnsi="Arial" w:cs="Arial"/>
                <w:color w:val="000000"/>
                <w:lang w:eastAsia="es-MX"/>
              </w:rPr>
              <w:t>-</w:t>
            </w:r>
            <w:r w:rsidRPr="00A34137">
              <w:rPr>
                <w:rFonts w:ascii="Arial" w:hAnsi="Arial" w:cs="Arial"/>
                <w:color w:val="000000"/>
                <w:lang w:eastAsia="es-MX"/>
              </w:rPr>
              <w:t>54.5</w:t>
            </w:r>
            <w:r>
              <w:rPr>
                <w:rFonts w:ascii="Arial" w:hAnsi="Arial" w:cs="Arial"/>
                <w:color w:val="000000"/>
                <w:lang w:eastAsia="es-MX"/>
              </w:rPr>
              <w:t>)</w:t>
            </w:r>
          </w:p>
        </w:tc>
        <w:tc>
          <w:tcPr>
            <w:tcW w:w="2126" w:type="dxa"/>
            <w:tcBorders>
              <w:top w:val="nil"/>
            </w:tcBorders>
            <w:vAlign w:val="center"/>
          </w:tcPr>
          <w:p w14:paraId="115499E3" w14:textId="274C9259" w:rsidR="00A37A46" w:rsidRPr="00A34137" w:rsidRDefault="00A37A46" w:rsidP="00BD62D4">
            <w:pPr>
              <w:jc w:val="center"/>
              <w:rPr>
                <w:rFonts w:ascii="Arial" w:hAnsi="Arial" w:cs="Arial"/>
                <w:color w:val="000000"/>
                <w:lang w:eastAsia="es-MX"/>
              </w:rPr>
            </w:pPr>
          </w:p>
        </w:tc>
        <w:tc>
          <w:tcPr>
            <w:tcW w:w="2005" w:type="dxa"/>
            <w:tcBorders>
              <w:top w:val="nil"/>
            </w:tcBorders>
            <w:shd w:val="clear" w:color="auto" w:fill="auto"/>
            <w:vAlign w:val="center"/>
          </w:tcPr>
          <w:p w14:paraId="75A04BF7" w14:textId="662AC70B" w:rsidR="00A37A46" w:rsidRPr="00A34137" w:rsidRDefault="00A37A46" w:rsidP="00BD62D4">
            <w:pPr>
              <w:jc w:val="center"/>
              <w:rPr>
                <w:rFonts w:ascii="Arial" w:hAnsi="Arial" w:cs="Arial"/>
                <w:color w:val="000000"/>
                <w:lang w:eastAsia="es-MX"/>
              </w:rPr>
            </w:pPr>
          </w:p>
        </w:tc>
      </w:tr>
      <w:tr w:rsidR="00A37A46" w:rsidRPr="00A34137" w14:paraId="3279688E" w14:textId="77777777" w:rsidTr="00772665">
        <w:trPr>
          <w:trHeight w:val="301"/>
          <w:jc w:val="center"/>
        </w:trPr>
        <w:tc>
          <w:tcPr>
            <w:tcW w:w="2547" w:type="dxa"/>
            <w:vAlign w:val="center"/>
          </w:tcPr>
          <w:p w14:paraId="6A30D18A" w14:textId="401143E5" w:rsidR="00A37A46" w:rsidRPr="00A34137" w:rsidRDefault="00A37A46" w:rsidP="00BD62D4">
            <w:pPr>
              <w:rPr>
                <w:rFonts w:ascii="Arial" w:hAnsi="Arial" w:cs="Arial"/>
                <w:color w:val="000000"/>
                <w:lang w:eastAsia="es-MX"/>
              </w:rPr>
            </w:pPr>
            <w:r w:rsidRPr="00A34137">
              <w:rPr>
                <w:rFonts w:ascii="Arial" w:hAnsi="Arial" w:cs="Arial"/>
              </w:rPr>
              <w:t xml:space="preserve">     Female</w:t>
            </w:r>
          </w:p>
        </w:tc>
        <w:tc>
          <w:tcPr>
            <w:tcW w:w="2126" w:type="dxa"/>
            <w:vAlign w:val="center"/>
          </w:tcPr>
          <w:p w14:paraId="6DE3908B" w14:textId="11581FE2" w:rsidR="00A37A46" w:rsidRPr="00A34137" w:rsidRDefault="00A37A46" w:rsidP="00BD62D4">
            <w:pPr>
              <w:jc w:val="center"/>
              <w:rPr>
                <w:rFonts w:ascii="Arial" w:hAnsi="Arial" w:cs="Arial"/>
                <w:color w:val="000000"/>
                <w:lang w:eastAsia="es-MX"/>
              </w:rPr>
            </w:pPr>
            <w:r w:rsidRPr="00A34137">
              <w:rPr>
                <w:rFonts w:ascii="Arial" w:hAnsi="Arial" w:cs="Arial"/>
                <w:color w:val="000000"/>
                <w:lang w:eastAsia="es-MX"/>
              </w:rPr>
              <w:t>32</w:t>
            </w:r>
            <w:r>
              <w:rPr>
                <w:rFonts w:ascii="Arial" w:hAnsi="Arial" w:cs="Arial"/>
                <w:color w:val="000000"/>
                <w:lang w:eastAsia="es-MX"/>
              </w:rPr>
              <w:t xml:space="preserve">, </w:t>
            </w:r>
            <w:r w:rsidRPr="00A34137">
              <w:rPr>
                <w:rFonts w:ascii="Arial" w:hAnsi="Arial" w:cs="Arial"/>
                <w:color w:val="000000"/>
                <w:lang w:eastAsia="es-MX"/>
              </w:rPr>
              <w:t>58.2</w:t>
            </w:r>
            <w:r>
              <w:rPr>
                <w:rFonts w:ascii="Arial" w:hAnsi="Arial" w:cs="Arial"/>
                <w:color w:val="000000"/>
                <w:lang w:eastAsia="es-MX"/>
              </w:rPr>
              <w:t xml:space="preserve"> (</w:t>
            </w:r>
            <w:r w:rsidRPr="00A34137">
              <w:rPr>
                <w:rFonts w:ascii="Arial" w:hAnsi="Arial" w:cs="Arial"/>
                <w:color w:val="000000"/>
                <w:lang w:eastAsia="es-MX"/>
              </w:rPr>
              <w:t>45.5</w:t>
            </w:r>
            <w:r>
              <w:rPr>
                <w:rFonts w:ascii="Arial" w:hAnsi="Arial" w:cs="Arial"/>
                <w:color w:val="000000"/>
                <w:lang w:eastAsia="es-MX"/>
              </w:rPr>
              <w:t>-</w:t>
            </w:r>
            <w:r w:rsidRPr="00A34137">
              <w:rPr>
                <w:rFonts w:ascii="Arial" w:hAnsi="Arial" w:cs="Arial"/>
                <w:color w:val="000000"/>
                <w:lang w:eastAsia="es-MX"/>
              </w:rPr>
              <w:t>70.9</w:t>
            </w:r>
            <w:r>
              <w:rPr>
                <w:rFonts w:ascii="Arial" w:hAnsi="Arial" w:cs="Arial"/>
                <w:color w:val="000000"/>
                <w:lang w:eastAsia="es-MX"/>
              </w:rPr>
              <w:t>)</w:t>
            </w:r>
          </w:p>
        </w:tc>
        <w:tc>
          <w:tcPr>
            <w:tcW w:w="2126" w:type="dxa"/>
            <w:vAlign w:val="center"/>
          </w:tcPr>
          <w:p w14:paraId="4E2D1689" w14:textId="7013B58C" w:rsidR="00A37A46" w:rsidRPr="00A34137" w:rsidRDefault="00A37A46" w:rsidP="00BD62D4">
            <w:pPr>
              <w:jc w:val="center"/>
              <w:rPr>
                <w:rFonts w:ascii="Arial" w:hAnsi="Arial" w:cs="Arial"/>
                <w:color w:val="000000"/>
                <w:lang w:eastAsia="es-MX"/>
              </w:rPr>
            </w:pPr>
          </w:p>
        </w:tc>
        <w:tc>
          <w:tcPr>
            <w:tcW w:w="2005" w:type="dxa"/>
            <w:shd w:val="clear" w:color="auto" w:fill="auto"/>
            <w:vAlign w:val="center"/>
          </w:tcPr>
          <w:p w14:paraId="32C6714B" w14:textId="465D46D0" w:rsidR="00A37A46" w:rsidRPr="00A34137" w:rsidRDefault="00A37A46" w:rsidP="00BD62D4">
            <w:pPr>
              <w:jc w:val="center"/>
              <w:rPr>
                <w:rFonts w:ascii="Arial" w:hAnsi="Arial" w:cs="Arial"/>
                <w:color w:val="000000"/>
                <w:lang w:eastAsia="es-MX"/>
              </w:rPr>
            </w:pPr>
          </w:p>
        </w:tc>
      </w:tr>
      <w:tr w:rsidR="00A37A46" w:rsidRPr="00A34137" w14:paraId="7CC95394" w14:textId="77777777" w:rsidTr="00772665">
        <w:trPr>
          <w:trHeight w:val="301"/>
          <w:jc w:val="center"/>
        </w:trPr>
        <w:tc>
          <w:tcPr>
            <w:tcW w:w="2547" w:type="dxa"/>
            <w:vAlign w:val="center"/>
          </w:tcPr>
          <w:p w14:paraId="3CF81A90" w14:textId="56EA28FA" w:rsidR="00A37A46" w:rsidRPr="00A34137" w:rsidRDefault="00A37A46" w:rsidP="00BD62D4">
            <w:pPr>
              <w:rPr>
                <w:rFonts w:ascii="Arial" w:hAnsi="Arial" w:cs="Arial"/>
                <w:color w:val="000000"/>
                <w:lang w:eastAsia="es-MX"/>
              </w:rPr>
            </w:pPr>
            <w:r w:rsidRPr="00A34137">
              <w:rPr>
                <w:rFonts w:ascii="Arial" w:hAnsi="Arial" w:cs="Arial"/>
              </w:rPr>
              <w:t>Marital status</w:t>
            </w:r>
            <w:r w:rsidR="00C935E3">
              <w:rPr>
                <w:rFonts w:ascii="Arial" w:hAnsi="Arial" w:cs="Arial"/>
              </w:rPr>
              <w:t>*</w:t>
            </w:r>
          </w:p>
        </w:tc>
        <w:tc>
          <w:tcPr>
            <w:tcW w:w="2126" w:type="dxa"/>
            <w:vAlign w:val="center"/>
          </w:tcPr>
          <w:p w14:paraId="151FD4B1" w14:textId="77777777" w:rsidR="00A37A46" w:rsidRPr="00A34137" w:rsidRDefault="00A37A46" w:rsidP="00BD62D4">
            <w:pPr>
              <w:jc w:val="center"/>
              <w:rPr>
                <w:rFonts w:ascii="Arial" w:hAnsi="Arial" w:cs="Arial"/>
                <w:color w:val="000000"/>
                <w:lang w:eastAsia="es-MX"/>
              </w:rPr>
            </w:pPr>
          </w:p>
        </w:tc>
        <w:tc>
          <w:tcPr>
            <w:tcW w:w="2126" w:type="dxa"/>
            <w:vAlign w:val="center"/>
          </w:tcPr>
          <w:p w14:paraId="012F3DA1" w14:textId="77777777" w:rsidR="00A37A46" w:rsidRPr="00A34137" w:rsidRDefault="00A37A46" w:rsidP="00BD62D4">
            <w:pPr>
              <w:jc w:val="center"/>
              <w:rPr>
                <w:rFonts w:ascii="Arial" w:hAnsi="Arial" w:cs="Arial"/>
                <w:color w:val="000000"/>
                <w:lang w:eastAsia="es-MX"/>
              </w:rPr>
            </w:pPr>
          </w:p>
        </w:tc>
        <w:tc>
          <w:tcPr>
            <w:tcW w:w="2005" w:type="dxa"/>
            <w:shd w:val="clear" w:color="auto" w:fill="auto"/>
            <w:vAlign w:val="center"/>
          </w:tcPr>
          <w:p w14:paraId="0C5C0D3A" w14:textId="77777777" w:rsidR="00A37A46" w:rsidRPr="00A34137" w:rsidRDefault="00A37A46" w:rsidP="00BD62D4">
            <w:pPr>
              <w:jc w:val="center"/>
              <w:rPr>
                <w:rFonts w:ascii="Arial" w:hAnsi="Arial" w:cs="Arial"/>
                <w:color w:val="000000"/>
                <w:lang w:eastAsia="es-MX"/>
              </w:rPr>
            </w:pPr>
          </w:p>
        </w:tc>
      </w:tr>
      <w:tr w:rsidR="00A37A46" w:rsidRPr="00A34137" w14:paraId="7BB12425" w14:textId="77777777" w:rsidTr="00772665">
        <w:trPr>
          <w:trHeight w:val="301"/>
          <w:jc w:val="center"/>
        </w:trPr>
        <w:tc>
          <w:tcPr>
            <w:tcW w:w="2547" w:type="dxa"/>
            <w:vAlign w:val="center"/>
          </w:tcPr>
          <w:p w14:paraId="52985C89" w14:textId="5DE5716F" w:rsidR="00A37A46" w:rsidRPr="00A34137" w:rsidRDefault="00A37A46" w:rsidP="00A37A46">
            <w:pPr>
              <w:rPr>
                <w:rFonts w:ascii="Arial" w:hAnsi="Arial" w:cs="Arial"/>
                <w:color w:val="000000"/>
                <w:lang w:eastAsia="es-MX"/>
              </w:rPr>
            </w:pPr>
            <w:r w:rsidRPr="00A34137">
              <w:rPr>
                <w:rFonts w:ascii="Arial" w:hAnsi="Arial" w:cs="Arial"/>
              </w:rPr>
              <w:t xml:space="preserve">     Single</w:t>
            </w:r>
          </w:p>
        </w:tc>
        <w:tc>
          <w:tcPr>
            <w:tcW w:w="2126" w:type="dxa"/>
            <w:vAlign w:val="center"/>
          </w:tcPr>
          <w:p w14:paraId="3A22D2B4" w14:textId="34837275"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6</w:t>
            </w:r>
            <w:r>
              <w:rPr>
                <w:rFonts w:ascii="Arial" w:hAnsi="Arial" w:cs="Arial"/>
                <w:color w:val="000000"/>
                <w:lang w:eastAsia="es-MX"/>
              </w:rPr>
              <w:t>,</w:t>
            </w:r>
            <w:r w:rsidRPr="00A34137">
              <w:rPr>
                <w:rFonts w:ascii="Arial" w:hAnsi="Arial" w:cs="Arial"/>
                <w:color w:val="000000"/>
                <w:lang w:eastAsia="es-MX"/>
              </w:rPr>
              <w:t xml:space="preserve"> 10.9</w:t>
            </w:r>
            <w:r>
              <w:rPr>
                <w:rFonts w:ascii="Arial" w:hAnsi="Arial" w:cs="Arial"/>
                <w:color w:val="000000"/>
                <w:lang w:eastAsia="es-MX"/>
              </w:rPr>
              <w:t xml:space="preserve"> (</w:t>
            </w:r>
            <w:r w:rsidRPr="00A34137">
              <w:rPr>
                <w:rFonts w:ascii="Arial" w:hAnsi="Arial" w:cs="Arial"/>
                <w:color w:val="000000"/>
                <w:lang w:eastAsia="es-MX"/>
              </w:rPr>
              <w:t>3.6</w:t>
            </w:r>
            <w:r>
              <w:rPr>
                <w:rFonts w:ascii="Arial" w:hAnsi="Arial" w:cs="Arial"/>
                <w:color w:val="000000"/>
                <w:lang w:eastAsia="es-MX"/>
              </w:rPr>
              <w:t>-</w:t>
            </w:r>
            <w:r w:rsidRPr="00A34137">
              <w:rPr>
                <w:rFonts w:ascii="Arial" w:hAnsi="Arial" w:cs="Arial"/>
                <w:color w:val="000000"/>
                <w:lang w:eastAsia="es-MX"/>
              </w:rPr>
              <w:t>20.0</w:t>
            </w:r>
            <w:r>
              <w:rPr>
                <w:rFonts w:ascii="Arial" w:hAnsi="Arial" w:cs="Arial"/>
                <w:color w:val="000000"/>
                <w:lang w:eastAsia="es-MX"/>
              </w:rPr>
              <w:t>)</w:t>
            </w:r>
          </w:p>
        </w:tc>
        <w:tc>
          <w:tcPr>
            <w:tcW w:w="2126" w:type="dxa"/>
            <w:vAlign w:val="center"/>
          </w:tcPr>
          <w:p w14:paraId="64FA228C" w14:textId="7C8D5373" w:rsidR="00A37A46" w:rsidRPr="00A34137" w:rsidRDefault="00A37A46" w:rsidP="00A37A46">
            <w:pPr>
              <w:jc w:val="center"/>
              <w:rPr>
                <w:rFonts w:ascii="Arial" w:hAnsi="Arial" w:cs="Arial"/>
                <w:color w:val="000000"/>
                <w:lang w:eastAsia="es-MX"/>
              </w:rPr>
            </w:pPr>
            <w:r w:rsidRPr="00A67095">
              <w:t>5, 15.6 (3.1-28.1)</w:t>
            </w:r>
          </w:p>
        </w:tc>
        <w:tc>
          <w:tcPr>
            <w:tcW w:w="2005" w:type="dxa"/>
            <w:shd w:val="clear" w:color="auto" w:fill="auto"/>
            <w:vAlign w:val="center"/>
          </w:tcPr>
          <w:p w14:paraId="6B0C48EC" w14:textId="39838986" w:rsidR="00A37A46" w:rsidRPr="00A34137" w:rsidRDefault="00A37A46" w:rsidP="00A37A46">
            <w:pPr>
              <w:jc w:val="center"/>
              <w:rPr>
                <w:rFonts w:ascii="Arial" w:hAnsi="Arial" w:cs="Arial"/>
                <w:color w:val="000000"/>
                <w:lang w:eastAsia="es-MX"/>
              </w:rPr>
            </w:pPr>
            <w:r w:rsidRPr="002628B9">
              <w:t>1, 4.3 (0-13)</w:t>
            </w:r>
          </w:p>
        </w:tc>
      </w:tr>
      <w:tr w:rsidR="00A37A46" w:rsidRPr="00A34137" w14:paraId="2A26DAC2" w14:textId="77777777" w:rsidTr="00772665">
        <w:trPr>
          <w:trHeight w:val="301"/>
          <w:jc w:val="center"/>
        </w:trPr>
        <w:tc>
          <w:tcPr>
            <w:tcW w:w="2547" w:type="dxa"/>
            <w:vAlign w:val="center"/>
          </w:tcPr>
          <w:p w14:paraId="55C4A410" w14:textId="46F28AF4" w:rsidR="00A37A46" w:rsidRPr="00A34137" w:rsidRDefault="00A37A46" w:rsidP="00A37A46">
            <w:pPr>
              <w:rPr>
                <w:rFonts w:ascii="Arial" w:hAnsi="Arial" w:cs="Arial"/>
                <w:color w:val="000000"/>
                <w:lang w:eastAsia="es-MX"/>
              </w:rPr>
            </w:pPr>
            <w:r w:rsidRPr="00A34137">
              <w:rPr>
                <w:rFonts w:ascii="Arial" w:hAnsi="Arial" w:cs="Arial"/>
              </w:rPr>
              <w:t xml:space="preserve">     Married</w:t>
            </w:r>
          </w:p>
        </w:tc>
        <w:tc>
          <w:tcPr>
            <w:tcW w:w="2126" w:type="dxa"/>
            <w:vAlign w:val="center"/>
          </w:tcPr>
          <w:p w14:paraId="73D6E721" w14:textId="7261F159"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28</w:t>
            </w:r>
            <w:r>
              <w:rPr>
                <w:rFonts w:ascii="Arial" w:hAnsi="Arial" w:cs="Arial"/>
                <w:color w:val="000000"/>
                <w:lang w:eastAsia="es-MX"/>
              </w:rPr>
              <w:t>,</w:t>
            </w:r>
            <w:r w:rsidRPr="00A34137">
              <w:rPr>
                <w:rFonts w:ascii="Arial" w:hAnsi="Arial" w:cs="Arial"/>
                <w:color w:val="000000"/>
                <w:lang w:eastAsia="es-MX"/>
              </w:rPr>
              <w:t xml:space="preserve"> 50.9</w:t>
            </w:r>
            <w:r>
              <w:rPr>
                <w:rFonts w:ascii="Arial" w:hAnsi="Arial" w:cs="Arial"/>
                <w:color w:val="000000"/>
                <w:lang w:eastAsia="es-MX"/>
              </w:rPr>
              <w:t xml:space="preserve"> (</w:t>
            </w:r>
            <w:r w:rsidRPr="00A34137">
              <w:rPr>
                <w:rFonts w:ascii="Arial" w:hAnsi="Arial" w:cs="Arial"/>
                <w:color w:val="000000"/>
                <w:lang w:eastAsia="es-MX"/>
              </w:rPr>
              <w:t>38.2</w:t>
            </w:r>
            <w:r>
              <w:rPr>
                <w:rFonts w:ascii="Arial" w:hAnsi="Arial" w:cs="Arial"/>
                <w:color w:val="000000"/>
                <w:lang w:eastAsia="es-MX"/>
              </w:rPr>
              <w:t>-</w:t>
            </w:r>
            <w:r w:rsidRPr="00A34137">
              <w:rPr>
                <w:rFonts w:ascii="Arial" w:hAnsi="Arial" w:cs="Arial"/>
                <w:color w:val="000000"/>
                <w:lang w:eastAsia="es-MX"/>
              </w:rPr>
              <w:t>63.6</w:t>
            </w:r>
            <w:r>
              <w:rPr>
                <w:rFonts w:ascii="Arial" w:hAnsi="Arial" w:cs="Arial"/>
                <w:color w:val="000000"/>
                <w:lang w:eastAsia="es-MX"/>
              </w:rPr>
              <w:t>)</w:t>
            </w:r>
          </w:p>
        </w:tc>
        <w:tc>
          <w:tcPr>
            <w:tcW w:w="2126" w:type="dxa"/>
            <w:vAlign w:val="center"/>
          </w:tcPr>
          <w:p w14:paraId="166DDDB8" w14:textId="54C750EC" w:rsidR="00A37A46" w:rsidRPr="00A34137" w:rsidRDefault="00A37A46" w:rsidP="00A37A46">
            <w:pPr>
              <w:jc w:val="center"/>
              <w:rPr>
                <w:rFonts w:ascii="Arial" w:hAnsi="Arial" w:cs="Arial"/>
                <w:color w:val="000000"/>
                <w:lang w:eastAsia="es-MX"/>
              </w:rPr>
            </w:pPr>
            <w:r w:rsidRPr="00A67095">
              <w:t>10, 31.3 (15.6-49.9)</w:t>
            </w:r>
          </w:p>
        </w:tc>
        <w:tc>
          <w:tcPr>
            <w:tcW w:w="2005" w:type="dxa"/>
            <w:shd w:val="clear" w:color="auto" w:fill="auto"/>
            <w:vAlign w:val="center"/>
          </w:tcPr>
          <w:p w14:paraId="0FDF91B8" w14:textId="51BC2787" w:rsidR="00A37A46" w:rsidRPr="00A34137" w:rsidRDefault="00A37A46" w:rsidP="00A37A46">
            <w:pPr>
              <w:jc w:val="center"/>
              <w:rPr>
                <w:rFonts w:ascii="Arial" w:hAnsi="Arial" w:cs="Arial"/>
                <w:color w:val="000000"/>
                <w:lang w:eastAsia="es-MX"/>
              </w:rPr>
            </w:pPr>
            <w:r w:rsidRPr="002628B9">
              <w:t>18, 78.3 (60.9-95.7)</w:t>
            </w:r>
          </w:p>
        </w:tc>
      </w:tr>
      <w:tr w:rsidR="00A37A46" w:rsidRPr="00A34137" w14:paraId="57AFD086" w14:textId="77777777" w:rsidTr="00772665">
        <w:trPr>
          <w:trHeight w:val="301"/>
          <w:jc w:val="center"/>
        </w:trPr>
        <w:tc>
          <w:tcPr>
            <w:tcW w:w="2547" w:type="dxa"/>
            <w:vAlign w:val="center"/>
          </w:tcPr>
          <w:p w14:paraId="2FA31EB1" w14:textId="4D3488D3" w:rsidR="00A37A46" w:rsidRPr="00A34137" w:rsidRDefault="00A37A46" w:rsidP="00A37A46">
            <w:pPr>
              <w:rPr>
                <w:rFonts w:ascii="Arial" w:hAnsi="Arial" w:cs="Arial"/>
                <w:color w:val="000000"/>
                <w:lang w:eastAsia="es-MX"/>
              </w:rPr>
            </w:pPr>
            <w:r w:rsidRPr="00A34137">
              <w:rPr>
                <w:rFonts w:ascii="Arial" w:hAnsi="Arial" w:cs="Arial"/>
              </w:rPr>
              <w:t xml:space="preserve">     Divorced</w:t>
            </w:r>
          </w:p>
        </w:tc>
        <w:tc>
          <w:tcPr>
            <w:tcW w:w="2126" w:type="dxa"/>
            <w:vAlign w:val="center"/>
          </w:tcPr>
          <w:p w14:paraId="1FDD3A74" w14:textId="2B158ED7"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w:t>
            </w:r>
            <w:r>
              <w:rPr>
                <w:rFonts w:ascii="Arial" w:hAnsi="Arial" w:cs="Arial"/>
                <w:color w:val="000000"/>
                <w:lang w:eastAsia="es-MX"/>
              </w:rPr>
              <w:t>,</w:t>
            </w:r>
            <w:r w:rsidRPr="00A34137">
              <w:rPr>
                <w:rFonts w:ascii="Arial" w:hAnsi="Arial" w:cs="Arial"/>
                <w:color w:val="000000"/>
                <w:lang w:eastAsia="es-MX"/>
              </w:rPr>
              <w:t xml:space="preserve"> 1.8</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5.5</w:t>
            </w:r>
            <w:r>
              <w:rPr>
                <w:rFonts w:ascii="Arial" w:hAnsi="Arial" w:cs="Arial"/>
                <w:color w:val="000000"/>
                <w:lang w:eastAsia="es-MX"/>
              </w:rPr>
              <w:t>)</w:t>
            </w:r>
          </w:p>
        </w:tc>
        <w:tc>
          <w:tcPr>
            <w:tcW w:w="2126" w:type="dxa"/>
            <w:vAlign w:val="center"/>
          </w:tcPr>
          <w:p w14:paraId="051838EE" w14:textId="7D78482B" w:rsidR="00A37A46" w:rsidRPr="00A34137" w:rsidRDefault="00A37A46" w:rsidP="00A37A46">
            <w:pPr>
              <w:jc w:val="center"/>
              <w:rPr>
                <w:rFonts w:ascii="Arial" w:hAnsi="Arial" w:cs="Arial"/>
                <w:color w:val="000000"/>
                <w:lang w:eastAsia="es-MX"/>
              </w:rPr>
            </w:pPr>
            <w:r w:rsidRPr="00A67095">
              <w:t>1, 3.1 (0-9.4)</w:t>
            </w:r>
          </w:p>
        </w:tc>
        <w:tc>
          <w:tcPr>
            <w:tcW w:w="2005" w:type="dxa"/>
            <w:shd w:val="clear" w:color="auto" w:fill="auto"/>
            <w:vAlign w:val="center"/>
          </w:tcPr>
          <w:p w14:paraId="0D4CAC33" w14:textId="1489176F" w:rsidR="00A37A46" w:rsidRPr="00A34137" w:rsidRDefault="00A37A46" w:rsidP="00A37A46">
            <w:pPr>
              <w:jc w:val="center"/>
              <w:rPr>
                <w:rFonts w:ascii="Arial" w:hAnsi="Arial" w:cs="Arial"/>
                <w:color w:val="000000"/>
                <w:lang w:eastAsia="es-MX"/>
              </w:rPr>
            </w:pPr>
            <w:r>
              <w:rPr>
                <w:rFonts w:ascii="Arial" w:hAnsi="Arial" w:cs="Arial"/>
                <w:color w:val="000000"/>
                <w:lang w:eastAsia="es-MX"/>
              </w:rPr>
              <w:t>0, 0.0 (0.0-0.0)</w:t>
            </w:r>
          </w:p>
        </w:tc>
      </w:tr>
      <w:tr w:rsidR="00A37A46" w:rsidRPr="00A34137" w14:paraId="760EFEA4" w14:textId="77777777" w:rsidTr="00772665">
        <w:trPr>
          <w:trHeight w:val="301"/>
          <w:jc w:val="center"/>
        </w:trPr>
        <w:tc>
          <w:tcPr>
            <w:tcW w:w="2547" w:type="dxa"/>
            <w:vAlign w:val="center"/>
          </w:tcPr>
          <w:p w14:paraId="0EDF8EEE" w14:textId="41FFEE83" w:rsidR="00A37A46" w:rsidRPr="00A34137" w:rsidRDefault="00A37A46" w:rsidP="00A37A46">
            <w:pPr>
              <w:rPr>
                <w:rFonts w:ascii="Arial" w:hAnsi="Arial" w:cs="Arial"/>
                <w:color w:val="000000"/>
                <w:lang w:eastAsia="es-MX"/>
              </w:rPr>
            </w:pPr>
            <w:r w:rsidRPr="00A34137">
              <w:rPr>
                <w:rFonts w:ascii="Arial" w:hAnsi="Arial" w:cs="Arial"/>
              </w:rPr>
              <w:t xml:space="preserve">     Widowed</w:t>
            </w:r>
          </w:p>
        </w:tc>
        <w:tc>
          <w:tcPr>
            <w:tcW w:w="2126" w:type="dxa"/>
            <w:vAlign w:val="center"/>
          </w:tcPr>
          <w:p w14:paraId="317B09AB" w14:textId="4763BA13"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17</w:t>
            </w:r>
            <w:r>
              <w:rPr>
                <w:rFonts w:ascii="Arial" w:hAnsi="Arial" w:cs="Arial"/>
                <w:color w:val="000000"/>
                <w:lang w:eastAsia="es-MX"/>
              </w:rPr>
              <w:t>,</w:t>
            </w:r>
            <w:r w:rsidRPr="00A34137">
              <w:rPr>
                <w:rFonts w:ascii="Arial" w:hAnsi="Arial" w:cs="Arial"/>
                <w:color w:val="000000"/>
                <w:lang w:eastAsia="es-MX"/>
              </w:rPr>
              <w:t xml:space="preserve"> 30.9</w:t>
            </w:r>
            <w:r>
              <w:rPr>
                <w:rFonts w:ascii="Arial" w:hAnsi="Arial" w:cs="Arial"/>
                <w:color w:val="000000"/>
                <w:lang w:eastAsia="es-MX"/>
              </w:rPr>
              <w:t xml:space="preserve"> (</w:t>
            </w:r>
            <w:r w:rsidRPr="00A34137">
              <w:rPr>
                <w:rFonts w:ascii="Arial" w:hAnsi="Arial" w:cs="Arial"/>
                <w:color w:val="000000"/>
                <w:lang w:eastAsia="es-MX"/>
              </w:rPr>
              <w:t>20.0</w:t>
            </w:r>
            <w:r>
              <w:rPr>
                <w:rFonts w:ascii="Arial" w:hAnsi="Arial" w:cs="Arial"/>
                <w:color w:val="000000"/>
                <w:lang w:eastAsia="es-MX"/>
              </w:rPr>
              <w:t>-</w:t>
            </w:r>
            <w:r w:rsidRPr="00A34137">
              <w:rPr>
                <w:rFonts w:ascii="Arial" w:hAnsi="Arial" w:cs="Arial"/>
                <w:color w:val="000000"/>
                <w:lang w:eastAsia="es-MX"/>
              </w:rPr>
              <w:t>43.6</w:t>
            </w:r>
            <w:r>
              <w:rPr>
                <w:rFonts w:ascii="Arial" w:hAnsi="Arial" w:cs="Arial"/>
                <w:color w:val="000000"/>
                <w:lang w:eastAsia="es-MX"/>
              </w:rPr>
              <w:t>)</w:t>
            </w:r>
          </w:p>
        </w:tc>
        <w:tc>
          <w:tcPr>
            <w:tcW w:w="2126" w:type="dxa"/>
            <w:vAlign w:val="center"/>
          </w:tcPr>
          <w:p w14:paraId="582EAA5B" w14:textId="0A75A30B" w:rsidR="00A37A46" w:rsidRPr="00A34137" w:rsidRDefault="00A37A46" w:rsidP="00A37A46">
            <w:pPr>
              <w:jc w:val="center"/>
              <w:rPr>
                <w:rFonts w:ascii="Arial" w:hAnsi="Arial" w:cs="Arial"/>
                <w:color w:val="000000"/>
                <w:lang w:eastAsia="es-MX"/>
              </w:rPr>
            </w:pPr>
            <w:r w:rsidRPr="00A67095">
              <w:t>15, 46.9 (31.3-62.5)</w:t>
            </w:r>
          </w:p>
        </w:tc>
        <w:tc>
          <w:tcPr>
            <w:tcW w:w="2005" w:type="dxa"/>
            <w:shd w:val="clear" w:color="auto" w:fill="auto"/>
            <w:vAlign w:val="center"/>
          </w:tcPr>
          <w:p w14:paraId="114A389B" w14:textId="21FD0E6A" w:rsidR="00A37A46" w:rsidRPr="00A34137" w:rsidRDefault="00A37A46" w:rsidP="00A37A46">
            <w:pPr>
              <w:jc w:val="center"/>
              <w:rPr>
                <w:rFonts w:ascii="Arial" w:hAnsi="Arial" w:cs="Arial"/>
                <w:color w:val="000000"/>
                <w:lang w:eastAsia="es-MX"/>
              </w:rPr>
            </w:pPr>
            <w:r w:rsidRPr="002628B9">
              <w:t>2, 8.7 (0-21.7)</w:t>
            </w:r>
          </w:p>
        </w:tc>
      </w:tr>
      <w:tr w:rsidR="00A37A46" w:rsidRPr="00A34137" w14:paraId="2C48FC0F" w14:textId="77777777" w:rsidTr="00772665">
        <w:trPr>
          <w:trHeight w:val="301"/>
          <w:jc w:val="center"/>
        </w:trPr>
        <w:tc>
          <w:tcPr>
            <w:tcW w:w="2547" w:type="dxa"/>
            <w:vAlign w:val="center"/>
          </w:tcPr>
          <w:p w14:paraId="384BD510" w14:textId="4FCC6D72" w:rsidR="00A37A46" w:rsidRPr="00A34137" w:rsidRDefault="00A37A46" w:rsidP="00A37A46">
            <w:pPr>
              <w:rPr>
                <w:rFonts w:ascii="Arial" w:hAnsi="Arial" w:cs="Arial"/>
                <w:color w:val="000000"/>
                <w:lang w:eastAsia="es-MX"/>
              </w:rPr>
            </w:pPr>
            <w:r w:rsidRPr="00A34137">
              <w:rPr>
                <w:rFonts w:ascii="Arial" w:hAnsi="Arial" w:cs="Arial"/>
              </w:rPr>
              <w:t xml:space="preserve">     Cohabiting</w:t>
            </w:r>
          </w:p>
        </w:tc>
        <w:tc>
          <w:tcPr>
            <w:tcW w:w="2126" w:type="dxa"/>
            <w:vAlign w:val="center"/>
          </w:tcPr>
          <w:p w14:paraId="5039877A" w14:textId="0BB6D5AB"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3</w:t>
            </w:r>
            <w:r>
              <w:rPr>
                <w:rFonts w:ascii="Arial" w:hAnsi="Arial" w:cs="Arial"/>
                <w:color w:val="000000"/>
                <w:lang w:eastAsia="es-MX"/>
              </w:rPr>
              <w:t>,</w:t>
            </w:r>
            <w:r w:rsidRPr="00A34137">
              <w:rPr>
                <w:rFonts w:ascii="Arial" w:hAnsi="Arial" w:cs="Arial"/>
                <w:color w:val="000000"/>
                <w:lang w:eastAsia="es-MX"/>
              </w:rPr>
              <w:t xml:space="preserve"> 5.5</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12.7</w:t>
            </w:r>
            <w:r>
              <w:rPr>
                <w:rFonts w:ascii="Arial" w:hAnsi="Arial" w:cs="Arial"/>
                <w:color w:val="000000"/>
                <w:lang w:eastAsia="es-MX"/>
              </w:rPr>
              <w:t>)</w:t>
            </w:r>
          </w:p>
        </w:tc>
        <w:tc>
          <w:tcPr>
            <w:tcW w:w="2126" w:type="dxa"/>
            <w:vAlign w:val="center"/>
          </w:tcPr>
          <w:p w14:paraId="4A0F23CB" w14:textId="5DFC9591" w:rsidR="00A37A46" w:rsidRPr="00A34137" w:rsidRDefault="00A37A46" w:rsidP="00A37A46">
            <w:pPr>
              <w:jc w:val="center"/>
              <w:rPr>
                <w:rFonts w:ascii="Arial" w:hAnsi="Arial" w:cs="Arial"/>
                <w:color w:val="000000"/>
                <w:lang w:eastAsia="es-MX"/>
              </w:rPr>
            </w:pPr>
            <w:r w:rsidRPr="00A67095">
              <w:t>1, 3.1 (0-9.4)</w:t>
            </w:r>
          </w:p>
        </w:tc>
        <w:tc>
          <w:tcPr>
            <w:tcW w:w="2005" w:type="dxa"/>
            <w:shd w:val="clear" w:color="auto" w:fill="auto"/>
            <w:vAlign w:val="center"/>
          </w:tcPr>
          <w:p w14:paraId="41DCFFBB" w14:textId="5F25FCA8" w:rsidR="00A37A46" w:rsidRPr="00A34137" w:rsidRDefault="00A37A46" w:rsidP="00A37A46">
            <w:pPr>
              <w:jc w:val="center"/>
              <w:rPr>
                <w:rFonts w:ascii="Arial" w:hAnsi="Arial" w:cs="Arial"/>
                <w:color w:val="000000"/>
                <w:lang w:eastAsia="es-MX"/>
              </w:rPr>
            </w:pPr>
            <w:r w:rsidRPr="002628B9">
              <w:t>2, 8.7 (0-21.7)</w:t>
            </w:r>
          </w:p>
        </w:tc>
      </w:tr>
      <w:tr w:rsidR="00A37A46" w:rsidRPr="00A34137" w14:paraId="13902B0F" w14:textId="77777777" w:rsidTr="00772665">
        <w:trPr>
          <w:trHeight w:val="301"/>
          <w:jc w:val="center"/>
        </w:trPr>
        <w:tc>
          <w:tcPr>
            <w:tcW w:w="2547" w:type="dxa"/>
            <w:vAlign w:val="center"/>
          </w:tcPr>
          <w:p w14:paraId="200045E3" w14:textId="6B5DC9AA" w:rsidR="00A37A46" w:rsidRPr="00A34137" w:rsidRDefault="00A37A46" w:rsidP="00A37A46">
            <w:pPr>
              <w:rPr>
                <w:rFonts w:ascii="Arial" w:hAnsi="Arial" w:cs="Arial"/>
                <w:color w:val="000000"/>
                <w:lang w:eastAsia="es-MX"/>
              </w:rPr>
            </w:pPr>
            <w:r w:rsidRPr="00A34137">
              <w:rPr>
                <w:rFonts w:ascii="Arial" w:hAnsi="Arial" w:cs="Arial"/>
              </w:rPr>
              <w:t>Occupation</w:t>
            </w:r>
            <w:r w:rsidR="00C935E3">
              <w:rPr>
                <w:rFonts w:ascii="Arial" w:hAnsi="Arial" w:cs="Arial"/>
              </w:rPr>
              <w:t>**</w:t>
            </w:r>
          </w:p>
        </w:tc>
        <w:tc>
          <w:tcPr>
            <w:tcW w:w="2126" w:type="dxa"/>
            <w:vAlign w:val="center"/>
          </w:tcPr>
          <w:p w14:paraId="4585E09E" w14:textId="77777777" w:rsidR="00A37A46" w:rsidRPr="00A34137" w:rsidRDefault="00A37A46" w:rsidP="00A37A46">
            <w:pPr>
              <w:jc w:val="center"/>
              <w:rPr>
                <w:rFonts w:ascii="Arial" w:hAnsi="Arial" w:cs="Arial"/>
                <w:color w:val="000000"/>
                <w:lang w:eastAsia="es-MX"/>
              </w:rPr>
            </w:pPr>
          </w:p>
        </w:tc>
        <w:tc>
          <w:tcPr>
            <w:tcW w:w="2126" w:type="dxa"/>
            <w:vAlign w:val="center"/>
          </w:tcPr>
          <w:p w14:paraId="3C06EE5B" w14:textId="77777777" w:rsidR="00A37A46" w:rsidRPr="00A34137" w:rsidRDefault="00A37A46" w:rsidP="00A37A46">
            <w:pPr>
              <w:jc w:val="center"/>
              <w:rPr>
                <w:rFonts w:ascii="Arial" w:hAnsi="Arial" w:cs="Arial"/>
                <w:color w:val="000000"/>
                <w:lang w:eastAsia="es-MX"/>
              </w:rPr>
            </w:pPr>
          </w:p>
        </w:tc>
        <w:tc>
          <w:tcPr>
            <w:tcW w:w="2005" w:type="dxa"/>
            <w:shd w:val="clear" w:color="auto" w:fill="auto"/>
            <w:vAlign w:val="center"/>
          </w:tcPr>
          <w:p w14:paraId="70F2F48B" w14:textId="77777777" w:rsidR="00A37A46" w:rsidRPr="00A34137" w:rsidRDefault="00A37A46" w:rsidP="00A37A46">
            <w:pPr>
              <w:jc w:val="center"/>
              <w:rPr>
                <w:rFonts w:ascii="Arial" w:hAnsi="Arial" w:cs="Arial"/>
                <w:color w:val="000000"/>
                <w:lang w:eastAsia="es-MX"/>
              </w:rPr>
            </w:pPr>
          </w:p>
        </w:tc>
      </w:tr>
      <w:tr w:rsidR="00A37A46" w:rsidRPr="00A34137" w14:paraId="57B956A0" w14:textId="77777777" w:rsidTr="00772665">
        <w:trPr>
          <w:trHeight w:val="301"/>
          <w:jc w:val="center"/>
        </w:trPr>
        <w:tc>
          <w:tcPr>
            <w:tcW w:w="2547" w:type="dxa"/>
            <w:vAlign w:val="center"/>
          </w:tcPr>
          <w:p w14:paraId="1CD08E8E" w14:textId="15B7E38D" w:rsidR="00A37A46" w:rsidRPr="00A34137" w:rsidRDefault="00A37A46" w:rsidP="00A37A46">
            <w:pPr>
              <w:rPr>
                <w:rFonts w:ascii="Arial" w:hAnsi="Arial" w:cs="Arial"/>
                <w:color w:val="000000"/>
                <w:lang w:eastAsia="es-MX"/>
              </w:rPr>
            </w:pPr>
            <w:r w:rsidRPr="00A34137">
              <w:rPr>
                <w:rFonts w:ascii="Arial" w:hAnsi="Arial" w:cs="Arial"/>
              </w:rPr>
              <w:t xml:space="preserve">     Homemaker</w:t>
            </w:r>
          </w:p>
        </w:tc>
        <w:tc>
          <w:tcPr>
            <w:tcW w:w="2126" w:type="dxa"/>
            <w:vAlign w:val="center"/>
          </w:tcPr>
          <w:p w14:paraId="07F9A898" w14:textId="5C693E06"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15</w:t>
            </w:r>
            <w:r>
              <w:rPr>
                <w:rFonts w:ascii="Arial" w:hAnsi="Arial" w:cs="Arial"/>
                <w:color w:val="000000"/>
                <w:lang w:eastAsia="es-MX"/>
              </w:rPr>
              <w:t>,</w:t>
            </w:r>
            <w:r w:rsidRPr="00A34137">
              <w:rPr>
                <w:rFonts w:ascii="Arial" w:hAnsi="Arial" w:cs="Arial"/>
                <w:color w:val="000000"/>
                <w:lang w:eastAsia="es-MX"/>
              </w:rPr>
              <w:t xml:space="preserve"> 27.3</w:t>
            </w:r>
            <w:r>
              <w:rPr>
                <w:rFonts w:ascii="Arial" w:hAnsi="Arial" w:cs="Arial"/>
                <w:color w:val="000000"/>
                <w:lang w:eastAsia="es-MX"/>
              </w:rPr>
              <w:t xml:space="preserve"> (</w:t>
            </w:r>
            <w:r w:rsidRPr="00A34137">
              <w:rPr>
                <w:rFonts w:ascii="Arial" w:hAnsi="Arial" w:cs="Arial"/>
                <w:color w:val="000000"/>
                <w:lang w:eastAsia="es-MX"/>
              </w:rPr>
              <w:t>14.5</w:t>
            </w:r>
            <w:r>
              <w:rPr>
                <w:rFonts w:ascii="Arial" w:hAnsi="Arial" w:cs="Arial"/>
                <w:color w:val="000000"/>
                <w:lang w:eastAsia="es-MX"/>
              </w:rPr>
              <w:t>-</w:t>
            </w:r>
            <w:r w:rsidRPr="00A34137">
              <w:rPr>
                <w:rFonts w:ascii="Arial" w:hAnsi="Arial" w:cs="Arial"/>
                <w:color w:val="000000"/>
                <w:lang w:eastAsia="es-MX"/>
              </w:rPr>
              <w:t>40.0</w:t>
            </w:r>
            <w:r>
              <w:rPr>
                <w:rFonts w:ascii="Arial" w:hAnsi="Arial" w:cs="Arial"/>
                <w:color w:val="000000"/>
                <w:lang w:eastAsia="es-MX"/>
              </w:rPr>
              <w:t>)</w:t>
            </w:r>
          </w:p>
        </w:tc>
        <w:tc>
          <w:tcPr>
            <w:tcW w:w="2126" w:type="dxa"/>
            <w:vAlign w:val="center"/>
          </w:tcPr>
          <w:p w14:paraId="0FC57BE1" w14:textId="5562F3F1" w:rsidR="00A37A46" w:rsidRPr="00A34137" w:rsidRDefault="00A37A46" w:rsidP="00A37A46">
            <w:pPr>
              <w:jc w:val="center"/>
              <w:rPr>
                <w:rFonts w:ascii="Arial" w:hAnsi="Arial" w:cs="Arial"/>
                <w:color w:val="000000"/>
                <w:lang w:eastAsia="es-MX"/>
              </w:rPr>
            </w:pPr>
            <w:r w:rsidRPr="00B5633C">
              <w:t>13, 40.6 (25-59.4)</w:t>
            </w:r>
          </w:p>
        </w:tc>
        <w:tc>
          <w:tcPr>
            <w:tcW w:w="2005" w:type="dxa"/>
            <w:shd w:val="clear" w:color="auto" w:fill="auto"/>
            <w:vAlign w:val="center"/>
          </w:tcPr>
          <w:p w14:paraId="262E241B" w14:textId="520BC843" w:rsidR="00A37A46" w:rsidRPr="00A34137" w:rsidRDefault="00A37A46" w:rsidP="00A37A46">
            <w:pPr>
              <w:jc w:val="center"/>
              <w:rPr>
                <w:rFonts w:ascii="Arial" w:hAnsi="Arial" w:cs="Arial"/>
                <w:color w:val="000000"/>
                <w:lang w:eastAsia="es-MX"/>
              </w:rPr>
            </w:pPr>
            <w:r w:rsidRPr="008D01E1">
              <w:t>2, 8.7 (0-21.7)</w:t>
            </w:r>
          </w:p>
        </w:tc>
      </w:tr>
      <w:tr w:rsidR="00A37A46" w:rsidRPr="00A34137" w14:paraId="30797688" w14:textId="77777777" w:rsidTr="00772665">
        <w:trPr>
          <w:trHeight w:val="301"/>
          <w:jc w:val="center"/>
        </w:trPr>
        <w:tc>
          <w:tcPr>
            <w:tcW w:w="2547" w:type="dxa"/>
            <w:vAlign w:val="center"/>
          </w:tcPr>
          <w:p w14:paraId="7C3D1170" w14:textId="7087ECF9" w:rsidR="00A37A46" w:rsidRPr="00A34137" w:rsidRDefault="00A37A46" w:rsidP="00A37A46">
            <w:pPr>
              <w:rPr>
                <w:rFonts w:ascii="Arial" w:hAnsi="Arial" w:cs="Arial"/>
                <w:color w:val="000000"/>
                <w:lang w:eastAsia="es-MX"/>
              </w:rPr>
            </w:pPr>
            <w:r w:rsidRPr="00A34137">
              <w:rPr>
                <w:rFonts w:ascii="Arial" w:hAnsi="Arial" w:cs="Arial"/>
              </w:rPr>
              <w:t xml:space="preserve">     Retired/Pensioned</w:t>
            </w:r>
          </w:p>
        </w:tc>
        <w:tc>
          <w:tcPr>
            <w:tcW w:w="2126" w:type="dxa"/>
            <w:vAlign w:val="center"/>
          </w:tcPr>
          <w:p w14:paraId="4DD2E34F" w14:textId="73188013"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23</w:t>
            </w:r>
            <w:r>
              <w:rPr>
                <w:rFonts w:ascii="Arial" w:hAnsi="Arial" w:cs="Arial"/>
                <w:color w:val="000000"/>
                <w:lang w:eastAsia="es-MX"/>
              </w:rPr>
              <w:t>,</w:t>
            </w:r>
            <w:r w:rsidRPr="00A34137">
              <w:rPr>
                <w:rFonts w:ascii="Arial" w:hAnsi="Arial" w:cs="Arial"/>
                <w:color w:val="000000"/>
                <w:lang w:eastAsia="es-MX"/>
              </w:rPr>
              <w:t xml:space="preserve"> 41.8</w:t>
            </w:r>
            <w:r>
              <w:rPr>
                <w:rFonts w:ascii="Arial" w:hAnsi="Arial" w:cs="Arial"/>
                <w:color w:val="000000"/>
                <w:lang w:eastAsia="es-MX"/>
              </w:rPr>
              <w:t xml:space="preserve"> (</w:t>
            </w:r>
            <w:r w:rsidRPr="00A34137">
              <w:rPr>
                <w:rFonts w:ascii="Arial" w:hAnsi="Arial" w:cs="Arial"/>
                <w:color w:val="000000"/>
                <w:lang w:eastAsia="es-MX"/>
              </w:rPr>
              <w:t>29.1</w:t>
            </w:r>
            <w:r>
              <w:rPr>
                <w:rFonts w:ascii="Arial" w:hAnsi="Arial" w:cs="Arial"/>
                <w:color w:val="000000"/>
                <w:lang w:eastAsia="es-MX"/>
              </w:rPr>
              <w:t>-</w:t>
            </w:r>
            <w:r w:rsidRPr="00A34137">
              <w:rPr>
                <w:rFonts w:ascii="Arial" w:hAnsi="Arial" w:cs="Arial"/>
                <w:color w:val="000000"/>
                <w:lang w:eastAsia="es-MX"/>
              </w:rPr>
              <w:t>54.5</w:t>
            </w:r>
            <w:r>
              <w:rPr>
                <w:rFonts w:ascii="Arial" w:hAnsi="Arial" w:cs="Arial"/>
                <w:color w:val="000000"/>
                <w:lang w:eastAsia="es-MX"/>
              </w:rPr>
              <w:t>)</w:t>
            </w:r>
          </w:p>
        </w:tc>
        <w:tc>
          <w:tcPr>
            <w:tcW w:w="2126" w:type="dxa"/>
            <w:vAlign w:val="center"/>
          </w:tcPr>
          <w:p w14:paraId="2E671DA6" w14:textId="50355A6A" w:rsidR="00A37A46" w:rsidRPr="00A34137" w:rsidRDefault="00A37A46" w:rsidP="00A37A46">
            <w:pPr>
              <w:jc w:val="center"/>
              <w:rPr>
                <w:rFonts w:ascii="Arial" w:hAnsi="Arial" w:cs="Arial"/>
                <w:color w:val="000000"/>
                <w:lang w:eastAsia="es-MX"/>
              </w:rPr>
            </w:pPr>
            <w:r w:rsidRPr="00B5633C">
              <w:t>10, 31.3 (15.6-50)</w:t>
            </w:r>
          </w:p>
        </w:tc>
        <w:tc>
          <w:tcPr>
            <w:tcW w:w="2005" w:type="dxa"/>
            <w:shd w:val="clear" w:color="auto" w:fill="auto"/>
            <w:vAlign w:val="center"/>
          </w:tcPr>
          <w:p w14:paraId="44E93BE0" w14:textId="290E842A" w:rsidR="00A37A46" w:rsidRPr="00A34137" w:rsidRDefault="00A37A46" w:rsidP="00A37A46">
            <w:pPr>
              <w:jc w:val="center"/>
              <w:rPr>
                <w:rFonts w:ascii="Arial" w:hAnsi="Arial" w:cs="Arial"/>
                <w:color w:val="000000"/>
                <w:lang w:eastAsia="es-MX"/>
              </w:rPr>
            </w:pPr>
            <w:r w:rsidRPr="008D01E1">
              <w:t>13, 56.5 (34.8-73.9)</w:t>
            </w:r>
          </w:p>
        </w:tc>
      </w:tr>
      <w:tr w:rsidR="00A37A46" w:rsidRPr="00A34137" w14:paraId="2D0F244E" w14:textId="77777777" w:rsidTr="00772665">
        <w:trPr>
          <w:trHeight w:val="301"/>
          <w:jc w:val="center"/>
        </w:trPr>
        <w:tc>
          <w:tcPr>
            <w:tcW w:w="2547" w:type="dxa"/>
            <w:vAlign w:val="center"/>
          </w:tcPr>
          <w:p w14:paraId="3EC50FA8" w14:textId="62222CB5" w:rsidR="00A37A46" w:rsidRPr="00A34137" w:rsidRDefault="00A37A46" w:rsidP="00A37A46">
            <w:pPr>
              <w:rPr>
                <w:rFonts w:ascii="Arial" w:hAnsi="Arial" w:cs="Arial"/>
                <w:color w:val="000000"/>
                <w:lang w:eastAsia="es-MX"/>
              </w:rPr>
            </w:pPr>
            <w:r w:rsidRPr="00A34137">
              <w:rPr>
                <w:rFonts w:ascii="Arial" w:hAnsi="Arial" w:cs="Arial"/>
              </w:rPr>
              <w:t xml:space="preserve">     Unemployed</w:t>
            </w:r>
          </w:p>
        </w:tc>
        <w:tc>
          <w:tcPr>
            <w:tcW w:w="2126" w:type="dxa"/>
            <w:vAlign w:val="center"/>
          </w:tcPr>
          <w:p w14:paraId="28F6681D" w14:textId="3B31D4ED"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3</w:t>
            </w:r>
            <w:r>
              <w:rPr>
                <w:rFonts w:ascii="Arial" w:hAnsi="Arial" w:cs="Arial"/>
                <w:color w:val="000000"/>
                <w:lang w:eastAsia="es-MX"/>
              </w:rPr>
              <w:t>,</w:t>
            </w:r>
            <w:r w:rsidRPr="00A34137">
              <w:rPr>
                <w:rFonts w:ascii="Arial" w:hAnsi="Arial" w:cs="Arial"/>
                <w:color w:val="000000"/>
                <w:lang w:eastAsia="es-MX"/>
              </w:rPr>
              <w:t xml:space="preserve"> 5.5</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12.7</w:t>
            </w:r>
            <w:r>
              <w:rPr>
                <w:rFonts w:ascii="Arial" w:hAnsi="Arial" w:cs="Arial"/>
                <w:color w:val="000000"/>
                <w:lang w:eastAsia="es-MX"/>
              </w:rPr>
              <w:t>)</w:t>
            </w:r>
          </w:p>
        </w:tc>
        <w:tc>
          <w:tcPr>
            <w:tcW w:w="2126" w:type="dxa"/>
            <w:vAlign w:val="center"/>
          </w:tcPr>
          <w:p w14:paraId="1004F056" w14:textId="29DA63A2" w:rsidR="00A37A46" w:rsidRPr="00A34137" w:rsidRDefault="00A37A46" w:rsidP="00A37A46">
            <w:pPr>
              <w:jc w:val="center"/>
              <w:rPr>
                <w:rFonts w:ascii="Arial" w:hAnsi="Arial" w:cs="Arial"/>
                <w:color w:val="000000"/>
                <w:lang w:eastAsia="es-MX"/>
              </w:rPr>
            </w:pPr>
            <w:r w:rsidRPr="00B5633C">
              <w:t>2, 6.3 (0-15.6)</w:t>
            </w:r>
          </w:p>
        </w:tc>
        <w:tc>
          <w:tcPr>
            <w:tcW w:w="2005" w:type="dxa"/>
            <w:shd w:val="clear" w:color="auto" w:fill="auto"/>
            <w:vAlign w:val="center"/>
          </w:tcPr>
          <w:p w14:paraId="2884D7E1" w14:textId="2CF10039" w:rsidR="00A37A46" w:rsidRPr="00A34137" w:rsidRDefault="00A37A46" w:rsidP="00A37A46">
            <w:pPr>
              <w:jc w:val="center"/>
              <w:rPr>
                <w:rFonts w:ascii="Arial" w:hAnsi="Arial" w:cs="Arial"/>
                <w:color w:val="000000"/>
                <w:lang w:eastAsia="es-MX"/>
              </w:rPr>
            </w:pPr>
            <w:r w:rsidRPr="008D01E1">
              <w:t>1, 4.3 (0-13)</w:t>
            </w:r>
          </w:p>
        </w:tc>
      </w:tr>
      <w:tr w:rsidR="00A37A46" w:rsidRPr="00A34137" w14:paraId="1C033A02" w14:textId="77777777" w:rsidTr="00772665">
        <w:trPr>
          <w:trHeight w:val="301"/>
          <w:jc w:val="center"/>
        </w:trPr>
        <w:tc>
          <w:tcPr>
            <w:tcW w:w="2547" w:type="dxa"/>
            <w:vAlign w:val="center"/>
          </w:tcPr>
          <w:p w14:paraId="38F09BA1" w14:textId="5BB2A957" w:rsidR="00A37A46" w:rsidRPr="00A34137" w:rsidRDefault="00A37A46" w:rsidP="00A37A46">
            <w:pPr>
              <w:rPr>
                <w:rFonts w:ascii="Arial" w:hAnsi="Arial" w:cs="Arial"/>
                <w:color w:val="000000"/>
                <w:lang w:eastAsia="es-MX"/>
              </w:rPr>
            </w:pPr>
            <w:r w:rsidRPr="00A34137">
              <w:rPr>
                <w:rFonts w:ascii="Arial" w:hAnsi="Arial" w:cs="Arial"/>
              </w:rPr>
              <w:t xml:space="preserve">     Employed</w:t>
            </w:r>
          </w:p>
        </w:tc>
        <w:tc>
          <w:tcPr>
            <w:tcW w:w="2126" w:type="dxa"/>
            <w:vAlign w:val="center"/>
          </w:tcPr>
          <w:p w14:paraId="018F3A6C" w14:textId="1FDD0443"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14</w:t>
            </w:r>
            <w:r>
              <w:rPr>
                <w:rFonts w:ascii="Arial" w:hAnsi="Arial" w:cs="Arial"/>
                <w:color w:val="000000"/>
                <w:lang w:eastAsia="es-MX"/>
              </w:rPr>
              <w:t>,</w:t>
            </w:r>
            <w:r w:rsidRPr="00A34137">
              <w:rPr>
                <w:rFonts w:ascii="Arial" w:hAnsi="Arial" w:cs="Arial"/>
                <w:color w:val="000000"/>
                <w:lang w:eastAsia="es-MX"/>
              </w:rPr>
              <w:t xml:space="preserve"> 25.5</w:t>
            </w:r>
            <w:r>
              <w:rPr>
                <w:rFonts w:ascii="Arial" w:hAnsi="Arial" w:cs="Arial"/>
                <w:color w:val="000000"/>
                <w:lang w:eastAsia="es-MX"/>
              </w:rPr>
              <w:t xml:space="preserve"> (</w:t>
            </w:r>
            <w:r w:rsidRPr="00A34137">
              <w:rPr>
                <w:rFonts w:ascii="Arial" w:hAnsi="Arial" w:cs="Arial"/>
                <w:color w:val="000000"/>
                <w:lang w:eastAsia="es-MX"/>
              </w:rPr>
              <w:t>14.5</w:t>
            </w:r>
            <w:r>
              <w:rPr>
                <w:rFonts w:ascii="Arial" w:hAnsi="Arial" w:cs="Arial"/>
                <w:color w:val="000000"/>
                <w:lang w:eastAsia="es-MX"/>
              </w:rPr>
              <w:t>-</w:t>
            </w:r>
            <w:r w:rsidRPr="00A34137">
              <w:rPr>
                <w:rFonts w:ascii="Arial" w:hAnsi="Arial" w:cs="Arial"/>
                <w:color w:val="000000"/>
                <w:lang w:eastAsia="es-MX"/>
              </w:rPr>
              <w:t>36.4</w:t>
            </w:r>
            <w:r>
              <w:rPr>
                <w:rFonts w:ascii="Arial" w:hAnsi="Arial" w:cs="Arial"/>
                <w:color w:val="000000"/>
                <w:lang w:eastAsia="es-MX"/>
              </w:rPr>
              <w:t>)</w:t>
            </w:r>
          </w:p>
        </w:tc>
        <w:tc>
          <w:tcPr>
            <w:tcW w:w="2126" w:type="dxa"/>
            <w:vAlign w:val="center"/>
          </w:tcPr>
          <w:p w14:paraId="6EC0E6EC" w14:textId="3A2D1080" w:rsidR="00A37A46" w:rsidRPr="00A34137" w:rsidRDefault="00A37A46" w:rsidP="00A37A46">
            <w:pPr>
              <w:jc w:val="center"/>
              <w:rPr>
                <w:rFonts w:ascii="Arial" w:hAnsi="Arial" w:cs="Arial"/>
                <w:color w:val="000000"/>
                <w:lang w:eastAsia="es-MX"/>
              </w:rPr>
            </w:pPr>
            <w:r w:rsidRPr="00B5633C">
              <w:t>7, 21.9 (9.4-37.5)</w:t>
            </w:r>
          </w:p>
        </w:tc>
        <w:tc>
          <w:tcPr>
            <w:tcW w:w="2005" w:type="dxa"/>
            <w:shd w:val="clear" w:color="auto" w:fill="auto"/>
            <w:vAlign w:val="center"/>
          </w:tcPr>
          <w:p w14:paraId="7967D395" w14:textId="34A250B1" w:rsidR="00A37A46" w:rsidRPr="00A34137" w:rsidRDefault="00A37A46" w:rsidP="00A37A46">
            <w:pPr>
              <w:jc w:val="center"/>
              <w:rPr>
                <w:rFonts w:ascii="Arial" w:hAnsi="Arial" w:cs="Arial"/>
                <w:color w:val="000000"/>
                <w:lang w:eastAsia="es-MX"/>
              </w:rPr>
            </w:pPr>
            <w:r w:rsidRPr="008D01E1">
              <w:t>7, 30.4 (13-52.2)</w:t>
            </w:r>
          </w:p>
        </w:tc>
      </w:tr>
      <w:tr w:rsidR="00A37A46" w:rsidRPr="00A34137" w14:paraId="6E8ADB1F" w14:textId="77777777" w:rsidTr="00772665">
        <w:trPr>
          <w:trHeight w:val="301"/>
          <w:jc w:val="center"/>
        </w:trPr>
        <w:tc>
          <w:tcPr>
            <w:tcW w:w="2547" w:type="dxa"/>
            <w:vAlign w:val="center"/>
          </w:tcPr>
          <w:p w14:paraId="0C70C60A" w14:textId="002E6BD2" w:rsidR="00A37A46" w:rsidRPr="00A34137" w:rsidRDefault="00A37A46" w:rsidP="00A37A46">
            <w:pPr>
              <w:rPr>
                <w:rFonts w:ascii="Arial" w:hAnsi="Arial" w:cs="Arial"/>
                <w:color w:val="000000"/>
                <w:lang w:eastAsia="es-MX"/>
              </w:rPr>
            </w:pPr>
            <w:r w:rsidRPr="00A34137">
              <w:rPr>
                <w:rFonts w:ascii="Arial" w:hAnsi="Arial" w:cs="Arial"/>
              </w:rPr>
              <w:t>Education</w:t>
            </w:r>
            <w:r w:rsidR="00C935E3">
              <w:rPr>
                <w:rFonts w:ascii="Arial" w:hAnsi="Arial" w:cs="Arial"/>
              </w:rPr>
              <w:t>**</w:t>
            </w:r>
          </w:p>
        </w:tc>
        <w:tc>
          <w:tcPr>
            <w:tcW w:w="2126" w:type="dxa"/>
            <w:vAlign w:val="center"/>
          </w:tcPr>
          <w:p w14:paraId="5D6A187E" w14:textId="77777777" w:rsidR="00A37A46" w:rsidRPr="00A34137" w:rsidRDefault="00A37A46" w:rsidP="00A37A46">
            <w:pPr>
              <w:jc w:val="center"/>
              <w:rPr>
                <w:rFonts w:ascii="Arial" w:hAnsi="Arial" w:cs="Arial"/>
                <w:color w:val="000000"/>
                <w:lang w:eastAsia="es-MX"/>
              </w:rPr>
            </w:pPr>
          </w:p>
        </w:tc>
        <w:tc>
          <w:tcPr>
            <w:tcW w:w="2126" w:type="dxa"/>
            <w:vAlign w:val="center"/>
          </w:tcPr>
          <w:p w14:paraId="4A3A6FB7" w14:textId="77777777" w:rsidR="00A37A46" w:rsidRPr="00A34137" w:rsidRDefault="00A37A46" w:rsidP="00A37A46">
            <w:pPr>
              <w:jc w:val="center"/>
              <w:rPr>
                <w:rFonts w:ascii="Arial" w:hAnsi="Arial" w:cs="Arial"/>
                <w:color w:val="000000"/>
                <w:lang w:eastAsia="es-MX"/>
              </w:rPr>
            </w:pPr>
          </w:p>
        </w:tc>
        <w:tc>
          <w:tcPr>
            <w:tcW w:w="2005" w:type="dxa"/>
            <w:shd w:val="clear" w:color="auto" w:fill="auto"/>
            <w:vAlign w:val="center"/>
          </w:tcPr>
          <w:p w14:paraId="3EDCA66F" w14:textId="77777777" w:rsidR="00A37A46" w:rsidRPr="00A34137" w:rsidRDefault="00A37A46" w:rsidP="00A37A46">
            <w:pPr>
              <w:jc w:val="center"/>
              <w:rPr>
                <w:rFonts w:ascii="Arial" w:hAnsi="Arial" w:cs="Arial"/>
                <w:color w:val="000000"/>
                <w:lang w:eastAsia="es-MX"/>
              </w:rPr>
            </w:pPr>
          </w:p>
        </w:tc>
      </w:tr>
      <w:tr w:rsidR="00A37A46" w:rsidRPr="00A34137" w14:paraId="01C84EFD" w14:textId="77777777" w:rsidTr="00772665">
        <w:trPr>
          <w:trHeight w:val="301"/>
          <w:jc w:val="center"/>
        </w:trPr>
        <w:tc>
          <w:tcPr>
            <w:tcW w:w="2547" w:type="dxa"/>
            <w:vAlign w:val="center"/>
          </w:tcPr>
          <w:p w14:paraId="60051DAF" w14:textId="3CD7406B" w:rsidR="00A37A46" w:rsidRPr="00A34137" w:rsidRDefault="00A37A46" w:rsidP="00A37A46">
            <w:pPr>
              <w:rPr>
                <w:rFonts w:ascii="Arial" w:hAnsi="Arial" w:cs="Arial"/>
                <w:color w:val="000000"/>
                <w:lang w:eastAsia="es-MX"/>
              </w:rPr>
            </w:pPr>
            <w:r w:rsidRPr="00A34137">
              <w:rPr>
                <w:rFonts w:ascii="Arial" w:hAnsi="Arial" w:cs="Arial"/>
              </w:rPr>
              <w:t xml:space="preserve">     Basic</w:t>
            </w:r>
          </w:p>
        </w:tc>
        <w:tc>
          <w:tcPr>
            <w:tcW w:w="2126" w:type="dxa"/>
            <w:vAlign w:val="center"/>
          </w:tcPr>
          <w:p w14:paraId="3F50B24B" w14:textId="1AC59DDB"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23</w:t>
            </w:r>
            <w:r>
              <w:rPr>
                <w:rFonts w:ascii="Arial" w:hAnsi="Arial" w:cs="Arial"/>
                <w:color w:val="000000"/>
                <w:lang w:eastAsia="es-MX"/>
              </w:rPr>
              <w:t>,</w:t>
            </w:r>
            <w:r w:rsidRPr="00A34137">
              <w:rPr>
                <w:rFonts w:ascii="Arial" w:hAnsi="Arial" w:cs="Arial"/>
                <w:color w:val="000000"/>
                <w:lang w:eastAsia="es-MX"/>
              </w:rPr>
              <w:t xml:space="preserve"> 41.8</w:t>
            </w:r>
            <w:r>
              <w:rPr>
                <w:rFonts w:ascii="Arial" w:hAnsi="Arial" w:cs="Arial"/>
                <w:color w:val="000000"/>
                <w:lang w:eastAsia="es-MX"/>
              </w:rPr>
              <w:t xml:space="preserve"> (</w:t>
            </w:r>
            <w:r w:rsidRPr="00A34137">
              <w:rPr>
                <w:rFonts w:ascii="Arial" w:hAnsi="Arial" w:cs="Arial"/>
                <w:color w:val="000000"/>
                <w:lang w:eastAsia="es-MX"/>
              </w:rPr>
              <w:t>29.1</w:t>
            </w:r>
            <w:r>
              <w:rPr>
                <w:rFonts w:ascii="Arial" w:hAnsi="Arial" w:cs="Arial"/>
                <w:color w:val="000000"/>
                <w:lang w:eastAsia="es-MX"/>
              </w:rPr>
              <w:t>-</w:t>
            </w:r>
            <w:r w:rsidRPr="00A34137">
              <w:rPr>
                <w:rFonts w:ascii="Arial" w:hAnsi="Arial" w:cs="Arial"/>
                <w:color w:val="000000"/>
                <w:lang w:eastAsia="es-MX"/>
              </w:rPr>
              <w:t>56.4</w:t>
            </w:r>
            <w:r>
              <w:rPr>
                <w:rFonts w:ascii="Arial" w:hAnsi="Arial" w:cs="Arial"/>
                <w:color w:val="000000"/>
                <w:lang w:eastAsia="es-MX"/>
              </w:rPr>
              <w:t>)</w:t>
            </w:r>
          </w:p>
        </w:tc>
        <w:tc>
          <w:tcPr>
            <w:tcW w:w="2126" w:type="dxa"/>
            <w:vAlign w:val="center"/>
          </w:tcPr>
          <w:p w14:paraId="15D4BA6B" w14:textId="2D6EF2C3" w:rsidR="00A37A46" w:rsidRPr="00A34137" w:rsidRDefault="00A37A46" w:rsidP="00A37A46">
            <w:pPr>
              <w:jc w:val="center"/>
              <w:rPr>
                <w:rFonts w:ascii="Arial" w:hAnsi="Arial" w:cs="Arial"/>
                <w:color w:val="000000"/>
                <w:lang w:eastAsia="es-MX"/>
              </w:rPr>
            </w:pPr>
            <w:r w:rsidRPr="00730066">
              <w:t>16, 50 (31.3-65.6)</w:t>
            </w:r>
          </w:p>
        </w:tc>
        <w:tc>
          <w:tcPr>
            <w:tcW w:w="2005" w:type="dxa"/>
            <w:shd w:val="clear" w:color="auto" w:fill="auto"/>
            <w:vAlign w:val="center"/>
          </w:tcPr>
          <w:p w14:paraId="1D00662D" w14:textId="33942F28" w:rsidR="00A37A46" w:rsidRPr="00A34137" w:rsidRDefault="00A37A46" w:rsidP="00A37A46">
            <w:pPr>
              <w:jc w:val="center"/>
              <w:rPr>
                <w:rFonts w:ascii="Arial" w:hAnsi="Arial" w:cs="Arial"/>
                <w:color w:val="000000"/>
                <w:lang w:eastAsia="es-MX"/>
              </w:rPr>
            </w:pPr>
            <w:r w:rsidRPr="00EC7DB4">
              <w:t>7, 30.4 (13-52.2)</w:t>
            </w:r>
          </w:p>
        </w:tc>
      </w:tr>
      <w:tr w:rsidR="00A37A46" w:rsidRPr="00A34137" w14:paraId="17782E40" w14:textId="77777777" w:rsidTr="00772665">
        <w:trPr>
          <w:trHeight w:val="301"/>
          <w:jc w:val="center"/>
        </w:trPr>
        <w:tc>
          <w:tcPr>
            <w:tcW w:w="2547" w:type="dxa"/>
            <w:vAlign w:val="center"/>
          </w:tcPr>
          <w:p w14:paraId="7C8AEBD1" w14:textId="10A3C1A3" w:rsidR="00A37A46" w:rsidRPr="00A34137" w:rsidRDefault="00A37A46" w:rsidP="00A37A46">
            <w:pPr>
              <w:rPr>
                <w:rFonts w:ascii="Arial" w:hAnsi="Arial" w:cs="Arial"/>
                <w:color w:val="000000"/>
                <w:lang w:eastAsia="es-MX"/>
              </w:rPr>
            </w:pPr>
            <w:r w:rsidRPr="00A34137">
              <w:rPr>
                <w:rFonts w:ascii="Arial" w:hAnsi="Arial" w:cs="Arial"/>
              </w:rPr>
              <w:t xml:space="preserve">     Secondary</w:t>
            </w:r>
          </w:p>
        </w:tc>
        <w:tc>
          <w:tcPr>
            <w:tcW w:w="2126" w:type="dxa"/>
            <w:vAlign w:val="center"/>
          </w:tcPr>
          <w:p w14:paraId="78859BB3" w14:textId="7B275768"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13</w:t>
            </w:r>
            <w:r>
              <w:rPr>
                <w:rFonts w:ascii="Arial" w:hAnsi="Arial" w:cs="Arial"/>
                <w:color w:val="000000"/>
                <w:lang w:eastAsia="es-MX"/>
              </w:rPr>
              <w:t>,</w:t>
            </w:r>
            <w:r w:rsidRPr="00A34137">
              <w:rPr>
                <w:rFonts w:ascii="Arial" w:hAnsi="Arial" w:cs="Arial"/>
                <w:color w:val="000000"/>
                <w:lang w:eastAsia="es-MX"/>
              </w:rPr>
              <w:t xml:space="preserve"> 23.6</w:t>
            </w:r>
            <w:r>
              <w:rPr>
                <w:rFonts w:ascii="Arial" w:hAnsi="Arial" w:cs="Arial"/>
                <w:color w:val="000000"/>
                <w:lang w:eastAsia="es-MX"/>
              </w:rPr>
              <w:t xml:space="preserve"> (</w:t>
            </w:r>
            <w:r w:rsidRPr="00A34137">
              <w:rPr>
                <w:rFonts w:ascii="Arial" w:hAnsi="Arial" w:cs="Arial"/>
                <w:color w:val="000000"/>
                <w:lang w:eastAsia="es-MX"/>
              </w:rPr>
              <w:t>12.7</w:t>
            </w:r>
            <w:r>
              <w:rPr>
                <w:rFonts w:ascii="Arial" w:hAnsi="Arial" w:cs="Arial"/>
                <w:color w:val="000000"/>
                <w:lang w:eastAsia="es-MX"/>
              </w:rPr>
              <w:t>-</w:t>
            </w:r>
            <w:r w:rsidRPr="00A34137">
              <w:rPr>
                <w:rFonts w:ascii="Arial" w:hAnsi="Arial" w:cs="Arial"/>
                <w:color w:val="000000"/>
                <w:lang w:eastAsia="es-MX"/>
              </w:rPr>
              <w:t>34.5</w:t>
            </w:r>
            <w:r>
              <w:rPr>
                <w:rFonts w:ascii="Arial" w:hAnsi="Arial" w:cs="Arial"/>
                <w:color w:val="000000"/>
                <w:lang w:eastAsia="es-MX"/>
              </w:rPr>
              <w:t>)</w:t>
            </w:r>
          </w:p>
        </w:tc>
        <w:tc>
          <w:tcPr>
            <w:tcW w:w="2126" w:type="dxa"/>
            <w:vAlign w:val="center"/>
          </w:tcPr>
          <w:p w14:paraId="38B30CA7" w14:textId="1463E3E1" w:rsidR="00A37A46" w:rsidRPr="00A34137" w:rsidRDefault="00A37A46" w:rsidP="00A37A46">
            <w:pPr>
              <w:jc w:val="center"/>
              <w:rPr>
                <w:rFonts w:ascii="Arial" w:hAnsi="Arial" w:cs="Arial"/>
                <w:color w:val="000000"/>
                <w:lang w:eastAsia="es-MX"/>
              </w:rPr>
            </w:pPr>
            <w:r w:rsidRPr="00730066">
              <w:t>10, 31.3 (15.6-50)</w:t>
            </w:r>
          </w:p>
        </w:tc>
        <w:tc>
          <w:tcPr>
            <w:tcW w:w="2005" w:type="dxa"/>
            <w:shd w:val="clear" w:color="auto" w:fill="auto"/>
            <w:vAlign w:val="center"/>
          </w:tcPr>
          <w:p w14:paraId="47F9286D" w14:textId="56E1EED1" w:rsidR="00A37A46" w:rsidRPr="00A34137" w:rsidRDefault="00A37A46" w:rsidP="00A37A46">
            <w:pPr>
              <w:jc w:val="center"/>
              <w:rPr>
                <w:rFonts w:ascii="Arial" w:hAnsi="Arial" w:cs="Arial"/>
                <w:color w:val="000000"/>
                <w:lang w:eastAsia="es-MX"/>
              </w:rPr>
            </w:pPr>
            <w:r w:rsidRPr="00EC7DB4">
              <w:t>3, 13 (0-26.1)</w:t>
            </w:r>
          </w:p>
        </w:tc>
      </w:tr>
      <w:tr w:rsidR="00A37A46" w:rsidRPr="00A34137" w14:paraId="46154091" w14:textId="77777777" w:rsidTr="00772665">
        <w:trPr>
          <w:trHeight w:val="301"/>
          <w:jc w:val="center"/>
        </w:trPr>
        <w:tc>
          <w:tcPr>
            <w:tcW w:w="2547" w:type="dxa"/>
            <w:vAlign w:val="center"/>
          </w:tcPr>
          <w:p w14:paraId="789303CB" w14:textId="6E079EE0" w:rsidR="00A37A46" w:rsidRPr="00A34137" w:rsidRDefault="00A37A46" w:rsidP="00A37A46">
            <w:pPr>
              <w:rPr>
                <w:rFonts w:ascii="Arial" w:hAnsi="Arial" w:cs="Arial"/>
                <w:color w:val="000000"/>
                <w:lang w:eastAsia="es-MX"/>
              </w:rPr>
            </w:pPr>
            <w:r w:rsidRPr="00A34137">
              <w:rPr>
                <w:rFonts w:ascii="Arial" w:hAnsi="Arial" w:cs="Arial"/>
              </w:rPr>
              <w:t xml:space="preserve">     Higher</w:t>
            </w:r>
          </w:p>
        </w:tc>
        <w:tc>
          <w:tcPr>
            <w:tcW w:w="2126" w:type="dxa"/>
            <w:vAlign w:val="center"/>
          </w:tcPr>
          <w:p w14:paraId="3B058BF1" w14:textId="43FA95C2"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14</w:t>
            </w:r>
            <w:r>
              <w:rPr>
                <w:rFonts w:ascii="Arial" w:hAnsi="Arial" w:cs="Arial"/>
                <w:color w:val="000000"/>
                <w:lang w:eastAsia="es-MX"/>
              </w:rPr>
              <w:t>,</w:t>
            </w:r>
            <w:r w:rsidRPr="00A34137">
              <w:rPr>
                <w:rFonts w:ascii="Arial" w:hAnsi="Arial" w:cs="Arial"/>
                <w:color w:val="000000"/>
                <w:lang w:eastAsia="es-MX"/>
              </w:rPr>
              <w:t xml:space="preserve"> 25.5</w:t>
            </w:r>
            <w:r>
              <w:rPr>
                <w:rFonts w:ascii="Arial" w:hAnsi="Arial" w:cs="Arial"/>
                <w:color w:val="000000"/>
                <w:lang w:eastAsia="es-MX"/>
              </w:rPr>
              <w:t xml:space="preserve"> (</w:t>
            </w:r>
            <w:r w:rsidRPr="00A34137">
              <w:rPr>
                <w:rFonts w:ascii="Arial" w:hAnsi="Arial" w:cs="Arial"/>
                <w:color w:val="000000"/>
                <w:lang w:eastAsia="es-MX"/>
              </w:rPr>
              <w:t>14.5</w:t>
            </w:r>
            <w:r>
              <w:rPr>
                <w:rFonts w:ascii="Arial" w:hAnsi="Arial" w:cs="Arial"/>
                <w:color w:val="000000"/>
                <w:lang w:eastAsia="es-MX"/>
              </w:rPr>
              <w:t>-</w:t>
            </w:r>
            <w:r w:rsidRPr="00A34137">
              <w:rPr>
                <w:rFonts w:ascii="Arial" w:hAnsi="Arial" w:cs="Arial"/>
                <w:color w:val="000000"/>
                <w:lang w:eastAsia="es-MX"/>
              </w:rPr>
              <w:t>36.4</w:t>
            </w:r>
            <w:r>
              <w:rPr>
                <w:rFonts w:ascii="Arial" w:hAnsi="Arial" w:cs="Arial"/>
                <w:color w:val="000000"/>
                <w:lang w:eastAsia="es-MX"/>
              </w:rPr>
              <w:t>)</w:t>
            </w:r>
          </w:p>
        </w:tc>
        <w:tc>
          <w:tcPr>
            <w:tcW w:w="2126" w:type="dxa"/>
            <w:vAlign w:val="center"/>
          </w:tcPr>
          <w:p w14:paraId="5ED66681" w14:textId="5729FBB0" w:rsidR="00A37A46" w:rsidRPr="00A34137" w:rsidRDefault="00A37A46" w:rsidP="00A37A46">
            <w:pPr>
              <w:jc w:val="center"/>
              <w:rPr>
                <w:rFonts w:ascii="Arial" w:hAnsi="Arial" w:cs="Arial"/>
                <w:color w:val="000000"/>
                <w:lang w:eastAsia="es-MX"/>
              </w:rPr>
            </w:pPr>
            <w:r w:rsidRPr="00730066">
              <w:t>5, 15.6 (3.1-28.1)</w:t>
            </w:r>
          </w:p>
        </w:tc>
        <w:tc>
          <w:tcPr>
            <w:tcW w:w="2005" w:type="dxa"/>
            <w:shd w:val="clear" w:color="auto" w:fill="auto"/>
            <w:vAlign w:val="center"/>
          </w:tcPr>
          <w:p w14:paraId="6227476A" w14:textId="3493A73C" w:rsidR="00A37A46" w:rsidRPr="00A34137" w:rsidRDefault="00A37A46" w:rsidP="00A37A46">
            <w:pPr>
              <w:jc w:val="center"/>
              <w:rPr>
                <w:rFonts w:ascii="Arial" w:hAnsi="Arial" w:cs="Arial"/>
                <w:color w:val="000000"/>
                <w:lang w:eastAsia="es-MX"/>
              </w:rPr>
            </w:pPr>
            <w:r w:rsidRPr="00EC7DB4">
              <w:t>9, 39.1 (17.4-60.9)</w:t>
            </w:r>
          </w:p>
        </w:tc>
      </w:tr>
      <w:tr w:rsidR="00A37A46" w:rsidRPr="00A34137" w14:paraId="46682EB8" w14:textId="77777777" w:rsidTr="00772665">
        <w:trPr>
          <w:trHeight w:val="301"/>
          <w:jc w:val="center"/>
        </w:trPr>
        <w:tc>
          <w:tcPr>
            <w:tcW w:w="2547" w:type="dxa"/>
            <w:vAlign w:val="center"/>
          </w:tcPr>
          <w:p w14:paraId="385AD81D" w14:textId="5BDE3E05" w:rsidR="00A37A46" w:rsidRPr="00A34137" w:rsidRDefault="00A37A46" w:rsidP="00A37A46">
            <w:pPr>
              <w:rPr>
                <w:rFonts w:ascii="Arial" w:hAnsi="Arial" w:cs="Arial"/>
                <w:color w:val="000000"/>
                <w:lang w:eastAsia="es-MX"/>
              </w:rPr>
            </w:pPr>
            <w:r w:rsidRPr="00A34137">
              <w:rPr>
                <w:rFonts w:ascii="Arial" w:hAnsi="Arial" w:cs="Arial"/>
              </w:rPr>
              <w:t xml:space="preserve">     Master’s/Doctorate</w:t>
            </w:r>
          </w:p>
        </w:tc>
        <w:tc>
          <w:tcPr>
            <w:tcW w:w="2126" w:type="dxa"/>
            <w:vAlign w:val="center"/>
          </w:tcPr>
          <w:p w14:paraId="1021976C" w14:textId="48BCFEE6"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5</w:t>
            </w:r>
            <w:r>
              <w:rPr>
                <w:rFonts w:ascii="Arial" w:hAnsi="Arial" w:cs="Arial"/>
                <w:color w:val="000000"/>
                <w:lang w:eastAsia="es-MX"/>
              </w:rPr>
              <w:t>,</w:t>
            </w:r>
            <w:r w:rsidRPr="00A34137">
              <w:rPr>
                <w:rFonts w:ascii="Arial" w:hAnsi="Arial" w:cs="Arial"/>
                <w:color w:val="000000"/>
                <w:lang w:eastAsia="es-MX"/>
              </w:rPr>
              <w:t xml:space="preserve"> 9.1</w:t>
            </w:r>
            <w:r>
              <w:rPr>
                <w:rFonts w:ascii="Arial" w:hAnsi="Arial" w:cs="Arial"/>
                <w:color w:val="000000"/>
                <w:lang w:eastAsia="es-MX"/>
              </w:rPr>
              <w:t xml:space="preserve"> (</w:t>
            </w:r>
            <w:r w:rsidRPr="00A34137">
              <w:rPr>
                <w:rFonts w:ascii="Arial" w:hAnsi="Arial" w:cs="Arial"/>
                <w:color w:val="000000"/>
                <w:lang w:eastAsia="es-MX"/>
              </w:rPr>
              <w:t>1.8</w:t>
            </w:r>
            <w:r>
              <w:rPr>
                <w:rFonts w:ascii="Arial" w:hAnsi="Arial" w:cs="Arial"/>
                <w:color w:val="000000"/>
                <w:lang w:eastAsia="es-MX"/>
              </w:rPr>
              <w:t>-</w:t>
            </w:r>
            <w:r w:rsidRPr="00A34137">
              <w:rPr>
                <w:rFonts w:ascii="Arial" w:hAnsi="Arial" w:cs="Arial"/>
                <w:color w:val="000000"/>
                <w:lang w:eastAsia="es-MX"/>
              </w:rPr>
              <w:t>16.4</w:t>
            </w:r>
            <w:r>
              <w:rPr>
                <w:rFonts w:ascii="Arial" w:hAnsi="Arial" w:cs="Arial"/>
                <w:color w:val="000000"/>
                <w:lang w:eastAsia="es-MX"/>
              </w:rPr>
              <w:t>)</w:t>
            </w:r>
          </w:p>
        </w:tc>
        <w:tc>
          <w:tcPr>
            <w:tcW w:w="2126" w:type="dxa"/>
            <w:vAlign w:val="center"/>
          </w:tcPr>
          <w:p w14:paraId="73BAB743" w14:textId="00A97DB0" w:rsidR="00A37A46" w:rsidRPr="00A34137" w:rsidRDefault="00A37A46" w:rsidP="00A37A46">
            <w:pPr>
              <w:jc w:val="center"/>
              <w:rPr>
                <w:rFonts w:ascii="Arial" w:hAnsi="Arial" w:cs="Arial"/>
                <w:color w:val="000000"/>
                <w:lang w:eastAsia="es-MX"/>
              </w:rPr>
            </w:pPr>
            <w:r w:rsidRPr="00730066">
              <w:t>1, 3.1 (0-9.4)</w:t>
            </w:r>
          </w:p>
        </w:tc>
        <w:tc>
          <w:tcPr>
            <w:tcW w:w="2005" w:type="dxa"/>
            <w:shd w:val="clear" w:color="auto" w:fill="auto"/>
            <w:vAlign w:val="center"/>
          </w:tcPr>
          <w:p w14:paraId="5D158BE9" w14:textId="1F838470" w:rsidR="00A37A46" w:rsidRPr="00A34137" w:rsidRDefault="00A37A46" w:rsidP="00A37A46">
            <w:pPr>
              <w:jc w:val="center"/>
              <w:rPr>
                <w:rFonts w:ascii="Arial" w:hAnsi="Arial" w:cs="Arial"/>
                <w:color w:val="000000"/>
                <w:lang w:eastAsia="es-MX"/>
              </w:rPr>
            </w:pPr>
            <w:r w:rsidRPr="00EC7DB4">
              <w:t>4, 17.4 (4.3-34.8)</w:t>
            </w:r>
          </w:p>
        </w:tc>
      </w:tr>
      <w:tr w:rsidR="00A37A46" w:rsidRPr="00A34137" w14:paraId="68581795" w14:textId="77777777" w:rsidTr="00772665">
        <w:trPr>
          <w:trHeight w:val="301"/>
          <w:jc w:val="center"/>
        </w:trPr>
        <w:tc>
          <w:tcPr>
            <w:tcW w:w="2547" w:type="dxa"/>
            <w:vAlign w:val="center"/>
          </w:tcPr>
          <w:p w14:paraId="1AB1B00E" w14:textId="7E2FC75F" w:rsidR="00A37A46" w:rsidRPr="00A34137" w:rsidRDefault="00A37A46" w:rsidP="00A37A46">
            <w:pPr>
              <w:rPr>
                <w:rFonts w:ascii="Arial" w:hAnsi="Arial" w:cs="Arial"/>
                <w:color w:val="000000"/>
                <w:lang w:eastAsia="es-MX"/>
              </w:rPr>
            </w:pPr>
            <w:r w:rsidRPr="00A34137">
              <w:rPr>
                <w:rFonts w:ascii="Arial" w:hAnsi="Arial" w:cs="Arial"/>
              </w:rPr>
              <w:t>Housing</w:t>
            </w:r>
          </w:p>
        </w:tc>
        <w:tc>
          <w:tcPr>
            <w:tcW w:w="2126" w:type="dxa"/>
            <w:vAlign w:val="center"/>
          </w:tcPr>
          <w:p w14:paraId="2DBBB6F2" w14:textId="77777777" w:rsidR="00A37A46" w:rsidRPr="00A34137" w:rsidRDefault="00A37A46" w:rsidP="00A37A46">
            <w:pPr>
              <w:jc w:val="center"/>
              <w:rPr>
                <w:rFonts w:ascii="Arial" w:hAnsi="Arial" w:cs="Arial"/>
                <w:color w:val="000000"/>
                <w:lang w:eastAsia="es-MX"/>
              </w:rPr>
            </w:pPr>
          </w:p>
        </w:tc>
        <w:tc>
          <w:tcPr>
            <w:tcW w:w="2126" w:type="dxa"/>
            <w:vAlign w:val="center"/>
          </w:tcPr>
          <w:p w14:paraId="15661BB0" w14:textId="77777777" w:rsidR="00A37A46" w:rsidRPr="00A34137" w:rsidRDefault="00A37A46" w:rsidP="00A37A46">
            <w:pPr>
              <w:jc w:val="center"/>
              <w:rPr>
                <w:rFonts w:ascii="Arial" w:hAnsi="Arial" w:cs="Arial"/>
                <w:color w:val="000000"/>
                <w:lang w:eastAsia="es-MX"/>
              </w:rPr>
            </w:pPr>
          </w:p>
        </w:tc>
        <w:tc>
          <w:tcPr>
            <w:tcW w:w="2005" w:type="dxa"/>
            <w:shd w:val="clear" w:color="auto" w:fill="auto"/>
            <w:vAlign w:val="center"/>
          </w:tcPr>
          <w:p w14:paraId="0940E424" w14:textId="77777777" w:rsidR="00A37A46" w:rsidRPr="00A34137" w:rsidRDefault="00A37A46" w:rsidP="00A37A46">
            <w:pPr>
              <w:jc w:val="center"/>
              <w:rPr>
                <w:rFonts w:ascii="Arial" w:hAnsi="Arial" w:cs="Arial"/>
                <w:color w:val="000000"/>
                <w:lang w:eastAsia="es-MX"/>
              </w:rPr>
            </w:pPr>
          </w:p>
        </w:tc>
      </w:tr>
      <w:tr w:rsidR="00A37A46" w:rsidRPr="00A34137" w14:paraId="3C153E84" w14:textId="77777777" w:rsidTr="00772665">
        <w:trPr>
          <w:trHeight w:val="301"/>
          <w:jc w:val="center"/>
        </w:trPr>
        <w:tc>
          <w:tcPr>
            <w:tcW w:w="2547" w:type="dxa"/>
            <w:vAlign w:val="center"/>
          </w:tcPr>
          <w:p w14:paraId="168DAC56" w14:textId="2B2DC01A" w:rsidR="00A37A46" w:rsidRPr="00A34137" w:rsidRDefault="00A37A46" w:rsidP="00A37A46">
            <w:pPr>
              <w:rPr>
                <w:rFonts w:ascii="Arial" w:hAnsi="Arial" w:cs="Arial"/>
                <w:color w:val="000000"/>
                <w:lang w:eastAsia="es-MX"/>
              </w:rPr>
            </w:pPr>
            <w:r w:rsidRPr="00A34137">
              <w:rPr>
                <w:rFonts w:ascii="Arial" w:hAnsi="Arial" w:cs="Arial"/>
              </w:rPr>
              <w:t xml:space="preserve">     Owned</w:t>
            </w:r>
          </w:p>
        </w:tc>
        <w:tc>
          <w:tcPr>
            <w:tcW w:w="2126" w:type="dxa"/>
            <w:vAlign w:val="center"/>
          </w:tcPr>
          <w:p w14:paraId="541926B9" w14:textId="2FC943D1"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52</w:t>
            </w:r>
            <w:r>
              <w:rPr>
                <w:rFonts w:ascii="Arial" w:hAnsi="Arial" w:cs="Arial"/>
                <w:color w:val="000000"/>
                <w:lang w:eastAsia="es-MX"/>
              </w:rPr>
              <w:t>,</w:t>
            </w:r>
            <w:r w:rsidRPr="00A34137">
              <w:rPr>
                <w:rFonts w:ascii="Arial" w:hAnsi="Arial" w:cs="Arial"/>
                <w:color w:val="000000"/>
                <w:lang w:eastAsia="es-MX"/>
              </w:rPr>
              <w:t xml:space="preserve"> 94.5</w:t>
            </w:r>
            <w:r>
              <w:rPr>
                <w:rFonts w:ascii="Arial" w:hAnsi="Arial" w:cs="Arial"/>
                <w:color w:val="000000"/>
                <w:lang w:eastAsia="es-MX"/>
              </w:rPr>
              <w:t xml:space="preserve"> (</w:t>
            </w:r>
            <w:r w:rsidRPr="00A34137">
              <w:rPr>
                <w:rFonts w:ascii="Arial" w:hAnsi="Arial" w:cs="Arial"/>
                <w:color w:val="000000"/>
                <w:lang w:eastAsia="es-MX"/>
              </w:rPr>
              <w:t>87.3</w:t>
            </w:r>
            <w:r>
              <w:rPr>
                <w:rFonts w:ascii="Arial" w:hAnsi="Arial" w:cs="Arial"/>
                <w:color w:val="000000"/>
                <w:lang w:eastAsia="es-MX"/>
              </w:rPr>
              <w:t>-</w:t>
            </w:r>
            <w:r w:rsidRPr="00A34137">
              <w:rPr>
                <w:rFonts w:ascii="Arial" w:hAnsi="Arial" w:cs="Arial"/>
                <w:color w:val="000000"/>
                <w:lang w:eastAsia="es-MX"/>
              </w:rPr>
              <w:t>100</w:t>
            </w:r>
            <w:r>
              <w:rPr>
                <w:rFonts w:ascii="Arial" w:hAnsi="Arial" w:cs="Arial"/>
                <w:color w:val="000000"/>
                <w:lang w:eastAsia="es-MX"/>
              </w:rPr>
              <w:t>)</w:t>
            </w:r>
          </w:p>
        </w:tc>
        <w:tc>
          <w:tcPr>
            <w:tcW w:w="2126" w:type="dxa"/>
            <w:vAlign w:val="center"/>
          </w:tcPr>
          <w:p w14:paraId="63EF6BFC" w14:textId="63372DCF" w:rsidR="00A37A46" w:rsidRPr="00A34137" w:rsidRDefault="00A37A46" w:rsidP="00A37A46">
            <w:pPr>
              <w:jc w:val="center"/>
              <w:rPr>
                <w:rFonts w:ascii="Arial" w:hAnsi="Arial" w:cs="Arial"/>
                <w:color w:val="000000"/>
                <w:lang w:eastAsia="es-MX"/>
              </w:rPr>
            </w:pPr>
            <w:r w:rsidRPr="003A6EDC">
              <w:t>30, 93.8 (84.4-100)</w:t>
            </w:r>
          </w:p>
        </w:tc>
        <w:tc>
          <w:tcPr>
            <w:tcW w:w="2005" w:type="dxa"/>
            <w:shd w:val="clear" w:color="auto" w:fill="auto"/>
            <w:vAlign w:val="center"/>
          </w:tcPr>
          <w:p w14:paraId="730E8826" w14:textId="5C11C429"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22, 95.7 (87-100)</w:t>
            </w:r>
          </w:p>
        </w:tc>
      </w:tr>
      <w:tr w:rsidR="00A37A46" w:rsidRPr="00A34137" w14:paraId="2A93351A" w14:textId="77777777" w:rsidTr="00772665">
        <w:trPr>
          <w:trHeight w:val="301"/>
          <w:jc w:val="center"/>
        </w:trPr>
        <w:tc>
          <w:tcPr>
            <w:tcW w:w="2547" w:type="dxa"/>
            <w:vAlign w:val="center"/>
          </w:tcPr>
          <w:p w14:paraId="160C113E" w14:textId="05F42662" w:rsidR="00A37A46" w:rsidRPr="00A34137" w:rsidRDefault="00A37A46" w:rsidP="00A37A46">
            <w:pPr>
              <w:rPr>
                <w:rFonts w:ascii="Arial" w:hAnsi="Arial" w:cs="Arial"/>
                <w:color w:val="000000"/>
                <w:lang w:eastAsia="es-MX"/>
              </w:rPr>
            </w:pPr>
            <w:r w:rsidRPr="00A34137">
              <w:rPr>
                <w:rFonts w:ascii="Arial" w:hAnsi="Arial" w:cs="Arial"/>
              </w:rPr>
              <w:t xml:space="preserve">     Rented</w:t>
            </w:r>
          </w:p>
        </w:tc>
        <w:tc>
          <w:tcPr>
            <w:tcW w:w="2126" w:type="dxa"/>
            <w:vAlign w:val="center"/>
          </w:tcPr>
          <w:p w14:paraId="67FE2F58" w14:textId="7832A01B"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2</w:t>
            </w:r>
            <w:r>
              <w:rPr>
                <w:rFonts w:ascii="Arial" w:hAnsi="Arial" w:cs="Arial"/>
                <w:color w:val="000000"/>
                <w:lang w:eastAsia="es-MX"/>
              </w:rPr>
              <w:t>,</w:t>
            </w:r>
            <w:r w:rsidRPr="00A34137">
              <w:rPr>
                <w:rFonts w:ascii="Arial" w:hAnsi="Arial" w:cs="Arial"/>
                <w:color w:val="000000"/>
                <w:lang w:eastAsia="es-MX"/>
              </w:rPr>
              <w:t xml:space="preserve"> 3.6</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9.1</w:t>
            </w:r>
            <w:r>
              <w:rPr>
                <w:rFonts w:ascii="Arial" w:hAnsi="Arial" w:cs="Arial"/>
                <w:color w:val="000000"/>
                <w:lang w:eastAsia="es-MX"/>
              </w:rPr>
              <w:t>)</w:t>
            </w:r>
          </w:p>
        </w:tc>
        <w:tc>
          <w:tcPr>
            <w:tcW w:w="2126" w:type="dxa"/>
            <w:vAlign w:val="center"/>
          </w:tcPr>
          <w:p w14:paraId="1D6B292C" w14:textId="56E5587B" w:rsidR="00A37A46" w:rsidRPr="00A34137" w:rsidRDefault="00A37A46" w:rsidP="00A37A46">
            <w:pPr>
              <w:jc w:val="center"/>
              <w:rPr>
                <w:rFonts w:ascii="Arial" w:hAnsi="Arial" w:cs="Arial"/>
                <w:color w:val="000000"/>
                <w:lang w:eastAsia="es-MX"/>
              </w:rPr>
            </w:pPr>
            <w:r w:rsidRPr="003A6EDC">
              <w:t>1, 3.1 (0-9.4)</w:t>
            </w:r>
          </w:p>
        </w:tc>
        <w:tc>
          <w:tcPr>
            <w:tcW w:w="2005" w:type="dxa"/>
            <w:shd w:val="clear" w:color="auto" w:fill="auto"/>
            <w:vAlign w:val="center"/>
          </w:tcPr>
          <w:p w14:paraId="33174D89" w14:textId="309F4FCF"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1, 4.3 (0-13)</w:t>
            </w:r>
          </w:p>
        </w:tc>
      </w:tr>
      <w:tr w:rsidR="00A37A46" w:rsidRPr="00A34137" w14:paraId="33A26866" w14:textId="77777777" w:rsidTr="00772665">
        <w:trPr>
          <w:trHeight w:val="301"/>
          <w:jc w:val="center"/>
        </w:trPr>
        <w:tc>
          <w:tcPr>
            <w:tcW w:w="2547" w:type="dxa"/>
            <w:vAlign w:val="center"/>
          </w:tcPr>
          <w:p w14:paraId="6C68EC93" w14:textId="062B56FB" w:rsidR="00A37A46" w:rsidRPr="00A34137" w:rsidRDefault="00A37A46" w:rsidP="00A37A46">
            <w:pPr>
              <w:rPr>
                <w:rFonts w:ascii="Arial" w:hAnsi="Arial" w:cs="Arial"/>
                <w:color w:val="000000"/>
                <w:lang w:eastAsia="es-MX"/>
              </w:rPr>
            </w:pPr>
            <w:r w:rsidRPr="00A34137">
              <w:rPr>
                <w:rFonts w:ascii="Arial" w:hAnsi="Arial" w:cs="Arial"/>
              </w:rPr>
              <w:t xml:space="preserve">     Other</w:t>
            </w:r>
          </w:p>
        </w:tc>
        <w:tc>
          <w:tcPr>
            <w:tcW w:w="2126" w:type="dxa"/>
            <w:vAlign w:val="center"/>
          </w:tcPr>
          <w:p w14:paraId="1048C435" w14:textId="5FC24364"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w:t>
            </w:r>
            <w:r>
              <w:rPr>
                <w:rFonts w:ascii="Arial" w:hAnsi="Arial" w:cs="Arial"/>
                <w:color w:val="000000"/>
                <w:lang w:eastAsia="es-MX"/>
              </w:rPr>
              <w:t>,</w:t>
            </w:r>
            <w:r w:rsidRPr="00A34137">
              <w:rPr>
                <w:rFonts w:ascii="Arial" w:hAnsi="Arial" w:cs="Arial"/>
                <w:color w:val="000000"/>
                <w:lang w:eastAsia="es-MX"/>
              </w:rPr>
              <w:t xml:space="preserve"> 1.8</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5.5</w:t>
            </w:r>
            <w:r>
              <w:rPr>
                <w:rFonts w:ascii="Arial" w:hAnsi="Arial" w:cs="Arial"/>
                <w:color w:val="000000"/>
                <w:lang w:eastAsia="es-MX"/>
              </w:rPr>
              <w:t>)</w:t>
            </w:r>
          </w:p>
        </w:tc>
        <w:tc>
          <w:tcPr>
            <w:tcW w:w="2126" w:type="dxa"/>
            <w:vAlign w:val="center"/>
          </w:tcPr>
          <w:p w14:paraId="529BE205" w14:textId="3780514F" w:rsidR="00A37A46" w:rsidRPr="00A34137" w:rsidRDefault="00A37A46" w:rsidP="00A37A46">
            <w:pPr>
              <w:jc w:val="center"/>
              <w:rPr>
                <w:rFonts w:ascii="Arial" w:hAnsi="Arial" w:cs="Arial"/>
                <w:color w:val="000000"/>
                <w:lang w:eastAsia="es-MX"/>
              </w:rPr>
            </w:pPr>
            <w:r w:rsidRPr="003A6EDC">
              <w:t>1, 3.1 (0-9.4)</w:t>
            </w:r>
          </w:p>
        </w:tc>
        <w:tc>
          <w:tcPr>
            <w:tcW w:w="2005" w:type="dxa"/>
            <w:shd w:val="clear" w:color="auto" w:fill="auto"/>
            <w:vAlign w:val="center"/>
          </w:tcPr>
          <w:p w14:paraId="413ABF92" w14:textId="5C9297C9" w:rsidR="00A37A46" w:rsidRPr="00A34137" w:rsidRDefault="00A37A46" w:rsidP="00A37A46">
            <w:pPr>
              <w:jc w:val="center"/>
              <w:rPr>
                <w:rFonts w:ascii="Arial" w:hAnsi="Arial" w:cs="Arial"/>
                <w:color w:val="000000"/>
                <w:lang w:eastAsia="es-MX"/>
              </w:rPr>
            </w:pPr>
            <w:r>
              <w:rPr>
                <w:rFonts w:ascii="Arial" w:hAnsi="Arial" w:cs="Arial"/>
                <w:color w:val="000000"/>
                <w:lang w:eastAsia="es-MX"/>
              </w:rPr>
              <w:t>0, 0.0 (0.0-0.0)</w:t>
            </w:r>
          </w:p>
        </w:tc>
      </w:tr>
      <w:tr w:rsidR="00A37A46" w:rsidRPr="00A34137" w14:paraId="22ACEBF0" w14:textId="77777777" w:rsidTr="00772665">
        <w:trPr>
          <w:trHeight w:val="301"/>
          <w:jc w:val="center"/>
        </w:trPr>
        <w:tc>
          <w:tcPr>
            <w:tcW w:w="2547" w:type="dxa"/>
            <w:vAlign w:val="center"/>
          </w:tcPr>
          <w:p w14:paraId="13717C0A" w14:textId="0A47AA4A" w:rsidR="00A37A46" w:rsidRPr="00A34137" w:rsidRDefault="00A37A46" w:rsidP="00A37A46">
            <w:pPr>
              <w:rPr>
                <w:rFonts w:ascii="Arial" w:hAnsi="Arial" w:cs="Arial"/>
                <w:color w:val="000000"/>
                <w:lang w:eastAsia="es-MX"/>
              </w:rPr>
            </w:pPr>
            <w:r w:rsidRPr="00A34137">
              <w:rPr>
                <w:rFonts w:ascii="Arial" w:hAnsi="Arial" w:cs="Arial"/>
              </w:rPr>
              <w:t>Socioeconomic level</w:t>
            </w:r>
            <w:r w:rsidR="00C935E3">
              <w:rPr>
                <w:rFonts w:ascii="Arial" w:hAnsi="Arial" w:cs="Arial"/>
              </w:rPr>
              <w:t>*</w:t>
            </w:r>
          </w:p>
        </w:tc>
        <w:tc>
          <w:tcPr>
            <w:tcW w:w="2126" w:type="dxa"/>
            <w:vAlign w:val="center"/>
          </w:tcPr>
          <w:p w14:paraId="03B0409C" w14:textId="77777777" w:rsidR="00A37A46" w:rsidRPr="00A34137" w:rsidRDefault="00A37A46" w:rsidP="00A37A46">
            <w:pPr>
              <w:jc w:val="center"/>
              <w:rPr>
                <w:rFonts w:ascii="Arial" w:hAnsi="Arial" w:cs="Arial"/>
                <w:color w:val="000000"/>
                <w:lang w:eastAsia="es-MX"/>
              </w:rPr>
            </w:pPr>
          </w:p>
        </w:tc>
        <w:tc>
          <w:tcPr>
            <w:tcW w:w="2126" w:type="dxa"/>
            <w:vAlign w:val="center"/>
          </w:tcPr>
          <w:p w14:paraId="1BAB6442" w14:textId="77777777" w:rsidR="00A37A46" w:rsidRPr="00A34137" w:rsidRDefault="00A37A46" w:rsidP="00A37A46">
            <w:pPr>
              <w:jc w:val="center"/>
              <w:rPr>
                <w:rFonts w:ascii="Arial" w:hAnsi="Arial" w:cs="Arial"/>
                <w:color w:val="000000"/>
                <w:lang w:eastAsia="es-MX"/>
              </w:rPr>
            </w:pPr>
          </w:p>
        </w:tc>
        <w:tc>
          <w:tcPr>
            <w:tcW w:w="2005" w:type="dxa"/>
            <w:shd w:val="clear" w:color="auto" w:fill="auto"/>
            <w:vAlign w:val="center"/>
          </w:tcPr>
          <w:p w14:paraId="19320BAD" w14:textId="77777777" w:rsidR="00A37A46" w:rsidRPr="00A34137" w:rsidRDefault="00A37A46" w:rsidP="00A37A46">
            <w:pPr>
              <w:jc w:val="center"/>
              <w:rPr>
                <w:rFonts w:ascii="Arial" w:hAnsi="Arial" w:cs="Arial"/>
                <w:color w:val="000000"/>
                <w:lang w:eastAsia="es-MX"/>
              </w:rPr>
            </w:pPr>
          </w:p>
        </w:tc>
      </w:tr>
      <w:tr w:rsidR="00A37A46" w:rsidRPr="00A34137" w14:paraId="387A9551" w14:textId="77777777" w:rsidTr="00772665">
        <w:trPr>
          <w:trHeight w:val="301"/>
          <w:jc w:val="center"/>
        </w:trPr>
        <w:tc>
          <w:tcPr>
            <w:tcW w:w="2547" w:type="dxa"/>
            <w:vAlign w:val="center"/>
          </w:tcPr>
          <w:p w14:paraId="5EE42C0E" w14:textId="027AFC12" w:rsidR="00A37A46" w:rsidRPr="00A34137" w:rsidRDefault="00A37A46" w:rsidP="00A37A46">
            <w:pPr>
              <w:rPr>
                <w:rFonts w:ascii="Arial" w:hAnsi="Arial" w:cs="Arial"/>
                <w:color w:val="000000"/>
                <w:lang w:eastAsia="es-MX"/>
              </w:rPr>
            </w:pPr>
            <w:r w:rsidRPr="00A34137">
              <w:rPr>
                <w:rFonts w:ascii="Arial" w:hAnsi="Arial" w:cs="Arial"/>
              </w:rPr>
              <w:lastRenderedPageBreak/>
              <w:t xml:space="preserve">     Level A/B</w:t>
            </w:r>
          </w:p>
        </w:tc>
        <w:tc>
          <w:tcPr>
            <w:tcW w:w="2126" w:type="dxa"/>
            <w:vAlign w:val="center"/>
          </w:tcPr>
          <w:p w14:paraId="727AF511" w14:textId="1782CECF"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4</w:t>
            </w:r>
            <w:r>
              <w:rPr>
                <w:rFonts w:ascii="Arial" w:hAnsi="Arial" w:cs="Arial"/>
                <w:color w:val="000000"/>
                <w:lang w:eastAsia="es-MX"/>
              </w:rPr>
              <w:t>,</w:t>
            </w:r>
            <w:r w:rsidRPr="00A34137">
              <w:rPr>
                <w:rFonts w:ascii="Arial" w:hAnsi="Arial" w:cs="Arial"/>
                <w:color w:val="000000"/>
                <w:lang w:eastAsia="es-MX"/>
              </w:rPr>
              <w:t xml:space="preserve"> 7.3</w:t>
            </w:r>
            <w:r>
              <w:rPr>
                <w:rFonts w:ascii="Arial" w:hAnsi="Arial" w:cs="Arial"/>
                <w:color w:val="000000"/>
                <w:lang w:eastAsia="es-MX"/>
              </w:rPr>
              <w:t xml:space="preserve"> (</w:t>
            </w:r>
            <w:r w:rsidRPr="00A34137">
              <w:rPr>
                <w:rFonts w:ascii="Arial" w:hAnsi="Arial" w:cs="Arial"/>
                <w:color w:val="000000"/>
                <w:lang w:eastAsia="es-MX"/>
              </w:rPr>
              <w:t>1.8</w:t>
            </w:r>
            <w:r>
              <w:rPr>
                <w:rFonts w:ascii="Arial" w:hAnsi="Arial" w:cs="Arial"/>
                <w:color w:val="000000"/>
                <w:lang w:eastAsia="es-MX"/>
              </w:rPr>
              <w:t>-</w:t>
            </w:r>
            <w:r w:rsidRPr="00A34137">
              <w:rPr>
                <w:rFonts w:ascii="Arial" w:hAnsi="Arial" w:cs="Arial"/>
                <w:color w:val="000000"/>
                <w:lang w:eastAsia="es-MX"/>
              </w:rPr>
              <w:t>14.5</w:t>
            </w:r>
            <w:r>
              <w:rPr>
                <w:rFonts w:ascii="Arial" w:hAnsi="Arial" w:cs="Arial"/>
                <w:color w:val="000000"/>
                <w:lang w:eastAsia="es-MX"/>
              </w:rPr>
              <w:t>)</w:t>
            </w:r>
          </w:p>
        </w:tc>
        <w:tc>
          <w:tcPr>
            <w:tcW w:w="2126" w:type="dxa"/>
            <w:vAlign w:val="center"/>
          </w:tcPr>
          <w:p w14:paraId="72188129" w14:textId="63EADF63" w:rsidR="00A37A46" w:rsidRPr="00A34137" w:rsidRDefault="00A37A46" w:rsidP="00A37A46">
            <w:pPr>
              <w:jc w:val="center"/>
              <w:rPr>
                <w:rFonts w:ascii="Arial" w:hAnsi="Arial" w:cs="Arial"/>
                <w:color w:val="000000"/>
                <w:lang w:eastAsia="es-MX"/>
              </w:rPr>
            </w:pPr>
            <w:r>
              <w:rPr>
                <w:rFonts w:ascii="Arial" w:hAnsi="Arial" w:cs="Arial"/>
                <w:color w:val="000000"/>
                <w:lang w:eastAsia="es-MX"/>
              </w:rPr>
              <w:t>0, 0.0 (0.0-0.0)</w:t>
            </w:r>
          </w:p>
        </w:tc>
        <w:tc>
          <w:tcPr>
            <w:tcW w:w="2005" w:type="dxa"/>
            <w:shd w:val="clear" w:color="auto" w:fill="auto"/>
            <w:vAlign w:val="center"/>
          </w:tcPr>
          <w:p w14:paraId="312008FE" w14:textId="1C26B7A3"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4, 17.4 (4.3-34.8)</w:t>
            </w:r>
          </w:p>
        </w:tc>
      </w:tr>
      <w:tr w:rsidR="00A37A46" w:rsidRPr="00A34137" w14:paraId="23147079" w14:textId="77777777" w:rsidTr="00772665">
        <w:trPr>
          <w:trHeight w:val="301"/>
          <w:jc w:val="center"/>
        </w:trPr>
        <w:tc>
          <w:tcPr>
            <w:tcW w:w="2547" w:type="dxa"/>
            <w:vAlign w:val="center"/>
          </w:tcPr>
          <w:p w14:paraId="51BF0AA2" w14:textId="3F230EFF" w:rsidR="00A37A46" w:rsidRPr="00A34137" w:rsidRDefault="00A37A46" w:rsidP="00A37A46">
            <w:pPr>
              <w:rPr>
                <w:rFonts w:ascii="Arial" w:hAnsi="Arial" w:cs="Arial"/>
                <w:color w:val="000000"/>
                <w:lang w:eastAsia="es-MX"/>
              </w:rPr>
            </w:pPr>
            <w:r w:rsidRPr="00A34137">
              <w:rPr>
                <w:rFonts w:ascii="Arial" w:hAnsi="Arial" w:cs="Arial"/>
              </w:rPr>
              <w:t xml:space="preserve">     Level C</w:t>
            </w:r>
          </w:p>
        </w:tc>
        <w:tc>
          <w:tcPr>
            <w:tcW w:w="2126" w:type="dxa"/>
            <w:vAlign w:val="center"/>
          </w:tcPr>
          <w:p w14:paraId="2907CA43" w14:textId="4493453D"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14</w:t>
            </w:r>
            <w:r>
              <w:rPr>
                <w:rFonts w:ascii="Arial" w:hAnsi="Arial" w:cs="Arial"/>
                <w:color w:val="000000"/>
                <w:lang w:eastAsia="es-MX"/>
              </w:rPr>
              <w:t>,</w:t>
            </w:r>
            <w:r w:rsidRPr="00A34137">
              <w:rPr>
                <w:rFonts w:ascii="Arial" w:hAnsi="Arial" w:cs="Arial"/>
                <w:color w:val="000000"/>
                <w:lang w:eastAsia="es-MX"/>
              </w:rPr>
              <w:t xml:space="preserve"> 25.5</w:t>
            </w:r>
            <w:r>
              <w:rPr>
                <w:rFonts w:ascii="Arial" w:hAnsi="Arial" w:cs="Arial"/>
                <w:color w:val="000000"/>
                <w:lang w:eastAsia="es-MX"/>
              </w:rPr>
              <w:t xml:space="preserve"> (</w:t>
            </w:r>
            <w:r w:rsidRPr="00A34137">
              <w:rPr>
                <w:rFonts w:ascii="Arial" w:hAnsi="Arial" w:cs="Arial"/>
                <w:color w:val="000000"/>
                <w:lang w:eastAsia="es-MX"/>
              </w:rPr>
              <w:t>14.5</w:t>
            </w:r>
            <w:r>
              <w:rPr>
                <w:rFonts w:ascii="Arial" w:hAnsi="Arial" w:cs="Arial"/>
                <w:color w:val="000000"/>
                <w:lang w:eastAsia="es-MX"/>
              </w:rPr>
              <w:t>-</w:t>
            </w:r>
            <w:r w:rsidRPr="00A34137">
              <w:rPr>
                <w:rFonts w:ascii="Arial" w:hAnsi="Arial" w:cs="Arial"/>
                <w:color w:val="000000"/>
                <w:lang w:eastAsia="es-MX"/>
              </w:rPr>
              <w:t>38.1</w:t>
            </w:r>
            <w:r>
              <w:rPr>
                <w:rFonts w:ascii="Arial" w:hAnsi="Arial" w:cs="Arial"/>
                <w:color w:val="000000"/>
                <w:lang w:eastAsia="es-MX"/>
              </w:rPr>
              <w:t>)</w:t>
            </w:r>
          </w:p>
        </w:tc>
        <w:tc>
          <w:tcPr>
            <w:tcW w:w="2126" w:type="dxa"/>
            <w:vAlign w:val="center"/>
          </w:tcPr>
          <w:p w14:paraId="2AE724EA" w14:textId="7C0CCE46" w:rsidR="00A37A46" w:rsidRPr="00A34137" w:rsidRDefault="00A37A46" w:rsidP="00A37A46">
            <w:pPr>
              <w:jc w:val="center"/>
              <w:rPr>
                <w:rFonts w:ascii="Arial" w:hAnsi="Arial" w:cs="Arial"/>
                <w:color w:val="000000"/>
                <w:lang w:eastAsia="es-MX"/>
              </w:rPr>
            </w:pPr>
            <w:r w:rsidRPr="00634207">
              <w:t>6, 18.8 (6.3-31.3)</w:t>
            </w:r>
          </w:p>
        </w:tc>
        <w:tc>
          <w:tcPr>
            <w:tcW w:w="2005" w:type="dxa"/>
            <w:shd w:val="clear" w:color="auto" w:fill="auto"/>
            <w:vAlign w:val="center"/>
          </w:tcPr>
          <w:p w14:paraId="007FDDCF" w14:textId="1A0E38E8"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8, 34.8 (13-52.2)</w:t>
            </w:r>
          </w:p>
        </w:tc>
      </w:tr>
      <w:tr w:rsidR="00A37A46" w:rsidRPr="00A34137" w14:paraId="6B1842BD" w14:textId="77777777" w:rsidTr="00772665">
        <w:trPr>
          <w:trHeight w:val="301"/>
          <w:jc w:val="center"/>
        </w:trPr>
        <w:tc>
          <w:tcPr>
            <w:tcW w:w="2547" w:type="dxa"/>
            <w:vAlign w:val="center"/>
          </w:tcPr>
          <w:p w14:paraId="622B9FE1" w14:textId="6E05A1EE" w:rsidR="00A37A46" w:rsidRPr="00A34137" w:rsidRDefault="00A37A46" w:rsidP="00A37A46">
            <w:pPr>
              <w:rPr>
                <w:rFonts w:ascii="Arial" w:hAnsi="Arial" w:cs="Arial"/>
                <w:color w:val="000000"/>
                <w:lang w:eastAsia="es-MX"/>
              </w:rPr>
            </w:pPr>
            <w:r w:rsidRPr="00A34137">
              <w:rPr>
                <w:rFonts w:ascii="Arial" w:hAnsi="Arial" w:cs="Arial"/>
              </w:rPr>
              <w:t xml:space="preserve">     Level C-</w:t>
            </w:r>
          </w:p>
        </w:tc>
        <w:tc>
          <w:tcPr>
            <w:tcW w:w="2126" w:type="dxa"/>
            <w:vAlign w:val="center"/>
          </w:tcPr>
          <w:p w14:paraId="3EA17758" w14:textId="7453D01A"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9</w:t>
            </w:r>
            <w:r>
              <w:rPr>
                <w:rFonts w:ascii="Arial" w:hAnsi="Arial" w:cs="Arial"/>
                <w:color w:val="000000"/>
                <w:lang w:eastAsia="es-MX"/>
              </w:rPr>
              <w:t>,</w:t>
            </w:r>
            <w:r w:rsidRPr="00A34137">
              <w:rPr>
                <w:rFonts w:ascii="Arial" w:hAnsi="Arial" w:cs="Arial"/>
                <w:color w:val="000000"/>
                <w:lang w:eastAsia="es-MX"/>
              </w:rPr>
              <w:t xml:space="preserve"> 16.4</w:t>
            </w:r>
            <w:r>
              <w:rPr>
                <w:rFonts w:ascii="Arial" w:hAnsi="Arial" w:cs="Arial"/>
                <w:color w:val="000000"/>
                <w:lang w:eastAsia="es-MX"/>
              </w:rPr>
              <w:t xml:space="preserve"> (</w:t>
            </w:r>
            <w:r w:rsidRPr="00A34137">
              <w:rPr>
                <w:rFonts w:ascii="Arial" w:hAnsi="Arial" w:cs="Arial"/>
                <w:color w:val="000000"/>
                <w:lang w:eastAsia="es-MX"/>
              </w:rPr>
              <w:t>7.3</w:t>
            </w:r>
            <w:r>
              <w:rPr>
                <w:rFonts w:ascii="Arial" w:hAnsi="Arial" w:cs="Arial"/>
                <w:color w:val="000000"/>
                <w:lang w:eastAsia="es-MX"/>
              </w:rPr>
              <w:t>-</w:t>
            </w:r>
            <w:r w:rsidRPr="00A34137">
              <w:rPr>
                <w:rFonts w:ascii="Arial" w:hAnsi="Arial" w:cs="Arial"/>
                <w:color w:val="000000"/>
                <w:lang w:eastAsia="es-MX"/>
              </w:rPr>
              <w:t>27.3</w:t>
            </w:r>
            <w:r>
              <w:rPr>
                <w:rFonts w:ascii="Arial" w:hAnsi="Arial" w:cs="Arial"/>
                <w:color w:val="000000"/>
                <w:lang w:eastAsia="es-MX"/>
              </w:rPr>
              <w:t>)</w:t>
            </w:r>
          </w:p>
        </w:tc>
        <w:tc>
          <w:tcPr>
            <w:tcW w:w="2126" w:type="dxa"/>
            <w:vAlign w:val="center"/>
          </w:tcPr>
          <w:p w14:paraId="536C476E" w14:textId="125243C0" w:rsidR="00A37A46" w:rsidRPr="00A34137" w:rsidRDefault="00A37A46" w:rsidP="00A37A46">
            <w:pPr>
              <w:jc w:val="center"/>
              <w:rPr>
                <w:rFonts w:ascii="Arial" w:hAnsi="Arial" w:cs="Arial"/>
                <w:color w:val="000000"/>
                <w:lang w:eastAsia="es-MX"/>
              </w:rPr>
            </w:pPr>
            <w:r w:rsidRPr="00634207">
              <w:t>8, 25 (9.4-40.6)</w:t>
            </w:r>
          </w:p>
        </w:tc>
        <w:tc>
          <w:tcPr>
            <w:tcW w:w="2005" w:type="dxa"/>
            <w:shd w:val="clear" w:color="auto" w:fill="auto"/>
            <w:vAlign w:val="center"/>
          </w:tcPr>
          <w:p w14:paraId="7BFD2657" w14:textId="71B8FDD6"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1, 4.3 (0-13)</w:t>
            </w:r>
          </w:p>
        </w:tc>
      </w:tr>
      <w:tr w:rsidR="00A37A46" w:rsidRPr="00A34137" w14:paraId="4E4A7920" w14:textId="77777777" w:rsidTr="00772665">
        <w:trPr>
          <w:trHeight w:val="301"/>
          <w:jc w:val="center"/>
        </w:trPr>
        <w:tc>
          <w:tcPr>
            <w:tcW w:w="2547" w:type="dxa"/>
            <w:vAlign w:val="center"/>
          </w:tcPr>
          <w:p w14:paraId="1CC5369C" w14:textId="58FEBD71" w:rsidR="00A37A46" w:rsidRPr="00A34137" w:rsidRDefault="00A37A46" w:rsidP="00A37A46">
            <w:pPr>
              <w:rPr>
                <w:rFonts w:ascii="Arial" w:hAnsi="Arial" w:cs="Arial"/>
                <w:color w:val="000000"/>
                <w:lang w:eastAsia="es-MX"/>
              </w:rPr>
            </w:pPr>
            <w:r w:rsidRPr="00A34137">
              <w:rPr>
                <w:rFonts w:ascii="Arial" w:hAnsi="Arial" w:cs="Arial"/>
              </w:rPr>
              <w:t xml:space="preserve">     Level C+</w:t>
            </w:r>
          </w:p>
        </w:tc>
        <w:tc>
          <w:tcPr>
            <w:tcW w:w="2126" w:type="dxa"/>
            <w:vAlign w:val="center"/>
          </w:tcPr>
          <w:p w14:paraId="54CCD284" w14:textId="37C833E6"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7</w:t>
            </w:r>
            <w:r>
              <w:rPr>
                <w:rFonts w:ascii="Arial" w:hAnsi="Arial" w:cs="Arial"/>
                <w:color w:val="000000"/>
                <w:lang w:eastAsia="es-MX"/>
              </w:rPr>
              <w:t>,</w:t>
            </w:r>
            <w:r w:rsidRPr="00A34137">
              <w:rPr>
                <w:rFonts w:ascii="Arial" w:hAnsi="Arial" w:cs="Arial"/>
                <w:color w:val="000000"/>
                <w:lang w:eastAsia="es-MX"/>
              </w:rPr>
              <w:t xml:space="preserve"> 12.7</w:t>
            </w:r>
            <w:r>
              <w:rPr>
                <w:rFonts w:ascii="Arial" w:hAnsi="Arial" w:cs="Arial"/>
                <w:color w:val="000000"/>
                <w:lang w:eastAsia="es-MX"/>
              </w:rPr>
              <w:t xml:space="preserve"> (</w:t>
            </w:r>
            <w:r w:rsidRPr="00A34137">
              <w:rPr>
                <w:rFonts w:ascii="Arial" w:hAnsi="Arial" w:cs="Arial"/>
                <w:color w:val="000000"/>
                <w:lang w:eastAsia="es-MX"/>
              </w:rPr>
              <w:t>3.6</w:t>
            </w:r>
            <w:r>
              <w:rPr>
                <w:rFonts w:ascii="Arial" w:hAnsi="Arial" w:cs="Arial"/>
                <w:color w:val="000000"/>
                <w:lang w:eastAsia="es-MX"/>
              </w:rPr>
              <w:t>-</w:t>
            </w:r>
            <w:r w:rsidRPr="00A34137">
              <w:rPr>
                <w:rFonts w:ascii="Arial" w:hAnsi="Arial" w:cs="Arial"/>
                <w:color w:val="000000"/>
                <w:lang w:eastAsia="es-MX"/>
              </w:rPr>
              <w:t>21.8</w:t>
            </w:r>
            <w:r>
              <w:rPr>
                <w:rFonts w:ascii="Arial" w:hAnsi="Arial" w:cs="Arial"/>
                <w:color w:val="000000"/>
                <w:lang w:eastAsia="es-MX"/>
              </w:rPr>
              <w:t>)</w:t>
            </w:r>
          </w:p>
        </w:tc>
        <w:tc>
          <w:tcPr>
            <w:tcW w:w="2126" w:type="dxa"/>
            <w:vAlign w:val="center"/>
          </w:tcPr>
          <w:p w14:paraId="50B4F59B" w14:textId="78FDDB03" w:rsidR="00A37A46" w:rsidRPr="00A34137" w:rsidRDefault="00A37A46" w:rsidP="00A37A46">
            <w:pPr>
              <w:jc w:val="center"/>
              <w:rPr>
                <w:rFonts w:ascii="Arial" w:hAnsi="Arial" w:cs="Arial"/>
                <w:color w:val="000000"/>
                <w:lang w:eastAsia="es-MX"/>
              </w:rPr>
            </w:pPr>
            <w:r w:rsidRPr="00634207">
              <w:t>3, 9.4 (0-21.9)</w:t>
            </w:r>
          </w:p>
        </w:tc>
        <w:tc>
          <w:tcPr>
            <w:tcW w:w="2005" w:type="dxa"/>
            <w:shd w:val="clear" w:color="auto" w:fill="auto"/>
            <w:vAlign w:val="center"/>
          </w:tcPr>
          <w:p w14:paraId="493F2B7A" w14:textId="0DA2FE3D"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4, 17.4 (4.3-34.8)</w:t>
            </w:r>
          </w:p>
        </w:tc>
      </w:tr>
      <w:tr w:rsidR="00A37A46" w:rsidRPr="00A34137" w14:paraId="08E8A114" w14:textId="77777777" w:rsidTr="00772665">
        <w:trPr>
          <w:trHeight w:val="301"/>
          <w:jc w:val="center"/>
        </w:trPr>
        <w:tc>
          <w:tcPr>
            <w:tcW w:w="2547" w:type="dxa"/>
            <w:vAlign w:val="center"/>
          </w:tcPr>
          <w:p w14:paraId="1A15B1C5" w14:textId="7CF3F38E" w:rsidR="00A37A46" w:rsidRPr="00A34137" w:rsidRDefault="00A37A46" w:rsidP="00A37A46">
            <w:pPr>
              <w:rPr>
                <w:rFonts w:ascii="Arial" w:hAnsi="Arial" w:cs="Arial"/>
                <w:color w:val="000000"/>
                <w:lang w:eastAsia="es-MX"/>
              </w:rPr>
            </w:pPr>
            <w:r w:rsidRPr="00A34137">
              <w:rPr>
                <w:rFonts w:ascii="Arial" w:hAnsi="Arial" w:cs="Arial"/>
              </w:rPr>
              <w:t xml:space="preserve">     Level D</w:t>
            </w:r>
          </w:p>
        </w:tc>
        <w:tc>
          <w:tcPr>
            <w:tcW w:w="2126" w:type="dxa"/>
            <w:vAlign w:val="center"/>
          </w:tcPr>
          <w:p w14:paraId="4D5190AE" w14:textId="4F382CBD"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11</w:t>
            </w:r>
            <w:r>
              <w:rPr>
                <w:rFonts w:ascii="Arial" w:hAnsi="Arial" w:cs="Arial"/>
                <w:color w:val="000000"/>
                <w:lang w:eastAsia="es-MX"/>
              </w:rPr>
              <w:t>,</w:t>
            </w:r>
            <w:r w:rsidRPr="00A34137">
              <w:rPr>
                <w:rFonts w:ascii="Arial" w:hAnsi="Arial" w:cs="Arial"/>
                <w:color w:val="000000"/>
                <w:lang w:eastAsia="es-MX"/>
              </w:rPr>
              <w:t xml:space="preserve"> 20.0</w:t>
            </w:r>
            <w:r>
              <w:rPr>
                <w:rFonts w:ascii="Arial" w:hAnsi="Arial" w:cs="Arial"/>
                <w:color w:val="000000"/>
                <w:lang w:eastAsia="es-MX"/>
              </w:rPr>
              <w:t xml:space="preserve"> (</w:t>
            </w:r>
            <w:r w:rsidRPr="00A34137">
              <w:rPr>
                <w:rFonts w:ascii="Arial" w:hAnsi="Arial" w:cs="Arial"/>
                <w:color w:val="000000"/>
                <w:lang w:eastAsia="es-MX"/>
              </w:rPr>
              <w:t>10.9</w:t>
            </w:r>
            <w:r>
              <w:rPr>
                <w:rFonts w:ascii="Arial" w:hAnsi="Arial" w:cs="Arial"/>
                <w:color w:val="000000"/>
                <w:lang w:eastAsia="es-MX"/>
              </w:rPr>
              <w:t>-</w:t>
            </w:r>
            <w:r w:rsidRPr="00A34137">
              <w:rPr>
                <w:rFonts w:ascii="Arial" w:hAnsi="Arial" w:cs="Arial"/>
                <w:color w:val="000000"/>
                <w:lang w:eastAsia="es-MX"/>
              </w:rPr>
              <w:t>30.9</w:t>
            </w:r>
            <w:r>
              <w:rPr>
                <w:rFonts w:ascii="Arial" w:hAnsi="Arial" w:cs="Arial"/>
                <w:color w:val="000000"/>
                <w:lang w:eastAsia="es-MX"/>
              </w:rPr>
              <w:t>)</w:t>
            </w:r>
          </w:p>
        </w:tc>
        <w:tc>
          <w:tcPr>
            <w:tcW w:w="2126" w:type="dxa"/>
            <w:vAlign w:val="center"/>
          </w:tcPr>
          <w:p w14:paraId="4D28534E" w14:textId="3DC8001F" w:rsidR="00A37A46" w:rsidRPr="00A34137" w:rsidRDefault="00A37A46" w:rsidP="00A37A46">
            <w:pPr>
              <w:jc w:val="center"/>
              <w:rPr>
                <w:rFonts w:ascii="Arial" w:hAnsi="Arial" w:cs="Arial"/>
                <w:color w:val="000000"/>
                <w:lang w:eastAsia="es-MX"/>
              </w:rPr>
            </w:pPr>
            <w:r w:rsidRPr="00634207">
              <w:t>7, 21.9 (9.4-37.5)</w:t>
            </w:r>
          </w:p>
        </w:tc>
        <w:tc>
          <w:tcPr>
            <w:tcW w:w="2005" w:type="dxa"/>
            <w:shd w:val="clear" w:color="auto" w:fill="auto"/>
            <w:vAlign w:val="center"/>
          </w:tcPr>
          <w:p w14:paraId="1F10A6FD" w14:textId="0583CCC3"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4, 17.4 (4.3-34.8)</w:t>
            </w:r>
          </w:p>
        </w:tc>
      </w:tr>
      <w:tr w:rsidR="00A37A46" w:rsidRPr="00A34137" w14:paraId="27531539" w14:textId="77777777" w:rsidTr="00772665">
        <w:trPr>
          <w:trHeight w:val="301"/>
          <w:jc w:val="center"/>
        </w:trPr>
        <w:tc>
          <w:tcPr>
            <w:tcW w:w="2547" w:type="dxa"/>
            <w:vAlign w:val="center"/>
          </w:tcPr>
          <w:p w14:paraId="5F783DE7" w14:textId="70C1E492" w:rsidR="00A37A46" w:rsidRPr="00A34137" w:rsidRDefault="00A37A46" w:rsidP="00A37A46">
            <w:pPr>
              <w:rPr>
                <w:rFonts w:ascii="Arial" w:hAnsi="Arial" w:cs="Arial"/>
                <w:color w:val="000000"/>
                <w:lang w:eastAsia="es-MX"/>
              </w:rPr>
            </w:pPr>
            <w:r w:rsidRPr="00A34137">
              <w:rPr>
                <w:rFonts w:ascii="Arial" w:hAnsi="Arial" w:cs="Arial"/>
              </w:rPr>
              <w:t xml:space="preserve">     Level D+</w:t>
            </w:r>
          </w:p>
        </w:tc>
        <w:tc>
          <w:tcPr>
            <w:tcW w:w="2126" w:type="dxa"/>
            <w:vAlign w:val="center"/>
          </w:tcPr>
          <w:p w14:paraId="22EBA541" w14:textId="498A1849"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7</w:t>
            </w:r>
            <w:r>
              <w:rPr>
                <w:rFonts w:ascii="Arial" w:hAnsi="Arial" w:cs="Arial"/>
                <w:color w:val="000000"/>
                <w:lang w:eastAsia="es-MX"/>
              </w:rPr>
              <w:t>,</w:t>
            </w:r>
            <w:r w:rsidRPr="00A34137">
              <w:rPr>
                <w:rFonts w:ascii="Arial" w:hAnsi="Arial" w:cs="Arial"/>
                <w:color w:val="000000"/>
                <w:lang w:eastAsia="es-MX"/>
              </w:rPr>
              <w:t xml:space="preserve"> 12.7</w:t>
            </w:r>
            <w:r>
              <w:rPr>
                <w:rFonts w:ascii="Arial" w:hAnsi="Arial" w:cs="Arial"/>
                <w:color w:val="000000"/>
                <w:lang w:eastAsia="es-MX"/>
              </w:rPr>
              <w:t xml:space="preserve"> (</w:t>
            </w:r>
            <w:r w:rsidRPr="00A34137">
              <w:rPr>
                <w:rFonts w:ascii="Arial" w:hAnsi="Arial" w:cs="Arial"/>
                <w:color w:val="000000"/>
                <w:lang w:eastAsia="es-MX"/>
              </w:rPr>
              <w:t>5.5</w:t>
            </w:r>
            <w:r>
              <w:rPr>
                <w:rFonts w:ascii="Arial" w:hAnsi="Arial" w:cs="Arial"/>
                <w:color w:val="000000"/>
                <w:lang w:eastAsia="es-MX"/>
              </w:rPr>
              <w:t>-</w:t>
            </w:r>
            <w:r w:rsidRPr="00A34137">
              <w:rPr>
                <w:rFonts w:ascii="Arial" w:hAnsi="Arial" w:cs="Arial"/>
                <w:color w:val="000000"/>
                <w:lang w:eastAsia="es-MX"/>
              </w:rPr>
              <w:t>21.8</w:t>
            </w:r>
            <w:r>
              <w:rPr>
                <w:rFonts w:ascii="Arial" w:hAnsi="Arial" w:cs="Arial"/>
                <w:color w:val="000000"/>
                <w:lang w:eastAsia="es-MX"/>
              </w:rPr>
              <w:t>)</w:t>
            </w:r>
          </w:p>
        </w:tc>
        <w:tc>
          <w:tcPr>
            <w:tcW w:w="2126" w:type="dxa"/>
            <w:vAlign w:val="center"/>
          </w:tcPr>
          <w:p w14:paraId="452F7C64" w14:textId="3CB96CD2" w:rsidR="00A37A46" w:rsidRPr="00A34137" w:rsidRDefault="00A37A46" w:rsidP="00A37A46">
            <w:pPr>
              <w:jc w:val="center"/>
              <w:rPr>
                <w:rFonts w:ascii="Arial" w:hAnsi="Arial" w:cs="Arial"/>
                <w:color w:val="000000"/>
                <w:lang w:eastAsia="es-MX"/>
              </w:rPr>
            </w:pPr>
            <w:r w:rsidRPr="00634207">
              <w:t>5, 15.6 (3.1-28.1)</w:t>
            </w:r>
          </w:p>
        </w:tc>
        <w:tc>
          <w:tcPr>
            <w:tcW w:w="2005" w:type="dxa"/>
            <w:shd w:val="clear" w:color="auto" w:fill="auto"/>
            <w:vAlign w:val="center"/>
          </w:tcPr>
          <w:p w14:paraId="49C3D0A2" w14:textId="2C52FB21"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2, 8.7 (0-21.7)</w:t>
            </w:r>
          </w:p>
        </w:tc>
      </w:tr>
      <w:tr w:rsidR="00A37A46" w:rsidRPr="00A34137" w14:paraId="60C5E992" w14:textId="77777777" w:rsidTr="00772665">
        <w:trPr>
          <w:trHeight w:val="301"/>
          <w:jc w:val="center"/>
        </w:trPr>
        <w:tc>
          <w:tcPr>
            <w:tcW w:w="2547" w:type="dxa"/>
            <w:vAlign w:val="center"/>
          </w:tcPr>
          <w:p w14:paraId="3961EF11" w14:textId="1AEDC8E5" w:rsidR="00A37A46" w:rsidRPr="00A34137" w:rsidRDefault="00A37A46" w:rsidP="00A37A46">
            <w:pPr>
              <w:rPr>
                <w:rFonts w:ascii="Arial" w:hAnsi="Arial" w:cs="Arial"/>
                <w:color w:val="000000"/>
                <w:lang w:eastAsia="es-MX"/>
              </w:rPr>
            </w:pPr>
            <w:r w:rsidRPr="00A34137">
              <w:rPr>
                <w:rFonts w:ascii="Arial" w:hAnsi="Arial" w:cs="Arial"/>
              </w:rPr>
              <w:t xml:space="preserve">     Level E</w:t>
            </w:r>
          </w:p>
        </w:tc>
        <w:tc>
          <w:tcPr>
            <w:tcW w:w="2126" w:type="dxa"/>
            <w:vAlign w:val="center"/>
          </w:tcPr>
          <w:p w14:paraId="7D1D4453" w14:textId="3673CA63"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3</w:t>
            </w:r>
            <w:r>
              <w:rPr>
                <w:rFonts w:ascii="Arial" w:hAnsi="Arial" w:cs="Arial"/>
                <w:color w:val="000000"/>
                <w:lang w:eastAsia="es-MX"/>
              </w:rPr>
              <w:t>,</w:t>
            </w:r>
            <w:r w:rsidRPr="00A34137">
              <w:rPr>
                <w:rFonts w:ascii="Arial" w:hAnsi="Arial" w:cs="Arial"/>
                <w:color w:val="000000"/>
                <w:lang w:eastAsia="es-MX"/>
              </w:rPr>
              <w:t xml:space="preserve"> 5.5</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12.7</w:t>
            </w:r>
            <w:r>
              <w:rPr>
                <w:rFonts w:ascii="Arial" w:hAnsi="Arial" w:cs="Arial"/>
                <w:color w:val="000000"/>
                <w:lang w:eastAsia="es-MX"/>
              </w:rPr>
              <w:t>)</w:t>
            </w:r>
          </w:p>
        </w:tc>
        <w:tc>
          <w:tcPr>
            <w:tcW w:w="2126" w:type="dxa"/>
            <w:vAlign w:val="center"/>
          </w:tcPr>
          <w:p w14:paraId="66D32C98" w14:textId="309079AD" w:rsidR="00A37A46" w:rsidRPr="00A34137" w:rsidRDefault="00A37A46" w:rsidP="00A37A46">
            <w:pPr>
              <w:jc w:val="center"/>
              <w:rPr>
                <w:rFonts w:ascii="Arial" w:hAnsi="Arial" w:cs="Arial"/>
                <w:color w:val="000000"/>
                <w:lang w:eastAsia="es-MX"/>
              </w:rPr>
            </w:pPr>
            <w:r w:rsidRPr="00634207">
              <w:t>3, 9.4 (0-21.9)</w:t>
            </w:r>
          </w:p>
        </w:tc>
        <w:tc>
          <w:tcPr>
            <w:tcW w:w="2005" w:type="dxa"/>
            <w:shd w:val="clear" w:color="auto" w:fill="auto"/>
            <w:vAlign w:val="center"/>
          </w:tcPr>
          <w:p w14:paraId="4E62BA94" w14:textId="5289404D" w:rsidR="00A37A46" w:rsidRPr="00A34137" w:rsidRDefault="00A37A46" w:rsidP="00A37A46">
            <w:pPr>
              <w:jc w:val="center"/>
              <w:rPr>
                <w:rFonts w:ascii="Arial" w:hAnsi="Arial" w:cs="Arial"/>
                <w:color w:val="000000"/>
                <w:lang w:eastAsia="es-MX"/>
              </w:rPr>
            </w:pPr>
            <w:r>
              <w:rPr>
                <w:rFonts w:ascii="Arial" w:hAnsi="Arial" w:cs="Arial"/>
                <w:color w:val="000000"/>
                <w:lang w:eastAsia="es-MX"/>
              </w:rPr>
              <w:t>0, 0.0 (0.0-0.0)</w:t>
            </w:r>
          </w:p>
        </w:tc>
      </w:tr>
    </w:tbl>
    <w:p w14:paraId="54E19927" w14:textId="4486A18A" w:rsidR="00A34137" w:rsidRPr="007270EE" w:rsidRDefault="00BD62D4" w:rsidP="00A37A46">
      <w:pPr>
        <w:pStyle w:val="Body"/>
        <w:spacing w:after="0"/>
        <w:rPr>
          <w:rFonts w:ascii="Arial" w:hAnsi="Arial" w:cs="Arial"/>
        </w:rPr>
      </w:pPr>
      <w:r w:rsidRPr="007270EE">
        <w:rPr>
          <w:rFonts w:ascii="Arial" w:hAnsi="Arial" w:cs="Arial"/>
        </w:rPr>
        <w:t>Source: Prepared by the authors using data from the data base.</w:t>
      </w:r>
      <w:r w:rsidR="00C935E3" w:rsidRPr="007270EE">
        <w:rPr>
          <w:rFonts w:ascii="Arial" w:hAnsi="Arial" w:cs="Arial"/>
        </w:rPr>
        <w:t xml:space="preserve"> * P value &lt;0.01. **P value &lt;0.05</w:t>
      </w:r>
      <w:r w:rsidR="006B41E9">
        <w:rPr>
          <w:rFonts w:ascii="Arial" w:hAnsi="Arial" w:cs="Arial"/>
        </w:rPr>
        <w:t xml:space="preserve">, calculated </w:t>
      </w:r>
      <w:bookmarkStart w:id="1" w:name="_Hlk189484138"/>
      <w:r w:rsidR="006B41E9">
        <w:rPr>
          <w:rFonts w:ascii="Arial" w:hAnsi="Arial" w:cs="Arial"/>
        </w:rPr>
        <w:t xml:space="preserve">by </w:t>
      </w:r>
      <w:r w:rsidR="006B41E9" w:rsidRPr="006B41E9">
        <w:rPr>
          <w:rFonts w:ascii="Arial" w:hAnsi="Arial" w:cs="Arial"/>
        </w:rPr>
        <w:t>chi square likelihood ratio</w:t>
      </w:r>
      <w:bookmarkEnd w:id="1"/>
      <w:r w:rsidR="00C935E3" w:rsidRPr="007270EE">
        <w:rPr>
          <w:rFonts w:ascii="Arial" w:hAnsi="Arial" w:cs="Arial"/>
        </w:rPr>
        <w:t>.</w:t>
      </w:r>
    </w:p>
    <w:p w14:paraId="60FF410F" w14:textId="77777777" w:rsidR="00C935E3" w:rsidRDefault="00C935E3" w:rsidP="00A37A46">
      <w:pPr>
        <w:pStyle w:val="Body"/>
        <w:spacing w:after="0"/>
        <w:rPr>
          <w:rFonts w:ascii="Arial" w:hAnsi="Arial" w:cs="Arial"/>
        </w:rPr>
      </w:pPr>
    </w:p>
    <w:p w14:paraId="71012EF1" w14:textId="0125F1E2" w:rsidR="00C00602" w:rsidRDefault="00B60C71" w:rsidP="00431335">
      <w:pPr>
        <w:pStyle w:val="Body"/>
        <w:spacing w:after="0"/>
        <w:rPr>
          <w:rFonts w:ascii="Arial" w:hAnsi="Arial" w:cs="Arial"/>
        </w:rPr>
      </w:pPr>
      <w:r w:rsidRPr="00B60C71">
        <w:rPr>
          <w:rFonts w:ascii="Arial" w:hAnsi="Arial" w:cs="Arial"/>
        </w:rPr>
        <w:t xml:space="preserve">The comparison of demographic and socioeconomic variables by sex reveals notable differences between males and females in the study population. In terms of marital status, a higher proportion of males are married, while widowed individuals are predominantly female. </w:t>
      </w:r>
      <w:r w:rsidR="00B1315D">
        <w:rPr>
          <w:rFonts w:ascii="Arial" w:hAnsi="Arial" w:cs="Arial"/>
        </w:rPr>
        <w:t>Besides, s</w:t>
      </w:r>
      <w:r w:rsidRPr="00B60C71">
        <w:rPr>
          <w:rFonts w:ascii="Arial" w:hAnsi="Arial" w:cs="Arial"/>
        </w:rPr>
        <w:t>ingle status is more prevalent among females compared to males, and cohabiting arrangements are similarly more common among males than females. Regarding occupation, women are chiefly homemakers, whereas males are more likely to be retired or receive pensions.</w:t>
      </w:r>
      <w:r w:rsidR="00B1315D">
        <w:rPr>
          <w:rFonts w:ascii="Arial" w:hAnsi="Arial" w:cs="Arial"/>
        </w:rPr>
        <w:t xml:space="preserve"> On the other hand, employment</w:t>
      </w:r>
      <w:r w:rsidRPr="00B60C71">
        <w:rPr>
          <w:rFonts w:ascii="Arial" w:hAnsi="Arial" w:cs="Arial"/>
        </w:rPr>
        <w:t xml:space="preserve"> rates are comparable across the sexes, although unemployment remains low in both groups. </w:t>
      </w:r>
      <w:r w:rsidR="00B1315D">
        <w:rPr>
          <w:rFonts w:ascii="Arial" w:hAnsi="Arial" w:cs="Arial"/>
        </w:rPr>
        <w:t>The e</w:t>
      </w:r>
      <w:r w:rsidRPr="00B60C71">
        <w:rPr>
          <w:rFonts w:ascii="Arial" w:hAnsi="Arial" w:cs="Arial"/>
        </w:rPr>
        <w:t xml:space="preserve">ducational attainment differs significantly between the sexes; females are better represented at the basic education level, while males are more inclined to hold higher education degrees and postgraduate qualifications. </w:t>
      </w:r>
      <w:r w:rsidR="00B1315D">
        <w:rPr>
          <w:rFonts w:ascii="Arial" w:hAnsi="Arial" w:cs="Arial"/>
        </w:rPr>
        <w:t>Therefore, t</w:t>
      </w:r>
      <w:r w:rsidRPr="00B60C71">
        <w:rPr>
          <w:rFonts w:ascii="Arial" w:hAnsi="Arial" w:cs="Arial"/>
        </w:rPr>
        <w:t xml:space="preserve">his indicates a gender disparity in access to advanced education. </w:t>
      </w:r>
      <w:r w:rsidR="00516290">
        <w:rPr>
          <w:rFonts w:ascii="Arial" w:hAnsi="Arial" w:cs="Arial"/>
        </w:rPr>
        <w:t xml:space="preserve"> Moreover, h</w:t>
      </w:r>
      <w:r w:rsidRPr="00B60C71">
        <w:rPr>
          <w:rFonts w:ascii="Arial" w:hAnsi="Arial" w:cs="Arial"/>
        </w:rPr>
        <w:t>ousing st</w:t>
      </w:r>
      <w:r w:rsidR="00516290">
        <w:rPr>
          <w:rFonts w:ascii="Arial" w:hAnsi="Arial" w:cs="Arial"/>
        </w:rPr>
        <w:t xml:space="preserve">ability is consistent </w:t>
      </w:r>
      <w:proofErr w:type="gramStart"/>
      <w:r w:rsidR="00516290">
        <w:rPr>
          <w:rFonts w:ascii="Arial" w:hAnsi="Arial" w:cs="Arial"/>
        </w:rPr>
        <w:t xml:space="preserve">across </w:t>
      </w:r>
      <w:r w:rsidRPr="00B60C71">
        <w:rPr>
          <w:rFonts w:ascii="Arial" w:hAnsi="Arial" w:cs="Arial"/>
        </w:rPr>
        <w:t xml:space="preserve"> sexes</w:t>
      </w:r>
      <w:proofErr w:type="gramEnd"/>
      <w:r w:rsidRPr="00B60C71">
        <w:rPr>
          <w:rFonts w:ascii="Arial" w:hAnsi="Arial" w:cs="Arial"/>
        </w:rPr>
        <w:t xml:space="preserve">, with most </w:t>
      </w:r>
      <w:r w:rsidR="00516290">
        <w:rPr>
          <w:rFonts w:ascii="Arial" w:hAnsi="Arial" w:cs="Arial"/>
        </w:rPr>
        <w:t>participants owning their homes where  v</w:t>
      </w:r>
      <w:r w:rsidRPr="00B60C71">
        <w:rPr>
          <w:rFonts w:ascii="Arial" w:hAnsi="Arial" w:cs="Arial"/>
        </w:rPr>
        <w:t xml:space="preserve">ery few participants rent, and even fewer report living under alternative housing arrangements. </w:t>
      </w:r>
      <w:r w:rsidR="00516290">
        <w:rPr>
          <w:rFonts w:ascii="Arial" w:hAnsi="Arial" w:cs="Arial"/>
        </w:rPr>
        <w:t>Additionally, s</w:t>
      </w:r>
      <w:r w:rsidRPr="00B60C71">
        <w:rPr>
          <w:rFonts w:ascii="Arial" w:hAnsi="Arial" w:cs="Arial"/>
        </w:rPr>
        <w:t>ocioeconomic status highlights further disparities, as men are more represented in higher socioeconomic levels, particularly Levels A/B, whereas women are more concentrated in Levels C- and E. This suggests differences in economic opportunities and resources, favouring males.</w:t>
      </w:r>
    </w:p>
    <w:p w14:paraId="0DA85FF9" w14:textId="77777777" w:rsidR="00C00602" w:rsidRDefault="00C00602" w:rsidP="00431335">
      <w:pPr>
        <w:pStyle w:val="Body"/>
        <w:spacing w:after="0"/>
        <w:rPr>
          <w:rFonts w:ascii="Arial" w:hAnsi="Arial" w:cs="Arial"/>
        </w:rPr>
      </w:pPr>
    </w:p>
    <w:p w14:paraId="37E2313F" w14:textId="16A8C05C" w:rsidR="00A37A46" w:rsidRPr="00A37A46" w:rsidRDefault="00B60C71" w:rsidP="00431335">
      <w:pPr>
        <w:pStyle w:val="Body"/>
        <w:spacing w:after="0"/>
        <w:rPr>
          <w:rFonts w:ascii="Arial" w:hAnsi="Arial" w:cs="Arial"/>
        </w:rPr>
      </w:pPr>
      <w:r w:rsidRPr="00B60C71">
        <w:rPr>
          <w:rFonts w:ascii="Arial" w:hAnsi="Arial" w:cs="Arial"/>
        </w:rPr>
        <w:t>Overall</w:t>
      </w:r>
      <w:r w:rsidR="00516290">
        <w:rPr>
          <w:rFonts w:ascii="Arial" w:hAnsi="Arial" w:cs="Arial"/>
        </w:rPr>
        <w:t>, these findings reveal gender</w:t>
      </w:r>
      <w:r w:rsidRPr="00B60C71">
        <w:rPr>
          <w:rFonts w:ascii="Arial" w:hAnsi="Arial" w:cs="Arial"/>
        </w:rPr>
        <w:t xml:space="preserve"> differences in marital status, occupational roles, educational levels, and socioeconomic status, with </w:t>
      </w:r>
      <w:r w:rsidR="00FA2FF3">
        <w:rPr>
          <w:rFonts w:ascii="Arial" w:hAnsi="Arial" w:cs="Arial"/>
        </w:rPr>
        <w:t>females</w:t>
      </w:r>
      <w:r w:rsidRPr="00B60C71">
        <w:rPr>
          <w:rFonts w:ascii="Arial" w:hAnsi="Arial" w:cs="Arial"/>
        </w:rPr>
        <w:t xml:space="preserve"> facing greater vulnerability in several domains, particularly education and economic standing. Conversely, </w:t>
      </w:r>
      <w:r w:rsidR="00FA2FF3">
        <w:rPr>
          <w:rFonts w:ascii="Arial" w:hAnsi="Arial" w:cs="Arial"/>
        </w:rPr>
        <w:t>males</w:t>
      </w:r>
      <w:r w:rsidRPr="00B60C71">
        <w:rPr>
          <w:rFonts w:ascii="Arial" w:hAnsi="Arial" w:cs="Arial"/>
        </w:rPr>
        <w:t xml:space="preserve"> demonstrate greater representation in higher educational and socioeconomic categories. These disparities underscore the need for targeted interventions to promote gender equity in these areas.</w:t>
      </w:r>
    </w:p>
    <w:p w14:paraId="7B88048A" w14:textId="77777777" w:rsidR="00A37A46" w:rsidRPr="00A37A46" w:rsidRDefault="00A37A46" w:rsidP="00431335">
      <w:pPr>
        <w:pStyle w:val="Body"/>
        <w:spacing w:after="0"/>
        <w:rPr>
          <w:rFonts w:ascii="Arial" w:hAnsi="Arial" w:cs="Arial"/>
        </w:rPr>
      </w:pPr>
    </w:p>
    <w:p w14:paraId="40FD2925" w14:textId="521621B6" w:rsidR="006248B7" w:rsidRPr="007A721D" w:rsidRDefault="00C00602" w:rsidP="00431335">
      <w:pPr>
        <w:pStyle w:val="Body"/>
        <w:spacing w:after="0"/>
        <w:rPr>
          <w:rFonts w:ascii="Arial" w:hAnsi="Arial" w:cs="Arial"/>
          <w:sz w:val="22"/>
          <w:szCs w:val="22"/>
        </w:rPr>
      </w:pPr>
      <w:r w:rsidRPr="007A721D">
        <w:rPr>
          <w:rFonts w:ascii="Arial" w:hAnsi="Arial" w:cs="Arial"/>
          <w:b/>
          <w:caps/>
          <w:sz w:val="22"/>
          <w:szCs w:val="22"/>
        </w:rPr>
        <w:t xml:space="preserve">3.2 </w:t>
      </w:r>
      <w:r w:rsidRPr="007A721D">
        <w:rPr>
          <w:rFonts w:ascii="Arial" w:hAnsi="Arial" w:cs="Arial"/>
          <w:b/>
          <w:sz w:val="22"/>
          <w:szCs w:val="22"/>
        </w:rPr>
        <w:t>Functional impairment</w:t>
      </w:r>
    </w:p>
    <w:p w14:paraId="5F72D471" w14:textId="4EB21705" w:rsidR="00C00602" w:rsidRDefault="006248B7" w:rsidP="00C00602">
      <w:pPr>
        <w:pStyle w:val="Body"/>
        <w:spacing w:after="0"/>
        <w:rPr>
          <w:rFonts w:ascii="Arial" w:hAnsi="Arial" w:cs="Arial"/>
        </w:rPr>
      </w:pPr>
      <w:r w:rsidRPr="006248B7">
        <w:rPr>
          <w:rFonts w:ascii="Arial" w:hAnsi="Arial" w:cs="Arial"/>
        </w:rPr>
        <w:t>As detailed in Table 2, less than 10% of participants experience moderate to severe functional imp</w:t>
      </w:r>
      <w:r w:rsidR="00516290">
        <w:rPr>
          <w:rFonts w:ascii="Arial" w:hAnsi="Arial" w:cs="Arial"/>
        </w:rPr>
        <w:t>airment. Specifically, 3.6% has</w:t>
      </w:r>
      <w:r w:rsidRPr="006248B7">
        <w:rPr>
          <w:rFonts w:ascii="Arial" w:hAnsi="Arial" w:cs="Arial"/>
        </w:rPr>
        <w:t xml:space="preserve"> severe functio</w:t>
      </w:r>
      <w:r w:rsidR="00516290">
        <w:rPr>
          <w:rFonts w:ascii="Arial" w:hAnsi="Arial" w:cs="Arial"/>
        </w:rPr>
        <w:t xml:space="preserve">nal incapacity, while 5.5% has </w:t>
      </w:r>
      <w:r w:rsidRPr="006248B7">
        <w:rPr>
          <w:rFonts w:ascii="Arial" w:hAnsi="Arial" w:cs="Arial"/>
        </w:rPr>
        <w:t>moderate incapacity. The majority (90.9%) demonstrat</w:t>
      </w:r>
      <w:r w:rsidR="00516290">
        <w:rPr>
          <w:rFonts w:ascii="Arial" w:hAnsi="Arial" w:cs="Arial"/>
        </w:rPr>
        <w:t xml:space="preserve">e </w:t>
      </w:r>
      <w:r w:rsidRPr="006248B7">
        <w:rPr>
          <w:rFonts w:ascii="Arial" w:hAnsi="Arial" w:cs="Arial"/>
        </w:rPr>
        <w:t>mild functional impairment, indicating that most participants maintain a relatively high level of independence.</w:t>
      </w:r>
    </w:p>
    <w:p w14:paraId="2413A09D" w14:textId="77777777" w:rsidR="00C00602" w:rsidRDefault="00C00602" w:rsidP="00C00602">
      <w:pPr>
        <w:pStyle w:val="Body"/>
        <w:spacing w:after="0"/>
        <w:rPr>
          <w:rFonts w:ascii="Arial" w:hAnsi="Arial" w:cs="Arial"/>
        </w:rPr>
      </w:pPr>
    </w:p>
    <w:p w14:paraId="6547947D" w14:textId="4AFD8F17" w:rsidR="00C00602" w:rsidRPr="00C00602" w:rsidRDefault="00516290" w:rsidP="00C00602">
      <w:pPr>
        <w:pStyle w:val="Body"/>
        <w:spacing w:after="0"/>
        <w:rPr>
          <w:rFonts w:ascii="Arial" w:hAnsi="Arial" w:cs="Arial"/>
        </w:rPr>
      </w:pPr>
      <w:r>
        <w:rPr>
          <w:rFonts w:ascii="Arial" w:hAnsi="Arial" w:cs="Arial"/>
        </w:rPr>
        <w:t>On the other hand, a s</w:t>
      </w:r>
      <w:r w:rsidR="00C00602" w:rsidRPr="00C00602">
        <w:rPr>
          <w:rFonts w:ascii="Arial" w:hAnsi="Arial" w:cs="Arial"/>
        </w:rPr>
        <w:t>evere functional disability was exclusively observed in females, with no cases reported among males. Moderate functional disability was marginally more common in females than in males, though the difference was minimal. Mild functional disabi</w:t>
      </w:r>
      <w:r>
        <w:rPr>
          <w:rFonts w:ascii="Arial" w:hAnsi="Arial" w:cs="Arial"/>
        </w:rPr>
        <w:t>lity is</w:t>
      </w:r>
      <w:r w:rsidR="00C00602" w:rsidRPr="00C00602">
        <w:rPr>
          <w:rFonts w:ascii="Arial" w:hAnsi="Arial" w:cs="Arial"/>
        </w:rPr>
        <w:t xml:space="preserve"> the most prevalent category for both sexes, showed a slightly higher occurrence in males compared to females. In summary, severe and moderate functional disabilities were more frequent in females, whereas males predominantly presented with mild functional disability.</w:t>
      </w:r>
    </w:p>
    <w:p w14:paraId="4B20481B" w14:textId="06187B58" w:rsidR="006248B7" w:rsidRPr="006248B7" w:rsidRDefault="006248B7" w:rsidP="00C00602">
      <w:pPr>
        <w:pStyle w:val="Body"/>
        <w:spacing w:after="0"/>
        <w:rPr>
          <w:rFonts w:ascii="Arial" w:hAnsi="Arial" w:cs="Arial"/>
        </w:rPr>
      </w:pPr>
    </w:p>
    <w:p w14:paraId="6F172CBD" w14:textId="6D4F5CB2" w:rsidR="00C6269A" w:rsidRPr="00A34137" w:rsidRDefault="00C6269A" w:rsidP="00C6269A">
      <w:pPr>
        <w:pStyle w:val="Body"/>
        <w:spacing w:after="0"/>
        <w:rPr>
          <w:rFonts w:ascii="Arial" w:hAnsi="Arial" w:cs="Arial"/>
          <w:b/>
          <w:bCs/>
        </w:rPr>
      </w:pPr>
      <w:r w:rsidRPr="00A34137">
        <w:rPr>
          <w:rFonts w:ascii="Arial" w:hAnsi="Arial" w:cs="Arial"/>
          <w:b/>
          <w:bCs/>
        </w:rPr>
        <w:t xml:space="preserve">Table </w:t>
      </w:r>
      <w:r>
        <w:rPr>
          <w:rFonts w:ascii="Arial" w:hAnsi="Arial" w:cs="Arial"/>
          <w:b/>
          <w:bCs/>
        </w:rPr>
        <w:t>2</w:t>
      </w:r>
      <w:r w:rsidRPr="00A34137">
        <w:rPr>
          <w:rFonts w:ascii="Arial" w:hAnsi="Arial" w:cs="Arial"/>
          <w:b/>
          <w:bCs/>
        </w:rPr>
        <w:t xml:space="preserve">. </w:t>
      </w:r>
      <w:r>
        <w:rPr>
          <w:rFonts w:ascii="Arial" w:hAnsi="Arial" w:cs="Arial"/>
          <w:b/>
          <w:bCs/>
        </w:rPr>
        <w:t>Prevalence of functional impairment in</w:t>
      </w:r>
      <w:r w:rsidRPr="00A34137">
        <w:rPr>
          <w:rFonts w:ascii="Arial" w:hAnsi="Arial" w:cs="Arial"/>
          <w:b/>
          <w:bCs/>
        </w:rPr>
        <w:t xml:space="preserve"> the study population.</w:t>
      </w:r>
    </w:p>
    <w:tbl>
      <w:tblPr>
        <w:tblW w:w="880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47"/>
        <w:gridCol w:w="2126"/>
        <w:gridCol w:w="2126"/>
        <w:gridCol w:w="2005"/>
      </w:tblGrid>
      <w:tr w:rsidR="00C6269A" w:rsidRPr="00A34137" w14:paraId="57BF4211" w14:textId="77777777" w:rsidTr="00766503">
        <w:trPr>
          <w:trHeight w:val="301"/>
          <w:jc w:val="center"/>
        </w:trPr>
        <w:tc>
          <w:tcPr>
            <w:tcW w:w="2547" w:type="dxa"/>
            <w:tcBorders>
              <w:bottom w:val="single" w:sz="4" w:space="0" w:color="auto"/>
            </w:tcBorders>
            <w:vAlign w:val="center"/>
          </w:tcPr>
          <w:p w14:paraId="671C3D1A" w14:textId="77777777" w:rsidR="00C6269A" w:rsidRPr="00A34137" w:rsidRDefault="00C6269A" w:rsidP="00F32C02">
            <w:pPr>
              <w:rPr>
                <w:rFonts w:ascii="Arial" w:hAnsi="Arial" w:cs="Arial"/>
                <w:color w:val="000000"/>
                <w:lang w:eastAsia="es-MX"/>
              </w:rPr>
            </w:pPr>
            <w:r w:rsidRPr="00A34137">
              <w:rPr>
                <w:rFonts w:ascii="Arial" w:hAnsi="Arial" w:cs="Arial"/>
              </w:rPr>
              <w:t>Variables</w:t>
            </w:r>
          </w:p>
        </w:tc>
        <w:tc>
          <w:tcPr>
            <w:tcW w:w="2126" w:type="dxa"/>
            <w:tcBorders>
              <w:bottom w:val="single" w:sz="4" w:space="0" w:color="auto"/>
            </w:tcBorders>
            <w:vAlign w:val="center"/>
          </w:tcPr>
          <w:p w14:paraId="416104C2" w14:textId="77777777" w:rsidR="00C6269A" w:rsidRDefault="00C6269A" w:rsidP="00F32C02">
            <w:pPr>
              <w:jc w:val="center"/>
              <w:rPr>
                <w:rFonts w:ascii="Arial" w:hAnsi="Arial" w:cs="Arial"/>
              </w:rPr>
            </w:pPr>
            <w:r>
              <w:rPr>
                <w:rFonts w:ascii="Arial" w:hAnsi="Arial" w:cs="Arial"/>
              </w:rPr>
              <w:t>Total (N=55)</w:t>
            </w:r>
          </w:p>
          <w:p w14:paraId="4200590C" w14:textId="5844772D" w:rsidR="00C6269A" w:rsidRPr="00A34137" w:rsidRDefault="00C6269A" w:rsidP="00F32C02">
            <w:pPr>
              <w:jc w:val="center"/>
              <w:rPr>
                <w:rFonts w:ascii="Arial" w:hAnsi="Arial" w:cs="Arial"/>
                <w:color w:val="000000"/>
                <w:lang w:eastAsia="es-MX"/>
              </w:rPr>
            </w:pPr>
            <w:r>
              <w:rPr>
                <w:rFonts w:ascii="Arial" w:hAnsi="Arial" w:cs="Arial"/>
              </w:rPr>
              <w:t>n, % (95%CI)</w:t>
            </w:r>
          </w:p>
        </w:tc>
        <w:tc>
          <w:tcPr>
            <w:tcW w:w="2126" w:type="dxa"/>
            <w:tcBorders>
              <w:bottom w:val="single" w:sz="4" w:space="0" w:color="auto"/>
            </w:tcBorders>
            <w:vAlign w:val="center"/>
          </w:tcPr>
          <w:p w14:paraId="226501A5" w14:textId="77777777" w:rsidR="00C6269A" w:rsidRDefault="00C6269A" w:rsidP="00F32C02">
            <w:pPr>
              <w:jc w:val="center"/>
              <w:rPr>
                <w:rFonts w:ascii="Arial" w:hAnsi="Arial" w:cs="Arial"/>
                <w:color w:val="000000"/>
                <w:lang w:eastAsia="es-MX"/>
              </w:rPr>
            </w:pPr>
            <w:r>
              <w:rPr>
                <w:rFonts w:ascii="Arial" w:hAnsi="Arial" w:cs="Arial"/>
                <w:color w:val="000000"/>
                <w:lang w:eastAsia="es-MX"/>
              </w:rPr>
              <w:t>Females (n=32)</w:t>
            </w:r>
          </w:p>
          <w:p w14:paraId="17FCDA14" w14:textId="559CE0E6" w:rsidR="00C6269A" w:rsidRPr="00A34137" w:rsidRDefault="00C6269A" w:rsidP="00F32C02">
            <w:pPr>
              <w:jc w:val="center"/>
              <w:rPr>
                <w:rFonts w:ascii="Arial" w:hAnsi="Arial" w:cs="Arial"/>
                <w:color w:val="000000"/>
                <w:lang w:eastAsia="es-MX"/>
              </w:rPr>
            </w:pPr>
            <w:r>
              <w:rPr>
                <w:rFonts w:ascii="Arial" w:hAnsi="Arial" w:cs="Arial"/>
              </w:rPr>
              <w:t>n, % (95%CI)</w:t>
            </w:r>
          </w:p>
        </w:tc>
        <w:tc>
          <w:tcPr>
            <w:tcW w:w="2005" w:type="dxa"/>
            <w:tcBorders>
              <w:bottom w:val="single" w:sz="4" w:space="0" w:color="auto"/>
            </w:tcBorders>
            <w:shd w:val="clear" w:color="auto" w:fill="auto"/>
            <w:vAlign w:val="center"/>
          </w:tcPr>
          <w:p w14:paraId="5A470183" w14:textId="77777777" w:rsidR="00C6269A" w:rsidRDefault="00C6269A" w:rsidP="00F32C02">
            <w:pPr>
              <w:jc w:val="center"/>
              <w:rPr>
                <w:rFonts w:ascii="Arial" w:hAnsi="Arial" w:cs="Arial"/>
                <w:color w:val="000000"/>
                <w:lang w:eastAsia="es-MX"/>
              </w:rPr>
            </w:pPr>
            <w:r>
              <w:rPr>
                <w:rFonts w:ascii="Arial" w:hAnsi="Arial" w:cs="Arial"/>
                <w:color w:val="000000"/>
                <w:lang w:eastAsia="es-MX"/>
              </w:rPr>
              <w:t>Males (n=23)</w:t>
            </w:r>
          </w:p>
          <w:p w14:paraId="7111ED08" w14:textId="7E6CB270" w:rsidR="00C6269A" w:rsidRPr="00A34137" w:rsidRDefault="00C6269A" w:rsidP="00F32C02">
            <w:pPr>
              <w:jc w:val="center"/>
              <w:rPr>
                <w:rFonts w:ascii="Arial" w:hAnsi="Arial" w:cs="Arial"/>
                <w:color w:val="000000"/>
                <w:lang w:eastAsia="es-MX"/>
              </w:rPr>
            </w:pPr>
            <w:r>
              <w:rPr>
                <w:rFonts w:ascii="Arial" w:hAnsi="Arial" w:cs="Arial"/>
              </w:rPr>
              <w:t>n, % (95%CI)</w:t>
            </w:r>
          </w:p>
        </w:tc>
      </w:tr>
      <w:tr w:rsidR="00C6269A" w:rsidRPr="00A34137" w14:paraId="0D7BCCD6" w14:textId="77777777" w:rsidTr="00766503">
        <w:trPr>
          <w:trHeight w:val="301"/>
          <w:jc w:val="center"/>
        </w:trPr>
        <w:tc>
          <w:tcPr>
            <w:tcW w:w="2547" w:type="dxa"/>
            <w:tcBorders>
              <w:top w:val="single" w:sz="4" w:space="0" w:color="auto"/>
              <w:bottom w:val="nil"/>
            </w:tcBorders>
            <w:vAlign w:val="center"/>
          </w:tcPr>
          <w:p w14:paraId="5F56713F" w14:textId="70016DD9" w:rsidR="00C6269A" w:rsidRPr="00A34137" w:rsidRDefault="00C6269A" w:rsidP="00F32C02">
            <w:pPr>
              <w:rPr>
                <w:rFonts w:ascii="Arial" w:hAnsi="Arial" w:cs="Arial"/>
                <w:color w:val="000000"/>
                <w:lang w:eastAsia="es-MX"/>
              </w:rPr>
            </w:pPr>
            <w:r>
              <w:rPr>
                <w:rFonts w:ascii="Arial" w:hAnsi="Arial" w:cs="Arial"/>
                <w:color w:val="000000"/>
                <w:lang w:eastAsia="es-MX"/>
              </w:rPr>
              <w:lastRenderedPageBreak/>
              <w:t>Diagnosis</w:t>
            </w:r>
          </w:p>
        </w:tc>
        <w:tc>
          <w:tcPr>
            <w:tcW w:w="2126" w:type="dxa"/>
            <w:tcBorders>
              <w:top w:val="single" w:sz="4" w:space="0" w:color="auto"/>
              <w:bottom w:val="nil"/>
            </w:tcBorders>
            <w:vAlign w:val="center"/>
          </w:tcPr>
          <w:p w14:paraId="12436D62" w14:textId="77777777" w:rsidR="00C6269A" w:rsidRPr="00A34137" w:rsidRDefault="00C6269A" w:rsidP="00F32C02">
            <w:pPr>
              <w:jc w:val="center"/>
              <w:rPr>
                <w:rFonts w:ascii="Arial" w:hAnsi="Arial" w:cs="Arial"/>
                <w:color w:val="000000"/>
                <w:lang w:eastAsia="es-MX"/>
              </w:rPr>
            </w:pPr>
          </w:p>
        </w:tc>
        <w:tc>
          <w:tcPr>
            <w:tcW w:w="2126" w:type="dxa"/>
            <w:tcBorders>
              <w:top w:val="single" w:sz="4" w:space="0" w:color="auto"/>
              <w:bottom w:val="nil"/>
            </w:tcBorders>
            <w:vAlign w:val="center"/>
          </w:tcPr>
          <w:p w14:paraId="3FC806DE" w14:textId="77777777" w:rsidR="00C6269A" w:rsidRPr="00A34137" w:rsidRDefault="00C6269A" w:rsidP="00F32C02">
            <w:pPr>
              <w:jc w:val="center"/>
              <w:rPr>
                <w:rFonts w:ascii="Arial" w:hAnsi="Arial" w:cs="Arial"/>
                <w:color w:val="000000"/>
                <w:lang w:eastAsia="es-MX"/>
              </w:rPr>
            </w:pPr>
          </w:p>
        </w:tc>
        <w:tc>
          <w:tcPr>
            <w:tcW w:w="2005" w:type="dxa"/>
            <w:tcBorders>
              <w:top w:val="single" w:sz="4" w:space="0" w:color="auto"/>
              <w:bottom w:val="nil"/>
            </w:tcBorders>
            <w:shd w:val="clear" w:color="auto" w:fill="auto"/>
            <w:vAlign w:val="center"/>
          </w:tcPr>
          <w:p w14:paraId="77BC4A50" w14:textId="77777777" w:rsidR="00C6269A" w:rsidRPr="00A34137" w:rsidRDefault="00C6269A" w:rsidP="00F32C02">
            <w:pPr>
              <w:jc w:val="center"/>
              <w:rPr>
                <w:rFonts w:ascii="Arial" w:hAnsi="Arial" w:cs="Arial"/>
                <w:color w:val="000000"/>
                <w:lang w:eastAsia="es-MX"/>
              </w:rPr>
            </w:pPr>
          </w:p>
        </w:tc>
      </w:tr>
      <w:tr w:rsidR="00FD6CFD" w:rsidRPr="00A34137" w14:paraId="49942358" w14:textId="77777777" w:rsidTr="00766503">
        <w:trPr>
          <w:trHeight w:val="301"/>
          <w:jc w:val="center"/>
        </w:trPr>
        <w:tc>
          <w:tcPr>
            <w:tcW w:w="2547" w:type="dxa"/>
            <w:tcBorders>
              <w:top w:val="nil"/>
            </w:tcBorders>
            <w:vAlign w:val="center"/>
          </w:tcPr>
          <w:p w14:paraId="616DE543" w14:textId="30FF3BF7" w:rsidR="00FD6CFD" w:rsidRPr="00A34137" w:rsidRDefault="00FD6CFD" w:rsidP="00C00602">
            <w:pPr>
              <w:rPr>
                <w:rFonts w:ascii="Arial" w:hAnsi="Arial" w:cs="Arial"/>
                <w:color w:val="000000"/>
                <w:lang w:eastAsia="es-MX"/>
              </w:rPr>
            </w:pPr>
            <w:bookmarkStart w:id="2" w:name="_Hlk189052492"/>
            <w:r w:rsidRPr="00DF0535">
              <w:t>S</w:t>
            </w:r>
            <w:r>
              <w:t>FD</w:t>
            </w:r>
          </w:p>
        </w:tc>
        <w:tc>
          <w:tcPr>
            <w:tcW w:w="2126" w:type="dxa"/>
            <w:tcBorders>
              <w:top w:val="nil"/>
            </w:tcBorders>
            <w:vAlign w:val="center"/>
          </w:tcPr>
          <w:p w14:paraId="50012C08" w14:textId="2B067F8E" w:rsidR="00FD6CFD" w:rsidRPr="00A34137" w:rsidRDefault="00FD6CFD" w:rsidP="00C00602">
            <w:pPr>
              <w:jc w:val="center"/>
              <w:rPr>
                <w:rFonts w:ascii="Arial" w:hAnsi="Arial" w:cs="Arial"/>
                <w:color w:val="000000"/>
                <w:lang w:eastAsia="es-MX"/>
              </w:rPr>
            </w:pPr>
            <w:r w:rsidRPr="00FD6CFD">
              <w:t>2</w:t>
            </w:r>
            <w:r>
              <w:t xml:space="preserve">, </w:t>
            </w:r>
            <w:r w:rsidRPr="00FD6CFD">
              <w:t>3.6</w:t>
            </w:r>
            <w:r>
              <w:t xml:space="preserve"> (</w:t>
            </w:r>
            <w:r w:rsidRPr="00FD6CFD">
              <w:t>0.0</w:t>
            </w:r>
            <w:r>
              <w:t>-</w:t>
            </w:r>
            <w:r w:rsidRPr="00FD6CFD">
              <w:t>9.1</w:t>
            </w:r>
            <w:r>
              <w:t>)</w:t>
            </w:r>
          </w:p>
        </w:tc>
        <w:tc>
          <w:tcPr>
            <w:tcW w:w="2126" w:type="dxa"/>
            <w:tcBorders>
              <w:top w:val="nil"/>
            </w:tcBorders>
            <w:vAlign w:val="center"/>
          </w:tcPr>
          <w:p w14:paraId="58030FF0" w14:textId="53E24F1C" w:rsidR="00FD6CFD" w:rsidRPr="00A34137" w:rsidRDefault="00F012CB" w:rsidP="00C00602">
            <w:pPr>
              <w:jc w:val="center"/>
              <w:rPr>
                <w:rFonts w:ascii="Arial" w:hAnsi="Arial" w:cs="Arial"/>
                <w:color w:val="000000"/>
                <w:lang w:eastAsia="es-MX"/>
              </w:rPr>
            </w:pPr>
            <w:r w:rsidRPr="00F012CB">
              <w:rPr>
                <w:rFonts w:ascii="Arial" w:hAnsi="Arial" w:cs="Arial"/>
                <w:color w:val="000000"/>
                <w:lang w:eastAsia="es-MX"/>
              </w:rPr>
              <w:t>2, 6.3 (0-15.6)</w:t>
            </w:r>
          </w:p>
        </w:tc>
        <w:tc>
          <w:tcPr>
            <w:tcW w:w="2005" w:type="dxa"/>
            <w:tcBorders>
              <w:top w:val="nil"/>
            </w:tcBorders>
            <w:shd w:val="clear" w:color="auto" w:fill="auto"/>
            <w:vAlign w:val="center"/>
          </w:tcPr>
          <w:p w14:paraId="08874CA6" w14:textId="5F86AEA6" w:rsidR="00FD6CFD" w:rsidRPr="00A34137" w:rsidRDefault="00F012CB" w:rsidP="00C00602">
            <w:pPr>
              <w:jc w:val="center"/>
              <w:rPr>
                <w:rFonts w:ascii="Arial" w:hAnsi="Arial" w:cs="Arial"/>
                <w:color w:val="000000"/>
                <w:lang w:eastAsia="es-MX"/>
              </w:rPr>
            </w:pPr>
            <w:r>
              <w:rPr>
                <w:rFonts w:ascii="Arial" w:hAnsi="Arial" w:cs="Arial"/>
                <w:color w:val="000000"/>
                <w:lang w:eastAsia="es-MX"/>
              </w:rPr>
              <w:t>0, 0.0 (0.0-0.0)</w:t>
            </w:r>
          </w:p>
        </w:tc>
      </w:tr>
      <w:tr w:rsidR="00F012CB" w:rsidRPr="00A34137" w14:paraId="1E43AEB2" w14:textId="77777777" w:rsidTr="00766503">
        <w:trPr>
          <w:trHeight w:val="301"/>
          <w:jc w:val="center"/>
        </w:trPr>
        <w:tc>
          <w:tcPr>
            <w:tcW w:w="2547" w:type="dxa"/>
            <w:vAlign w:val="center"/>
          </w:tcPr>
          <w:p w14:paraId="531CB2CC" w14:textId="4C05681C" w:rsidR="00F012CB" w:rsidRPr="00A34137" w:rsidRDefault="00F012CB" w:rsidP="00C00602">
            <w:pPr>
              <w:rPr>
                <w:rFonts w:ascii="Arial" w:hAnsi="Arial" w:cs="Arial"/>
                <w:color w:val="000000"/>
                <w:lang w:eastAsia="es-MX"/>
              </w:rPr>
            </w:pPr>
            <w:proofErr w:type="spellStart"/>
            <w:r w:rsidRPr="00DF0535">
              <w:t>Mo</w:t>
            </w:r>
            <w:r>
              <w:t>FD</w:t>
            </w:r>
            <w:proofErr w:type="spellEnd"/>
          </w:p>
        </w:tc>
        <w:tc>
          <w:tcPr>
            <w:tcW w:w="2126" w:type="dxa"/>
            <w:vAlign w:val="center"/>
          </w:tcPr>
          <w:p w14:paraId="0F040F0F" w14:textId="335830A5" w:rsidR="00F012CB" w:rsidRPr="00A34137" w:rsidRDefault="00F012CB" w:rsidP="00C00602">
            <w:pPr>
              <w:jc w:val="center"/>
              <w:rPr>
                <w:rFonts w:ascii="Arial" w:hAnsi="Arial" w:cs="Arial"/>
                <w:color w:val="000000"/>
                <w:lang w:eastAsia="es-MX"/>
              </w:rPr>
            </w:pPr>
            <w:r w:rsidRPr="00FD6CFD">
              <w:t>3</w:t>
            </w:r>
            <w:r>
              <w:t xml:space="preserve">, </w:t>
            </w:r>
            <w:r w:rsidRPr="00FD6CFD">
              <w:t>5.5</w:t>
            </w:r>
            <w:r>
              <w:t xml:space="preserve"> (</w:t>
            </w:r>
            <w:r w:rsidRPr="00FD6CFD">
              <w:t>0.0</w:t>
            </w:r>
            <w:r>
              <w:t>-</w:t>
            </w:r>
            <w:r w:rsidRPr="00FD6CFD">
              <w:t>12.7</w:t>
            </w:r>
            <w:r>
              <w:t>)</w:t>
            </w:r>
          </w:p>
        </w:tc>
        <w:tc>
          <w:tcPr>
            <w:tcW w:w="2126" w:type="dxa"/>
            <w:vAlign w:val="center"/>
          </w:tcPr>
          <w:p w14:paraId="29C268D9" w14:textId="16155040" w:rsidR="00F012CB" w:rsidRPr="00A34137" w:rsidRDefault="00F012CB" w:rsidP="00C00602">
            <w:pPr>
              <w:jc w:val="center"/>
              <w:rPr>
                <w:rFonts w:ascii="Arial" w:hAnsi="Arial" w:cs="Arial"/>
                <w:color w:val="000000"/>
                <w:lang w:eastAsia="es-MX"/>
              </w:rPr>
            </w:pPr>
            <w:r w:rsidRPr="00F012CB">
              <w:rPr>
                <w:rFonts w:ascii="Arial" w:hAnsi="Arial" w:cs="Arial"/>
                <w:color w:val="000000"/>
                <w:lang w:eastAsia="es-MX"/>
              </w:rPr>
              <w:t>2, 6.3 (0-15.6)</w:t>
            </w:r>
          </w:p>
        </w:tc>
        <w:tc>
          <w:tcPr>
            <w:tcW w:w="2005" w:type="dxa"/>
            <w:shd w:val="clear" w:color="auto" w:fill="auto"/>
            <w:vAlign w:val="center"/>
          </w:tcPr>
          <w:p w14:paraId="223D21BA" w14:textId="27FD1796" w:rsidR="00F012CB" w:rsidRPr="00A34137" w:rsidRDefault="00F012CB" w:rsidP="00C00602">
            <w:pPr>
              <w:jc w:val="center"/>
              <w:rPr>
                <w:rFonts w:ascii="Arial" w:hAnsi="Arial" w:cs="Arial"/>
                <w:color w:val="000000"/>
                <w:lang w:eastAsia="es-MX"/>
              </w:rPr>
            </w:pPr>
            <w:r w:rsidRPr="00843507">
              <w:t>1, 4.3 (0-13)</w:t>
            </w:r>
          </w:p>
        </w:tc>
      </w:tr>
      <w:tr w:rsidR="00F012CB" w:rsidRPr="00A34137" w14:paraId="1F3A04DA" w14:textId="77777777" w:rsidTr="00766503">
        <w:trPr>
          <w:trHeight w:val="301"/>
          <w:jc w:val="center"/>
        </w:trPr>
        <w:tc>
          <w:tcPr>
            <w:tcW w:w="2547" w:type="dxa"/>
            <w:vAlign w:val="center"/>
          </w:tcPr>
          <w:p w14:paraId="25919924" w14:textId="12C2B21A" w:rsidR="00F012CB" w:rsidRPr="00A34137" w:rsidRDefault="00F012CB" w:rsidP="00C00602">
            <w:pPr>
              <w:rPr>
                <w:rFonts w:ascii="Arial" w:hAnsi="Arial" w:cs="Arial"/>
                <w:color w:val="000000"/>
                <w:lang w:eastAsia="es-MX"/>
              </w:rPr>
            </w:pPr>
            <w:proofErr w:type="spellStart"/>
            <w:r w:rsidRPr="00DF0535">
              <w:t>Mi</w:t>
            </w:r>
            <w:r>
              <w:t>FD</w:t>
            </w:r>
            <w:proofErr w:type="spellEnd"/>
          </w:p>
        </w:tc>
        <w:tc>
          <w:tcPr>
            <w:tcW w:w="2126" w:type="dxa"/>
            <w:vAlign w:val="center"/>
          </w:tcPr>
          <w:p w14:paraId="5DACAF93" w14:textId="594EFD69" w:rsidR="00F012CB" w:rsidRPr="00A34137" w:rsidRDefault="00F012CB" w:rsidP="00C00602">
            <w:pPr>
              <w:jc w:val="center"/>
              <w:rPr>
                <w:rFonts w:ascii="Arial" w:hAnsi="Arial" w:cs="Arial"/>
                <w:color w:val="000000"/>
                <w:lang w:eastAsia="es-MX"/>
              </w:rPr>
            </w:pPr>
            <w:r w:rsidRPr="00FD6CFD">
              <w:t>50</w:t>
            </w:r>
            <w:r>
              <w:t xml:space="preserve">, </w:t>
            </w:r>
            <w:r w:rsidRPr="00FD6CFD">
              <w:t>90.9</w:t>
            </w:r>
            <w:r>
              <w:t xml:space="preserve"> (</w:t>
            </w:r>
            <w:r w:rsidRPr="00FD6CFD">
              <w:t>81.8</w:t>
            </w:r>
            <w:r>
              <w:t>-</w:t>
            </w:r>
            <w:r w:rsidRPr="00FD6CFD">
              <w:t>98.2</w:t>
            </w:r>
            <w:r>
              <w:t>)</w:t>
            </w:r>
          </w:p>
        </w:tc>
        <w:tc>
          <w:tcPr>
            <w:tcW w:w="2126" w:type="dxa"/>
            <w:vAlign w:val="center"/>
          </w:tcPr>
          <w:p w14:paraId="44D88EC4" w14:textId="75C3E774" w:rsidR="00F012CB" w:rsidRPr="00A34137" w:rsidRDefault="00F012CB" w:rsidP="00C00602">
            <w:pPr>
              <w:jc w:val="center"/>
              <w:rPr>
                <w:rFonts w:ascii="Arial" w:hAnsi="Arial" w:cs="Arial"/>
                <w:color w:val="000000"/>
                <w:lang w:eastAsia="es-MX"/>
              </w:rPr>
            </w:pPr>
            <w:r w:rsidRPr="00F012CB">
              <w:rPr>
                <w:rFonts w:ascii="Arial" w:hAnsi="Arial" w:cs="Arial"/>
                <w:color w:val="000000"/>
                <w:lang w:eastAsia="es-MX"/>
              </w:rPr>
              <w:t>28, 87.5 (75-96.9)</w:t>
            </w:r>
          </w:p>
        </w:tc>
        <w:tc>
          <w:tcPr>
            <w:tcW w:w="2005" w:type="dxa"/>
            <w:shd w:val="clear" w:color="auto" w:fill="auto"/>
            <w:vAlign w:val="center"/>
          </w:tcPr>
          <w:p w14:paraId="42E9D26A" w14:textId="21177222" w:rsidR="00F012CB" w:rsidRPr="00A34137" w:rsidRDefault="00F012CB" w:rsidP="00C00602">
            <w:pPr>
              <w:jc w:val="center"/>
              <w:rPr>
                <w:rFonts w:ascii="Arial" w:hAnsi="Arial" w:cs="Arial"/>
                <w:color w:val="000000"/>
                <w:lang w:eastAsia="es-MX"/>
              </w:rPr>
            </w:pPr>
            <w:r w:rsidRPr="00843507">
              <w:t>22, 95.7 (87-100)</w:t>
            </w:r>
          </w:p>
        </w:tc>
      </w:tr>
    </w:tbl>
    <w:bookmarkEnd w:id="2"/>
    <w:p w14:paraId="76870042" w14:textId="57413810" w:rsidR="00C6269A" w:rsidRDefault="00C6269A" w:rsidP="00C00602">
      <w:pPr>
        <w:pStyle w:val="Body"/>
        <w:spacing w:after="0"/>
        <w:rPr>
          <w:rFonts w:ascii="Arial" w:hAnsi="Arial" w:cs="Arial"/>
        </w:rPr>
      </w:pPr>
      <w:r>
        <w:rPr>
          <w:rFonts w:ascii="Arial" w:hAnsi="Arial" w:cs="Arial"/>
        </w:rPr>
        <w:t xml:space="preserve">Source: </w:t>
      </w:r>
      <w:r w:rsidR="00E8010C" w:rsidRPr="007270EE">
        <w:rPr>
          <w:rFonts w:ascii="Arial" w:hAnsi="Arial" w:cs="Arial"/>
        </w:rPr>
        <w:t>Prepared by the authors using data from the data base.</w:t>
      </w:r>
      <w:r w:rsidR="00E8010C">
        <w:rPr>
          <w:rFonts w:ascii="Arial" w:hAnsi="Arial" w:cs="Arial"/>
        </w:rPr>
        <w:t xml:space="preserve"> </w:t>
      </w:r>
      <w:r>
        <w:rPr>
          <w:rFonts w:ascii="Arial" w:hAnsi="Arial" w:cs="Arial"/>
        </w:rPr>
        <w:t>SFD=s</w:t>
      </w:r>
      <w:r w:rsidRPr="00C6269A">
        <w:rPr>
          <w:rFonts w:ascii="Arial" w:hAnsi="Arial" w:cs="Arial"/>
        </w:rPr>
        <w:t>evere functional disability</w:t>
      </w:r>
      <w:r>
        <w:rPr>
          <w:rFonts w:ascii="Arial" w:hAnsi="Arial" w:cs="Arial"/>
        </w:rPr>
        <w:t xml:space="preserve">, </w:t>
      </w:r>
      <w:proofErr w:type="spellStart"/>
      <w:r>
        <w:rPr>
          <w:rFonts w:ascii="Arial" w:hAnsi="Arial" w:cs="Arial"/>
        </w:rPr>
        <w:t>MoFD</w:t>
      </w:r>
      <w:proofErr w:type="spellEnd"/>
      <w:r>
        <w:rPr>
          <w:rFonts w:ascii="Arial" w:hAnsi="Arial" w:cs="Arial"/>
        </w:rPr>
        <w:t>=m</w:t>
      </w:r>
      <w:r w:rsidRPr="00C6269A">
        <w:rPr>
          <w:rFonts w:ascii="Arial" w:hAnsi="Arial" w:cs="Arial"/>
        </w:rPr>
        <w:t>oderate functional disability</w:t>
      </w:r>
      <w:r>
        <w:rPr>
          <w:rFonts w:ascii="Arial" w:hAnsi="Arial" w:cs="Arial"/>
        </w:rPr>
        <w:t xml:space="preserve">, </w:t>
      </w:r>
      <w:proofErr w:type="spellStart"/>
      <w:r>
        <w:rPr>
          <w:rFonts w:ascii="Arial" w:hAnsi="Arial" w:cs="Arial"/>
        </w:rPr>
        <w:t>MiFD</w:t>
      </w:r>
      <w:proofErr w:type="spellEnd"/>
      <w:r>
        <w:rPr>
          <w:rFonts w:ascii="Arial" w:hAnsi="Arial" w:cs="Arial"/>
        </w:rPr>
        <w:t>=m</w:t>
      </w:r>
      <w:r w:rsidRPr="00C6269A">
        <w:rPr>
          <w:rFonts w:ascii="Arial" w:hAnsi="Arial" w:cs="Arial"/>
        </w:rPr>
        <w:t>ild functional disability</w:t>
      </w:r>
      <w:r>
        <w:rPr>
          <w:rFonts w:ascii="Arial" w:hAnsi="Arial" w:cs="Arial"/>
        </w:rPr>
        <w:t>.</w:t>
      </w:r>
      <w:r w:rsidR="006B41E9">
        <w:rPr>
          <w:rFonts w:ascii="Arial" w:hAnsi="Arial" w:cs="Arial"/>
        </w:rPr>
        <w:t xml:space="preserve"> </w:t>
      </w:r>
      <w:r w:rsidR="007A721D">
        <w:rPr>
          <w:rFonts w:ascii="Arial" w:hAnsi="Arial" w:cs="Arial"/>
        </w:rPr>
        <w:t>P</w:t>
      </w:r>
      <w:r w:rsidR="007A721D" w:rsidRPr="007A721D">
        <w:rPr>
          <w:rFonts w:ascii="Arial" w:hAnsi="Arial" w:cs="Arial"/>
        </w:rPr>
        <w:t>revalence of functional impairment was performed using the Barthel Index.</w:t>
      </w:r>
      <w:r w:rsidR="007A721D">
        <w:rPr>
          <w:rFonts w:ascii="Arial" w:hAnsi="Arial" w:cs="Arial"/>
        </w:rPr>
        <w:t xml:space="preserve"> </w:t>
      </w:r>
      <w:r w:rsidR="006B41E9">
        <w:rPr>
          <w:rFonts w:ascii="Arial" w:hAnsi="Arial" w:cs="Arial"/>
        </w:rPr>
        <w:t>P value calculated by Fisher exact test.</w:t>
      </w:r>
      <w:r w:rsidR="00DE328D">
        <w:rPr>
          <w:rFonts w:ascii="Arial" w:hAnsi="Arial" w:cs="Arial"/>
        </w:rPr>
        <w:t xml:space="preserve"> </w:t>
      </w:r>
      <w:r w:rsidR="00DE328D" w:rsidRPr="00DE328D">
        <w:rPr>
          <w:rFonts w:ascii="Arial" w:hAnsi="Arial" w:cs="Arial"/>
        </w:rPr>
        <w:t>There are no statistically significant differences.</w:t>
      </w:r>
    </w:p>
    <w:p w14:paraId="3212D5B4" w14:textId="77777777" w:rsidR="00C6269A" w:rsidRDefault="00C6269A" w:rsidP="00C00602">
      <w:pPr>
        <w:pStyle w:val="Body"/>
        <w:spacing w:after="0"/>
        <w:rPr>
          <w:rFonts w:ascii="Arial" w:hAnsi="Arial" w:cs="Arial"/>
        </w:rPr>
      </w:pPr>
    </w:p>
    <w:p w14:paraId="7EC40893" w14:textId="60A3F9BB" w:rsidR="006248B7" w:rsidRPr="007A721D" w:rsidRDefault="007A721D" w:rsidP="00C6269A">
      <w:pPr>
        <w:pStyle w:val="Body"/>
        <w:spacing w:after="0"/>
        <w:rPr>
          <w:rFonts w:ascii="Arial" w:hAnsi="Arial" w:cs="Arial"/>
          <w:b/>
          <w:bCs/>
          <w:sz w:val="22"/>
          <w:szCs w:val="22"/>
        </w:rPr>
      </w:pPr>
      <w:r w:rsidRPr="007A721D">
        <w:rPr>
          <w:rFonts w:ascii="Arial" w:hAnsi="Arial" w:cs="Arial"/>
          <w:b/>
          <w:bCs/>
          <w:sz w:val="22"/>
          <w:szCs w:val="22"/>
        </w:rPr>
        <w:t xml:space="preserve">3.3 </w:t>
      </w:r>
      <w:r w:rsidR="006248B7" w:rsidRPr="007A721D">
        <w:rPr>
          <w:rFonts w:ascii="Arial" w:hAnsi="Arial" w:cs="Arial"/>
          <w:b/>
          <w:bCs/>
          <w:sz w:val="22"/>
          <w:szCs w:val="22"/>
        </w:rPr>
        <w:t>Independence in Basic Activities of Daily Living</w:t>
      </w:r>
    </w:p>
    <w:p w14:paraId="4189D920" w14:textId="2165E207" w:rsidR="006248B7" w:rsidRPr="006248B7" w:rsidRDefault="006248B7" w:rsidP="007A721D">
      <w:pPr>
        <w:pStyle w:val="Body"/>
        <w:spacing w:after="0"/>
        <w:rPr>
          <w:rFonts w:ascii="Arial" w:hAnsi="Arial" w:cs="Arial"/>
        </w:rPr>
      </w:pPr>
      <w:r w:rsidRPr="006248B7">
        <w:rPr>
          <w:rFonts w:ascii="Arial" w:hAnsi="Arial" w:cs="Arial"/>
        </w:rPr>
        <w:t xml:space="preserve">Most participants remain independent in performing basic ADLs, as shown in Table 3. For instance, </w:t>
      </w:r>
      <w:r w:rsidR="00534088">
        <w:rPr>
          <w:rFonts w:ascii="Arial" w:hAnsi="Arial" w:cs="Arial"/>
        </w:rPr>
        <w:t xml:space="preserve">at least </w:t>
      </w:r>
      <w:r w:rsidRPr="006248B7">
        <w:rPr>
          <w:rFonts w:ascii="Arial" w:hAnsi="Arial" w:cs="Arial"/>
        </w:rPr>
        <w:t xml:space="preserve">90% can bathe themselves, </w:t>
      </w:r>
      <w:r w:rsidR="00534088">
        <w:rPr>
          <w:rFonts w:ascii="Arial" w:hAnsi="Arial" w:cs="Arial"/>
        </w:rPr>
        <w:t xml:space="preserve">more than </w:t>
      </w:r>
      <w:r w:rsidRPr="006248B7">
        <w:rPr>
          <w:rFonts w:ascii="Arial" w:hAnsi="Arial" w:cs="Arial"/>
        </w:rPr>
        <w:t>9</w:t>
      </w:r>
      <w:r w:rsidR="00534088">
        <w:rPr>
          <w:rFonts w:ascii="Arial" w:hAnsi="Arial" w:cs="Arial"/>
        </w:rPr>
        <w:t>0</w:t>
      </w:r>
      <w:r w:rsidRPr="006248B7">
        <w:rPr>
          <w:rFonts w:ascii="Arial" w:hAnsi="Arial" w:cs="Arial"/>
        </w:rPr>
        <w:t xml:space="preserve">% can dress independently, 96.4% can use the toilet without assistance, and all participants are independent in feeding themselves. </w:t>
      </w:r>
      <w:r w:rsidR="00374A82" w:rsidRPr="00374A82">
        <w:rPr>
          <w:rFonts w:ascii="Arial" w:hAnsi="Arial" w:cs="Arial"/>
        </w:rPr>
        <w:t>Almost 93% show</w:t>
      </w:r>
      <w:r w:rsidR="00516290">
        <w:rPr>
          <w:rFonts w:ascii="Arial" w:hAnsi="Arial" w:cs="Arial"/>
        </w:rPr>
        <w:t>s</w:t>
      </w:r>
      <w:r w:rsidR="00374A82" w:rsidRPr="00374A82">
        <w:rPr>
          <w:rFonts w:ascii="Arial" w:hAnsi="Arial" w:cs="Arial"/>
        </w:rPr>
        <w:t xml:space="preserve"> independence in mobility.</w:t>
      </w:r>
      <w:r w:rsidR="00374A82">
        <w:rPr>
          <w:rFonts w:ascii="Arial" w:hAnsi="Arial" w:cs="Arial"/>
        </w:rPr>
        <w:t xml:space="preserve"> </w:t>
      </w:r>
      <w:r w:rsidRPr="006248B7">
        <w:rPr>
          <w:rFonts w:ascii="Arial" w:hAnsi="Arial" w:cs="Arial"/>
        </w:rPr>
        <w:t>However, 20% experience</w:t>
      </w:r>
      <w:r w:rsidR="00516290">
        <w:rPr>
          <w:rFonts w:ascii="Arial" w:hAnsi="Arial" w:cs="Arial"/>
        </w:rPr>
        <w:t>s</w:t>
      </w:r>
      <w:r w:rsidRPr="006248B7">
        <w:rPr>
          <w:rFonts w:ascii="Arial" w:hAnsi="Arial" w:cs="Arial"/>
        </w:rPr>
        <w:t xml:space="preserve"> partial or total incontinence, which represents a common challenge among older adults.</w:t>
      </w:r>
    </w:p>
    <w:p w14:paraId="605B85DA" w14:textId="77777777" w:rsidR="006248B7" w:rsidRDefault="006248B7" w:rsidP="007A721D">
      <w:pPr>
        <w:pStyle w:val="Body"/>
        <w:spacing w:after="0"/>
        <w:rPr>
          <w:rFonts w:ascii="Arial" w:hAnsi="Arial" w:cs="Arial"/>
        </w:rPr>
      </w:pPr>
    </w:p>
    <w:p w14:paraId="3919992E" w14:textId="62C46835" w:rsidR="00294D06" w:rsidRPr="00294D06" w:rsidRDefault="00294D06" w:rsidP="007A721D">
      <w:pPr>
        <w:pStyle w:val="Body"/>
        <w:spacing w:after="0"/>
        <w:rPr>
          <w:rFonts w:ascii="Arial" w:hAnsi="Arial" w:cs="Arial"/>
          <w:b/>
          <w:bCs/>
        </w:rPr>
      </w:pPr>
      <w:r w:rsidRPr="00294D06">
        <w:rPr>
          <w:rFonts w:ascii="Arial" w:hAnsi="Arial" w:cs="Arial"/>
          <w:b/>
          <w:bCs/>
        </w:rPr>
        <w:t xml:space="preserve">Table 3. Prevalence of functional dependency in </w:t>
      </w:r>
      <w:r>
        <w:rPr>
          <w:rFonts w:ascii="Arial" w:hAnsi="Arial" w:cs="Arial"/>
          <w:b/>
          <w:bCs/>
        </w:rPr>
        <w:t>elderly study population</w:t>
      </w:r>
      <w:r w:rsidR="00516290">
        <w:rPr>
          <w:rFonts w:ascii="Arial" w:hAnsi="Arial" w:cs="Arial"/>
          <w:b/>
          <w:bCs/>
        </w:rPr>
        <w:t xml:space="preserve"> </w:t>
      </w:r>
      <w:r w:rsidRPr="00294D06">
        <w:rPr>
          <w:rFonts w:ascii="Arial" w:hAnsi="Arial" w:cs="Arial"/>
          <w:b/>
          <w:bCs/>
        </w:rPr>
        <w:t>performing basic activities of daily living.</w:t>
      </w:r>
    </w:p>
    <w:tbl>
      <w:tblPr>
        <w:tblW w:w="880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05"/>
        <w:gridCol w:w="2126"/>
        <w:gridCol w:w="2268"/>
        <w:gridCol w:w="2005"/>
      </w:tblGrid>
      <w:tr w:rsidR="007A721D" w:rsidRPr="00A34137" w14:paraId="07B071B0" w14:textId="77777777" w:rsidTr="00766503">
        <w:trPr>
          <w:trHeight w:val="301"/>
          <w:jc w:val="center"/>
        </w:trPr>
        <w:tc>
          <w:tcPr>
            <w:tcW w:w="2405" w:type="dxa"/>
            <w:tcBorders>
              <w:bottom w:val="single" w:sz="4" w:space="0" w:color="auto"/>
            </w:tcBorders>
            <w:vAlign w:val="center"/>
          </w:tcPr>
          <w:p w14:paraId="0E384307" w14:textId="77777777" w:rsidR="007A721D" w:rsidRPr="00A34137" w:rsidRDefault="007A721D" w:rsidP="007A721D">
            <w:pPr>
              <w:rPr>
                <w:rFonts w:ascii="Arial" w:hAnsi="Arial" w:cs="Arial"/>
                <w:color w:val="000000"/>
                <w:lang w:eastAsia="es-MX"/>
              </w:rPr>
            </w:pPr>
            <w:r w:rsidRPr="00A34137">
              <w:rPr>
                <w:rFonts w:ascii="Arial" w:hAnsi="Arial" w:cs="Arial"/>
              </w:rPr>
              <w:t>Variables</w:t>
            </w:r>
          </w:p>
        </w:tc>
        <w:tc>
          <w:tcPr>
            <w:tcW w:w="2126" w:type="dxa"/>
            <w:tcBorders>
              <w:bottom w:val="single" w:sz="4" w:space="0" w:color="auto"/>
            </w:tcBorders>
            <w:vAlign w:val="center"/>
          </w:tcPr>
          <w:p w14:paraId="1F70239C" w14:textId="77777777" w:rsidR="007A721D" w:rsidRDefault="007A721D" w:rsidP="007A721D">
            <w:pPr>
              <w:jc w:val="center"/>
              <w:rPr>
                <w:rFonts w:ascii="Arial" w:hAnsi="Arial" w:cs="Arial"/>
              </w:rPr>
            </w:pPr>
            <w:r>
              <w:rPr>
                <w:rFonts w:ascii="Arial" w:hAnsi="Arial" w:cs="Arial"/>
              </w:rPr>
              <w:t>Total (N=55)</w:t>
            </w:r>
          </w:p>
          <w:p w14:paraId="2C12D6C3" w14:textId="57A2A46E" w:rsidR="007A721D" w:rsidRPr="00A34137" w:rsidRDefault="007A721D" w:rsidP="007A721D">
            <w:pPr>
              <w:jc w:val="center"/>
              <w:rPr>
                <w:rFonts w:ascii="Arial" w:hAnsi="Arial" w:cs="Arial"/>
                <w:color w:val="000000"/>
                <w:lang w:eastAsia="es-MX"/>
              </w:rPr>
            </w:pPr>
            <w:r>
              <w:rPr>
                <w:rFonts w:ascii="Arial" w:hAnsi="Arial" w:cs="Arial"/>
              </w:rPr>
              <w:t>n, % (95%CI)</w:t>
            </w:r>
          </w:p>
        </w:tc>
        <w:tc>
          <w:tcPr>
            <w:tcW w:w="2268" w:type="dxa"/>
            <w:tcBorders>
              <w:bottom w:val="single" w:sz="4" w:space="0" w:color="auto"/>
            </w:tcBorders>
            <w:vAlign w:val="center"/>
          </w:tcPr>
          <w:p w14:paraId="69C5CE6E" w14:textId="77777777" w:rsidR="007A721D" w:rsidRDefault="007A721D" w:rsidP="007A721D">
            <w:pPr>
              <w:jc w:val="center"/>
              <w:rPr>
                <w:rFonts w:ascii="Arial" w:hAnsi="Arial" w:cs="Arial"/>
                <w:color w:val="000000"/>
                <w:lang w:eastAsia="es-MX"/>
              </w:rPr>
            </w:pPr>
            <w:r>
              <w:rPr>
                <w:rFonts w:ascii="Arial" w:hAnsi="Arial" w:cs="Arial"/>
                <w:color w:val="000000"/>
                <w:lang w:eastAsia="es-MX"/>
              </w:rPr>
              <w:t>Females (n=32)</w:t>
            </w:r>
          </w:p>
          <w:p w14:paraId="648D38C3" w14:textId="158AFD36" w:rsidR="007A721D" w:rsidRPr="00A34137" w:rsidRDefault="007A721D" w:rsidP="007A721D">
            <w:pPr>
              <w:jc w:val="center"/>
              <w:rPr>
                <w:rFonts w:ascii="Arial" w:hAnsi="Arial" w:cs="Arial"/>
                <w:color w:val="000000"/>
                <w:lang w:eastAsia="es-MX"/>
              </w:rPr>
            </w:pPr>
            <w:r>
              <w:rPr>
                <w:rFonts w:ascii="Arial" w:hAnsi="Arial" w:cs="Arial"/>
              </w:rPr>
              <w:t>n, % (95%CI)</w:t>
            </w:r>
          </w:p>
        </w:tc>
        <w:tc>
          <w:tcPr>
            <w:tcW w:w="2005" w:type="dxa"/>
            <w:tcBorders>
              <w:bottom w:val="single" w:sz="4" w:space="0" w:color="auto"/>
            </w:tcBorders>
            <w:shd w:val="clear" w:color="auto" w:fill="auto"/>
            <w:vAlign w:val="center"/>
          </w:tcPr>
          <w:p w14:paraId="18C772C6" w14:textId="77777777" w:rsidR="007A721D" w:rsidRDefault="007A721D" w:rsidP="007A721D">
            <w:pPr>
              <w:jc w:val="center"/>
              <w:rPr>
                <w:rFonts w:ascii="Arial" w:hAnsi="Arial" w:cs="Arial"/>
                <w:color w:val="000000"/>
                <w:lang w:eastAsia="es-MX"/>
              </w:rPr>
            </w:pPr>
            <w:r>
              <w:rPr>
                <w:rFonts w:ascii="Arial" w:hAnsi="Arial" w:cs="Arial"/>
                <w:color w:val="000000"/>
                <w:lang w:eastAsia="es-MX"/>
              </w:rPr>
              <w:t>Males (n=23)</w:t>
            </w:r>
          </w:p>
          <w:p w14:paraId="368AD8EB" w14:textId="1020ADA7" w:rsidR="007A721D" w:rsidRPr="00A34137" w:rsidRDefault="007A721D" w:rsidP="007A721D">
            <w:pPr>
              <w:jc w:val="center"/>
              <w:rPr>
                <w:rFonts w:ascii="Arial" w:hAnsi="Arial" w:cs="Arial"/>
                <w:color w:val="000000"/>
                <w:lang w:eastAsia="es-MX"/>
              </w:rPr>
            </w:pPr>
            <w:r>
              <w:rPr>
                <w:rFonts w:ascii="Arial" w:hAnsi="Arial" w:cs="Arial"/>
              </w:rPr>
              <w:t>n, % (95%CI)</w:t>
            </w:r>
          </w:p>
        </w:tc>
      </w:tr>
      <w:tr w:rsidR="007A721D" w:rsidRPr="00A34137" w14:paraId="4BD49373" w14:textId="77777777" w:rsidTr="00766503">
        <w:trPr>
          <w:trHeight w:val="301"/>
          <w:jc w:val="center"/>
        </w:trPr>
        <w:tc>
          <w:tcPr>
            <w:tcW w:w="2405" w:type="dxa"/>
            <w:tcBorders>
              <w:top w:val="single" w:sz="4" w:space="0" w:color="auto"/>
              <w:bottom w:val="nil"/>
            </w:tcBorders>
            <w:vAlign w:val="center"/>
          </w:tcPr>
          <w:p w14:paraId="170616E6" w14:textId="38B90147" w:rsidR="007A721D" w:rsidRPr="00A34137" w:rsidRDefault="007A721D" w:rsidP="007A721D">
            <w:pPr>
              <w:rPr>
                <w:rFonts w:ascii="Arial" w:hAnsi="Arial" w:cs="Arial"/>
                <w:color w:val="000000"/>
                <w:lang w:eastAsia="es-MX"/>
              </w:rPr>
            </w:pPr>
            <w:r w:rsidRPr="007A721D">
              <w:rPr>
                <w:rFonts w:ascii="Arial" w:hAnsi="Arial" w:cs="Arial"/>
                <w:color w:val="000000"/>
                <w:lang w:eastAsia="es-MX"/>
              </w:rPr>
              <w:t>Bathing</w:t>
            </w:r>
          </w:p>
        </w:tc>
        <w:tc>
          <w:tcPr>
            <w:tcW w:w="2126" w:type="dxa"/>
            <w:tcBorders>
              <w:top w:val="single" w:sz="4" w:space="0" w:color="auto"/>
              <w:bottom w:val="nil"/>
            </w:tcBorders>
            <w:vAlign w:val="center"/>
          </w:tcPr>
          <w:p w14:paraId="5FA9449A" w14:textId="77777777" w:rsidR="007A721D" w:rsidRPr="00A34137" w:rsidRDefault="007A721D" w:rsidP="007A721D">
            <w:pPr>
              <w:jc w:val="center"/>
              <w:rPr>
                <w:rFonts w:ascii="Arial" w:hAnsi="Arial" w:cs="Arial"/>
                <w:color w:val="000000"/>
                <w:lang w:eastAsia="es-MX"/>
              </w:rPr>
            </w:pPr>
          </w:p>
        </w:tc>
        <w:tc>
          <w:tcPr>
            <w:tcW w:w="2268" w:type="dxa"/>
            <w:tcBorders>
              <w:top w:val="single" w:sz="4" w:space="0" w:color="auto"/>
              <w:bottom w:val="nil"/>
            </w:tcBorders>
            <w:vAlign w:val="center"/>
          </w:tcPr>
          <w:p w14:paraId="7BB9B9FC" w14:textId="77777777" w:rsidR="007A721D" w:rsidRPr="00A34137" w:rsidRDefault="007A721D" w:rsidP="007A721D">
            <w:pPr>
              <w:jc w:val="center"/>
              <w:rPr>
                <w:rFonts w:ascii="Arial" w:hAnsi="Arial" w:cs="Arial"/>
                <w:color w:val="000000"/>
                <w:lang w:eastAsia="es-MX"/>
              </w:rPr>
            </w:pPr>
          </w:p>
        </w:tc>
        <w:tc>
          <w:tcPr>
            <w:tcW w:w="2005" w:type="dxa"/>
            <w:tcBorders>
              <w:top w:val="single" w:sz="4" w:space="0" w:color="auto"/>
              <w:bottom w:val="nil"/>
            </w:tcBorders>
            <w:shd w:val="clear" w:color="auto" w:fill="auto"/>
            <w:vAlign w:val="center"/>
          </w:tcPr>
          <w:p w14:paraId="1F20E3EC" w14:textId="77777777" w:rsidR="007A721D" w:rsidRPr="00A34137" w:rsidRDefault="007A721D" w:rsidP="007A721D">
            <w:pPr>
              <w:jc w:val="center"/>
              <w:rPr>
                <w:rFonts w:ascii="Arial" w:hAnsi="Arial" w:cs="Arial"/>
                <w:color w:val="000000"/>
                <w:lang w:eastAsia="es-MX"/>
              </w:rPr>
            </w:pPr>
          </w:p>
        </w:tc>
      </w:tr>
      <w:tr w:rsidR="00B7668D" w:rsidRPr="00A34137" w14:paraId="5BC4EAF6" w14:textId="77777777" w:rsidTr="00766503">
        <w:trPr>
          <w:trHeight w:val="301"/>
          <w:jc w:val="center"/>
        </w:trPr>
        <w:tc>
          <w:tcPr>
            <w:tcW w:w="2405" w:type="dxa"/>
            <w:tcBorders>
              <w:top w:val="nil"/>
            </w:tcBorders>
            <w:vAlign w:val="center"/>
          </w:tcPr>
          <w:p w14:paraId="35297DE4" w14:textId="4E743F93" w:rsidR="00B7668D" w:rsidRPr="00A34137" w:rsidRDefault="00B7668D" w:rsidP="00B7668D">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tcBorders>
              <w:top w:val="nil"/>
            </w:tcBorders>
            <w:vAlign w:val="center"/>
          </w:tcPr>
          <w:p w14:paraId="13CF68E0" w14:textId="61D79A97" w:rsidR="00B7668D" w:rsidRPr="00A34137" w:rsidRDefault="00B7668D" w:rsidP="00B7668D">
            <w:pPr>
              <w:jc w:val="center"/>
              <w:rPr>
                <w:rFonts w:ascii="Arial" w:hAnsi="Arial" w:cs="Arial"/>
                <w:color w:val="000000"/>
                <w:lang w:eastAsia="es-MX"/>
              </w:rPr>
            </w:pPr>
            <w:r w:rsidRPr="00534088">
              <w:rPr>
                <w:rFonts w:ascii="Arial" w:hAnsi="Arial" w:cs="Arial"/>
                <w:color w:val="000000"/>
                <w:lang w:eastAsia="es-MX"/>
              </w:rPr>
              <w:t>50</w:t>
            </w:r>
            <w:r>
              <w:rPr>
                <w:rFonts w:ascii="Arial" w:hAnsi="Arial" w:cs="Arial"/>
                <w:color w:val="000000"/>
                <w:lang w:eastAsia="es-MX"/>
              </w:rPr>
              <w:t xml:space="preserve">, </w:t>
            </w:r>
            <w:r w:rsidRPr="00534088">
              <w:rPr>
                <w:rFonts w:ascii="Arial" w:hAnsi="Arial" w:cs="Arial"/>
                <w:color w:val="000000"/>
                <w:lang w:eastAsia="es-MX"/>
              </w:rPr>
              <w:t>90.9</w:t>
            </w:r>
            <w:r>
              <w:rPr>
                <w:rFonts w:ascii="Arial" w:hAnsi="Arial" w:cs="Arial"/>
                <w:color w:val="000000"/>
                <w:lang w:eastAsia="es-MX"/>
              </w:rPr>
              <w:t xml:space="preserve"> (</w:t>
            </w:r>
            <w:r w:rsidRPr="00534088">
              <w:rPr>
                <w:rFonts w:ascii="Arial" w:hAnsi="Arial" w:cs="Arial"/>
                <w:color w:val="000000"/>
                <w:lang w:eastAsia="es-MX"/>
              </w:rPr>
              <w:t>81.8</w:t>
            </w:r>
            <w:r>
              <w:rPr>
                <w:rFonts w:ascii="Arial" w:hAnsi="Arial" w:cs="Arial"/>
                <w:color w:val="000000"/>
                <w:lang w:eastAsia="es-MX"/>
              </w:rPr>
              <w:t>-</w:t>
            </w:r>
            <w:r w:rsidRPr="00534088">
              <w:rPr>
                <w:rFonts w:ascii="Arial" w:hAnsi="Arial" w:cs="Arial"/>
                <w:color w:val="000000"/>
                <w:lang w:eastAsia="es-MX"/>
              </w:rPr>
              <w:t>98.2</w:t>
            </w:r>
            <w:r>
              <w:rPr>
                <w:rFonts w:ascii="Arial" w:hAnsi="Arial" w:cs="Arial"/>
                <w:color w:val="000000"/>
                <w:lang w:eastAsia="es-MX"/>
              </w:rPr>
              <w:t>)</w:t>
            </w:r>
          </w:p>
        </w:tc>
        <w:tc>
          <w:tcPr>
            <w:tcW w:w="2268" w:type="dxa"/>
            <w:tcBorders>
              <w:top w:val="nil"/>
            </w:tcBorders>
          </w:tcPr>
          <w:p w14:paraId="16F71313" w14:textId="6EF0EC8A" w:rsidR="00B7668D" w:rsidRPr="00A34137" w:rsidRDefault="00B7668D" w:rsidP="00B7668D">
            <w:pPr>
              <w:jc w:val="center"/>
              <w:rPr>
                <w:rFonts w:ascii="Arial" w:hAnsi="Arial" w:cs="Arial"/>
                <w:color w:val="000000"/>
                <w:lang w:eastAsia="es-MX"/>
              </w:rPr>
            </w:pPr>
            <w:r w:rsidRPr="00B5682E">
              <w:t>28, 87.5 (75-96.9)</w:t>
            </w:r>
          </w:p>
        </w:tc>
        <w:tc>
          <w:tcPr>
            <w:tcW w:w="2005" w:type="dxa"/>
            <w:tcBorders>
              <w:top w:val="nil"/>
            </w:tcBorders>
            <w:shd w:val="clear" w:color="auto" w:fill="auto"/>
            <w:vAlign w:val="center"/>
          </w:tcPr>
          <w:p w14:paraId="1FA36E23" w14:textId="18F58F6E" w:rsidR="00B7668D" w:rsidRPr="00A34137" w:rsidRDefault="00B7668D" w:rsidP="00B7668D">
            <w:pPr>
              <w:jc w:val="center"/>
              <w:rPr>
                <w:rFonts w:ascii="Arial" w:hAnsi="Arial" w:cs="Arial"/>
                <w:color w:val="000000"/>
                <w:lang w:eastAsia="es-MX"/>
              </w:rPr>
            </w:pPr>
            <w:r w:rsidRPr="00B7668D">
              <w:rPr>
                <w:rFonts w:ascii="Arial" w:hAnsi="Arial" w:cs="Arial"/>
                <w:color w:val="000000"/>
                <w:lang w:eastAsia="es-MX"/>
              </w:rPr>
              <w:t>22, 95.7 (87-100)</w:t>
            </w:r>
          </w:p>
        </w:tc>
      </w:tr>
      <w:tr w:rsidR="00B7668D" w:rsidRPr="00A34137" w14:paraId="264091E8" w14:textId="77777777" w:rsidTr="00766503">
        <w:trPr>
          <w:trHeight w:val="301"/>
          <w:jc w:val="center"/>
        </w:trPr>
        <w:tc>
          <w:tcPr>
            <w:tcW w:w="2405" w:type="dxa"/>
            <w:vAlign w:val="center"/>
          </w:tcPr>
          <w:p w14:paraId="2C76CCB0" w14:textId="137F641D" w:rsidR="00B7668D" w:rsidRPr="00A34137" w:rsidRDefault="00B7668D" w:rsidP="00B7668D">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Dependent</w:t>
            </w:r>
          </w:p>
        </w:tc>
        <w:tc>
          <w:tcPr>
            <w:tcW w:w="2126" w:type="dxa"/>
            <w:vAlign w:val="center"/>
          </w:tcPr>
          <w:p w14:paraId="6497564D" w14:textId="2075CA1E" w:rsidR="00B7668D" w:rsidRPr="00A34137" w:rsidRDefault="00B7668D" w:rsidP="00B7668D">
            <w:pPr>
              <w:jc w:val="center"/>
              <w:rPr>
                <w:rFonts w:ascii="Arial" w:hAnsi="Arial" w:cs="Arial"/>
                <w:color w:val="000000"/>
                <w:lang w:eastAsia="es-MX"/>
              </w:rPr>
            </w:pPr>
            <w:r w:rsidRPr="00534088">
              <w:rPr>
                <w:rFonts w:ascii="Arial" w:hAnsi="Arial" w:cs="Arial"/>
                <w:color w:val="000000"/>
                <w:lang w:eastAsia="es-MX"/>
              </w:rPr>
              <w:t>5</w:t>
            </w:r>
            <w:r>
              <w:rPr>
                <w:rFonts w:ascii="Arial" w:hAnsi="Arial" w:cs="Arial"/>
                <w:color w:val="000000"/>
                <w:lang w:eastAsia="es-MX"/>
              </w:rPr>
              <w:t xml:space="preserve">, </w:t>
            </w:r>
            <w:r w:rsidRPr="00534088">
              <w:rPr>
                <w:rFonts w:ascii="Arial" w:hAnsi="Arial" w:cs="Arial"/>
                <w:color w:val="000000"/>
                <w:lang w:eastAsia="es-MX"/>
              </w:rPr>
              <w:t>9.1</w:t>
            </w:r>
            <w:r>
              <w:rPr>
                <w:rFonts w:ascii="Arial" w:hAnsi="Arial" w:cs="Arial"/>
                <w:color w:val="000000"/>
                <w:lang w:eastAsia="es-MX"/>
              </w:rPr>
              <w:t xml:space="preserve"> (</w:t>
            </w:r>
            <w:r w:rsidRPr="00534088">
              <w:rPr>
                <w:rFonts w:ascii="Arial" w:hAnsi="Arial" w:cs="Arial"/>
                <w:color w:val="000000"/>
                <w:lang w:eastAsia="es-MX"/>
              </w:rPr>
              <w:t>1.8</w:t>
            </w:r>
            <w:r>
              <w:rPr>
                <w:rFonts w:ascii="Arial" w:hAnsi="Arial" w:cs="Arial"/>
                <w:color w:val="000000"/>
                <w:lang w:eastAsia="es-MX"/>
              </w:rPr>
              <w:t>-</w:t>
            </w:r>
            <w:r w:rsidRPr="00534088">
              <w:rPr>
                <w:rFonts w:ascii="Arial" w:hAnsi="Arial" w:cs="Arial"/>
                <w:color w:val="000000"/>
                <w:lang w:eastAsia="es-MX"/>
              </w:rPr>
              <w:t>18.2</w:t>
            </w:r>
            <w:r>
              <w:rPr>
                <w:rFonts w:ascii="Arial" w:hAnsi="Arial" w:cs="Arial"/>
                <w:color w:val="000000"/>
                <w:lang w:eastAsia="es-MX"/>
              </w:rPr>
              <w:t>)</w:t>
            </w:r>
          </w:p>
        </w:tc>
        <w:tc>
          <w:tcPr>
            <w:tcW w:w="2268" w:type="dxa"/>
          </w:tcPr>
          <w:p w14:paraId="1CD6A410" w14:textId="2BAF6B50" w:rsidR="00B7668D" w:rsidRPr="00A34137" w:rsidRDefault="00B7668D" w:rsidP="00B7668D">
            <w:pPr>
              <w:jc w:val="center"/>
              <w:rPr>
                <w:rFonts w:ascii="Arial" w:hAnsi="Arial" w:cs="Arial"/>
                <w:color w:val="000000"/>
                <w:lang w:eastAsia="es-MX"/>
              </w:rPr>
            </w:pPr>
            <w:r w:rsidRPr="00B5682E">
              <w:t>4, 12.5 (3.1-25)</w:t>
            </w:r>
          </w:p>
        </w:tc>
        <w:tc>
          <w:tcPr>
            <w:tcW w:w="2005" w:type="dxa"/>
            <w:shd w:val="clear" w:color="auto" w:fill="auto"/>
            <w:vAlign w:val="center"/>
          </w:tcPr>
          <w:p w14:paraId="7160B65A" w14:textId="3174EACE" w:rsidR="00B7668D" w:rsidRPr="00A34137" w:rsidRDefault="00B7668D" w:rsidP="00B7668D">
            <w:pPr>
              <w:jc w:val="center"/>
              <w:rPr>
                <w:rFonts w:ascii="Arial" w:hAnsi="Arial" w:cs="Arial"/>
                <w:color w:val="000000"/>
                <w:lang w:eastAsia="es-MX"/>
              </w:rPr>
            </w:pPr>
            <w:r w:rsidRPr="00B7668D">
              <w:rPr>
                <w:rFonts w:ascii="Arial" w:hAnsi="Arial" w:cs="Arial"/>
                <w:color w:val="000000"/>
                <w:lang w:eastAsia="es-MX"/>
              </w:rPr>
              <w:t>1, 4.3 (0-13)</w:t>
            </w:r>
          </w:p>
        </w:tc>
      </w:tr>
      <w:tr w:rsidR="007A721D" w:rsidRPr="00A34137" w14:paraId="250FA11D" w14:textId="77777777" w:rsidTr="00766503">
        <w:trPr>
          <w:trHeight w:val="301"/>
          <w:jc w:val="center"/>
        </w:trPr>
        <w:tc>
          <w:tcPr>
            <w:tcW w:w="2405" w:type="dxa"/>
            <w:vAlign w:val="center"/>
          </w:tcPr>
          <w:p w14:paraId="0DF8CABD" w14:textId="3CF2B0BD" w:rsidR="007A721D" w:rsidRPr="007A721D" w:rsidRDefault="007A721D" w:rsidP="007A721D">
            <w:pPr>
              <w:rPr>
                <w:rFonts w:ascii="Arial" w:hAnsi="Arial" w:cs="Arial"/>
                <w:color w:val="000000"/>
                <w:lang w:eastAsia="es-MX"/>
              </w:rPr>
            </w:pPr>
            <w:r w:rsidRPr="007A721D">
              <w:rPr>
                <w:rFonts w:ascii="Arial" w:hAnsi="Arial" w:cs="Arial"/>
                <w:color w:val="000000"/>
                <w:lang w:eastAsia="es-MX"/>
              </w:rPr>
              <w:t>Dressing</w:t>
            </w:r>
          </w:p>
        </w:tc>
        <w:tc>
          <w:tcPr>
            <w:tcW w:w="2126" w:type="dxa"/>
            <w:vAlign w:val="center"/>
          </w:tcPr>
          <w:p w14:paraId="1C865E19" w14:textId="77777777" w:rsidR="007A721D" w:rsidRPr="00FD6CFD" w:rsidRDefault="007A721D" w:rsidP="007A721D">
            <w:pPr>
              <w:jc w:val="center"/>
            </w:pPr>
          </w:p>
        </w:tc>
        <w:tc>
          <w:tcPr>
            <w:tcW w:w="2268" w:type="dxa"/>
            <w:vAlign w:val="center"/>
          </w:tcPr>
          <w:p w14:paraId="69D4A9B7" w14:textId="77777777" w:rsidR="007A721D" w:rsidRPr="00F012CB" w:rsidRDefault="007A721D" w:rsidP="007A721D">
            <w:pPr>
              <w:jc w:val="center"/>
              <w:rPr>
                <w:rFonts w:ascii="Arial" w:hAnsi="Arial" w:cs="Arial"/>
                <w:color w:val="000000"/>
                <w:lang w:eastAsia="es-MX"/>
              </w:rPr>
            </w:pPr>
          </w:p>
        </w:tc>
        <w:tc>
          <w:tcPr>
            <w:tcW w:w="2005" w:type="dxa"/>
            <w:shd w:val="clear" w:color="auto" w:fill="auto"/>
            <w:vAlign w:val="center"/>
          </w:tcPr>
          <w:p w14:paraId="1E7FBA02" w14:textId="77777777" w:rsidR="007A721D" w:rsidRPr="00843507" w:rsidRDefault="007A721D" w:rsidP="007A721D">
            <w:pPr>
              <w:jc w:val="center"/>
            </w:pPr>
          </w:p>
        </w:tc>
      </w:tr>
      <w:tr w:rsidR="00EA4B35" w:rsidRPr="00A34137" w14:paraId="5D513A45" w14:textId="77777777" w:rsidTr="00766503">
        <w:trPr>
          <w:trHeight w:val="301"/>
          <w:jc w:val="center"/>
        </w:trPr>
        <w:tc>
          <w:tcPr>
            <w:tcW w:w="2405" w:type="dxa"/>
            <w:vAlign w:val="center"/>
          </w:tcPr>
          <w:p w14:paraId="60F76F4D" w14:textId="38334B66"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vAlign w:val="center"/>
          </w:tcPr>
          <w:p w14:paraId="0F75C74D" w14:textId="3CC28A50" w:rsidR="00EA4B35" w:rsidRPr="00FD6CFD" w:rsidRDefault="00EA4B35" w:rsidP="00EA4B35">
            <w:pPr>
              <w:jc w:val="center"/>
            </w:pPr>
            <w:r>
              <w:t>51, 92.7 (85.5-98.2)</w:t>
            </w:r>
          </w:p>
        </w:tc>
        <w:tc>
          <w:tcPr>
            <w:tcW w:w="2268" w:type="dxa"/>
          </w:tcPr>
          <w:p w14:paraId="346B7EC9" w14:textId="61CEC754" w:rsidR="00EA4B35" w:rsidRPr="00F012CB" w:rsidRDefault="00EA4B35" w:rsidP="00EA4B35">
            <w:pPr>
              <w:jc w:val="center"/>
              <w:rPr>
                <w:rFonts w:ascii="Arial" w:hAnsi="Arial" w:cs="Arial"/>
                <w:color w:val="000000"/>
                <w:lang w:eastAsia="es-MX"/>
              </w:rPr>
            </w:pPr>
            <w:r w:rsidRPr="00FB4520">
              <w:t>29, 90.6 (78.1-100)</w:t>
            </w:r>
          </w:p>
        </w:tc>
        <w:tc>
          <w:tcPr>
            <w:tcW w:w="2005" w:type="dxa"/>
            <w:shd w:val="clear" w:color="auto" w:fill="auto"/>
          </w:tcPr>
          <w:p w14:paraId="1AEBA623" w14:textId="7ED87553" w:rsidR="00EA4B35" w:rsidRPr="00843507" w:rsidRDefault="00EA4B35" w:rsidP="00EA4B35">
            <w:pPr>
              <w:jc w:val="center"/>
            </w:pPr>
            <w:r w:rsidRPr="00D471E7">
              <w:t>22, 95.7 (87-100)</w:t>
            </w:r>
          </w:p>
        </w:tc>
      </w:tr>
      <w:tr w:rsidR="00EA4B35" w:rsidRPr="00A34137" w14:paraId="7CFE4812" w14:textId="77777777" w:rsidTr="00766503">
        <w:trPr>
          <w:trHeight w:val="301"/>
          <w:jc w:val="center"/>
        </w:trPr>
        <w:tc>
          <w:tcPr>
            <w:tcW w:w="2405" w:type="dxa"/>
            <w:vAlign w:val="center"/>
          </w:tcPr>
          <w:p w14:paraId="421DC828" w14:textId="0165E900"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Dependent</w:t>
            </w:r>
          </w:p>
        </w:tc>
        <w:tc>
          <w:tcPr>
            <w:tcW w:w="2126" w:type="dxa"/>
            <w:vAlign w:val="center"/>
          </w:tcPr>
          <w:p w14:paraId="0B947B6E" w14:textId="5E1592B8" w:rsidR="00EA4B35" w:rsidRPr="00FD6CFD" w:rsidRDefault="00EA4B35" w:rsidP="00EA4B35">
            <w:pPr>
              <w:jc w:val="center"/>
            </w:pPr>
            <w:r>
              <w:t>4, 7.3 (1.8-14.5)</w:t>
            </w:r>
          </w:p>
        </w:tc>
        <w:tc>
          <w:tcPr>
            <w:tcW w:w="2268" w:type="dxa"/>
          </w:tcPr>
          <w:p w14:paraId="5A4FD6B8" w14:textId="54C1DC3F" w:rsidR="00EA4B35" w:rsidRPr="00F012CB" w:rsidRDefault="00EA4B35" w:rsidP="00EA4B35">
            <w:pPr>
              <w:jc w:val="center"/>
              <w:rPr>
                <w:rFonts w:ascii="Arial" w:hAnsi="Arial" w:cs="Arial"/>
                <w:color w:val="000000"/>
                <w:lang w:eastAsia="es-MX"/>
              </w:rPr>
            </w:pPr>
            <w:r w:rsidRPr="00FB4520">
              <w:t>3, 9.4 (0-21.9)</w:t>
            </w:r>
          </w:p>
        </w:tc>
        <w:tc>
          <w:tcPr>
            <w:tcW w:w="2005" w:type="dxa"/>
            <w:shd w:val="clear" w:color="auto" w:fill="auto"/>
          </w:tcPr>
          <w:p w14:paraId="43ED2DAE" w14:textId="5119F16E" w:rsidR="00EA4B35" w:rsidRPr="00843507" w:rsidRDefault="00EA4B35" w:rsidP="00EA4B35">
            <w:pPr>
              <w:jc w:val="center"/>
            </w:pPr>
            <w:r w:rsidRPr="00D471E7">
              <w:t>1, 4.3 (0-13)</w:t>
            </w:r>
          </w:p>
        </w:tc>
      </w:tr>
      <w:tr w:rsidR="007A721D" w:rsidRPr="00A34137" w14:paraId="0EA9F1D3" w14:textId="77777777" w:rsidTr="00766503">
        <w:trPr>
          <w:trHeight w:val="301"/>
          <w:jc w:val="center"/>
        </w:trPr>
        <w:tc>
          <w:tcPr>
            <w:tcW w:w="2405" w:type="dxa"/>
            <w:vAlign w:val="center"/>
          </w:tcPr>
          <w:p w14:paraId="7E28CDBF" w14:textId="514A297E" w:rsidR="007A721D" w:rsidRPr="007A721D" w:rsidRDefault="007A721D" w:rsidP="007A721D">
            <w:pPr>
              <w:rPr>
                <w:rFonts w:ascii="Arial" w:hAnsi="Arial" w:cs="Arial"/>
                <w:color w:val="000000"/>
                <w:lang w:eastAsia="es-MX"/>
              </w:rPr>
            </w:pPr>
            <w:r w:rsidRPr="007A721D">
              <w:rPr>
                <w:rFonts w:ascii="Arial" w:hAnsi="Arial" w:cs="Arial"/>
                <w:color w:val="000000"/>
                <w:lang w:eastAsia="es-MX"/>
              </w:rPr>
              <w:t>Using the Toilet</w:t>
            </w:r>
          </w:p>
        </w:tc>
        <w:tc>
          <w:tcPr>
            <w:tcW w:w="2126" w:type="dxa"/>
            <w:vAlign w:val="center"/>
          </w:tcPr>
          <w:p w14:paraId="7E6A1630" w14:textId="77777777" w:rsidR="007A721D" w:rsidRPr="00FD6CFD" w:rsidRDefault="007A721D" w:rsidP="007A721D">
            <w:pPr>
              <w:jc w:val="center"/>
            </w:pPr>
          </w:p>
        </w:tc>
        <w:tc>
          <w:tcPr>
            <w:tcW w:w="2268" w:type="dxa"/>
            <w:vAlign w:val="center"/>
          </w:tcPr>
          <w:p w14:paraId="46E22EBE" w14:textId="77777777" w:rsidR="007A721D" w:rsidRPr="00F012CB" w:rsidRDefault="007A721D" w:rsidP="007A721D">
            <w:pPr>
              <w:jc w:val="center"/>
              <w:rPr>
                <w:rFonts w:ascii="Arial" w:hAnsi="Arial" w:cs="Arial"/>
                <w:color w:val="000000"/>
                <w:lang w:eastAsia="es-MX"/>
              </w:rPr>
            </w:pPr>
          </w:p>
        </w:tc>
        <w:tc>
          <w:tcPr>
            <w:tcW w:w="2005" w:type="dxa"/>
            <w:shd w:val="clear" w:color="auto" w:fill="auto"/>
            <w:vAlign w:val="center"/>
          </w:tcPr>
          <w:p w14:paraId="6E27F9E0" w14:textId="77777777" w:rsidR="007A721D" w:rsidRPr="00843507" w:rsidRDefault="007A721D" w:rsidP="007A721D">
            <w:pPr>
              <w:jc w:val="center"/>
            </w:pPr>
          </w:p>
        </w:tc>
      </w:tr>
      <w:tr w:rsidR="00EA4B35" w:rsidRPr="00A34137" w14:paraId="6F1A226B" w14:textId="77777777" w:rsidTr="00766503">
        <w:trPr>
          <w:trHeight w:val="301"/>
          <w:jc w:val="center"/>
        </w:trPr>
        <w:tc>
          <w:tcPr>
            <w:tcW w:w="2405" w:type="dxa"/>
            <w:vAlign w:val="center"/>
          </w:tcPr>
          <w:p w14:paraId="4F0D26A1" w14:textId="3E227C32"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vAlign w:val="center"/>
          </w:tcPr>
          <w:p w14:paraId="468FCD33" w14:textId="71739C33" w:rsidR="00EA4B35" w:rsidRPr="00FD6CFD" w:rsidRDefault="00EA4B35" w:rsidP="00EA4B35">
            <w:pPr>
              <w:jc w:val="center"/>
            </w:pPr>
            <w:r>
              <w:t>53, 96.4 (90.9-100.0)</w:t>
            </w:r>
          </w:p>
        </w:tc>
        <w:tc>
          <w:tcPr>
            <w:tcW w:w="2268" w:type="dxa"/>
          </w:tcPr>
          <w:p w14:paraId="15BFE7C9" w14:textId="6C81ACC6" w:rsidR="00EA4B35" w:rsidRPr="00F012CB" w:rsidRDefault="00EA4B35" w:rsidP="00EA4B35">
            <w:pPr>
              <w:jc w:val="center"/>
              <w:rPr>
                <w:rFonts w:ascii="Arial" w:hAnsi="Arial" w:cs="Arial"/>
                <w:color w:val="000000"/>
                <w:lang w:eastAsia="es-MX"/>
              </w:rPr>
            </w:pPr>
            <w:r w:rsidRPr="00AE5DE9">
              <w:t>30, 93.75 (84.375-100)</w:t>
            </w:r>
          </w:p>
        </w:tc>
        <w:tc>
          <w:tcPr>
            <w:tcW w:w="2005" w:type="dxa"/>
            <w:shd w:val="clear" w:color="auto" w:fill="auto"/>
            <w:vAlign w:val="center"/>
          </w:tcPr>
          <w:p w14:paraId="7E2BBDB7" w14:textId="32118A76" w:rsidR="00EA4B35" w:rsidRPr="00843507" w:rsidRDefault="00EA4B35" w:rsidP="00EA4B35">
            <w:pPr>
              <w:jc w:val="center"/>
            </w:pPr>
            <w:r w:rsidRPr="00EA4B35">
              <w:t>23, 100 (100-100)</w:t>
            </w:r>
          </w:p>
        </w:tc>
      </w:tr>
      <w:tr w:rsidR="00EA4B35" w:rsidRPr="00A34137" w14:paraId="7DF49E66" w14:textId="77777777" w:rsidTr="00766503">
        <w:trPr>
          <w:trHeight w:val="301"/>
          <w:jc w:val="center"/>
        </w:trPr>
        <w:tc>
          <w:tcPr>
            <w:tcW w:w="2405" w:type="dxa"/>
            <w:vAlign w:val="center"/>
          </w:tcPr>
          <w:p w14:paraId="162A4AD3" w14:textId="10E29813" w:rsidR="00EA4B35" w:rsidRPr="00A34137"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Dependent</w:t>
            </w:r>
          </w:p>
        </w:tc>
        <w:tc>
          <w:tcPr>
            <w:tcW w:w="2126" w:type="dxa"/>
            <w:vAlign w:val="center"/>
          </w:tcPr>
          <w:p w14:paraId="6F853673" w14:textId="3DC501EE" w:rsidR="00EA4B35" w:rsidRPr="00A34137" w:rsidRDefault="00EA4B35" w:rsidP="00EA4B35">
            <w:pPr>
              <w:jc w:val="center"/>
              <w:rPr>
                <w:rFonts w:ascii="Arial" w:hAnsi="Arial" w:cs="Arial"/>
                <w:color w:val="000000"/>
                <w:lang w:eastAsia="es-MX"/>
              </w:rPr>
            </w:pPr>
            <w:r>
              <w:t>2, 3.6 (0.0-9.1)</w:t>
            </w:r>
          </w:p>
        </w:tc>
        <w:tc>
          <w:tcPr>
            <w:tcW w:w="2268" w:type="dxa"/>
          </w:tcPr>
          <w:p w14:paraId="6486C3A6" w14:textId="45CE1B65" w:rsidR="00EA4B35" w:rsidRPr="00A34137" w:rsidRDefault="00EA4B35" w:rsidP="00EA4B35">
            <w:pPr>
              <w:jc w:val="center"/>
              <w:rPr>
                <w:rFonts w:ascii="Arial" w:hAnsi="Arial" w:cs="Arial"/>
                <w:color w:val="000000"/>
                <w:lang w:eastAsia="es-MX"/>
              </w:rPr>
            </w:pPr>
            <w:r w:rsidRPr="00AE5DE9">
              <w:t>2, 6.25 (0-15.625)</w:t>
            </w:r>
          </w:p>
        </w:tc>
        <w:tc>
          <w:tcPr>
            <w:tcW w:w="2005" w:type="dxa"/>
            <w:shd w:val="clear" w:color="auto" w:fill="auto"/>
            <w:vAlign w:val="center"/>
          </w:tcPr>
          <w:p w14:paraId="210CAA79" w14:textId="081FE0D3" w:rsidR="00EA4B35" w:rsidRPr="00A34137" w:rsidRDefault="00EA4B35" w:rsidP="00EA4B35">
            <w:pPr>
              <w:jc w:val="center"/>
              <w:rPr>
                <w:rFonts w:ascii="Arial" w:hAnsi="Arial" w:cs="Arial"/>
                <w:color w:val="000000"/>
                <w:lang w:eastAsia="es-MX"/>
              </w:rPr>
            </w:pPr>
            <w:r>
              <w:rPr>
                <w:rFonts w:ascii="Arial" w:hAnsi="Arial" w:cs="Arial"/>
                <w:color w:val="000000"/>
                <w:lang w:eastAsia="es-MX"/>
              </w:rPr>
              <w:t>0, 0.0 (0.0-0.0)</w:t>
            </w:r>
          </w:p>
        </w:tc>
      </w:tr>
      <w:tr w:rsidR="007A721D" w:rsidRPr="00A34137" w14:paraId="1939A453" w14:textId="77777777" w:rsidTr="00766503">
        <w:trPr>
          <w:trHeight w:val="301"/>
          <w:jc w:val="center"/>
        </w:trPr>
        <w:tc>
          <w:tcPr>
            <w:tcW w:w="2405" w:type="dxa"/>
            <w:vAlign w:val="center"/>
          </w:tcPr>
          <w:p w14:paraId="3F138451" w14:textId="056DDF98" w:rsidR="007A721D" w:rsidRPr="007A721D" w:rsidRDefault="007A721D" w:rsidP="007A721D">
            <w:pPr>
              <w:rPr>
                <w:rFonts w:ascii="Arial" w:hAnsi="Arial" w:cs="Arial"/>
                <w:color w:val="000000"/>
                <w:lang w:eastAsia="es-MX"/>
              </w:rPr>
            </w:pPr>
            <w:r w:rsidRPr="007A721D">
              <w:rPr>
                <w:rFonts w:ascii="Arial" w:hAnsi="Arial" w:cs="Arial"/>
                <w:color w:val="000000"/>
                <w:lang w:eastAsia="es-MX"/>
              </w:rPr>
              <w:t>Mobility</w:t>
            </w:r>
          </w:p>
        </w:tc>
        <w:tc>
          <w:tcPr>
            <w:tcW w:w="2126" w:type="dxa"/>
            <w:vAlign w:val="center"/>
          </w:tcPr>
          <w:p w14:paraId="6AC7DD08" w14:textId="77777777" w:rsidR="007A721D" w:rsidRPr="00FD6CFD" w:rsidRDefault="007A721D" w:rsidP="007A721D">
            <w:pPr>
              <w:jc w:val="center"/>
            </w:pPr>
          </w:p>
        </w:tc>
        <w:tc>
          <w:tcPr>
            <w:tcW w:w="2268" w:type="dxa"/>
            <w:vAlign w:val="center"/>
          </w:tcPr>
          <w:p w14:paraId="10777DC3" w14:textId="77777777" w:rsidR="007A721D" w:rsidRPr="00F012CB" w:rsidRDefault="007A721D" w:rsidP="007A721D">
            <w:pPr>
              <w:jc w:val="center"/>
              <w:rPr>
                <w:rFonts w:ascii="Arial" w:hAnsi="Arial" w:cs="Arial"/>
                <w:color w:val="000000"/>
                <w:lang w:eastAsia="es-MX"/>
              </w:rPr>
            </w:pPr>
          </w:p>
        </w:tc>
        <w:tc>
          <w:tcPr>
            <w:tcW w:w="2005" w:type="dxa"/>
            <w:shd w:val="clear" w:color="auto" w:fill="auto"/>
            <w:vAlign w:val="center"/>
          </w:tcPr>
          <w:p w14:paraId="53204D13" w14:textId="77777777" w:rsidR="007A721D" w:rsidRPr="00843507" w:rsidRDefault="007A721D" w:rsidP="007A721D">
            <w:pPr>
              <w:jc w:val="center"/>
            </w:pPr>
          </w:p>
        </w:tc>
      </w:tr>
      <w:tr w:rsidR="00EA4B35" w:rsidRPr="00A34137" w14:paraId="32885993" w14:textId="77777777" w:rsidTr="00766503">
        <w:trPr>
          <w:trHeight w:val="301"/>
          <w:jc w:val="center"/>
        </w:trPr>
        <w:tc>
          <w:tcPr>
            <w:tcW w:w="2405" w:type="dxa"/>
            <w:vAlign w:val="center"/>
          </w:tcPr>
          <w:p w14:paraId="65C82735" w14:textId="30C945DC"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vAlign w:val="center"/>
          </w:tcPr>
          <w:p w14:paraId="4A951962" w14:textId="33300CFE" w:rsidR="00EA4B35" w:rsidRPr="00FD6CFD" w:rsidRDefault="00EA4B35" w:rsidP="00EA4B35">
            <w:pPr>
              <w:jc w:val="center"/>
            </w:pPr>
            <w:r>
              <w:t>51, 92.7 (85.5-98.2)</w:t>
            </w:r>
          </w:p>
        </w:tc>
        <w:tc>
          <w:tcPr>
            <w:tcW w:w="2268" w:type="dxa"/>
          </w:tcPr>
          <w:p w14:paraId="54FBAB7A" w14:textId="20B141B5" w:rsidR="00EA4B35" w:rsidRPr="00F012CB" w:rsidRDefault="00EA4B35" w:rsidP="00EA4B35">
            <w:pPr>
              <w:jc w:val="center"/>
              <w:rPr>
                <w:rFonts w:ascii="Arial" w:hAnsi="Arial" w:cs="Arial"/>
                <w:color w:val="000000"/>
                <w:lang w:eastAsia="es-MX"/>
              </w:rPr>
            </w:pPr>
            <w:r w:rsidRPr="005E5614">
              <w:t>29, 90.6 (81.3-100)</w:t>
            </w:r>
          </w:p>
        </w:tc>
        <w:tc>
          <w:tcPr>
            <w:tcW w:w="2005" w:type="dxa"/>
            <w:shd w:val="clear" w:color="auto" w:fill="auto"/>
          </w:tcPr>
          <w:p w14:paraId="55EE5038" w14:textId="32B18556" w:rsidR="00EA4B35" w:rsidRPr="00843507" w:rsidRDefault="00EA4B35" w:rsidP="00EA4B35">
            <w:pPr>
              <w:jc w:val="center"/>
            </w:pPr>
            <w:r w:rsidRPr="00351B86">
              <w:t>22, 95.7 (87-100)</w:t>
            </w:r>
          </w:p>
        </w:tc>
      </w:tr>
      <w:tr w:rsidR="00EA4B35" w:rsidRPr="00A34137" w14:paraId="5A9249E7" w14:textId="77777777" w:rsidTr="00766503">
        <w:trPr>
          <w:trHeight w:val="301"/>
          <w:jc w:val="center"/>
        </w:trPr>
        <w:tc>
          <w:tcPr>
            <w:tcW w:w="2405" w:type="dxa"/>
            <w:vAlign w:val="center"/>
          </w:tcPr>
          <w:p w14:paraId="71D0F017" w14:textId="0B168D6A"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Dependent</w:t>
            </w:r>
          </w:p>
        </w:tc>
        <w:tc>
          <w:tcPr>
            <w:tcW w:w="2126" w:type="dxa"/>
            <w:vAlign w:val="center"/>
          </w:tcPr>
          <w:p w14:paraId="7797888E" w14:textId="472B7DD9" w:rsidR="00EA4B35" w:rsidRPr="00FD6CFD" w:rsidRDefault="00EA4B35" w:rsidP="00EA4B35">
            <w:pPr>
              <w:jc w:val="center"/>
            </w:pPr>
            <w:r>
              <w:t>4, 7.3 (1.8-14.5)</w:t>
            </w:r>
          </w:p>
        </w:tc>
        <w:tc>
          <w:tcPr>
            <w:tcW w:w="2268" w:type="dxa"/>
          </w:tcPr>
          <w:p w14:paraId="0B5EA680" w14:textId="4B326FA1" w:rsidR="00EA4B35" w:rsidRPr="00F012CB" w:rsidRDefault="00EA4B35" w:rsidP="00EA4B35">
            <w:pPr>
              <w:jc w:val="center"/>
              <w:rPr>
                <w:rFonts w:ascii="Arial" w:hAnsi="Arial" w:cs="Arial"/>
                <w:color w:val="000000"/>
                <w:lang w:eastAsia="es-MX"/>
              </w:rPr>
            </w:pPr>
            <w:r w:rsidRPr="005E5614">
              <w:t>3, 9.4 (0-18.8)</w:t>
            </w:r>
          </w:p>
        </w:tc>
        <w:tc>
          <w:tcPr>
            <w:tcW w:w="2005" w:type="dxa"/>
            <w:shd w:val="clear" w:color="auto" w:fill="auto"/>
          </w:tcPr>
          <w:p w14:paraId="49263A2A" w14:textId="5F54F67A" w:rsidR="00EA4B35" w:rsidRPr="00843507" w:rsidRDefault="00EA4B35" w:rsidP="00EA4B35">
            <w:pPr>
              <w:jc w:val="center"/>
            </w:pPr>
            <w:r w:rsidRPr="00351B86">
              <w:t>1, 4.3 (0-13)</w:t>
            </w:r>
          </w:p>
        </w:tc>
      </w:tr>
      <w:tr w:rsidR="007A721D" w:rsidRPr="00A34137" w14:paraId="2EE99381" w14:textId="77777777" w:rsidTr="00766503">
        <w:trPr>
          <w:trHeight w:val="301"/>
          <w:jc w:val="center"/>
        </w:trPr>
        <w:tc>
          <w:tcPr>
            <w:tcW w:w="2405" w:type="dxa"/>
            <w:vAlign w:val="center"/>
          </w:tcPr>
          <w:p w14:paraId="0C3CEE20" w14:textId="58C59543" w:rsidR="007A721D" w:rsidRPr="007A721D" w:rsidRDefault="007A721D" w:rsidP="007A721D">
            <w:pPr>
              <w:rPr>
                <w:rFonts w:ascii="Arial" w:hAnsi="Arial" w:cs="Arial"/>
                <w:color w:val="000000"/>
                <w:lang w:eastAsia="es-MX"/>
              </w:rPr>
            </w:pPr>
            <w:r w:rsidRPr="007A721D">
              <w:rPr>
                <w:rFonts w:ascii="Arial" w:hAnsi="Arial" w:cs="Arial"/>
                <w:color w:val="000000"/>
                <w:lang w:eastAsia="es-MX"/>
              </w:rPr>
              <w:t>Continence</w:t>
            </w:r>
          </w:p>
        </w:tc>
        <w:tc>
          <w:tcPr>
            <w:tcW w:w="2126" w:type="dxa"/>
            <w:vAlign w:val="center"/>
          </w:tcPr>
          <w:p w14:paraId="1887FA6C" w14:textId="77777777" w:rsidR="007A721D" w:rsidRPr="00FD6CFD" w:rsidRDefault="007A721D" w:rsidP="007A721D">
            <w:pPr>
              <w:jc w:val="center"/>
            </w:pPr>
          </w:p>
        </w:tc>
        <w:tc>
          <w:tcPr>
            <w:tcW w:w="2268" w:type="dxa"/>
            <w:vAlign w:val="center"/>
          </w:tcPr>
          <w:p w14:paraId="339ECEF0" w14:textId="77777777" w:rsidR="007A721D" w:rsidRPr="00F012CB" w:rsidRDefault="007A721D" w:rsidP="007A721D">
            <w:pPr>
              <w:jc w:val="center"/>
              <w:rPr>
                <w:rFonts w:ascii="Arial" w:hAnsi="Arial" w:cs="Arial"/>
                <w:color w:val="000000"/>
                <w:lang w:eastAsia="es-MX"/>
              </w:rPr>
            </w:pPr>
          </w:p>
        </w:tc>
        <w:tc>
          <w:tcPr>
            <w:tcW w:w="2005" w:type="dxa"/>
            <w:shd w:val="clear" w:color="auto" w:fill="auto"/>
            <w:vAlign w:val="center"/>
          </w:tcPr>
          <w:p w14:paraId="6E758E86" w14:textId="77777777" w:rsidR="007A721D" w:rsidRPr="00843507" w:rsidRDefault="007A721D" w:rsidP="007A721D">
            <w:pPr>
              <w:jc w:val="center"/>
            </w:pPr>
          </w:p>
        </w:tc>
      </w:tr>
      <w:tr w:rsidR="00EA4B35" w:rsidRPr="00A34137" w14:paraId="31202466" w14:textId="77777777" w:rsidTr="00766503">
        <w:trPr>
          <w:trHeight w:val="301"/>
          <w:jc w:val="center"/>
        </w:trPr>
        <w:tc>
          <w:tcPr>
            <w:tcW w:w="2405" w:type="dxa"/>
            <w:vAlign w:val="center"/>
          </w:tcPr>
          <w:p w14:paraId="0582F771" w14:textId="3B4D5F12"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vAlign w:val="center"/>
          </w:tcPr>
          <w:p w14:paraId="0C5B5C7B" w14:textId="6AE56EE6" w:rsidR="00EA4B35" w:rsidRPr="00FD6CFD" w:rsidRDefault="00EA4B35" w:rsidP="00EA4B35">
            <w:pPr>
              <w:jc w:val="center"/>
            </w:pPr>
            <w:r>
              <w:t>44, 80.0 (69.1-90.9)</w:t>
            </w:r>
          </w:p>
        </w:tc>
        <w:tc>
          <w:tcPr>
            <w:tcW w:w="2268" w:type="dxa"/>
          </w:tcPr>
          <w:p w14:paraId="27F79787" w14:textId="0A677C41" w:rsidR="00EA4B35" w:rsidRPr="00F012CB" w:rsidRDefault="00EA4B35" w:rsidP="00EA4B35">
            <w:pPr>
              <w:jc w:val="center"/>
              <w:rPr>
                <w:rFonts w:ascii="Arial" w:hAnsi="Arial" w:cs="Arial"/>
                <w:color w:val="000000"/>
                <w:lang w:eastAsia="es-MX"/>
              </w:rPr>
            </w:pPr>
            <w:r w:rsidRPr="00EA2073">
              <w:t>25, 78.1 (62.5-90.6)</w:t>
            </w:r>
          </w:p>
        </w:tc>
        <w:tc>
          <w:tcPr>
            <w:tcW w:w="2005" w:type="dxa"/>
            <w:shd w:val="clear" w:color="auto" w:fill="auto"/>
          </w:tcPr>
          <w:p w14:paraId="607CDC66" w14:textId="3DDCAF82" w:rsidR="00EA4B35" w:rsidRPr="00843507" w:rsidRDefault="00EA4B35" w:rsidP="00EA4B35">
            <w:pPr>
              <w:jc w:val="center"/>
            </w:pPr>
            <w:r w:rsidRPr="00266AAB">
              <w:t>19, 82.6 (65.2-95.7)</w:t>
            </w:r>
          </w:p>
        </w:tc>
      </w:tr>
      <w:tr w:rsidR="00EA4B35" w:rsidRPr="00A34137" w14:paraId="4D6849A8" w14:textId="77777777" w:rsidTr="00766503">
        <w:trPr>
          <w:trHeight w:val="301"/>
          <w:jc w:val="center"/>
        </w:trPr>
        <w:tc>
          <w:tcPr>
            <w:tcW w:w="2405" w:type="dxa"/>
            <w:vAlign w:val="center"/>
          </w:tcPr>
          <w:p w14:paraId="155F06C8" w14:textId="7184878F"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Dependent</w:t>
            </w:r>
          </w:p>
        </w:tc>
        <w:tc>
          <w:tcPr>
            <w:tcW w:w="2126" w:type="dxa"/>
            <w:vAlign w:val="center"/>
          </w:tcPr>
          <w:p w14:paraId="7993D290" w14:textId="584D664B" w:rsidR="00EA4B35" w:rsidRPr="00FD6CFD" w:rsidRDefault="00EA4B35" w:rsidP="00EA4B35">
            <w:pPr>
              <w:jc w:val="center"/>
            </w:pPr>
            <w:r>
              <w:t>11, 20.0 (9.1-30.9)</w:t>
            </w:r>
          </w:p>
        </w:tc>
        <w:tc>
          <w:tcPr>
            <w:tcW w:w="2268" w:type="dxa"/>
          </w:tcPr>
          <w:p w14:paraId="3701C916" w14:textId="3F1690DF" w:rsidR="00EA4B35" w:rsidRPr="00F012CB" w:rsidRDefault="00EA4B35" w:rsidP="00EA4B35">
            <w:pPr>
              <w:jc w:val="center"/>
              <w:rPr>
                <w:rFonts w:ascii="Arial" w:hAnsi="Arial" w:cs="Arial"/>
                <w:color w:val="000000"/>
                <w:lang w:eastAsia="es-MX"/>
              </w:rPr>
            </w:pPr>
            <w:r w:rsidRPr="00EA2073">
              <w:t>7, 21.9 (9.4-37.5)</w:t>
            </w:r>
          </w:p>
        </w:tc>
        <w:tc>
          <w:tcPr>
            <w:tcW w:w="2005" w:type="dxa"/>
            <w:shd w:val="clear" w:color="auto" w:fill="auto"/>
          </w:tcPr>
          <w:p w14:paraId="5A8C24B0" w14:textId="5645F015" w:rsidR="00EA4B35" w:rsidRPr="00843507" w:rsidRDefault="00EA4B35" w:rsidP="00EA4B35">
            <w:pPr>
              <w:jc w:val="center"/>
            </w:pPr>
            <w:r w:rsidRPr="00266AAB">
              <w:t>4, 17.4 (4.3-34.8)</w:t>
            </w:r>
          </w:p>
        </w:tc>
      </w:tr>
      <w:tr w:rsidR="00294D06" w:rsidRPr="00A34137" w14:paraId="2F918FB5" w14:textId="77777777" w:rsidTr="00766503">
        <w:trPr>
          <w:trHeight w:val="301"/>
          <w:jc w:val="center"/>
        </w:trPr>
        <w:tc>
          <w:tcPr>
            <w:tcW w:w="2405" w:type="dxa"/>
            <w:vAlign w:val="center"/>
          </w:tcPr>
          <w:p w14:paraId="4893CAB2" w14:textId="7310E450" w:rsidR="00294D06" w:rsidRDefault="00294D06" w:rsidP="00294D06">
            <w:pPr>
              <w:rPr>
                <w:rFonts w:ascii="Arial" w:hAnsi="Arial" w:cs="Arial"/>
                <w:color w:val="000000"/>
                <w:lang w:eastAsia="es-MX"/>
              </w:rPr>
            </w:pPr>
            <w:r w:rsidRPr="007A721D">
              <w:rPr>
                <w:rFonts w:ascii="Arial" w:hAnsi="Arial" w:cs="Arial"/>
                <w:color w:val="000000"/>
                <w:lang w:eastAsia="es-MX"/>
              </w:rPr>
              <w:t>Feeding</w:t>
            </w:r>
          </w:p>
        </w:tc>
        <w:tc>
          <w:tcPr>
            <w:tcW w:w="2126" w:type="dxa"/>
            <w:vAlign w:val="center"/>
          </w:tcPr>
          <w:p w14:paraId="68D3DD43" w14:textId="77777777" w:rsidR="00294D06" w:rsidRPr="00FD6CFD" w:rsidRDefault="00294D06" w:rsidP="007A721D">
            <w:pPr>
              <w:jc w:val="center"/>
            </w:pPr>
          </w:p>
        </w:tc>
        <w:tc>
          <w:tcPr>
            <w:tcW w:w="2268" w:type="dxa"/>
            <w:vAlign w:val="center"/>
          </w:tcPr>
          <w:p w14:paraId="22DC41F0" w14:textId="77777777" w:rsidR="00294D06" w:rsidRPr="00F012CB" w:rsidRDefault="00294D06" w:rsidP="007A721D">
            <w:pPr>
              <w:jc w:val="center"/>
              <w:rPr>
                <w:rFonts w:ascii="Arial" w:hAnsi="Arial" w:cs="Arial"/>
                <w:color w:val="000000"/>
                <w:lang w:eastAsia="es-MX"/>
              </w:rPr>
            </w:pPr>
          </w:p>
        </w:tc>
        <w:tc>
          <w:tcPr>
            <w:tcW w:w="2005" w:type="dxa"/>
            <w:shd w:val="clear" w:color="auto" w:fill="auto"/>
            <w:vAlign w:val="center"/>
          </w:tcPr>
          <w:p w14:paraId="76DA4B8E" w14:textId="77777777" w:rsidR="00294D06" w:rsidRPr="00843507" w:rsidRDefault="00294D06" w:rsidP="007A721D">
            <w:pPr>
              <w:jc w:val="center"/>
            </w:pPr>
          </w:p>
        </w:tc>
      </w:tr>
      <w:tr w:rsidR="00294D06" w:rsidRPr="00A34137" w14:paraId="3DD7FF16" w14:textId="77777777" w:rsidTr="00766503">
        <w:trPr>
          <w:trHeight w:val="301"/>
          <w:jc w:val="center"/>
        </w:trPr>
        <w:tc>
          <w:tcPr>
            <w:tcW w:w="2405" w:type="dxa"/>
            <w:vAlign w:val="center"/>
          </w:tcPr>
          <w:p w14:paraId="63AF9E3D" w14:textId="34D0DE74" w:rsidR="00294D06" w:rsidRPr="007A721D" w:rsidRDefault="00294D06" w:rsidP="00294D06">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vAlign w:val="center"/>
          </w:tcPr>
          <w:p w14:paraId="6356815F" w14:textId="6469232C" w:rsidR="00294D06" w:rsidRPr="00FD6CFD" w:rsidRDefault="00534088" w:rsidP="007A721D">
            <w:pPr>
              <w:jc w:val="center"/>
            </w:pPr>
            <w:r>
              <w:t>55, 100 (100-100)</w:t>
            </w:r>
          </w:p>
        </w:tc>
        <w:tc>
          <w:tcPr>
            <w:tcW w:w="2268" w:type="dxa"/>
            <w:vAlign w:val="center"/>
          </w:tcPr>
          <w:p w14:paraId="08ADF2FB" w14:textId="3B2F6571" w:rsidR="00294D06" w:rsidRPr="00F012CB" w:rsidRDefault="00EA4B35" w:rsidP="007A721D">
            <w:pPr>
              <w:jc w:val="center"/>
              <w:rPr>
                <w:rFonts w:ascii="Arial" w:hAnsi="Arial" w:cs="Arial"/>
                <w:color w:val="000000"/>
                <w:lang w:eastAsia="es-MX"/>
              </w:rPr>
            </w:pPr>
            <w:r>
              <w:rPr>
                <w:rFonts w:ascii="Arial" w:hAnsi="Arial" w:cs="Arial"/>
                <w:color w:val="000000"/>
                <w:lang w:eastAsia="es-MX"/>
              </w:rPr>
              <w:t>32, 100 (100-100)</w:t>
            </w:r>
          </w:p>
        </w:tc>
        <w:tc>
          <w:tcPr>
            <w:tcW w:w="2005" w:type="dxa"/>
            <w:shd w:val="clear" w:color="auto" w:fill="auto"/>
            <w:vAlign w:val="center"/>
          </w:tcPr>
          <w:p w14:paraId="144F3604" w14:textId="306ED36F" w:rsidR="00294D06" w:rsidRPr="00843507" w:rsidRDefault="00EA4B35" w:rsidP="007A721D">
            <w:pPr>
              <w:jc w:val="center"/>
            </w:pPr>
            <w:r>
              <w:t>23, 100 (100-100)</w:t>
            </w:r>
          </w:p>
        </w:tc>
      </w:tr>
    </w:tbl>
    <w:p w14:paraId="77B50ED7" w14:textId="3A3EF20A" w:rsidR="00294D06" w:rsidRDefault="00294D06" w:rsidP="00294D06">
      <w:pPr>
        <w:pStyle w:val="Body"/>
        <w:spacing w:after="0"/>
        <w:rPr>
          <w:rFonts w:ascii="Arial" w:hAnsi="Arial" w:cs="Arial"/>
        </w:rPr>
      </w:pPr>
      <w:r>
        <w:rPr>
          <w:rFonts w:ascii="Arial" w:hAnsi="Arial" w:cs="Arial"/>
        </w:rPr>
        <w:t xml:space="preserve">Source: </w:t>
      </w:r>
      <w:r w:rsidR="00E8010C" w:rsidRPr="007270EE">
        <w:rPr>
          <w:rFonts w:ascii="Arial" w:hAnsi="Arial" w:cs="Arial"/>
        </w:rPr>
        <w:t>Prepared by the authors using data from the data base.</w:t>
      </w:r>
      <w:r w:rsidR="00E8010C">
        <w:rPr>
          <w:rFonts w:ascii="Arial" w:hAnsi="Arial" w:cs="Arial"/>
        </w:rPr>
        <w:t xml:space="preserve"> </w:t>
      </w:r>
      <w:r>
        <w:rPr>
          <w:rFonts w:ascii="Arial" w:hAnsi="Arial" w:cs="Arial"/>
        </w:rPr>
        <w:t>P</w:t>
      </w:r>
      <w:r w:rsidRPr="007A721D">
        <w:rPr>
          <w:rFonts w:ascii="Arial" w:hAnsi="Arial" w:cs="Arial"/>
        </w:rPr>
        <w:t xml:space="preserve">revalence of functional </w:t>
      </w:r>
      <w:r>
        <w:rPr>
          <w:rFonts w:ascii="Arial" w:hAnsi="Arial" w:cs="Arial"/>
        </w:rPr>
        <w:t>dependency</w:t>
      </w:r>
      <w:r w:rsidRPr="007A721D">
        <w:rPr>
          <w:rFonts w:ascii="Arial" w:hAnsi="Arial" w:cs="Arial"/>
        </w:rPr>
        <w:t xml:space="preserve"> was performed using the </w:t>
      </w:r>
      <w:r>
        <w:rPr>
          <w:rFonts w:ascii="Arial" w:hAnsi="Arial" w:cs="Arial"/>
        </w:rPr>
        <w:t>Katz</w:t>
      </w:r>
      <w:r w:rsidRPr="007A721D">
        <w:rPr>
          <w:rFonts w:ascii="Arial" w:hAnsi="Arial" w:cs="Arial"/>
        </w:rPr>
        <w:t xml:space="preserve"> Index.</w:t>
      </w:r>
      <w:r>
        <w:rPr>
          <w:rFonts w:ascii="Arial" w:hAnsi="Arial" w:cs="Arial"/>
        </w:rPr>
        <w:t xml:space="preserve"> P value calculated by Fisher exact test.</w:t>
      </w:r>
      <w:r w:rsidR="00DE328D">
        <w:rPr>
          <w:rFonts w:ascii="Arial" w:hAnsi="Arial" w:cs="Arial"/>
        </w:rPr>
        <w:t xml:space="preserve"> </w:t>
      </w:r>
      <w:r w:rsidR="00DE328D" w:rsidRPr="00DE328D">
        <w:rPr>
          <w:rFonts w:ascii="Arial" w:hAnsi="Arial" w:cs="Arial"/>
        </w:rPr>
        <w:t>There are no statistically significant differences.</w:t>
      </w:r>
    </w:p>
    <w:p w14:paraId="603C7801" w14:textId="77777777" w:rsidR="007A721D" w:rsidRDefault="007A721D" w:rsidP="007A721D">
      <w:pPr>
        <w:pStyle w:val="Body"/>
        <w:spacing w:after="0"/>
        <w:rPr>
          <w:rFonts w:ascii="Arial" w:hAnsi="Arial" w:cs="Arial"/>
        </w:rPr>
      </w:pPr>
    </w:p>
    <w:p w14:paraId="188142AB" w14:textId="4523EA53" w:rsidR="001A2AEB" w:rsidRDefault="001A2AEB" w:rsidP="001A2AEB">
      <w:pPr>
        <w:pStyle w:val="Body"/>
        <w:spacing w:after="0"/>
        <w:rPr>
          <w:rFonts w:ascii="Arial" w:hAnsi="Arial" w:cs="Arial"/>
        </w:rPr>
      </w:pPr>
      <w:r w:rsidRPr="001A2AEB">
        <w:rPr>
          <w:rFonts w:ascii="Arial" w:hAnsi="Arial" w:cs="Arial"/>
        </w:rPr>
        <w:t>Most participants were independent in bathing, with a slightly higher prevalence in males than females and vice versa.</w:t>
      </w:r>
      <w:r>
        <w:rPr>
          <w:rFonts w:ascii="Arial" w:hAnsi="Arial" w:cs="Arial"/>
        </w:rPr>
        <w:t xml:space="preserve"> </w:t>
      </w:r>
      <w:r w:rsidRPr="001A2AEB">
        <w:rPr>
          <w:rFonts w:ascii="Arial" w:hAnsi="Arial" w:cs="Arial"/>
        </w:rPr>
        <w:t>Regarding dressing, independence was more prevalent in males showing a slightly higher rate than females.</w:t>
      </w:r>
      <w:r>
        <w:rPr>
          <w:rFonts w:ascii="Arial" w:hAnsi="Arial" w:cs="Arial"/>
        </w:rPr>
        <w:t xml:space="preserve"> </w:t>
      </w:r>
      <w:r w:rsidRPr="001A2AEB">
        <w:rPr>
          <w:rFonts w:ascii="Arial" w:hAnsi="Arial" w:cs="Arial"/>
        </w:rPr>
        <w:t>Additionally, almost all participants were independent in using the toilet, with males being more independent than females.</w:t>
      </w:r>
      <w:r>
        <w:rPr>
          <w:rFonts w:ascii="Arial" w:hAnsi="Arial" w:cs="Arial"/>
        </w:rPr>
        <w:t xml:space="preserve"> </w:t>
      </w:r>
      <w:r w:rsidRPr="001A2AEB">
        <w:rPr>
          <w:rFonts w:ascii="Arial" w:hAnsi="Arial" w:cs="Arial"/>
        </w:rPr>
        <w:t>At least 92% of participants reported independence in mobility, with males showing slightly higher independence than females.</w:t>
      </w:r>
      <w:r>
        <w:rPr>
          <w:rFonts w:ascii="Arial" w:hAnsi="Arial" w:cs="Arial"/>
        </w:rPr>
        <w:t xml:space="preserve"> </w:t>
      </w:r>
      <w:r w:rsidR="00055060">
        <w:rPr>
          <w:rFonts w:ascii="Arial" w:hAnsi="Arial" w:cs="Arial"/>
        </w:rPr>
        <w:t>Besides, i</w:t>
      </w:r>
      <w:r w:rsidRPr="001A2AEB">
        <w:rPr>
          <w:rFonts w:ascii="Arial" w:hAnsi="Arial" w:cs="Arial"/>
        </w:rPr>
        <w:t xml:space="preserve">ndependence in continence was reported in 80% of </w:t>
      </w:r>
      <w:r w:rsidRPr="001A2AEB">
        <w:rPr>
          <w:rFonts w:ascii="Arial" w:hAnsi="Arial" w:cs="Arial"/>
        </w:rPr>
        <w:lastRenderedPageBreak/>
        <w:t>participants, with males showing a slightly higher per cent compared to females.</w:t>
      </w:r>
      <w:r>
        <w:rPr>
          <w:rFonts w:ascii="Arial" w:hAnsi="Arial" w:cs="Arial"/>
        </w:rPr>
        <w:t xml:space="preserve"> </w:t>
      </w:r>
      <w:r w:rsidRPr="001A2AEB">
        <w:rPr>
          <w:rFonts w:ascii="Arial" w:hAnsi="Arial" w:cs="Arial"/>
        </w:rPr>
        <w:t xml:space="preserve">Males generally showed a slightly higher prevalence of independence across most activities, particularly in using the toilet and continence. </w:t>
      </w:r>
      <w:r w:rsidR="00055060">
        <w:rPr>
          <w:rFonts w:ascii="Arial" w:hAnsi="Arial" w:cs="Arial"/>
        </w:rPr>
        <w:t>What is more, f</w:t>
      </w:r>
      <w:r w:rsidRPr="001A2AEB">
        <w:rPr>
          <w:rFonts w:ascii="Arial" w:hAnsi="Arial" w:cs="Arial"/>
        </w:rPr>
        <w:t>emales had a higher prevalence of dependency in bathing, dressing, mobility, and continence. Feeding was the only activity in which all participants were entirely independent.</w:t>
      </w:r>
    </w:p>
    <w:p w14:paraId="21606C46" w14:textId="77777777" w:rsidR="001A2AEB" w:rsidRPr="006248B7" w:rsidRDefault="001A2AEB" w:rsidP="001A2AEB">
      <w:pPr>
        <w:pStyle w:val="Body"/>
        <w:spacing w:after="0"/>
        <w:rPr>
          <w:rFonts w:ascii="Arial" w:hAnsi="Arial" w:cs="Arial"/>
        </w:rPr>
      </w:pPr>
    </w:p>
    <w:p w14:paraId="322AE53F" w14:textId="7E46495B" w:rsidR="006248B7" w:rsidRPr="001A2AEB" w:rsidRDefault="001A2AEB" w:rsidP="001A2AEB">
      <w:pPr>
        <w:pStyle w:val="Body"/>
        <w:spacing w:after="0"/>
        <w:rPr>
          <w:rFonts w:ascii="Arial" w:hAnsi="Arial" w:cs="Arial"/>
          <w:b/>
          <w:bCs/>
          <w:sz w:val="22"/>
          <w:szCs w:val="22"/>
        </w:rPr>
      </w:pPr>
      <w:r>
        <w:rPr>
          <w:rFonts w:ascii="Arial" w:hAnsi="Arial" w:cs="Arial"/>
          <w:b/>
          <w:bCs/>
          <w:sz w:val="22"/>
          <w:szCs w:val="22"/>
        </w:rPr>
        <w:t xml:space="preserve">3.4 </w:t>
      </w:r>
      <w:r w:rsidR="006248B7" w:rsidRPr="001A2AEB">
        <w:rPr>
          <w:rFonts w:ascii="Arial" w:hAnsi="Arial" w:cs="Arial"/>
          <w:b/>
          <w:bCs/>
          <w:sz w:val="22"/>
          <w:szCs w:val="22"/>
        </w:rPr>
        <w:t xml:space="preserve">Independence in </w:t>
      </w:r>
      <w:bookmarkStart w:id="3" w:name="_Hlk189491344"/>
      <w:r w:rsidR="006248B7" w:rsidRPr="001A2AEB">
        <w:rPr>
          <w:rFonts w:ascii="Arial" w:hAnsi="Arial" w:cs="Arial"/>
          <w:b/>
          <w:bCs/>
          <w:sz w:val="22"/>
          <w:szCs w:val="22"/>
        </w:rPr>
        <w:t>Instrumental Activities of Daily Living</w:t>
      </w:r>
      <w:bookmarkEnd w:id="3"/>
    </w:p>
    <w:p w14:paraId="5AB12599" w14:textId="34E4C451" w:rsidR="005E58C2" w:rsidRDefault="00766503" w:rsidP="001A2AEB">
      <w:pPr>
        <w:pStyle w:val="Body"/>
        <w:spacing w:after="0"/>
        <w:rPr>
          <w:rFonts w:ascii="Arial" w:hAnsi="Arial" w:cs="Arial"/>
        </w:rPr>
      </w:pPr>
      <w:r w:rsidRPr="00766503">
        <w:rPr>
          <w:rFonts w:ascii="Arial" w:hAnsi="Arial" w:cs="Arial"/>
        </w:rPr>
        <w:t>For IADLs, less than 2% of participants exhibit maximum dependence, 85% maintain some degree of independence, and less than 40% achieve full independence (Table 4). This suggests that while basic self-care is manageable for most participants, more complex tasks requiring cognitive or physical effort pose a challenge for a significant proportion.</w:t>
      </w:r>
    </w:p>
    <w:p w14:paraId="089F6515" w14:textId="77777777" w:rsidR="00766503" w:rsidRDefault="00766503" w:rsidP="001A2AEB">
      <w:pPr>
        <w:pStyle w:val="Body"/>
        <w:spacing w:after="0"/>
        <w:rPr>
          <w:rFonts w:ascii="Arial" w:hAnsi="Arial" w:cs="Arial"/>
        </w:rPr>
      </w:pPr>
    </w:p>
    <w:p w14:paraId="317E2666" w14:textId="5FE69AA4" w:rsidR="005E58C2" w:rsidRPr="005E58C2" w:rsidRDefault="005E58C2" w:rsidP="001A2AEB">
      <w:pPr>
        <w:pStyle w:val="Body"/>
        <w:spacing w:after="0"/>
        <w:rPr>
          <w:rFonts w:ascii="Arial" w:hAnsi="Arial" w:cs="Arial"/>
          <w:b/>
          <w:bCs/>
        </w:rPr>
      </w:pPr>
      <w:r w:rsidRPr="005E58C2">
        <w:rPr>
          <w:rFonts w:ascii="Arial" w:hAnsi="Arial" w:cs="Arial"/>
          <w:b/>
          <w:bCs/>
        </w:rPr>
        <w:t xml:space="preserve">Table 4. Prevalence of dependency in </w:t>
      </w:r>
      <w:r w:rsidR="001901ED">
        <w:rPr>
          <w:rFonts w:ascii="Arial" w:hAnsi="Arial" w:cs="Arial"/>
          <w:b/>
          <w:bCs/>
        </w:rPr>
        <w:t>elderly population</w:t>
      </w:r>
      <w:r w:rsidR="00055060">
        <w:rPr>
          <w:rFonts w:ascii="Arial" w:hAnsi="Arial" w:cs="Arial"/>
          <w:b/>
          <w:bCs/>
        </w:rPr>
        <w:t xml:space="preserve"> </w:t>
      </w:r>
      <w:r w:rsidRPr="005E58C2">
        <w:rPr>
          <w:rFonts w:ascii="Arial" w:hAnsi="Arial" w:cs="Arial"/>
          <w:b/>
          <w:bCs/>
        </w:rPr>
        <w:t>performing instrumental activities of daily living.</w:t>
      </w:r>
    </w:p>
    <w:tbl>
      <w:tblPr>
        <w:tblW w:w="880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05"/>
        <w:gridCol w:w="2126"/>
        <w:gridCol w:w="2268"/>
        <w:gridCol w:w="2005"/>
      </w:tblGrid>
      <w:tr w:rsidR="005E58C2" w:rsidRPr="00A34137" w14:paraId="54C83471" w14:textId="77777777" w:rsidTr="00EE4F65">
        <w:trPr>
          <w:trHeight w:val="301"/>
          <w:jc w:val="center"/>
        </w:trPr>
        <w:tc>
          <w:tcPr>
            <w:tcW w:w="2405" w:type="dxa"/>
            <w:tcBorders>
              <w:bottom w:val="single" w:sz="4" w:space="0" w:color="auto"/>
            </w:tcBorders>
            <w:vAlign w:val="center"/>
          </w:tcPr>
          <w:p w14:paraId="622AAD7E" w14:textId="77777777" w:rsidR="005E58C2" w:rsidRPr="00A34137" w:rsidRDefault="005E58C2" w:rsidP="00F32C02">
            <w:pPr>
              <w:rPr>
                <w:rFonts w:ascii="Arial" w:hAnsi="Arial" w:cs="Arial"/>
                <w:color w:val="000000"/>
                <w:lang w:eastAsia="es-MX"/>
              </w:rPr>
            </w:pPr>
            <w:r w:rsidRPr="00A34137">
              <w:rPr>
                <w:rFonts w:ascii="Arial" w:hAnsi="Arial" w:cs="Arial"/>
              </w:rPr>
              <w:t>Variables</w:t>
            </w:r>
          </w:p>
        </w:tc>
        <w:tc>
          <w:tcPr>
            <w:tcW w:w="2126" w:type="dxa"/>
            <w:tcBorders>
              <w:bottom w:val="single" w:sz="4" w:space="0" w:color="auto"/>
            </w:tcBorders>
            <w:vAlign w:val="center"/>
          </w:tcPr>
          <w:p w14:paraId="1A4EA09B" w14:textId="77777777" w:rsidR="005E58C2" w:rsidRDefault="005E58C2" w:rsidP="00F32C02">
            <w:pPr>
              <w:jc w:val="center"/>
              <w:rPr>
                <w:rFonts w:ascii="Arial" w:hAnsi="Arial" w:cs="Arial"/>
              </w:rPr>
            </w:pPr>
            <w:r>
              <w:rPr>
                <w:rFonts w:ascii="Arial" w:hAnsi="Arial" w:cs="Arial"/>
              </w:rPr>
              <w:t>Total (N=55)</w:t>
            </w:r>
          </w:p>
          <w:p w14:paraId="55740804" w14:textId="77777777" w:rsidR="005E58C2" w:rsidRPr="00A34137" w:rsidRDefault="005E58C2" w:rsidP="00F32C02">
            <w:pPr>
              <w:jc w:val="center"/>
              <w:rPr>
                <w:rFonts w:ascii="Arial" w:hAnsi="Arial" w:cs="Arial"/>
                <w:color w:val="000000"/>
                <w:lang w:eastAsia="es-MX"/>
              </w:rPr>
            </w:pPr>
            <w:r>
              <w:rPr>
                <w:rFonts w:ascii="Arial" w:hAnsi="Arial" w:cs="Arial"/>
              </w:rPr>
              <w:t>n, % (95%CI)</w:t>
            </w:r>
          </w:p>
        </w:tc>
        <w:tc>
          <w:tcPr>
            <w:tcW w:w="2268" w:type="dxa"/>
            <w:tcBorders>
              <w:bottom w:val="single" w:sz="4" w:space="0" w:color="auto"/>
            </w:tcBorders>
            <w:vAlign w:val="center"/>
          </w:tcPr>
          <w:p w14:paraId="5F6453A6" w14:textId="77777777" w:rsidR="005E58C2" w:rsidRDefault="005E58C2" w:rsidP="00F32C02">
            <w:pPr>
              <w:jc w:val="center"/>
              <w:rPr>
                <w:rFonts w:ascii="Arial" w:hAnsi="Arial" w:cs="Arial"/>
                <w:color w:val="000000"/>
                <w:lang w:eastAsia="es-MX"/>
              </w:rPr>
            </w:pPr>
            <w:r>
              <w:rPr>
                <w:rFonts w:ascii="Arial" w:hAnsi="Arial" w:cs="Arial"/>
                <w:color w:val="000000"/>
                <w:lang w:eastAsia="es-MX"/>
              </w:rPr>
              <w:t>Females (n=32)</w:t>
            </w:r>
          </w:p>
          <w:p w14:paraId="26E9EB1C" w14:textId="77777777" w:rsidR="005E58C2" w:rsidRPr="00A34137" w:rsidRDefault="005E58C2" w:rsidP="00F32C02">
            <w:pPr>
              <w:jc w:val="center"/>
              <w:rPr>
                <w:rFonts w:ascii="Arial" w:hAnsi="Arial" w:cs="Arial"/>
                <w:color w:val="000000"/>
                <w:lang w:eastAsia="es-MX"/>
              </w:rPr>
            </w:pPr>
            <w:r>
              <w:rPr>
                <w:rFonts w:ascii="Arial" w:hAnsi="Arial" w:cs="Arial"/>
              </w:rPr>
              <w:t>n, % (95%CI)</w:t>
            </w:r>
          </w:p>
        </w:tc>
        <w:tc>
          <w:tcPr>
            <w:tcW w:w="2005" w:type="dxa"/>
            <w:tcBorders>
              <w:bottom w:val="single" w:sz="4" w:space="0" w:color="auto"/>
            </w:tcBorders>
            <w:shd w:val="clear" w:color="auto" w:fill="auto"/>
            <w:vAlign w:val="center"/>
          </w:tcPr>
          <w:p w14:paraId="76ED68E9" w14:textId="77777777" w:rsidR="005E58C2" w:rsidRDefault="005E58C2" w:rsidP="00F32C02">
            <w:pPr>
              <w:jc w:val="center"/>
              <w:rPr>
                <w:rFonts w:ascii="Arial" w:hAnsi="Arial" w:cs="Arial"/>
                <w:color w:val="000000"/>
                <w:lang w:eastAsia="es-MX"/>
              </w:rPr>
            </w:pPr>
            <w:r>
              <w:rPr>
                <w:rFonts w:ascii="Arial" w:hAnsi="Arial" w:cs="Arial"/>
                <w:color w:val="000000"/>
                <w:lang w:eastAsia="es-MX"/>
              </w:rPr>
              <w:t>Males (n=23)</w:t>
            </w:r>
          </w:p>
          <w:p w14:paraId="0CDEA763" w14:textId="77777777" w:rsidR="005E58C2" w:rsidRPr="00A34137" w:rsidRDefault="005E58C2" w:rsidP="00F32C02">
            <w:pPr>
              <w:jc w:val="center"/>
              <w:rPr>
                <w:rFonts w:ascii="Arial" w:hAnsi="Arial" w:cs="Arial"/>
                <w:color w:val="000000"/>
                <w:lang w:eastAsia="es-MX"/>
              </w:rPr>
            </w:pPr>
            <w:r>
              <w:rPr>
                <w:rFonts w:ascii="Arial" w:hAnsi="Arial" w:cs="Arial"/>
              </w:rPr>
              <w:t>n, % (95%CI)</w:t>
            </w:r>
          </w:p>
        </w:tc>
      </w:tr>
      <w:tr w:rsidR="001901ED" w:rsidRPr="00A34137" w14:paraId="37057DB2" w14:textId="77777777" w:rsidTr="00EE4F65">
        <w:trPr>
          <w:trHeight w:val="301"/>
          <w:jc w:val="center"/>
        </w:trPr>
        <w:tc>
          <w:tcPr>
            <w:tcW w:w="2405" w:type="dxa"/>
            <w:tcBorders>
              <w:top w:val="single" w:sz="4" w:space="0" w:color="auto"/>
              <w:bottom w:val="nil"/>
            </w:tcBorders>
            <w:vAlign w:val="center"/>
          </w:tcPr>
          <w:p w14:paraId="1F90A4BA" w14:textId="72311B0F" w:rsidR="001901ED" w:rsidRPr="00A34137" w:rsidRDefault="00300D65" w:rsidP="001901ED">
            <w:pPr>
              <w:rPr>
                <w:rFonts w:ascii="Arial" w:hAnsi="Arial" w:cs="Arial"/>
                <w:color w:val="000000"/>
                <w:lang w:eastAsia="es-MX"/>
              </w:rPr>
            </w:pPr>
            <w:r>
              <w:t>Full</w:t>
            </w:r>
            <w:r w:rsidR="001901ED" w:rsidRPr="003B32AF">
              <w:t xml:space="preserve"> Dependence</w:t>
            </w:r>
          </w:p>
        </w:tc>
        <w:tc>
          <w:tcPr>
            <w:tcW w:w="2126" w:type="dxa"/>
            <w:tcBorders>
              <w:top w:val="single" w:sz="4" w:space="0" w:color="auto"/>
              <w:bottom w:val="nil"/>
            </w:tcBorders>
            <w:vAlign w:val="center"/>
          </w:tcPr>
          <w:p w14:paraId="0B0C269A" w14:textId="1D776A3E" w:rsidR="001901ED" w:rsidRPr="00A34137" w:rsidRDefault="00EE4F65" w:rsidP="001901ED">
            <w:pPr>
              <w:jc w:val="center"/>
              <w:rPr>
                <w:rFonts w:ascii="Arial" w:hAnsi="Arial" w:cs="Arial"/>
                <w:color w:val="000000"/>
                <w:lang w:eastAsia="es-MX"/>
              </w:rPr>
            </w:pPr>
            <w:r w:rsidRPr="00EE4F65">
              <w:rPr>
                <w:rFonts w:ascii="Arial" w:hAnsi="Arial" w:cs="Arial"/>
                <w:color w:val="000000"/>
                <w:lang w:eastAsia="es-MX"/>
              </w:rPr>
              <w:t>1</w:t>
            </w:r>
            <w:r>
              <w:rPr>
                <w:rFonts w:ascii="Arial" w:hAnsi="Arial" w:cs="Arial"/>
                <w:color w:val="000000"/>
                <w:lang w:eastAsia="es-MX"/>
              </w:rPr>
              <w:t xml:space="preserve">, </w:t>
            </w:r>
            <w:r w:rsidRPr="00EE4F65">
              <w:rPr>
                <w:rFonts w:ascii="Arial" w:hAnsi="Arial" w:cs="Arial"/>
                <w:color w:val="000000"/>
                <w:lang w:eastAsia="es-MX"/>
              </w:rPr>
              <w:t>1.8</w:t>
            </w:r>
            <w:r>
              <w:rPr>
                <w:rFonts w:ascii="Arial" w:hAnsi="Arial" w:cs="Arial"/>
                <w:color w:val="000000"/>
                <w:lang w:eastAsia="es-MX"/>
              </w:rPr>
              <w:t xml:space="preserve"> (</w:t>
            </w:r>
            <w:r w:rsidRPr="00EE4F65">
              <w:rPr>
                <w:rFonts w:ascii="Arial" w:hAnsi="Arial" w:cs="Arial"/>
                <w:color w:val="000000"/>
                <w:lang w:eastAsia="es-MX"/>
              </w:rPr>
              <w:t>0.0</w:t>
            </w:r>
            <w:r>
              <w:rPr>
                <w:rFonts w:ascii="Arial" w:hAnsi="Arial" w:cs="Arial"/>
                <w:color w:val="000000"/>
                <w:lang w:eastAsia="es-MX"/>
              </w:rPr>
              <w:t>-</w:t>
            </w:r>
            <w:r w:rsidRPr="00EE4F65">
              <w:rPr>
                <w:rFonts w:ascii="Arial" w:hAnsi="Arial" w:cs="Arial"/>
                <w:color w:val="000000"/>
                <w:lang w:eastAsia="es-MX"/>
              </w:rPr>
              <w:t>5.5</w:t>
            </w:r>
            <w:r>
              <w:rPr>
                <w:rFonts w:ascii="Arial" w:hAnsi="Arial" w:cs="Arial"/>
                <w:color w:val="000000"/>
                <w:lang w:eastAsia="es-MX"/>
              </w:rPr>
              <w:t>)</w:t>
            </w:r>
          </w:p>
        </w:tc>
        <w:tc>
          <w:tcPr>
            <w:tcW w:w="2268" w:type="dxa"/>
            <w:tcBorders>
              <w:top w:val="single" w:sz="4" w:space="0" w:color="auto"/>
              <w:bottom w:val="nil"/>
            </w:tcBorders>
            <w:vAlign w:val="center"/>
          </w:tcPr>
          <w:p w14:paraId="6C3189CE" w14:textId="5CD8DAC5" w:rsidR="001901ED" w:rsidRPr="00A34137" w:rsidRDefault="003170E1" w:rsidP="001901ED">
            <w:pPr>
              <w:jc w:val="center"/>
              <w:rPr>
                <w:rFonts w:ascii="Arial" w:hAnsi="Arial" w:cs="Arial"/>
                <w:color w:val="000000"/>
                <w:lang w:eastAsia="es-MX"/>
              </w:rPr>
            </w:pPr>
            <w:r w:rsidRPr="003170E1">
              <w:rPr>
                <w:rFonts w:ascii="Arial" w:hAnsi="Arial" w:cs="Arial"/>
                <w:color w:val="000000"/>
                <w:lang w:eastAsia="es-MX"/>
              </w:rPr>
              <w:t>1, 3.1 (0-12.5)</w:t>
            </w:r>
          </w:p>
        </w:tc>
        <w:tc>
          <w:tcPr>
            <w:tcW w:w="2005" w:type="dxa"/>
            <w:tcBorders>
              <w:top w:val="single" w:sz="4" w:space="0" w:color="auto"/>
              <w:bottom w:val="nil"/>
            </w:tcBorders>
            <w:shd w:val="clear" w:color="auto" w:fill="auto"/>
            <w:vAlign w:val="center"/>
          </w:tcPr>
          <w:p w14:paraId="438095F4" w14:textId="119C7E04" w:rsidR="001901ED" w:rsidRPr="00A34137" w:rsidRDefault="003170E1" w:rsidP="001901ED">
            <w:pPr>
              <w:jc w:val="center"/>
              <w:rPr>
                <w:rFonts w:ascii="Arial" w:hAnsi="Arial" w:cs="Arial"/>
                <w:color w:val="000000"/>
                <w:lang w:eastAsia="es-MX"/>
              </w:rPr>
            </w:pPr>
            <w:r>
              <w:rPr>
                <w:rFonts w:ascii="Arial" w:hAnsi="Arial" w:cs="Arial"/>
                <w:color w:val="000000"/>
                <w:lang w:eastAsia="es-MX"/>
              </w:rPr>
              <w:t>0, 0.0 (0.0-0.0)</w:t>
            </w:r>
          </w:p>
        </w:tc>
      </w:tr>
      <w:tr w:rsidR="001901ED" w:rsidRPr="00A34137" w14:paraId="5F065317" w14:textId="77777777" w:rsidTr="00EE4F65">
        <w:trPr>
          <w:trHeight w:val="301"/>
          <w:jc w:val="center"/>
        </w:trPr>
        <w:tc>
          <w:tcPr>
            <w:tcW w:w="2405" w:type="dxa"/>
            <w:tcBorders>
              <w:top w:val="nil"/>
            </w:tcBorders>
            <w:vAlign w:val="center"/>
          </w:tcPr>
          <w:p w14:paraId="68B3D726" w14:textId="3C9B9A60" w:rsidR="001901ED" w:rsidRPr="00A34137" w:rsidRDefault="001901ED" w:rsidP="001901ED">
            <w:pPr>
              <w:rPr>
                <w:rFonts w:ascii="Arial" w:hAnsi="Arial" w:cs="Arial"/>
                <w:color w:val="000000"/>
                <w:lang w:eastAsia="es-MX"/>
              </w:rPr>
            </w:pPr>
            <w:r w:rsidRPr="003B32AF">
              <w:t>Dependence</w:t>
            </w:r>
          </w:p>
        </w:tc>
        <w:tc>
          <w:tcPr>
            <w:tcW w:w="2126" w:type="dxa"/>
            <w:tcBorders>
              <w:top w:val="nil"/>
            </w:tcBorders>
            <w:vAlign w:val="center"/>
          </w:tcPr>
          <w:p w14:paraId="5651C391" w14:textId="48BF8D66" w:rsidR="001901ED" w:rsidRPr="00A34137" w:rsidRDefault="00EE4F65" w:rsidP="001901ED">
            <w:pPr>
              <w:jc w:val="center"/>
              <w:rPr>
                <w:rFonts w:ascii="Arial" w:hAnsi="Arial" w:cs="Arial"/>
                <w:color w:val="000000"/>
                <w:lang w:eastAsia="es-MX"/>
              </w:rPr>
            </w:pPr>
            <w:r w:rsidRPr="00EE4F65">
              <w:rPr>
                <w:rFonts w:ascii="Arial" w:hAnsi="Arial" w:cs="Arial"/>
                <w:color w:val="000000"/>
                <w:lang w:eastAsia="es-MX"/>
              </w:rPr>
              <w:t>7</w:t>
            </w:r>
            <w:r>
              <w:rPr>
                <w:rFonts w:ascii="Arial" w:hAnsi="Arial" w:cs="Arial"/>
                <w:color w:val="000000"/>
                <w:lang w:eastAsia="es-MX"/>
              </w:rPr>
              <w:t xml:space="preserve">, </w:t>
            </w:r>
            <w:r w:rsidRPr="00EE4F65">
              <w:rPr>
                <w:rFonts w:ascii="Arial" w:hAnsi="Arial" w:cs="Arial"/>
                <w:color w:val="000000"/>
                <w:lang w:eastAsia="es-MX"/>
              </w:rPr>
              <w:t>12.7</w:t>
            </w:r>
            <w:r>
              <w:rPr>
                <w:rFonts w:ascii="Arial" w:hAnsi="Arial" w:cs="Arial"/>
                <w:color w:val="000000"/>
                <w:lang w:eastAsia="es-MX"/>
              </w:rPr>
              <w:t xml:space="preserve"> (</w:t>
            </w:r>
            <w:r w:rsidRPr="00EE4F65">
              <w:rPr>
                <w:rFonts w:ascii="Arial" w:hAnsi="Arial" w:cs="Arial"/>
                <w:color w:val="000000"/>
                <w:lang w:eastAsia="es-MX"/>
              </w:rPr>
              <w:t>5.5</w:t>
            </w:r>
            <w:r>
              <w:rPr>
                <w:rFonts w:ascii="Arial" w:hAnsi="Arial" w:cs="Arial"/>
                <w:color w:val="000000"/>
                <w:lang w:eastAsia="es-MX"/>
              </w:rPr>
              <w:t>-</w:t>
            </w:r>
            <w:r w:rsidRPr="00EE4F65">
              <w:rPr>
                <w:rFonts w:ascii="Arial" w:hAnsi="Arial" w:cs="Arial"/>
                <w:color w:val="000000"/>
                <w:lang w:eastAsia="es-MX"/>
              </w:rPr>
              <w:t>21.8</w:t>
            </w:r>
            <w:r>
              <w:rPr>
                <w:rFonts w:ascii="Arial" w:hAnsi="Arial" w:cs="Arial"/>
                <w:color w:val="000000"/>
                <w:lang w:eastAsia="es-MX"/>
              </w:rPr>
              <w:t>)</w:t>
            </w:r>
          </w:p>
        </w:tc>
        <w:tc>
          <w:tcPr>
            <w:tcW w:w="2268" w:type="dxa"/>
            <w:tcBorders>
              <w:top w:val="nil"/>
            </w:tcBorders>
            <w:vAlign w:val="center"/>
          </w:tcPr>
          <w:p w14:paraId="19C867B2" w14:textId="73FA4CBC" w:rsidR="001901ED" w:rsidRPr="00A34137" w:rsidRDefault="003170E1" w:rsidP="001901ED">
            <w:pPr>
              <w:jc w:val="center"/>
              <w:rPr>
                <w:rFonts w:ascii="Arial" w:hAnsi="Arial" w:cs="Arial"/>
                <w:color w:val="000000"/>
                <w:lang w:eastAsia="es-MX"/>
              </w:rPr>
            </w:pPr>
            <w:r w:rsidRPr="003170E1">
              <w:rPr>
                <w:rFonts w:ascii="Arial" w:hAnsi="Arial" w:cs="Arial"/>
                <w:color w:val="000000"/>
                <w:lang w:eastAsia="es-MX"/>
              </w:rPr>
              <w:t>4, 12.5 (3.1-25)</w:t>
            </w:r>
          </w:p>
        </w:tc>
        <w:tc>
          <w:tcPr>
            <w:tcW w:w="2005" w:type="dxa"/>
            <w:tcBorders>
              <w:top w:val="nil"/>
            </w:tcBorders>
            <w:shd w:val="clear" w:color="auto" w:fill="auto"/>
            <w:vAlign w:val="center"/>
          </w:tcPr>
          <w:p w14:paraId="383EDF39" w14:textId="7610626C" w:rsidR="001901ED" w:rsidRPr="00A34137" w:rsidRDefault="003170E1" w:rsidP="001901ED">
            <w:pPr>
              <w:jc w:val="center"/>
              <w:rPr>
                <w:rFonts w:ascii="Arial" w:hAnsi="Arial" w:cs="Arial"/>
                <w:color w:val="000000"/>
                <w:lang w:eastAsia="es-MX"/>
              </w:rPr>
            </w:pPr>
            <w:r w:rsidRPr="003170E1">
              <w:rPr>
                <w:rFonts w:ascii="Arial" w:hAnsi="Arial" w:cs="Arial"/>
                <w:color w:val="000000"/>
                <w:lang w:eastAsia="es-MX"/>
              </w:rPr>
              <w:t>3, 13 (0-26.1)</w:t>
            </w:r>
          </w:p>
        </w:tc>
      </w:tr>
      <w:tr w:rsidR="001901ED" w:rsidRPr="00A34137" w14:paraId="426F4828" w14:textId="77777777" w:rsidTr="00EE4F65">
        <w:trPr>
          <w:trHeight w:val="301"/>
          <w:jc w:val="center"/>
        </w:trPr>
        <w:tc>
          <w:tcPr>
            <w:tcW w:w="2405" w:type="dxa"/>
            <w:vAlign w:val="center"/>
          </w:tcPr>
          <w:p w14:paraId="10AE7AD7" w14:textId="212EEA34" w:rsidR="001901ED" w:rsidRPr="00A34137" w:rsidRDefault="001901ED" w:rsidP="001901ED">
            <w:pPr>
              <w:rPr>
                <w:rFonts w:ascii="Arial" w:hAnsi="Arial" w:cs="Arial"/>
                <w:color w:val="000000"/>
                <w:lang w:eastAsia="es-MX"/>
              </w:rPr>
            </w:pPr>
            <w:r w:rsidRPr="003B32AF">
              <w:t>Partial Independence</w:t>
            </w:r>
          </w:p>
        </w:tc>
        <w:tc>
          <w:tcPr>
            <w:tcW w:w="2126" w:type="dxa"/>
            <w:vAlign w:val="center"/>
          </w:tcPr>
          <w:p w14:paraId="10AB49A6" w14:textId="665C3494" w:rsidR="001901ED" w:rsidRPr="00A34137" w:rsidRDefault="00EE4F65" w:rsidP="001901ED">
            <w:pPr>
              <w:jc w:val="center"/>
              <w:rPr>
                <w:rFonts w:ascii="Arial" w:hAnsi="Arial" w:cs="Arial"/>
                <w:color w:val="000000"/>
                <w:lang w:eastAsia="es-MX"/>
              </w:rPr>
            </w:pPr>
            <w:r w:rsidRPr="00EE4F65">
              <w:rPr>
                <w:rFonts w:ascii="Arial" w:hAnsi="Arial" w:cs="Arial"/>
                <w:color w:val="000000"/>
                <w:lang w:eastAsia="es-MX"/>
              </w:rPr>
              <w:t>5</w:t>
            </w:r>
            <w:r>
              <w:rPr>
                <w:rFonts w:ascii="Arial" w:hAnsi="Arial" w:cs="Arial"/>
                <w:color w:val="000000"/>
                <w:lang w:eastAsia="es-MX"/>
              </w:rPr>
              <w:t xml:space="preserve">, </w:t>
            </w:r>
            <w:r w:rsidRPr="00EE4F65">
              <w:rPr>
                <w:rFonts w:ascii="Arial" w:hAnsi="Arial" w:cs="Arial"/>
                <w:color w:val="000000"/>
                <w:lang w:eastAsia="es-MX"/>
              </w:rPr>
              <w:t>9.1</w:t>
            </w:r>
            <w:r>
              <w:rPr>
                <w:rFonts w:ascii="Arial" w:hAnsi="Arial" w:cs="Arial"/>
                <w:color w:val="000000"/>
                <w:lang w:eastAsia="es-MX"/>
              </w:rPr>
              <w:t xml:space="preserve"> (</w:t>
            </w:r>
            <w:r w:rsidRPr="00EE4F65">
              <w:rPr>
                <w:rFonts w:ascii="Arial" w:hAnsi="Arial" w:cs="Arial"/>
                <w:color w:val="000000"/>
                <w:lang w:eastAsia="es-MX"/>
              </w:rPr>
              <w:t>1.8</w:t>
            </w:r>
            <w:r>
              <w:rPr>
                <w:rFonts w:ascii="Arial" w:hAnsi="Arial" w:cs="Arial"/>
                <w:color w:val="000000"/>
                <w:lang w:eastAsia="es-MX"/>
              </w:rPr>
              <w:t>-</w:t>
            </w:r>
            <w:r w:rsidRPr="00EE4F65">
              <w:rPr>
                <w:rFonts w:ascii="Arial" w:hAnsi="Arial" w:cs="Arial"/>
                <w:color w:val="000000"/>
                <w:lang w:eastAsia="es-MX"/>
              </w:rPr>
              <w:t>18.2</w:t>
            </w:r>
            <w:r>
              <w:rPr>
                <w:rFonts w:ascii="Arial" w:hAnsi="Arial" w:cs="Arial"/>
                <w:color w:val="000000"/>
                <w:lang w:eastAsia="es-MX"/>
              </w:rPr>
              <w:t>)</w:t>
            </w:r>
          </w:p>
        </w:tc>
        <w:tc>
          <w:tcPr>
            <w:tcW w:w="2268" w:type="dxa"/>
            <w:vAlign w:val="center"/>
          </w:tcPr>
          <w:p w14:paraId="163519FB" w14:textId="6567DFCF" w:rsidR="001901ED" w:rsidRPr="00A34137" w:rsidRDefault="003170E1" w:rsidP="001901ED">
            <w:pPr>
              <w:jc w:val="center"/>
              <w:rPr>
                <w:rFonts w:ascii="Arial" w:hAnsi="Arial" w:cs="Arial"/>
                <w:color w:val="000000"/>
                <w:lang w:eastAsia="es-MX"/>
              </w:rPr>
            </w:pPr>
            <w:r w:rsidRPr="003170E1">
              <w:rPr>
                <w:rFonts w:ascii="Arial" w:hAnsi="Arial" w:cs="Arial"/>
                <w:color w:val="000000"/>
                <w:lang w:eastAsia="es-MX"/>
              </w:rPr>
              <w:t>5, 15.6 (6.3-28.1)</w:t>
            </w:r>
          </w:p>
        </w:tc>
        <w:tc>
          <w:tcPr>
            <w:tcW w:w="2005" w:type="dxa"/>
            <w:shd w:val="clear" w:color="auto" w:fill="auto"/>
            <w:vAlign w:val="center"/>
          </w:tcPr>
          <w:p w14:paraId="0E328043" w14:textId="3B9B2836" w:rsidR="001901ED" w:rsidRPr="00A34137" w:rsidRDefault="003170E1" w:rsidP="001901ED">
            <w:pPr>
              <w:jc w:val="center"/>
              <w:rPr>
                <w:rFonts w:ascii="Arial" w:hAnsi="Arial" w:cs="Arial"/>
                <w:color w:val="000000"/>
                <w:lang w:eastAsia="es-MX"/>
              </w:rPr>
            </w:pPr>
            <w:r>
              <w:rPr>
                <w:rFonts w:ascii="Arial" w:hAnsi="Arial" w:cs="Arial"/>
                <w:color w:val="000000"/>
                <w:lang w:eastAsia="es-MX"/>
              </w:rPr>
              <w:t>0, 0.0 (0.0-0.0)</w:t>
            </w:r>
          </w:p>
        </w:tc>
      </w:tr>
      <w:tr w:rsidR="001901ED" w:rsidRPr="00A34137" w14:paraId="2BEBBC95" w14:textId="77777777" w:rsidTr="00EE4F65">
        <w:trPr>
          <w:trHeight w:val="301"/>
          <w:jc w:val="center"/>
        </w:trPr>
        <w:tc>
          <w:tcPr>
            <w:tcW w:w="2405" w:type="dxa"/>
            <w:vAlign w:val="center"/>
          </w:tcPr>
          <w:p w14:paraId="422FFAC0" w14:textId="5801D91E" w:rsidR="001901ED" w:rsidRPr="007A721D" w:rsidRDefault="001901ED" w:rsidP="001901ED">
            <w:pPr>
              <w:rPr>
                <w:rFonts w:ascii="Arial" w:hAnsi="Arial" w:cs="Arial"/>
                <w:color w:val="000000"/>
                <w:lang w:eastAsia="es-MX"/>
              </w:rPr>
            </w:pPr>
            <w:r w:rsidRPr="003B32AF">
              <w:t>Independence</w:t>
            </w:r>
          </w:p>
        </w:tc>
        <w:tc>
          <w:tcPr>
            <w:tcW w:w="2126" w:type="dxa"/>
            <w:vAlign w:val="center"/>
          </w:tcPr>
          <w:p w14:paraId="45B377E2" w14:textId="0D4A7536" w:rsidR="001901ED" w:rsidRPr="00FD6CFD" w:rsidRDefault="00EE4F65" w:rsidP="001901ED">
            <w:pPr>
              <w:jc w:val="center"/>
            </w:pPr>
            <w:r w:rsidRPr="00EE4F65">
              <w:t>22</w:t>
            </w:r>
            <w:r>
              <w:t xml:space="preserve">, </w:t>
            </w:r>
            <w:r w:rsidRPr="00EE4F65">
              <w:t>40.0</w:t>
            </w:r>
            <w:r>
              <w:t xml:space="preserve"> (</w:t>
            </w:r>
            <w:r w:rsidRPr="00EE4F65">
              <w:t>27.3</w:t>
            </w:r>
            <w:r>
              <w:t>-</w:t>
            </w:r>
            <w:r w:rsidRPr="00EE4F65">
              <w:t>54.5</w:t>
            </w:r>
            <w:r>
              <w:t>)</w:t>
            </w:r>
          </w:p>
        </w:tc>
        <w:tc>
          <w:tcPr>
            <w:tcW w:w="2268" w:type="dxa"/>
            <w:vAlign w:val="center"/>
          </w:tcPr>
          <w:p w14:paraId="110AF4AB" w14:textId="17A1BC87" w:rsidR="001901ED" w:rsidRPr="00F012CB" w:rsidRDefault="003170E1" w:rsidP="001901ED">
            <w:pPr>
              <w:jc w:val="center"/>
              <w:rPr>
                <w:rFonts w:ascii="Arial" w:hAnsi="Arial" w:cs="Arial"/>
                <w:color w:val="000000"/>
                <w:lang w:eastAsia="es-MX"/>
              </w:rPr>
            </w:pPr>
            <w:r w:rsidRPr="003170E1">
              <w:rPr>
                <w:rFonts w:ascii="Arial" w:hAnsi="Arial" w:cs="Arial"/>
                <w:color w:val="000000"/>
                <w:lang w:eastAsia="es-MX"/>
              </w:rPr>
              <w:t>12, 37.5 (21.9-53.1)</w:t>
            </w:r>
          </w:p>
        </w:tc>
        <w:tc>
          <w:tcPr>
            <w:tcW w:w="2005" w:type="dxa"/>
            <w:shd w:val="clear" w:color="auto" w:fill="auto"/>
            <w:vAlign w:val="center"/>
          </w:tcPr>
          <w:p w14:paraId="6C58F63F" w14:textId="4AEC40C8" w:rsidR="001901ED" w:rsidRPr="00843507" w:rsidRDefault="003170E1" w:rsidP="001901ED">
            <w:pPr>
              <w:jc w:val="center"/>
            </w:pPr>
            <w:r w:rsidRPr="003170E1">
              <w:t>10, 43.5 (21.7-65.2)</w:t>
            </w:r>
          </w:p>
        </w:tc>
      </w:tr>
      <w:tr w:rsidR="001901ED" w:rsidRPr="00A34137" w14:paraId="70B9E347" w14:textId="77777777" w:rsidTr="00EE4F65">
        <w:trPr>
          <w:trHeight w:val="301"/>
          <w:jc w:val="center"/>
        </w:trPr>
        <w:tc>
          <w:tcPr>
            <w:tcW w:w="2405" w:type="dxa"/>
            <w:vAlign w:val="center"/>
          </w:tcPr>
          <w:p w14:paraId="0DAE76F9" w14:textId="63E05E4B" w:rsidR="001901ED" w:rsidRPr="007A721D" w:rsidRDefault="001901ED" w:rsidP="001901ED">
            <w:pPr>
              <w:rPr>
                <w:rFonts w:ascii="Arial" w:hAnsi="Arial" w:cs="Arial"/>
                <w:color w:val="000000"/>
                <w:lang w:eastAsia="es-MX"/>
              </w:rPr>
            </w:pPr>
            <w:r w:rsidRPr="003B32AF">
              <w:t>Full Independence</w:t>
            </w:r>
          </w:p>
        </w:tc>
        <w:tc>
          <w:tcPr>
            <w:tcW w:w="2126" w:type="dxa"/>
            <w:vAlign w:val="center"/>
          </w:tcPr>
          <w:p w14:paraId="7916F5EF" w14:textId="6F336B6A" w:rsidR="001901ED" w:rsidRPr="00FD6CFD" w:rsidRDefault="00EE4F65" w:rsidP="001901ED">
            <w:pPr>
              <w:jc w:val="center"/>
            </w:pPr>
            <w:r w:rsidRPr="00EE4F65">
              <w:t>20</w:t>
            </w:r>
            <w:r>
              <w:t xml:space="preserve">, </w:t>
            </w:r>
            <w:r w:rsidRPr="00EE4F65">
              <w:t>36.4</w:t>
            </w:r>
            <w:r>
              <w:t xml:space="preserve"> (</w:t>
            </w:r>
            <w:r w:rsidRPr="00EE4F65">
              <w:t>21.9</w:t>
            </w:r>
            <w:r>
              <w:t>-</w:t>
            </w:r>
            <w:r w:rsidRPr="00EE4F65">
              <w:t>49.1</w:t>
            </w:r>
            <w:r>
              <w:t>)</w:t>
            </w:r>
          </w:p>
        </w:tc>
        <w:tc>
          <w:tcPr>
            <w:tcW w:w="2268" w:type="dxa"/>
            <w:vAlign w:val="center"/>
          </w:tcPr>
          <w:p w14:paraId="00E5DCF8" w14:textId="1FDC6CAE" w:rsidR="001901ED" w:rsidRPr="00F012CB" w:rsidRDefault="003170E1" w:rsidP="001901ED">
            <w:pPr>
              <w:jc w:val="center"/>
              <w:rPr>
                <w:rFonts w:ascii="Arial" w:hAnsi="Arial" w:cs="Arial"/>
                <w:color w:val="000000"/>
                <w:lang w:eastAsia="es-MX"/>
              </w:rPr>
            </w:pPr>
            <w:r w:rsidRPr="003170E1">
              <w:rPr>
                <w:rFonts w:ascii="Arial" w:hAnsi="Arial" w:cs="Arial"/>
                <w:color w:val="000000"/>
                <w:lang w:eastAsia="es-MX"/>
              </w:rPr>
              <w:t>10, 31.3 (15.6-50)</w:t>
            </w:r>
          </w:p>
        </w:tc>
        <w:tc>
          <w:tcPr>
            <w:tcW w:w="2005" w:type="dxa"/>
            <w:shd w:val="clear" w:color="auto" w:fill="auto"/>
            <w:vAlign w:val="center"/>
          </w:tcPr>
          <w:p w14:paraId="0D5AD569" w14:textId="11520982" w:rsidR="001901ED" w:rsidRPr="00843507" w:rsidRDefault="003170E1" w:rsidP="001901ED">
            <w:pPr>
              <w:jc w:val="center"/>
            </w:pPr>
            <w:r w:rsidRPr="003170E1">
              <w:t>10, 43.5 (26.1-65.2)</w:t>
            </w:r>
          </w:p>
        </w:tc>
      </w:tr>
    </w:tbl>
    <w:p w14:paraId="290836BF" w14:textId="41E46BD4" w:rsidR="006248B7" w:rsidRDefault="00766503" w:rsidP="001A2AEB">
      <w:pPr>
        <w:pStyle w:val="Body"/>
        <w:spacing w:after="0"/>
        <w:rPr>
          <w:rFonts w:ascii="Arial" w:hAnsi="Arial" w:cs="Arial"/>
        </w:rPr>
      </w:pPr>
      <w:r w:rsidRPr="00860C89">
        <w:rPr>
          <w:rFonts w:ascii="Arial" w:hAnsi="Arial" w:cs="Arial"/>
          <w:highlight w:val="yellow"/>
        </w:rPr>
        <w:t xml:space="preserve">Source: </w:t>
      </w:r>
      <w:r w:rsidR="00E8010C" w:rsidRPr="00860C89">
        <w:rPr>
          <w:rFonts w:ascii="Arial" w:hAnsi="Arial" w:cs="Arial"/>
          <w:highlight w:val="yellow"/>
        </w:rPr>
        <w:t xml:space="preserve">Prepared by the authors using data from the data base. </w:t>
      </w:r>
      <w:r w:rsidRPr="00860C89">
        <w:rPr>
          <w:rFonts w:ascii="Arial" w:hAnsi="Arial" w:cs="Arial"/>
          <w:highlight w:val="yellow"/>
        </w:rPr>
        <w:t xml:space="preserve">Prevalence of dependency was performed using the </w:t>
      </w:r>
      <w:r w:rsidR="0028066A" w:rsidRPr="00860C89">
        <w:rPr>
          <w:rFonts w:ascii="Arial" w:hAnsi="Arial" w:cs="Arial"/>
          <w:highlight w:val="yellow"/>
        </w:rPr>
        <w:t xml:space="preserve">Lowton-Brody </w:t>
      </w:r>
      <w:r w:rsidRPr="00860C89">
        <w:rPr>
          <w:rFonts w:ascii="Arial" w:hAnsi="Arial" w:cs="Arial"/>
          <w:highlight w:val="yellow"/>
        </w:rPr>
        <w:t>Index. P value calculated by chi square likelihood ratio. There are no statistically significant differences.</w:t>
      </w:r>
    </w:p>
    <w:p w14:paraId="2A8AE131" w14:textId="77777777" w:rsidR="005E58C2" w:rsidRDefault="005E58C2" w:rsidP="001A2AEB">
      <w:pPr>
        <w:pStyle w:val="Body"/>
        <w:spacing w:after="0"/>
        <w:rPr>
          <w:rFonts w:ascii="Arial" w:hAnsi="Arial" w:cs="Arial"/>
        </w:rPr>
      </w:pPr>
    </w:p>
    <w:p w14:paraId="72BA8541" w14:textId="6E85F088" w:rsidR="00D42535" w:rsidRDefault="00D42535" w:rsidP="001A2AEB">
      <w:pPr>
        <w:pStyle w:val="Body"/>
        <w:spacing w:after="0"/>
        <w:rPr>
          <w:rFonts w:ascii="Arial" w:hAnsi="Arial" w:cs="Arial"/>
        </w:rPr>
      </w:pPr>
      <w:r w:rsidRPr="00D42535">
        <w:rPr>
          <w:rFonts w:ascii="Arial" w:hAnsi="Arial" w:cs="Arial"/>
        </w:rPr>
        <w:t>Regarding the prevalence of dependency in the elderly population by sex, complete dependence and partial independence were observed exclusively in females. The dependence category showed similar prevalence between sexes. However, both independence and full independence were more frequently observed in males.</w:t>
      </w:r>
    </w:p>
    <w:p w14:paraId="2089D748" w14:textId="77777777" w:rsidR="00D42535" w:rsidRPr="006248B7" w:rsidRDefault="00D42535" w:rsidP="001A2AEB">
      <w:pPr>
        <w:pStyle w:val="Body"/>
        <w:spacing w:after="0"/>
        <w:rPr>
          <w:rFonts w:ascii="Arial" w:hAnsi="Arial" w:cs="Arial"/>
        </w:rPr>
      </w:pPr>
    </w:p>
    <w:p w14:paraId="3B290AF0" w14:textId="5DA15395" w:rsidR="006248B7" w:rsidRPr="001C5DE9" w:rsidRDefault="001C5DE9" w:rsidP="007A721D">
      <w:pPr>
        <w:pStyle w:val="Body"/>
        <w:spacing w:after="0"/>
        <w:rPr>
          <w:rFonts w:ascii="Arial" w:hAnsi="Arial" w:cs="Arial"/>
          <w:b/>
          <w:bCs/>
          <w:sz w:val="22"/>
          <w:szCs w:val="22"/>
        </w:rPr>
      </w:pPr>
      <w:r>
        <w:rPr>
          <w:rFonts w:ascii="Arial" w:hAnsi="Arial" w:cs="Arial"/>
          <w:b/>
          <w:bCs/>
          <w:sz w:val="22"/>
          <w:szCs w:val="22"/>
        </w:rPr>
        <w:t xml:space="preserve">3.5 </w:t>
      </w:r>
      <w:r w:rsidR="00A31B6E" w:rsidRPr="00A31B6E">
        <w:rPr>
          <w:rFonts w:ascii="Arial" w:hAnsi="Arial" w:cs="Arial"/>
          <w:b/>
          <w:bCs/>
          <w:sz w:val="22"/>
          <w:szCs w:val="22"/>
        </w:rPr>
        <w:t>Analysis of Health Conditi</w:t>
      </w:r>
      <w:r w:rsidR="00055060">
        <w:rPr>
          <w:rFonts w:ascii="Arial" w:hAnsi="Arial" w:cs="Arial"/>
          <w:b/>
          <w:bCs/>
          <w:sz w:val="22"/>
          <w:szCs w:val="22"/>
        </w:rPr>
        <w:t xml:space="preserve">ons and Lifestyle Factors </w:t>
      </w:r>
      <w:proofErr w:type="gramStart"/>
      <w:r w:rsidR="00055060">
        <w:rPr>
          <w:rFonts w:ascii="Arial" w:hAnsi="Arial" w:cs="Arial"/>
          <w:b/>
          <w:bCs/>
          <w:sz w:val="22"/>
          <w:szCs w:val="22"/>
        </w:rPr>
        <w:t xml:space="preserve">in </w:t>
      </w:r>
      <w:r w:rsidR="00A31B6E" w:rsidRPr="00A31B6E">
        <w:rPr>
          <w:rFonts w:ascii="Arial" w:hAnsi="Arial" w:cs="Arial"/>
          <w:b/>
          <w:bCs/>
          <w:sz w:val="22"/>
          <w:szCs w:val="22"/>
        </w:rPr>
        <w:t xml:space="preserve"> Elderly</w:t>
      </w:r>
      <w:proofErr w:type="gramEnd"/>
      <w:r w:rsidR="00A31B6E" w:rsidRPr="00A31B6E">
        <w:rPr>
          <w:rFonts w:ascii="Arial" w:hAnsi="Arial" w:cs="Arial"/>
          <w:b/>
          <w:bCs/>
          <w:sz w:val="22"/>
          <w:szCs w:val="22"/>
        </w:rPr>
        <w:t xml:space="preserve"> Population</w:t>
      </w:r>
    </w:p>
    <w:p w14:paraId="7610FC07" w14:textId="7DD676A3" w:rsidR="00CB27FB" w:rsidRDefault="00CB27FB" w:rsidP="00CB27FB">
      <w:pPr>
        <w:pStyle w:val="Body"/>
        <w:spacing w:after="0"/>
        <w:rPr>
          <w:rFonts w:ascii="Arial" w:hAnsi="Arial" w:cs="Arial"/>
        </w:rPr>
      </w:pPr>
      <w:r w:rsidRPr="00CB27FB">
        <w:rPr>
          <w:rFonts w:ascii="Arial" w:hAnsi="Arial" w:cs="Arial"/>
        </w:rPr>
        <w:t>In the study population, our findings highlight high rates of cardiovascular risk factors, metabolic disorders, and musculoskeletal conditions, as well as a significant burden of multimorbidity. Current smoking was reported by only 5.5% of individuals, whereas a history of smoking was significantly higher (40.0%), suggesting that many former smokers may have quite due to health concerns. Similarly, current alcohol consumption was lower (12.7%) compared with the history of alcoholism (50.9%), indicating that alcohol-related health risks may have influenced behavioural changes over t</w:t>
      </w:r>
      <w:r w:rsidR="00055060">
        <w:rPr>
          <w:rFonts w:ascii="Arial" w:hAnsi="Arial" w:cs="Arial"/>
        </w:rPr>
        <w:t xml:space="preserve">ime. </w:t>
      </w:r>
      <w:r w:rsidRPr="00CB27FB">
        <w:rPr>
          <w:rFonts w:ascii="Arial" w:hAnsi="Arial" w:cs="Arial"/>
        </w:rPr>
        <w:t>Sedentarism was highly prevalent (58.2%), reinforcing the importance of promoting physical activity in this population.</w:t>
      </w:r>
    </w:p>
    <w:p w14:paraId="19DCB913" w14:textId="77777777" w:rsidR="00CB27FB" w:rsidRPr="00CB27FB" w:rsidRDefault="00CB27FB" w:rsidP="00CB27FB">
      <w:pPr>
        <w:pStyle w:val="Body"/>
        <w:spacing w:after="0"/>
        <w:rPr>
          <w:rFonts w:ascii="Arial" w:hAnsi="Arial" w:cs="Arial"/>
        </w:rPr>
      </w:pPr>
    </w:p>
    <w:p w14:paraId="0C9D4FD7" w14:textId="4FB4F5C2" w:rsidR="00E8010C" w:rsidRDefault="00CB27FB" w:rsidP="00CB27FB">
      <w:pPr>
        <w:pStyle w:val="Body"/>
        <w:spacing w:after="0"/>
        <w:rPr>
          <w:rFonts w:ascii="Arial" w:hAnsi="Arial" w:cs="Arial"/>
        </w:rPr>
      </w:pPr>
      <w:r w:rsidRPr="00CB27FB">
        <w:rPr>
          <w:rFonts w:ascii="Arial" w:hAnsi="Arial" w:cs="Arial"/>
        </w:rPr>
        <w:t xml:space="preserve">Healthy eating habits were reported by 83.6%, yet the high prevalence of metabolic disorders suggests potential dietary imbalances or other contributing risk factors. Hypertension (65.5%), Type 2 Diabetes (56.4%), Overweight/Obesity (50.9%), and Dyslipidaemia (12.7%) demonstrate a significant burden of cardiovascular and metabolic diseases, reinforcing the need for lifestyle interventions and preventive care. Chronic venous insufficiency (49.1%) and ischaemic heart disease (9.1%) further highlight circulatory issues in this population. Arrhythmias (9.1%) and chronic heart failure (1.8%) reflect the presence of structural and functional cardiac disorders. Knee osteoarthritis (41.8%) and osteoporosis (9.1%) indicate a high prevalence of degenerative joint and bone conditions, which can impair mobility and quality of life. Gait disorders, lumbar spondylolisthesis (1.8%), and lumbar pain (1.8%) suggest additional musculoskeletal limitations affecting functional independence. Chronic obstructive </w:t>
      </w:r>
      <w:r w:rsidRPr="00CB27FB">
        <w:rPr>
          <w:rFonts w:ascii="Arial" w:hAnsi="Arial" w:cs="Arial"/>
        </w:rPr>
        <w:lastRenderedPageBreak/>
        <w:t xml:space="preserve">pulmonary disease (COPD) (7.3%), bronchitis (1.8%), and asthma (1.8%) indicate a notable burden of respiratory illnesses, likely linked to past smoking habits. Gastroesophageal reflux disease (18.2%) and colitis (18.2%) are common gastrointestinal conditions, potentially influenced by dietary factors and </w:t>
      </w:r>
      <w:r w:rsidR="00055060" w:rsidRPr="00CB27FB">
        <w:rPr>
          <w:rFonts w:ascii="Arial" w:hAnsi="Arial" w:cs="Arial"/>
        </w:rPr>
        <w:t>lifestyle</w:t>
      </w:r>
      <w:r w:rsidR="00055060">
        <w:rPr>
          <w:rFonts w:ascii="Arial" w:hAnsi="Arial" w:cs="Arial"/>
        </w:rPr>
        <w:t>. Moreover, h</w:t>
      </w:r>
      <w:r w:rsidR="00055060" w:rsidRPr="00CB27FB">
        <w:rPr>
          <w:rFonts w:ascii="Arial" w:hAnsi="Arial" w:cs="Arial"/>
        </w:rPr>
        <w:t>earing</w:t>
      </w:r>
      <w:r w:rsidRPr="00CB27FB">
        <w:rPr>
          <w:rFonts w:ascii="Arial" w:hAnsi="Arial" w:cs="Arial"/>
        </w:rPr>
        <w:t xml:space="preserve"> loss (40.0%), cataracts (7.3%), and glaucoma (3.6%) highlight the importance of sensory impairment screening in the elderly. Retinitis pigmentosa (1.8%) and presbyopia (1.8%) further indicate vision-related issues that could impact daily functioning. </w:t>
      </w:r>
      <w:r w:rsidR="00FE5AD3">
        <w:rPr>
          <w:rFonts w:ascii="Arial" w:hAnsi="Arial" w:cs="Arial"/>
        </w:rPr>
        <w:t>The prevalence of d</w:t>
      </w:r>
      <w:r w:rsidR="0024281A">
        <w:rPr>
          <w:rFonts w:ascii="Arial" w:hAnsi="Arial" w:cs="Arial"/>
        </w:rPr>
        <w:t>epression</w:t>
      </w:r>
      <w:r w:rsidR="00FE5AD3">
        <w:rPr>
          <w:rFonts w:ascii="Arial" w:hAnsi="Arial" w:cs="Arial"/>
        </w:rPr>
        <w:t xml:space="preserve">, according to </w:t>
      </w:r>
      <w:r w:rsidR="00FE5AD3" w:rsidRPr="00FE5AD3">
        <w:rPr>
          <w:rFonts w:ascii="Arial" w:hAnsi="Arial" w:cs="Arial"/>
          <w:lang w:val="en-US"/>
        </w:rPr>
        <w:t>Y-GDS</w:t>
      </w:r>
      <w:r w:rsidR="00FE5AD3">
        <w:rPr>
          <w:rFonts w:ascii="Arial" w:hAnsi="Arial" w:cs="Arial"/>
          <w:lang w:val="en-US"/>
        </w:rPr>
        <w:t xml:space="preserve"> was </w:t>
      </w:r>
      <w:r w:rsidR="0024281A">
        <w:rPr>
          <w:rFonts w:ascii="Arial" w:hAnsi="Arial" w:cs="Arial"/>
        </w:rPr>
        <w:t xml:space="preserve">12.7%, and </w:t>
      </w:r>
      <w:r w:rsidR="00FE5AD3">
        <w:rPr>
          <w:rFonts w:ascii="Arial" w:hAnsi="Arial" w:cs="Arial"/>
        </w:rPr>
        <w:t xml:space="preserve">the </w:t>
      </w:r>
      <w:r w:rsidR="0024281A">
        <w:rPr>
          <w:rFonts w:ascii="Arial" w:hAnsi="Arial" w:cs="Arial"/>
        </w:rPr>
        <w:t>medical history of d</w:t>
      </w:r>
      <w:r w:rsidRPr="00CB27FB">
        <w:rPr>
          <w:rFonts w:ascii="Arial" w:hAnsi="Arial" w:cs="Arial"/>
        </w:rPr>
        <w:t xml:space="preserve">epression and anxiety </w:t>
      </w:r>
      <w:r w:rsidR="00FE5AD3">
        <w:rPr>
          <w:rFonts w:ascii="Arial" w:hAnsi="Arial" w:cs="Arial"/>
        </w:rPr>
        <w:t xml:space="preserve">were </w:t>
      </w:r>
      <w:r w:rsidRPr="00CB27FB">
        <w:rPr>
          <w:rFonts w:ascii="Arial" w:hAnsi="Arial" w:cs="Arial"/>
        </w:rPr>
        <w:t>7.3%. Benign prostatic hyperplasia (1.8%), urinary incontinence (1.8%), and thyroid disorders (1.8%) were also noted, reflecting common ageing-related conditions.</w:t>
      </w:r>
    </w:p>
    <w:p w14:paraId="3E033A5E" w14:textId="77777777" w:rsidR="00E8010C" w:rsidRDefault="00E8010C" w:rsidP="00CB27FB">
      <w:pPr>
        <w:pStyle w:val="Body"/>
        <w:spacing w:after="0"/>
        <w:rPr>
          <w:rFonts w:ascii="Arial" w:hAnsi="Arial" w:cs="Arial"/>
        </w:rPr>
      </w:pPr>
    </w:p>
    <w:p w14:paraId="1569D620" w14:textId="21DB658A" w:rsidR="006248B7" w:rsidRDefault="00CB27FB" w:rsidP="00CB27FB">
      <w:pPr>
        <w:pStyle w:val="Body"/>
        <w:spacing w:after="0"/>
        <w:rPr>
          <w:rFonts w:ascii="Arial" w:hAnsi="Arial" w:cs="Arial"/>
        </w:rPr>
      </w:pPr>
      <w:r w:rsidRPr="00CB27FB">
        <w:rPr>
          <w:rFonts w:ascii="Arial" w:hAnsi="Arial" w:cs="Arial"/>
        </w:rPr>
        <w:t xml:space="preserve">This analysis highlights a high prevalence of cardiovascular, metabolic, musculoskeletal, and sensory impairments, as well as significant lifestyle risk factors, particularly sedentarism and a history of smoking and alcohol consumption. </w:t>
      </w:r>
      <w:r w:rsidR="0011410F">
        <w:rPr>
          <w:rFonts w:ascii="Arial" w:hAnsi="Arial" w:cs="Arial"/>
        </w:rPr>
        <w:t>Thus, t</w:t>
      </w:r>
      <w:r w:rsidRPr="00CB27FB">
        <w:rPr>
          <w:rFonts w:ascii="Arial" w:hAnsi="Arial" w:cs="Arial"/>
        </w:rPr>
        <w:t>hese</w:t>
      </w:r>
      <w:r w:rsidR="0011410F">
        <w:rPr>
          <w:rFonts w:ascii="Arial" w:hAnsi="Arial" w:cs="Arial"/>
        </w:rPr>
        <w:t xml:space="preserve"> findings emphasise the need of</w:t>
      </w:r>
      <w:r w:rsidRPr="00CB27FB">
        <w:rPr>
          <w:rFonts w:ascii="Arial" w:hAnsi="Arial" w:cs="Arial"/>
        </w:rPr>
        <w:t xml:space="preserve"> preventive healthcare strategies, multidisciplinary management, and targeted interventions to improve health outcomes and </w:t>
      </w:r>
      <w:r w:rsidR="0011410F">
        <w:rPr>
          <w:rFonts w:ascii="Arial" w:hAnsi="Arial" w:cs="Arial"/>
        </w:rPr>
        <w:t xml:space="preserve">life </w:t>
      </w:r>
      <w:proofErr w:type="gramStart"/>
      <w:r w:rsidR="0011410F">
        <w:rPr>
          <w:rFonts w:ascii="Arial" w:hAnsi="Arial" w:cs="Arial"/>
        </w:rPr>
        <w:t xml:space="preserve">quality </w:t>
      </w:r>
      <w:r w:rsidRPr="00CB27FB">
        <w:rPr>
          <w:rFonts w:ascii="Arial" w:hAnsi="Arial" w:cs="Arial"/>
        </w:rPr>
        <w:t xml:space="preserve"> in</w:t>
      </w:r>
      <w:proofErr w:type="gramEnd"/>
      <w:r w:rsidRPr="00CB27FB">
        <w:rPr>
          <w:rFonts w:ascii="Arial" w:hAnsi="Arial" w:cs="Arial"/>
        </w:rPr>
        <w:t xml:space="preserve"> the elderly population.</w:t>
      </w:r>
    </w:p>
    <w:p w14:paraId="2D1B7EA3" w14:textId="77777777" w:rsidR="004D63F2" w:rsidRPr="005D3AD2" w:rsidRDefault="004D63F2" w:rsidP="005D3AD2">
      <w:pPr>
        <w:pStyle w:val="Body"/>
        <w:spacing w:after="0"/>
        <w:rPr>
          <w:rFonts w:ascii="Arial" w:hAnsi="Arial" w:cs="Arial"/>
        </w:rPr>
      </w:pPr>
    </w:p>
    <w:p w14:paraId="6FB7951E" w14:textId="089E4724" w:rsidR="000A4F33" w:rsidRDefault="00D25DAB" w:rsidP="00D25DAB">
      <w:pPr>
        <w:pStyle w:val="Body"/>
        <w:spacing w:after="0"/>
        <w:rPr>
          <w:rFonts w:ascii="Arial" w:hAnsi="Arial" w:cs="Arial"/>
          <w:b/>
          <w:caps/>
          <w:sz w:val="22"/>
        </w:rPr>
      </w:pPr>
      <w:r w:rsidRPr="0054404D">
        <w:rPr>
          <w:rFonts w:ascii="Arial" w:hAnsi="Arial" w:cs="Arial"/>
          <w:b/>
          <w:caps/>
          <w:sz w:val="22"/>
        </w:rPr>
        <w:t>3.</w:t>
      </w:r>
      <w:r w:rsidR="001C5DE9">
        <w:rPr>
          <w:rFonts w:ascii="Arial" w:hAnsi="Arial" w:cs="Arial"/>
          <w:b/>
          <w:caps/>
          <w:sz w:val="22"/>
        </w:rPr>
        <w:t>6</w:t>
      </w:r>
      <w:r w:rsidRPr="0054404D">
        <w:rPr>
          <w:rFonts w:ascii="Arial" w:hAnsi="Arial" w:cs="Arial"/>
          <w:b/>
          <w:caps/>
          <w:sz w:val="22"/>
        </w:rPr>
        <w:t xml:space="preserve"> </w:t>
      </w:r>
      <w:r w:rsidR="0048507B">
        <w:rPr>
          <w:rFonts w:ascii="Arial" w:hAnsi="Arial" w:cs="Arial"/>
          <w:b/>
          <w:caps/>
          <w:sz w:val="22"/>
        </w:rPr>
        <w:t>A</w:t>
      </w:r>
      <w:r w:rsidR="0048507B">
        <w:rPr>
          <w:rFonts w:ascii="Arial" w:hAnsi="Arial" w:cs="Arial"/>
          <w:b/>
          <w:sz w:val="22"/>
        </w:rPr>
        <w:t>nalys</w:t>
      </w:r>
      <w:r w:rsidR="00D62287">
        <w:rPr>
          <w:rFonts w:ascii="Arial" w:hAnsi="Arial" w:cs="Arial"/>
          <w:b/>
          <w:sz w:val="22"/>
        </w:rPr>
        <w:t>is of association among functional dependency and sociodemographic and clinical factors</w:t>
      </w:r>
    </w:p>
    <w:p w14:paraId="788E0E70" w14:textId="0C21E99E" w:rsidR="00E8010C" w:rsidRDefault="000308A4" w:rsidP="000A4F33">
      <w:pPr>
        <w:jc w:val="both"/>
        <w:rPr>
          <w:rFonts w:ascii="Arial" w:hAnsi="Arial" w:cs="Arial"/>
        </w:rPr>
      </w:pPr>
      <w:r w:rsidRPr="000308A4">
        <w:rPr>
          <w:rFonts w:ascii="Arial" w:hAnsi="Arial" w:cs="Arial"/>
        </w:rPr>
        <w:t xml:space="preserve">For the association analysis </w:t>
      </w:r>
      <w:r>
        <w:rPr>
          <w:rFonts w:ascii="Arial" w:hAnsi="Arial" w:cs="Arial"/>
        </w:rPr>
        <w:t>among</w:t>
      </w:r>
      <w:r w:rsidRPr="000308A4">
        <w:rPr>
          <w:rFonts w:ascii="Arial" w:hAnsi="Arial" w:cs="Arial"/>
        </w:rPr>
        <w:t xml:space="preserve"> functional dependency and sociodemographic and clinical variables, functional dependency was defined as the presence of any degree of dependency based on the criteria of three validated scales that assess the ability to perform basic and instrumental activities of daily living</w:t>
      </w:r>
      <w:r>
        <w:rPr>
          <w:rFonts w:ascii="Arial" w:hAnsi="Arial" w:cs="Arial"/>
        </w:rPr>
        <w:t xml:space="preserve"> (BIADL)</w:t>
      </w:r>
      <w:r w:rsidRPr="000308A4">
        <w:rPr>
          <w:rFonts w:ascii="Arial" w:hAnsi="Arial" w:cs="Arial"/>
        </w:rPr>
        <w:t>: the Katz Index, the Barthel Index, and the Lawton &amp; Brody Scale.</w:t>
      </w:r>
      <w:r w:rsidR="002D0208">
        <w:rPr>
          <w:rFonts w:ascii="Arial" w:hAnsi="Arial" w:cs="Arial"/>
        </w:rPr>
        <w:t xml:space="preserve"> </w:t>
      </w:r>
      <w:r w:rsidRPr="000308A4">
        <w:rPr>
          <w:rFonts w:ascii="Arial" w:hAnsi="Arial" w:cs="Arial"/>
        </w:rPr>
        <w:t>Based on this definition, it was observed that 14 patients</w:t>
      </w:r>
      <w:r>
        <w:rPr>
          <w:rFonts w:ascii="Arial" w:hAnsi="Arial" w:cs="Arial"/>
        </w:rPr>
        <w:t xml:space="preserve"> (25.5%, CI 95% 14.5-36.4)</w:t>
      </w:r>
      <w:r w:rsidRPr="000308A4">
        <w:rPr>
          <w:rFonts w:ascii="Arial" w:hAnsi="Arial" w:cs="Arial"/>
        </w:rPr>
        <w:t xml:space="preserve"> exhibited some degree of functional dependency in performing </w:t>
      </w:r>
      <w:r>
        <w:rPr>
          <w:rFonts w:ascii="Arial" w:hAnsi="Arial" w:cs="Arial"/>
        </w:rPr>
        <w:t>BIADL</w:t>
      </w:r>
      <w:r w:rsidRPr="000308A4">
        <w:rPr>
          <w:rFonts w:ascii="Arial" w:hAnsi="Arial" w:cs="Arial"/>
        </w:rPr>
        <w:t>.</w:t>
      </w:r>
      <w:r w:rsidR="00E8010C">
        <w:rPr>
          <w:rFonts w:ascii="Arial" w:hAnsi="Arial" w:cs="Arial"/>
        </w:rPr>
        <w:t xml:space="preserve"> </w:t>
      </w:r>
      <w:r w:rsidR="00314F4B" w:rsidRPr="00314F4B">
        <w:rPr>
          <w:rFonts w:ascii="Arial" w:hAnsi="Arial" w:cs="Arial"/>
        </w:rPr>
        <w:t xml:space="preserve">Multiple multivariate logistic regression models were conducted; however, </w:t>
      </w:r>
      <w:r w:rsidR="0011410F">
        <w:rPr>
          <w:rFonts w:ascii="Arial" w:hAnsi="Arial" w:cs="Arial"/>
        </w:rPr>
        <w:t xml:space="preserve">it is </w:t>
      </w:r>
      <w:r w:rsidR="00314F4B" w:rsidRPr="00314F4B">
        <w:rPr>
          <w:rFonts w:ascii="Arial" w:hAnsi="Arial" w:cs="Arial"/>
        </w:rPr>
        <w:t>only</w:t>
      </w:r>
      <w:r w:rsidR="0011410F">
        <w:rPr>
          <w:rFonts w:ascii="Arial" w:hAnsi="Arial" w:cs="Arial"/>
        </w:rPr>
        <w:t xml:space="preserve"> presented</w:t>
      </w:r>
      <w:r w:rsidR="00314F4B" w:rsidRPr="00314F4B">
        <w:rPr>
          <w:rFonts w:ascii="Arial" w:hAnsi="Arial" w:cs="Arial"/>
        </w:rPr>
        <w:t xml:space="preserve"> the model that demonstrated statistical significance.</w:t>
      </w:r>
    </w:p>
    <w:p w14:paraId="286BC611" w14:textId="77777777" w:rsidR="00E8010C" w:rsidRDefault="00E8010C" w:rsidP="000A4F33">
      <w:pPr>
        <w:jc w:val="both"/>
        <w:rPr>
          <w:rFonts w:ascii="Arial" w:hAnsi="Arial" w:cs="Arial"/>
        </w:rPr>
      </w:pPr>
    </w:p>
    <w:p w14:paraId="7CB8A78E" w14:textId="170B5294" w:rsidR="000A4F33" w:rsidRDefault="00314F4B" w:rsidP="000A4F33">
      <w:pPr>
        <w:jc w:val="both"/>
        <w:rPr>
          <w:rFonts w:ascii="Arial" w:hAnsi="Arial" w:cs="Arial"/>
        </w:rPr>
      </w:pPr>
      <w:r w:rsidRPr="00314F4B">
        <w:rPr>
          <w:rFonts w:ascii="Arial" w:hAnsi="Arial" w:cs="Arial"/>
        </w:rPr>
        <w:t>Table 5 presents the multivariate logistic regression model examining the association between sociodemographic and clinical factors with functional dependency in the elderly study population. The model indicates that the likelihood of functional dependency increases with age. Additionally, elderly individuals with a history of alcoholism are significantly more likely to experience functional dependency, highlighting the potential long-term impact of alcohol consumption on health and functional status. Similarly, hearing loss remains a strong predictor of functional dependency. Employment status is not directly associated with functional dependency; however, its interaction with other variables in the model is important and warrants further analysis.</w:t>
      </w:r>
    </w:p>
    <w:p w14:paraId="3DE36B24" w14:textId="77777777" w:rsidR="00D0096E" w:rsidRPr="00D0096E" w:rsidRDefault="00D0096E" w:rsidP="000A4F33">
      <w:pPr>
        <w:jc w:val="both"/>
        <w:rPr>
          <w:rFonts w:ascii="Arial" w:hAnsi="Arial" w:cs="Arial"/>
        </w:rPr>
      </w:pPr>
    </w:p>
    <w:p w14:paraId="5321CC77" w14:textId="0EB780AC" w:rsidR="00D0096E" w:rsidRPr="005E58C2" w:rsidRDefault="00D0096E" w:rsidP="00D0096E">
      <w:pPr>
        <w:pStyle w:val="Body"/>
        <w:spacing w:after="0"/>
        <w:rPr>
          <w:rFonts w:ascii="Arial" w:hAnsi="Arial" w:cs="Arial"/>
          <w:b/>
          <w:bCs/>
        </w:rPr>
      </w:pPr>
      <w:r w:rsidRPr="005E58C2">
        <w:rPr>
          <w:rFonts w:ascii="Arial" w:hAnsi="Arial" w:cs="Arial"/>
          <w:b/>
          <w:bCs/>
        </w:rPr>
        <w:t xml:space="preserve">Table </w:t>
      </w:r>
      <w:r>
        <w:rPr>
          <w:rFonts w:ascii="Arial" w:hAnsi="Arial" w:cs="Arial"/>
          <w:b/>
          <w:bCs/>
        </w:rPr>
        <w:t>5</w:t>
      </w:r>
      <w:r w:rsidRPr="005E58C2">
        <w:rPr>
          <w:rFonts w:ascii="Arial" w:hAnsi="Arial" w:cs="Arial"/>
          <w:b/>
          <w:bCs/>
        </w:rPr>
        <w:t xml:space="preserve">. </w:t>
      </w:r>
      <w:r w:rsidRPr="00D0096E">
        <w:rPr>
          <w:rFonts w:ascii="Arial" w:hAnsi="Arial" w:cs="Arial"/>
          <w:b/>
          <w:bCs/>
        </w:rPr>
        <w:t>Logistic Regression Model for Functional Dependency in the Elderly Study Population</w:t>
      </w:r>
      <w:r w:rsidRPr="005E58C2">
        <w:rPr>
          <w:rFonts w:ascii="Arial" w:hAnsi="Arial" w:cs="Arial"/>
          <w:b/>
          <w:bCs/>
        </w:rPr>
        <w:t>.</w:t>
      </w:r>
    </w:p>
    <w:tbl>
      <w:tblPr>
        <w:tblStyle w:val="TableGrid"/>
        <w:tblW w:w="816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700"/>
        <w:gridCol w:w="1354"/>
        <w:gridCol w:w="1624"/>
        <w:gridCol w:w="1084"/>
      </w:tblGrid>
      <w:tr w:rsidR="00D0096E" w:rsidRPr="00D0096E" w14:paraId="039BBF50" w14:textId="77777777" w:rsidTr="00772665">
        <w:trPr>
          <w:trHeight w:val="305"/>
        </w:trPr>
        <w:tc>
          <w:tcPr>
            <w:tcW w:w="2405" w:type="dxa"/>
            <w:tcBorders>
              <w:top w:val="single" w:sz="4" w:space="0" w:color="auto"/>
              <w:bottom w:val="single" w:sz="4" w:space="0" w:color="auto"/>
            </w:tcBorders>
            <w:noWrap/>
            <w:hideMark/>
          </w:tcPr>
          <w:p w14:paraId="13097026" w14:textId="77777777" w:rsidR="00D0096E" w:rsidRPr="00D0096E" w:rsidRDefault="00D0096E" w:rsidP="00D0096E">
            <w:pPr>
              <w:jc w:val="both"/>
              <w:rPr>
                <w:rFonts w:ascii="Arial" w:hAnsi="Arial" w:cs="Arial"/>
                <w:sz w:val="20"/>
                <w:szCs w:val="20"/>
                <w:lang w:val="es-MX"/>
              </w:rPr>
            </w:pPr>
            <w:r w:rsidRPr="00D0096E">
              <w:rPr>
                <w:rFonts w:ascii="Arial" w:hAnsi="Arial" w:cs="Arial"/>
                <w:sz w:val="20"/>
                <w:szCs w:val="20"/>
              </w:rPr>
              <w:t>Variables</w:t>
            </w:r>
          </w:p>
        </w:tc>
        <w:tc>
          <w:tcPr>
            <w:tcW w:w="1700" w:type="dxa"/>
            <w:tcBorders>
              <w:top w:val="single" w:sz="4" w:space="0" w:color="auto"/>
              <w:bottom w:val="single" w:sz="4" w:space="0" w:color="auto"/>
            </w:tcBorders>
            <w:hideMark/>
          </w:tcPr>
          <w:p w14:paraId="6C2014AE"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B</w:t>
            </w:r>
          </w:p>
        </w:tc>
        <w:tc>
          <w:tcPr>
            <w:tcW w:w="1354" w:type="dxa"/>
            <w:tcBorders>
              <w:top w:val="single" w:sz="4" w:space="0" w:color="auto"/>
              <w:bottom w:val="single" w:sz="4" w:space="0" w:color="auto"/>
            </w:tcBorders>
            <w:hideMark/>
          </w:tcPr>
          <w:p w14:paraId="25C63DDD"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OR</w:t>
            </w:r>
          </w:p>
        </w:tc>
        <w:tc>
          <w:tcPr>
            <w:tcW w:w="1624" w:type="dxa"/>
            <w:tcBorders>
              <w:top w:val="single" w:sz="4" w:space="0" w:color="auto"/>
              <w:bottom w:val="single" w:sz="4" w:space="0" w:color="auto"/>
            </w:tcBorders>
            <w:hideMark/>
          </w:tcPr>
          <w:p w14:paraId="41401B6E"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CI 95%</w:t>
            </w:r>
          </w:p>
        </w:tc>
        <w:tc>
          <w:tcPr>
            <w:tcW w:w="1084" w:type="dxa"/>
            <w:tcBorders>
              <w:top w:val="single" w:sz="4" w:space="0" w:color="auto"/>
              <w:bottom w:val="single" w:sz="4" w:space="0" w:color="auto"/>
            </w:tcBorders>
            <w:hideMark/>
          </w:tcPr>
          <w:p w14:paraId="53692420"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P value</w:t>
            </w:r>
          </w:p>
        </w:tc>
      </w:tr>
      <w:tr w:rsidR="00D0096E" w:rsidRPr="00D0096E" w14:paraId="186B34B3" w14:textId="77777777" w:rsidTr="00772665">
        <w:trPr>
          <w:trHeight w:val="293"/>
        </w:trPr>
        <w:tc>
          <w:tcPr>
            <w:tcW w:w="2405" w:type="dxa"/>
            <w:tcBorders>
              <w:top w:val="single" w:sz="4" w:space="0" w:color="auto"/>
            </w:tcBorders>
            <w:hideMark/>
          </w:tcPr>
          <w:p w14:paraId="090711D2"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Age</w:t>
            </w:r>
          </w:p>
        </w:tc>
        <w:tc>
          <w:tcPr>
            <w:tcW w:w="1700" w:type="dxa"/>
            <w:tcBorders>
              <w:top w:val="single" w:sz="4" w:space="0" w:color="auto"/>
            </w:tcBorders>
            <w:noWrap/>
            <w:hideMark/>
          </w:tcPr>
          <w:p w14:paraId="6F4349C7" w14:textId="65AB7164"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.157</w:t>
            </w:r>
          </w:p>
        </w:tc>
        <w:tc>
          <w:tcPr>
            <w:tcW w:w="1354" w:type="dxa"/>
            <w:tcBorders>
              <w:top w:val="single" w:sz="4" w:space="0" w:color="auto"/>
            </w:tcBorders>
            <w:noWrap/>
            <w:hideMark/>
          </w:tcPr>
          <w:p w14:paraId="037242BF"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1.170</w:t>
            </w:r>
          </w:p>
        </w:tc>
        <w:tc>
          <w:tcPr>
            <w:tcW w:w="1624" w:type="dxa"/>
            <w:tcBorders>
              <w:top w:val="single" w:sz="4" w:space="0" w:color="auto"/>
            </w:tcBorders>
            <w:noWrap/>
            <w:hideMark/>
          </w:tcPr>
          <w:p w14:paraId="517738C8"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1.029-1.329</w:t>
            </w:r>
          </w:p>
        </w:tc>
        <w:tc>
          <w:tcPr>
            <w:tcW w:w="1084" w:type="dxa"/>
            <w:tcBorders>
              <w:top w:val="single" w:sz="4" w:space="0" w:color="auto"/>
            </w:tcBorders>
            <w:noWrap/>
            <w:hideMark/>
          </w:tcPr>
          <w:p w14:paraId="65CA2E9D" w14:textId="7A17EB4C"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.016</w:t>
            </w:r>
          </w:p>
        </w:tc>
      </w:tr>
      <w:tr w:rsidR="00D0096E" w:rsidRPr="00D0096E" w14:paraId="2A10B540" w14:textId="77777777" w:rsidTr="00772665">
        <w:trPr>
          <w:trHeight w:val="281"/>
        </w:trPr>
        <w:tc>
          <w:tcPr>
            <w:tcW w:w="2405" w:type="dxa"/>
            <w:hideMark/>
          </w:tcPr>
          <w:p w14:paraId="63D16D93"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History of alcoholism (1)</w:t>
            </w:r>
          </w:p>
        </w:tc>
        <w:tc>
          <w:tcPr>
            <w:tcW w:w="1700" w:type="dxa"/>
            <w:noWrap/>
            <w:hideMark/>
          </w:tcPr>
          <w:p w14:paraId="7465833B" w14:textId="06277084" w:rsidR="00D0096E" w:rsidRPr="00D0096E" w:rsidRDefault="00D0096E" w:rsidP="00D0096E">
            <w:pPr>
              <w:jc w:val="both"/>
              <w:rPr>
                <w:rFonts w:ascii="Arial" w:hAnsi="Arial" w:cs="Arial"/>
                <w:sz w:val="20"/>
                <w:szCs w:val="20"/>
              </w:rPr>
            </w:pPr>
            <w:r w:rsidRPr="00D0096E">
              <w:rPr>
                <w:rFonts w:ascii="Arial" w:hAnsi="Arial" w:cs="Arial"/>
                <w:sz w:val="20"/>
                <w:szCs w:val="20"/>
              </w:rPr>
              <w:t>2.359</w:t>
            </w:r>
          </w:p>
        </w:tc>
        <w:tc>
          <w:tcPr>
            <w:tcW w:w="1354" w:type="dxa"/>
            <w:noWrap/>
            <w:hideMark/>
          </w:tcPr>
          <w:p w14:paraId="75685EAC" w14:textId="2261DFC1" w:rsidR="00D0096E" w:rsidRPr="00D0096E" w:rsidRDefault="00EA2B03" w:rsidP="00D0096E">
            <w:pPr>
              <w:jc w:val="both"/>
              <w:rPr>
                <w:rFonts w:ascii="Arial" w:hAnsi="Arial" w:cs="Arial"/>
                <w:sz w:val="20"/>
                <w:szCs w:val="20"/>
              </w:rPr>
            </w:pPr>
            <w:r>
              <w:rPr>
                <w:rFonts w:ascii="Arial" w:hAnsi="Arial" w:cs="Arial"/>
                <w:sz w:val="20"/>
                <w:szCs w:val="20"/>
              </w:rPr>
              <w:t>1</w:t>
            </w:r>
            <w:r w:rsidR="00D0096E">
              <w:rPr>
                <w:rFonts w:ascii="Arial" w:hAnsi="Arial" w:cs="Arial"/>
                <w:sz w:val="20"/>
                <w:szCs w:val="20"/>
              </w:rPr>
              <w:t>0</w:t>
            </w:r>
            <w:r w:rsidR="00D0096E" w:rsidRPr="00D0096E">
              <w:rPr>
                <w:rFonts w:ascii="Arial" w:hAnsi="Arial" w:cs="Arial"/>
                <w:sz w:val="20"/>
                <w:szCs w:val="20"/>
              </w:rPr>
              <w:t>.5</w:t>
            </w:r>
            <w:r>
              <w:rPr>
                <w:rFonts w:ascii="Arial" w:hAnsi="Arial" w:cs="Arial"/>
                <w:sz w:val="20"/>
                <w:szCs w:val="20"/>
              </w:rPr>
              <w:t>76</w:t>
            </w:r>
          </w:p>
        </w:tc>
        <w:tc>
          <w:tcPr>
            <w:tcW w:w="1624" w:type="dxa"/>
            <w:noWrap/>
            <w:hideMark/>
          </w:tcPr>
          <w:p w14:paraId="4004F095" w14:textId="51628CF1" w:rsidR="00D0096E" w:rsidRPr="00D0096E" w:rsidRDefault="00EA2B03" w:rsidP="00D0096E">
            <w:pPr>
              <w:jc w:val="both"/>
              <w:rPr>
                <w:rFonts w:ascii="Arial" w:hAnsi="Arial" w:cs="Arial"/>
                <w:sz w:val="20"/>
                <w:szCs w:val="20"/>
              </w:rPr>
            </w:pPr>
            <w:r>
              <w:rPr>
                <w:rFonts w:ascii="Arial" w:hAnsi="Arial" w:cs="Arial"/>
                <w:sz w:val="20"/>
                <w:szCs w:val="20"/>
              </w:rPr>
              <w:t>1</w:t>
            </w:r>
            <w:r w:rsidR="00D0096E" w:rsidRPr="00D0096E">
              <w:rPr>
                <w:rFonts w:ascii="Arial" w:hAnsi="Arial" w:cs="Arial"/>
                <w:sz w:val="20"/>
                <w:szCs w:val="20"/>
              </w:rPr>
              <w:t>.</w:t>
            </w:r>
            <w:r>
              <w:rPr>
                <w:rFonts w:ascii="Arial" w:hAnsi="Arial" w:cs="Arial"/>
                <w:sz w:val="20"/>
                <w:szCs w:val="20"/>
              </w:rPr>
              <w:t>34</w:t>
            </w:r>
            <w:r w:rsidR="00D0096E" w:rsidRPr="00D0096E">
              <w:rPr>
                <w:rFonts w:ascii="Arial" w:hAnsi="Arial" w:cs="Arial"/>
                <w:sz w:val="20"/>
                <w:szCs w:val="20"/>
              </w:rPr>
              <w:t>0-</w:t>
            </w:r>
            <w:r>
              <w:rPr>
                <w:rFonts w:ascii="Arial" w:hAnsi="Arial" w:cs="Arial"/>
                <w:sz w:val="20"/>
                <w:szCs w:val="20"/>
              </w:rPr>
              <w:t>83</w:t>
            </w:r>
            <w:r w:rsidR="00D0096E" w:rsidRPr="00D0096E">
              <w:rPr>
                <w:rFonts w:ascii="Arial" w:hAnsi="Arial" w:cs="Arial"/>
                <w:sz w:val="20"/>
                <w:szCs w:val="20"/>
              </w:rPr>
              <w:t>.</w:t>
            </w:r>
            <w:r>
              <w:rPr>
                <w:rFonts w:ascii="Arial" w:hAnsi="Arial" w:cs="Arial"/>
                <w:sz w:val="20"/>
                <w:szCs w:val="20"/>
              </w:rPr>
              <w:t>491</w:t>
            </w:r>
          </w:p>
        </w:tc>
        <w:tc>
          <w:tcPr>
            <w:tcW w:w="1084" w:type="dxa"/>
            <w:noWrap/>
            <w:hideMark/>
          </w:tcPr>
          <w:p w14:paraId="188E66F6" w14:textId="02AABF98"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.025</w:t>
            </w:r>
          </w:p>
        </w:tc>
      </w:tr>
      <w:tr w:rsidR="00D0096E" w:rsidRPr="00D0096E" w14:paraId="2FF67999" w14:textId="77777777" w:rsidTr="00772665">
        <w:trPr>
          <w:trHeight w:val="281"/>
        </w:trPr>
        <w:tc>
          <w:tcPr>
            <w:tcW w:w="2405" w:type="dxa"/>
            <w:hideMark/>
          </w:tcPr>
          <w:p w14:paraId="5E060F78"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Hearing loss (1)</w:t>
            </w:r>
          </w:p>
        </w:tc>
        <w:tc>
          <w:tcPr>
            <w:tcW w:w="1700" w:type="dxa"/>
            <w:noWrap/>
            <w:hideMark/>
          </w:tcPr>
          <w:p w14:paraId="298C69C7"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2.255</w:t>
            </w:r>
          </w:p>
        </w:tc>
        <w:tc>
          <w:tcPr>
            <w:tcW w:w="1354" w:type="dxa"/>
            <w:noWrap/>
            <w:hideMark/>
          </w:tcPr>
          <w:p w14:paraId="0AC2C273"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9.536</w:t>
            </w:r>
          </w:p>
        </w:tc>
        <w:tc>
          <w:tcPr>
            <w:tcW w:w="1624" w:type="dxa"/>
            <w:noWrap/>
            <w:hideMark/>
          </w:tcPr>
          <w:p w14:paraId="6CAA705E"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1.282-70.923</w:t>
            </w:r>
          </w:p>
        </w:tc>
        <w:tc>
          <w:tcPr>
            <w:tcW w:w="1084" w:type="dxa"/>
            <w:noWrap/>
            <w:hideMark/>
          </w:tcPr>
          <w:p w14:paraId="61A5C7FF" w14:textId="6B84DCCB"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.028</w:t>
            </w:r>
          </w:p>
        </w:tc>
      </w:tr>
      <w:tr w:rsidR="00D0096E" w:rsidRPr="00D0096E" w14:paraId="0A2CD541" w14:textId="77777777" w:rsidTr="00772665">
        <w:trPr>
          <w:trHeight w:val="281"/>
        </w:trPr>
        <w:tc>
          <w:tcPr>
            <w:tcW w:w="2405" w:type="dxa"/>
            <w:hideMark/>
          </w:tcPr>
          <w:p w14:paraId="1DA3B501"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Employment (1)</w:t>
            </w:r>
          </w:p>
        </w:tc>
        <w:tc>
          <w:tcPr>
            <w:tcW w:w="1700" w:type="dxa"/>
            <w:noWrap/>
            <w:hideMark/>
          </w:tcPr>
          <w:p w14:paraId="2C63B9B6"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2.274</w:t>
            </w:r>
          </w:p>
        </w:tc>
        <w:tc>
          <w:tcPr>
            <w:tcW w:w="1354" w:type="dxa"/>
            <w:noWrap/>
            <w:hideMark/>
          </w:tcPr>
          <w:p w14:paraId="08D84680"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9.722</w:t>
            </w:r>
          </w:p>
        </w:tc>
        <w:tc>
          <w:tcPr>
            <w:tcW w:w="1624" w:type="dxa"/>
            <w:noWrap/>
            <w:hideMark/>
          </w:tcPr>
          <w:p w14:paraId="6C1545A2"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0.780-121.136</w:t>
            </w:r>
          </w:p>
        </w:tc>
        <w:tc>
          <w:tcPr>
            <w:tcW w:w="1084" w:type="dxa"/>
            <w:noWrap/>
            <w:hideMark/>
          </w:tcPr>
          <w:p w14:paraId="071D4D58" w14:textId="631748E3"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.077</w:t>
            </w:r>
          </w:p>
        </w:tc>
      </w:tr>
      <w:tr w:rsidR="00D0096E" w:rsidRPr="00D0096E" w14:paraId="580F70D4" w14:textId="77777777" w:rsidTr="00772665">
        <w:trPr>
          <w:trHeight w:val="293"/>
        </w:trPr>
        <w:tc>
          <w:tcPr>
            <w:tcW w:w="2405" w:type="dxa"/>
            <w:hideMark/>
          </w:tcPr>
          <w:p w14:paraId="74FDDF80"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Constant</w:t>
            </w:r>
          </w:p>
        </w:tc>
        <w:tc>
          <w:tcPr>
            <w:tcW w:w="1700" w:type="dxa"/>
            <w:noWrap/>
            <w:hideMark/>
          </w:tcPr>
          <w:p w14:paraId="4A7416E1"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-14.044</w:t>
            </w:r>
          </w:p>
        </w:tc>
        <w:tc>
          <w:tcPr>
            <w:tcW w:w="1354" w:type="dxa"/>
            <w:noWrap/>
            <w:hideMark/>
          </w:tcPr>
          <w:p w14:paraId="629E866F" w14:textId="0D9DF996"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.000</w:t>
            </w:r>
          </w:p>
        </w:tc>
        <w:tc>
          <w:tcPr>
            <w:tcW w:w="1624" w:type="dxa"/>
            <w:hideMark/>
          </w:tcPr>
          <w:p w14:paraId="76984236" w14:textId="16D44C96" w:rsidR="00D0096E" w:rsidRPr="00D0096E" w:rsidRDefault="00D0096E" w:rsidP="00D0096E">
            <w:pPr>
              <w:jc w:val="both"/>
              <w:rPr>
                <w:rFonts w:ascii="Arial" w:hAnsi="Arial" w:cs="Arial"/>
                <w:sz w:val="20"/>
                <w:szCs w:val="20"/>
              </w:rPr>
            </w:pPr>
          </w:p>
        </w:tc>
        <w:tc>
          <w:tcPr>
            <w:tcW w:w="1084" w:type="dxa"/>
            <w:noWrap/>
            <w:hideMark/>
          </w:tcPr>
          <w:p w14:paraId="4A31156A" w14:textId="0F542806"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.010</w:t>
            </w:r>
          </w:p>
        </w:tc>
      </w:tr>
    </w:tbl>
    <w:p w14:paraId="1E7A76AF" w14:textId="6B632CA3" w:rsidR="00D0096E" w:rsidRPr="00D0096E" w:rsidRDefault="00E8010C" w:rsidP="00E8010C">
      <w:pPr>
        <w:jc w:val="both"/>
        <w:rPr>
          <w:rFonts w:ascii="Arial" w:hAnsi="Arial" w:cs="Arial"/>
        </w:rPr>
      </w:pPr>
      <w:r>
        <w:rPr>
          <w:rFonts w:ascii="Arial" w:hAnsi="Arial" w:cs="Arial"/>
        </w:rPr>
        <w:t xml:space="preserve">Source: </w:t>
      </w:r>
      <w:r w:rsidRPr="007270EE">
        <w:rPr>
          <w:rFonts w:ascii="Arial" w:hAnsi="Arial" w:cs="Arial"/>
        </w:rPr>
        <w:t>Prepared by the authors using data from the data base.</w:t>
      </w:r>
      <w:r>
        <w:rPr>
          <w:rFonts w:ascii="Arial" w:hAnsi="Arial" w:cs="Arial"/>
        </w:rPr>
        <w:t xml:space="preserve"> Data variables in the model: age (numeric), </w:t>
      </w:r>
      <w:r w:rsidRPr="00E8010C">
        <w:rPr>
          <w:rFonts w:ascii="Arial" w:hAnsi="Arial" w:cs="Arial"/>
        </w:rPr>
        <w:t>History of alcoholism</w:t>
      </w:r>
      <w:r>
        <w:rPr>
          <w:rFonts w:ascii="Arial" w:hAnsi="Arial" w:cs="Arial"/>
        </w:rPr>
        <w:t xml:space="preserve">: </w:t>
      </w:r>
      <w:r w:rsidRPr="00E8010C">
        <w:rPr>
          <w:rFonts w:ascii="Arial" w:hAnsi="Arial" w:cs="Arial"/>
        </w:rPr>
        <w:t>presence</w:t>
      </w:r>
      <w:r>
        <w:rPr>
          <w:rFonts w:ascii="Arial" w:hAnsi="Arial" w:cs="Arial"/>
        </w:rPr>
        <w:t xml:space="preserve">= 1. </w:t>
      </w:r>
      <w:r w:rsidRPr="00E8010C">
        <w:rPr>
          <w:rFonts w:ascii="Arial" w:hAnsi="Arial" w:cs="Arial"/>
        </w:rPr>
        <w:t>absence</w:t>
      </w:r>
      <w:r>
        <w:rPr>
          <w:rFonts w:ascii="Arial" w:hAnsi="Arial" w:cs="Arial"/>
        </w:rPr>
        <w:t xml:space="preserve">= 0. </w:t>
      </w:r>
      <w:r w:rsidRPr="00E8010C">
        <w:rPr>
          <w:rFonts w:ascii="Arial" w:hAnsi="Arial" w:cs="Arial"/>
        </w:rPr>
        <w:t>Hearing loss</w:t>
      </w:r>
      <w:r>
        <w:rPr>
          <w:rFonts w:ascii="Arial" w:hAnsi="Arial" w:cs="Arial"/>
        </w:rPr>
        <w:t xml:space="preserve">: </w:t>
      </w:r>
      <w:r w:rsidRPr="00E8010C">
        <w:rPr>
          <w:rFonts w:ascii="Arial" w:hAnsi="Arial" w:cs="Arial"/>
        </w:rPr>
        <w:t>presence</w:t>
      </w:r>
      <w:r>
        <w:rPr>
          <w:rFonts w:ascii="Arial" w:hAnsi="Arial" w:cs="Arial"/>
        </w:rPr>
        <w:t xml:space="preserve">= 1. </w:t>
      </w:r>
      <w:r w:rsidRPr="00E8010C">
        <w:rPr>
          <w:rFonts w:ascii="Arial" w:hAnsi="Arial" w:cs="Arial"/>
        </w:rPr>
        <w:t>absence</w:t>
      </w:r>
      <w:r>
        <w:rPr>
          <w:rFonts w:ascii="Arial" w:hAnsi="Arial" w:cs="Arial"/>
        </w:rPr>
        <w:t xml:space="preserve">= 0. </w:t>
      </w:r>
      <w:r w:rsidRPr="00E8010C">
        <w:rPr>
          <w:rFonts w:ascii="Arial" w:hAnsi="Arial" w:cs="Arial"/>
        </w:rPr>
        <w:t>Employment</w:t>
      </w:r>
      <w:r>
        <w:rPr>
          <w:rFonts w:ascii="Arial" w:hAnsi="Arial" w:cs="Arial"/>
        </w:rPr>
        <w:t>:</w:t>
      </w:r>
      <w:r w:rsidRPr="00E8010C">
        <w:rPr>
          <w:rFonts w:ascii="Arial" w:hAnsi="Arial" w:cs="Arial"/>
        </w:rPr>
        <w:t xml:space="preserve"> presence</w:t>
      </w:r>
      <w:r>
        <w:rPr>
          <w:rFonts w:ascii="Arial" w:hAnsi="Arial" w:cs="Arial"/>
        </w:rPr>
        <w:t xml:space="preserve">= 1. </w:t>
      </w:r>
      <w:r w:rsidRPr="00E8010C">
        <w:rPr>
          <w:rFonts w:ascii="Arial" w:hAnsi="Arial" w:cs="Arial"/>
        </w:rPr>
        <w:t>absence</w:t>
      </w:r>
      <w:r>
        <w:rPr>
          <w:rFonts w:ascii="Arial" w:hAnsi="Arial" w:cs="Arial"/>
        </w:rPr>
        <w:t>= 0.</w:t>
      </w:r>
    </w:p>
    <w:p w14:paraId="251530DB" w14:textId="77777777" w:rsidR="00D0096E" w:rsidRPr="00D0096E" w:rsidRDefault="00D0096E" w:rsidP="000A4F33">
      <w:pPr>
        <w:jc w:val="both"/>
        <w:rPr>
          <w:rFonts w:ascii="Arial" w:hAnsi="Arial" w:cs="Arial"/>
        </w:rPr>
      </w:pPr>
    </w:p>
    <w:p w14:paraId="1E513C91" w14:textId="1952133C" w:rsidR="00034843" w:rsidRPr="00D0096E" w:rsidRDefault="000A4F33" w:rsidP="00D25DAB">
      <w:pPr>
        <w:pStyle w:val="Body"/>
        <w:spacing w:after="0"/>
        <w:rPr>
          <w:rFonts w:ascii="Arial" w:hAnsi="Arial" w:cs="Arial"/>
          <w:b/>
        </w:rPr>
      </w:pPr>
      <w:r w:rsidRPr="00D0096E">
        <w:rPr>
          <w:rFonts w:ascii="Arial" w:hAnsi="Arial" w:cs="Arial"/>
          <w:b/>
          <w:caps/>
        </w:rPr>
        <w:t xml:space="preserve">3.7 </w:t>
      </w:r>
      <w:r w:rsidR="00034843" w:rsidRPr="00D0096E">
        <w:rPr>
          <w:rFonts w:ascii="Arial" w:hAnsi="Arial" w:cs="Arial"/>
          <w:b/>
        </w:rPr>
        <w:t>Discussion.</w:t>
      </w:r>
    </w:p>
    <w:p w14:paraId="00C97611" w14:textId="77777777" w:rsidR="004B3B5A" w:rsidRPr="004B3B5A" w:rsidRDefault="004B3B5A" w:rsidP="004B3B5A">
      <w:pPr>
        <w:pStyle w:val="Body"/>
        <w:spacing w:after="0"/>
        <w:rPr>
          <w:rFonts w:ascii="Arial" w:hAnsi="Arial" w:cs="Arial"/>
        </w:rPr>
      </w:pPr>
      <w:r w:rsidRPr="00D0096E">
        <w:rPr>
          <w:rFonts w:ascii="Arial" w:hAnsi="Arial" w:cs="Arial"/>
        </w:rPr>
        <w:lastRenderedPageBreak/>
        <w:t>This study provides a comprehensive analysis of the demographic, socioeconomic, and health characteristics of an elderly population, highlighting key gender differences, functional</w:t>
      </w:r>
      <w:r w:rsidRPr="004B3B5A">
        <w:rPr>
          <w:rFonts w:ascii="Arial" w:hAnsi="Arial" w:cs="Arial"/>
        </w:rPr>
        <w:t xml:space="preserve"> impairments, and the burden of multimorbidity. The findings underscore critical public health concerns and the need for targeted interventions to improve well-being in this population.</w:t>
      </w:r>
    </w:p>
    <w:p w14:paraId="4BC308F9" w14:textId="77777777" w:rsidR="004B3B5A" w:rsidRPr="004B3B5A" w:rsidRDefault="004B3B5A" w:rsidP="004B3B5A">
      <w:pPr>
        <w:pStyle w:val="Body"/>
        <w:spacing w:after="0"/>
        <w:rPr>
          <w:rFonts w:ascii="Arial" w:hAnsi="Arial" w:cs="Arial"/>
        </w:rPr>
      </w:pPr>
    </w:p>
    <w:p w14:paraId="143C050A" w14:textId="2B2BC02C" w:rsidR="004B3B5A" w:rsidRPr="004B3B5A" w:rsidRDefault="004B3B5A" w:rsidP="004B3B5A">
      <w:pPr>
        <w:pStyle w:val="Body"/>
        <w:spacing w:after="0"/>
        <w:rPr>
          <w:rFonts w:ascii="Arial" w:hAnsi="Arial" w:cs="Arial"/>
          <w:b/>
          <w:bCs/>
        </w:rPr>
      </w:pPr>
      <w:r>
        <w:rPr>
          <w:rFonts w:ascii="Arial" w:hAnsi="Arial" w:cs="Arial"/>
          <w:b/>
          <w:bCs/>
        </w:rPr>
        <w:t xml:space="preserve">3.6.1 </w:t>
      </w:r>
      <w:r w:rsidRPr="004B3B5A">
        <w:rPr>
          <w:rFonts w:ascii="Arial" w:hAnsi="Arial" w:cs="Arial"/>
          <w:b/>
          <w:bCs/>
        </w:rPr>
        <w:t>Demographic and Socioeconomic Disparities</w:t>
      </w:r>
    </w:p>
    <w:p w14:paraId="597D2A74" w14:textId="462A3182" w:rsidR="004B3B5A" w:rsidRDefault="008F5B7F" w:rsidP="00967B5C">
      <w:pPr>
        <w:jc w:val="both"/>
        <w:rPr>
          <w:rFonts w:ascii="Arial" w:hAnsi="Arial" w:cs="Arial"/>
        </w:rPr>
      </w:pPr>
      <w:r w:rsidRPr="008F5B7F">
        <w:rPr>
          <w:rFonts w:ascii="Arial" w:hAnsi="Arial" w:cs="Arial"/>
        </w:rPr>
        <w:t>The higher proportion of females in the study reflects global demographic trends, where females typically have a longer life expectancy than men</w:t>
      </w:r>
      <w:r w:rsidR="00E513C6">
        <w:rPr>
          <w:rFonts w:ascii="Arial" w:hAnsi="Arial" w:cs="Arial"/>
        </w:rPr>
        <w:t xml:space="preserve"> (</w:t>
      </w:r>
      <w:r w:rsidR="00E513C6" w:rsidRPr="00E513C6">
        <w:rPr>
          <w:rFonts w:ascii="Arial" w:hAnsi="Arial" w:cs="Arial"/>
        </w:rPr>
        <w:t>Baum</w:t>
      </w:r>
      <w:r w:rsidR="00E513C6">
        <w:rPr>
          <w:rFonts w:ascii="Arial" w:hAnsi="Arial" w:cs="Arial"/>
        </w:rPr>
        <w:t xml:space="preserve"> et al. </w:t>
      </w:r>
      <w:r w:rsidR="00E513C6" w:rsidRPr="00E513C6">
        <w:rPr>
          <w:rFonts w:ascii="Arial" w:hAnsi="Arial" w:cs="Arial"/>
        </w:rPr>
        <w:t>2021</w:t>
      </w:r>
      <w:r w:rsidR="00E513C6">
        <w:rPr>
          <w:rFonts w:ascii="Arial" w:hAnsi="Arial" w:cs="Arial"/>
        </w:rPr>
        <w:t>)</w:t>
      </w:r>
      <w:r w:rsidRPr="008F5B7F">
        <w:rPr>
          <w:rFonts w:ascii="Arial" w:hAnsi="Arial" w:cs="Arial"/>
        </w:rPr>
        <w:t>.</w:t>
      </w:r>
      <w:r w:rsidR="0011410F">
        <w:rPr>
          <w:rFonts w:ascii="Arial" w:hAnsi="Arial" w:cs="Arial"/>
        </w:rPr>
        <w:t xml:space="preserve"> </w:t>
      </w:r>
      <w:r w:rsidRPr="008F5B7F">
        <w:rPr>
          <w:rFonts w:ascii="Arial" w:hAnsi="Arial" w:cs="Arial"/>
        </w:rPr>
        <w:t xml:space="preserve"> Mari</w:t>
      </w:r>
      <w:r w:rsidR="0011410F">
        <w:rPr>
          <w:rFonts w:ascii="Arial" w:hAnsi="Arial" w:cs="Arial"/>
        </w:rPr>
        <w:t>tal status also differed by sex where m</w:t>
      </w:r>
      <w:r w:rsidRPr="008F5B7F">
        <w:rPr>
          <w:rFonts w:ascii="Arial" w:hAnsi="Arial" w:cs="Arial"/>
        </w:rPr>
        <w:t xml:space="preserve">ales were </w:t>
      </w:r>
      <w:r w:rsidR="0011410F">
        <w:rPr>
          <w:rFonts w:ascii="Arial" w:hAnsi="Arial" w:cs="Arial"/>
        </w:rPr>
        <w:t>more likely to be married, and</w:t>
      </w:r>
      <w:r w:rsidRPr="008F5B7F">
        <w:rPr>
          <w:rFonts w:ascii="Arial" w:hAnsi="Arial" w:cs="Arial"/>
        </w:rPr>
        <w:t xml:space="preserve"> females were predominantly widowed. </w:t>
      </w:r>
      <w:r w:rsidR="00B751BB" w:rsidRPr="00B751BB">
        <w:rPr>
          <w:rFonts w:ascii="Arial" w:hAnsi="Arial" w:cs="Arial"/>
        </w:rPr>
        <w:t xml:space="preserve">These differences reflect known demographic patterns, where older </w:t>
      </w:r>
      <w:r w:rsidR="00B751BB">
        <w:rPr>
          <w:rFonts w:ascii="Arial" w:hAnsi="Arial" w:cs="Arial"/>
        </w:rPr>
        <w:t>females</w:t>
      </w:r>
      <w:r w:rsidR="00B751BB" w:rsidRPr="00B751BB">
        <w:rPr>
          <w:rFonts w:ascii="Arial" w:hAnsi="Arial" w:cs="Arial"/>
        </w:rPr>
        <w:t xml:space="preserve"> have a higher likelihood of widowhood.</w:t>
      </w:r>
      <w:r w:rsidR="00B751BB">
        <w:rPr>
          <w:rFonts w:ascii="Arial" w:hAnsi="Arial" w:cs="Arial"/>
        </w:rPr>
        <w:t xml:space="preserve"> </w:t>
      </w:r>
      <w:r w:rsidRPr="008F5B7F">
        <w:rPr>
          <w:rFonts w:ascii="Arial" w:hAnsi="Arial" w:cs="Arial"/>
        </w:rPr>
        <w:t>This pattern can be attributed to higher male mortality rates and traditional age differences in marriage, where males often marry younger partners</w:t>
      </w:r>
      <w:r w:rsidR="00E513C6">
        <w:rPr>
          <w:rFonts w:ascii="Arial" w:hAnsi="Arial" w:cs="Arial"/>
        </w:rPr>
        <w:t xml:space="preserve"> (</w:t>
      </w:r>
      <w:r w:rsidR="00E513C6" w:rsidRPr="00E513C6">
        <w:rPr>
          <w:rFonts w:ascii="Arial" w:hAnsi="Arial" w:cs="Arial"/>
        </w:rPr>
        <w:t>Baum</w:t>
      </w:r>
      <w:r w:rsidR="00E513C6">
        <w:rPr>
          <w:rFonts w:ascii="Arial" w:hAnsi="Arial" w:cs="Arial"/>
        </w:rPr>
        <w:t xml:space="preserve"> et al. </w:t>
      </w:r>
      <w:r w:rsidR="00E513C6" w:rsidRPr="00E513C6">
        <w:rPr>
          <w:rFonts w:ascii="Arial" w:hAnsi="Arial" w:cs="Arial"/>
        </w:rPr>
        <w:t>2021</w:t>
      </w:r>
      <w:r w:rsidR="00E513C6">
        <w:rPr>
          <w:rFonts w:ascii="Arial" w:hAnsi="Arial" w:cs="Arial"/>
        </w:rPr>
        <w:t xml:space="preserve">, </w:t>
      </w:r>
      <w:r w:rsidR="00E513C6" w:rsidRPr="00E513C6">
        <w:rPr>
          <w:rFonts w:ascii="Arial" w:hAnsi="Arial" w:cs="Arial"/>
        </w:rPr>
        <w:t>Jia &amp; Lubetkin 2020</w:t>
      </w:r>
      <w:r w:rsidR="00E513C6">
        <w:rPr>
          <w:rFonts w:ascii="Arial" w:hAnsi="Arial" w:cs="Arial"/>
        </w:rPr>
        <w:t>)</w:t>
      </w:r>
      <w:r w:rsidRPr="008F5B7F">
        <w:rPr>
          <w:rFonts w:ascii="Arial" w:hAnsi="Arial" w:cs="Arial"/>
        </w:rPr>
        <w:t>.</w:t>
      </w:r>
      <w:r w:rsidR="0011410F">
        <w:rPr>
          <w:rFonts w:ascii="Arial" w:hAnsi="Arial" w:cs="Arial"/>
        </w:rPr>
        <w:t xml:space="preserve"> </w:t>
      </w:r>
      <w:proofErr w:type="gramStart"/>
      <w:r w:rsidR="003049BF">
        <w:rPr>
          <w:rFonts w:ascii="Arial" w:hAnsi="Arial" w:cs="Arial"/>
        </w:rPr>
        <w:t xml:space="preserve">Furthermore, </w:t>
      </w:r>
      <w:r w:rsidR="00E513C6">
        <w:rPr>
          <w:rFonts w:ascii="Arial" w:hAnsi="Arial" w:cs="Arial"/>
        </w:rPr>
        <w:t xml:space="preserve"> </w:t>
      </w:r>
      <w:r w:rsidR="003049BF">
        <w:rPr>
          <w:rFonts w:ascii="Arial" w:hAnsi="Arial" w:cs="Arial"/>
        </w:rPr>
        <w:t>s</w:t>
      </w:r>
      <w:r w:rsidR="004B3B5A" w:rsidRPr="004B3B5A">
        <w:rPr>
          <w:rFonts w:ascii="Arial" w:hAnsi="Arial" w:cs="Arial"/>
        </w:rPr>
        <w:t>ocioeconomic</w:t>
      </w:r>
      <w:proofErr w:type="gramEnd"/>
      <w:r w:rsidR="004B3B5A" w:rsidRPr="004B3B5A">
        <w:rPr>
          <w:rFonts w:ascii="Arial" w:hAnsi="Arial" w:cs="Arial"/>
        </w:rPr>
        <w:t xml:space="preserve"> disparities were notable, particularly regarding education and income levels. Males were more likely to have completed higher education and belonged to higher socioeconomic strata, whereas females were overrepresented in lower economic levels.</w:t>
      </w:r>
      <w:r w:rsidR="003049BF">
        <w:rPr>
          <w:rFonts w:ascii="Arial" w:hAnsi="Arial" w:cs="Arial"/>
        </w:rPr>
        <w:t xml:space="preserve"> Hence, t</w:t>
      </w:r>
      <w:r w:rsidR="00967B5C" w:rsidRPr="00967B5C">
        <w:rPr>
          <w:rFonts w:ascii="Arial" w:hAnsi="Arial" w:cs="Arial"/>
        </w:rPr>
        <w:t>his gender gap in education and economic status highlights historical inequalities that may influence access to healthcare, resources and opportunities, financial independence, and overall quality of life (</w:t>
      </w:r>
      <w:proofErr w:type="spellStart"/>
      <w:r w:rsidR="00967B5C" w:rsidRPr="00967B5C">
        <w:rPr>
          <w:rFonts w:ascii="Arial" w:hAnsi="Arial" w:cs="Arial"/>
        </w:rPr>
        <w:t>Malmusi</w:t>
      </w:r>
      <w:proofErr w:type="spellEnd"/>
      <w:r w:rsidR="00967B5C" w:rsidRPr="00967B5C">
        <w:rPr>
          <w:rFonts w:ascii="Arial" w:hAnsi="Arial" w:cs="Arial"/>
        </w:rPr>
        <w:t xml:space="preserve"> et al. 2014, Azad et al. 2020, </w:t>
      </w:r>
      <w:proofErr w:type="spellStart"/>
      <w:r w:rsidR="00967B5C" w:rsidRPr="00967B5C">
        <w:rPr>
          <w:rFonts w:ascii="Arial" w:hAnsi="Arial" w:cs="Arial"/>
        </w:rPr>
        <w:t>Abdulkadri</w:t>
      </w:r>
      <w:proofErr w:type="spellEnd"/>
      <w:r w:rsidR="00967B5C" w:rsidRPr="00967B5C">
        <w:rPr>
          <w:rFonts w:ascii="Arial" w:hAnsi="Arial" w:cs="Arial"/>
        </w:rPr>
        <w:t xml:space="preserve"> et al. 2022), which can influence their vulnerability.</w:t>
      </w:r>
    </w:p>
    <w:p w14:paraId="1BA38FDF" w14:textId="77777777" w:rsidR="00967B5C" w:rsidRPr="004B3B5A" w:rsidRDefault="00967B5C" w:rsidP="00967B5C">
      <w:pPr>
        <w:jc w:val="both"/>
        <w:rPr>
          <w:rFonts w:ascii="Arial" w:hAnsi="Arial" w:cs="Arial"/>
        </w:rPr>
      </w:pPr>
    </w:p>
    <w:p w14:paraId="31D292E3" w14:textId="7CAA6028" w:rsidR="004B3B5A" w:rsidRPr="007F0787" w:rsidRDefault="007F0787" w:rsidP="004B3B5A">
      <w:pPr>
        <w:pStyle w:val="Body"/>
        <w:spacing w:after="0"/>
        <w:rPr>
          <w:rFonts w:ascii="Arial" w:hAnsi="Arial" w:cs="Arial"/>
          <w:b/>
          <w:bCs/>
        </w:rPr>
      </w:pPr>
      <w:r w:rsidRPr="007F0787">
        <w:rPr>
          <w:rFonts w:ascii="Arial" w:hAnsi="Arial" w:cs="Arial"/>
          <w:b/>
          <w:bCs/>
        </w:rPr>
        <w:t xml:space="preserve">3.6.2 </w:t>
      </w:r>
      <w:r w:rsidR="004B3B5A" w:rsidRPr="007F0787">
        <w:rPr>
          <w:rFonts w:ascii="Arial" w:hAnsi="Arial" w:cs="Arial"/>
          <w:b/>
          <w:bCs/>
        </w:rPr>
        <w:t xml:space="preserve">Functional Impairment and Independence in </w:t>
      </w:r>
      <w:r w:rsidRPr="007F0787">
        <w:rPr>
          <w:rFonts w:ascii="Arial" w:hAnsi="Arial" w:cs="Arial"/>
          <w:b/>
          <w:bCs/>
        </w:rPr>
        <w:t>Basic and Instrumental Activities of Daily Living</w:t>
      </w:r>
    </w:p>
    <w:p w14:paraId="54CEB538" w14:textId="7394192A" w:rsidR="004B3B5A" w:rsidRDefault="008B5017" w:rsidP="004B3B5A">
      <w:pPr>
        <w:pStyle w:val="Body"/>
        <w:spacing w:after="0"/>
        <w:rPr>
          <w:rFonts w:ascii="Arial" w:hAnsi="Arial" w:cs="Arial"/>
        </w:rPr>
      </w:pPr>
      <w:r w:rsidRPr="008B5017">
        <w:rPr>
          <w:rFonts w:ascii="Arial" w:hAnsi="Arial" w:cs="Arial"/>
        </w:rPr>
        <w:t xml:space="preserve">The study found that while most participants maintained mild functional impairment, moderate to severe disability was more prevalent in females, whereas males demonstrated higher levels of independence across most ADLs. This aligns with previous findings suggesting that </w:t>
      </w:r>
      <w:r w:rsidR="002D27EA">
        <w:rPr>
          <w:rFonts w:ascii="Arial" w:hAnsi="Arial" w:cs="Arial"/>
        </w:rPr>
        <w:t>females</w:t>
      </w:r>
      <w:r w:rsidRPr="008B5017">
        <w:rPr>
          <w:rFonts w:ascii="Arial" w:hAnsi="Arial" w:cs="Arial"/>
        </w:rPr>
        <w:t xml:space="preserve"> experience greater disability in later life due to increased longevity, higher rates of musculoskeletal disorders, and a greater burden of chronic conditions</w:t>
      </w:r>
      <w:r w:rsidR="002D27EA">
        <w:rPr>
          <w:rFonts w:ascii="Arial" w:hAnsi="Arial" w:cs="Arial"/>
        </w:rPr>
        <w:t xml:space="preserve"> (</w:t>
      </w:r>
      <w:r w:rsidR="002D27EA" w:rsidRPr="002D27EA">
        <w:rPr>
          <w:rFonts w:ascii="Arial" w:hAnsi="Arial" w:cs="Arial"/>
        </w:rPr>
        <w:t>Mudrick 1988</w:t>
      </w:r>
      <w:r w:rsidR="002D27EA">
        <w:rPr>
          <w:rFonts w:ascii="Arial" w:hAnsi="Arial" w:cs="Arial"/>
        </w:rPr>
        <w:t xml:space="preserve">, </w:t>
      </w:r>
      <w:r w:rsidR="002D27EA" w:rsidRPr="002D27EA">
        <w:rPr>
          <w:rFonts w:ascii="Arial" w:hAnsi="Arial" w:cs="Arial"/>
        </w:rPr>
        <w:t>Leveille</w:t>
      </w:r>
      <w:r w:rsidR="002D27EA">
        <w:rPr>
          <w:rFonts w:ascii="Arial" w:hAnsi="Arial" w:cs="Arial"/>
        </w:rPr>
        <w:t xml:space="preserve"> et al. </w:t>
      </w:r>
      <w:r w:rsidR="002D27EA" w:rsidRPr="002D27EA">
        <w:rPr>
          <w:rFonts w:ascii="Arial" w:hAnsi="Arial" w:cs="Arial"/>
        </w:rPr>
        <w:t>2000</w:t>
      </w:r>
      <w:r w:rsidR="002D27EA">
        <w:rPr>
          <w:rFonts w:ascii="Arial" w:hAnsi="Arial" w:cs="Arial"/>
        </w:rPr>
        <w:t xml:space="preserve">, </w:t>
      </w:r>
      <w:r w:rsidR="002D27EA" w:rsidRPr="002D27EA">
        <w:rPr>
          <w:rFonts w:ascii="Arial" w:hAnsi="Arial" w:cs="Arial"/>
        </w:rPr>
        <w:t>Wu</w:t>
      </w:r>
      <w:r w:rsidR="002D27EA">
        <w:rPr>
          <w:rFonts w:ascii="Arial" w:hAnsi="Arial" w:cs="Arial"/>
        </w:rPr>
        <w:t xml:space="preserve"> et al. </w:t>
      </w:r>
      <w:r w:rsidR="002D27EA" w:rsidRPr="002D27EA">
        <w:rPr>
          <w:rFonts w:ascii="Arial" w:hAnsi="Arial" w:cs="Arial"/>
        </w:rPr>
        <w:t>2020</w:t>
      </w:r>
      <w:r w:rsidR="002D27EA">
        <w:rPr>
          <w:rFonts w:ascii="Arial" w:hAnsi="Arial" w:cs="Arial"/>
        </w:rPr>
        <w:t>, Takele et al. 2024)</w:t>
      </w:r>
      <w:r w:rsidRPr="008B5017">
        <w:rPr>
          <w:rFonts w:ascii="Arial" w:hAnsi="Arial" w:cs="Arial"/>
        </w:rPr>
        <w:t>.</w:t>
      </w:r>
      <w:r w:rsidR="006A7299">
        <w:rPr>
          <w:rFonts w:ascii="Arial" w:hAnsi="Arial" w:cs="Arial"/>
        </w:rPr>
        <w:t xml:space="preserve"> </w:t>
      </w:r>
      <w:r w:rsidR="006A7299" w:rsidRPr="006A7299">
        <w:rPr>
          <w:rFonts w:ascii="Arial" w:hAnsi="Arial" w:cs="Arial"/>
        </w:rPr>
        <w:t>Despite high levels of independence in basic ADLs, nearly 20% of the population experienced partial or total incontinence,</w:t>
      </w:r>
      <w:r w:rsidR="003049BF">
        <w:rPr>
          <w:rFonts w:ascii="Arial" w:hAnsi="Arial" w:cs="Arial"/>
        </w:rPr>
        <w:t xml:space="preserve"> which </w:t>
      </w:r>
      <w:proofErr w:type="gramStart"/>
      <w:r w:rsidR="003049BF">
        <w:rPr>
          <w:rFonts w:ascii="Arial" w:hAnsi="Arial" w:cs="Arial"/>
        </w:rPr>
        <w:t xml:space="preserve">is </w:t>
      </w:r>
      <w:r w:rsidR="006A7299" w:rsidRPr="006A7299">
        <w:rPr>
          <w:rFonts w:ascii="Arial" w:hAnsi="Arial" w:cs="Arial"/>
        </w:rPr>
        <w:t xml:space="preserve"> a</w:t>
      </w:r>
      <w:proofErr w:type="gramEnd"/>
      <w:r w:rsidR="006A7299" w:rsidRPr="006A7299">
        <w:rPr>
          <w:rFonts w:ascii="Arial" w:hAnsi="Arial" w:cs="Arial"/>
        </w:rPr>
        <w:t xml:space="preserve"> common issue among older adults. In contrast, independence in more complex instrumental activities was significantly lower, with fewer than 40% achieving full independence. This indicates that while basic self-care abilities are largely maintained, tasks requiring greater cognitive and physical effort present significant challenges. </w:t>
      </w:r>
      <w:r w:rsidR="003049BF">
        <w:rPr>
          <w:rFonts w:ascii="Arial" w:hAnsi="Arial" w:cs="Arial"/>
        </w:rPr>
        <w:t xml:space="preserve"> Furthermore, t</w:t>
      </w:r>
      <w:r w:rsidR="006A7299" w:rsidRPr="006A7299">
        <w:rPr>
          <w:rFonts w:ascii="Arial" w:hAnsi="Arial" w:cs="Arial"/>
        </w:rPr>
        <w:t>hese findings highlight the need for early functional assessments and targeted interventions to support autonomy in ageing populations</w:t>
      </w:r>
      <w:r w:rsidR="006A7299">
        <w:rPr>
          <w:rFonts w:ascii="Arial" w:hAnsi="Arial" w:cs="Arial"/>
        </w:rPr>
        <w:t xml:space="preserve"> (CFCOA et al. 2016, </w:t>
      </w:r>
      <w:r w:rsidR="006A7299" w:rsidRPr="006A7299">
        <w:rPr>
          <w:rFonts w:ascii="Arial" w:hAnsi="Arial" w:cs="Arial"/>
          <w:lang w:val="en-US"/>
        </w:rPr>
        <w:t>Culberson</w:t>
      </w:r>
      <w:r w:rsidR="006A7299">
        <w:rPr>
          <w:rFonts w:ascii="Arial" w:hAnsi="Arial" w:cs="Arial"/>
          <w:lang w:val="en-US"/>
        </w:rPr>
        <w:t xml:space="preserve"> et al. 2023, </w:t>
      </w:r>
      <w:proofErr w:type="spellStart"/>
      <w:r w:rsidR="006A7299" w:rsidRPr="006A7299">
        <w:rPr>
          <w:rFonts w:ascii="Arial" w:hAnsi="Arial" w:cs="Arial"/>
          <w:lang w:val="en-US"/>
        </w:rPr>
        <w:t>Maresova</w:t>
      </w:r>
      <w:proofErr w:type="spellEnd"/>
      <w:r w:rsidR="006A7299">
        <w:rPr>
          <w:rFonts w:ascii="Arial" w:hAnsi="Arial" w:cs="Arial"/>
          <w:lang w:val="en-US"/>
        </w:rPr>
        <w:t xml:space="preserve"> et al. </w:t>
      </w:r>
      <w:r w:rsidR="006A7299" w:rsidRPr="006A7299">
        <w:rPr>
          <w:rFonts w:ascii="Arial" w:hAnsi="Arial" w:cs="Arial"/>
          <w:lang w:val="en-US"/>
        </w:rPr>
        <w:t>2023</w:t>
      </w:r>
      <w:r w:rsidR="006A7299">
        <w:rPr>
          <w:rFonts w:ascii="Arial" w:hAnsi="Arial" w:cs="Arial"/>
          <w:lang w:val="en-US"/>
        </w:rPr>
        <w:t>)</w:t>
      </w:r>
      <w:r w:rsidR="006A7299" w:rsidRPr="006A7299">
        <w:rPr>
          <w:rFonts w:ascii="Arial" w:hAnsi="Arial" w:cs="Arial"/>
        </w:rPr>
        <w:t>.</w:t>
      </w:r>
      <w:r w:rsidR="00405FC0" w:rsidRPr="00405FC0">
        <w:t xml:space="preserve"> </w:t>
      </w:r>
      <w:r w:rsidR="003049BF">
        <w:t xml:space="preserve">Notably, </w:t>
      </w:r>
      <w:r w:rsidR="003049BF">
        <w:rPr>
          <w:rFonts w:ascii="Arial" w:hAnsi="Arial" w:cs="Arial"/>
        </w:rPr>
        <w:t>t</w:t>
      </w:r>
      <w:r w:rsidR="00405FC0" w:rsidRPr="00405FC0">
        <w:rPr>
          <w:rFonts w:ascii="Arial" w:hAnsi="Arial" w:cs="Arial"/>
        </w:rPr>
        <w:t>he observed differences in functional impairment for performing BIADL suggest the need for support and training strategies that strengthen autonomy and self-management during the aging process, particularly for older women, and for activities that improve the performance of basic and complex daily tasks.</w:t>
      </w:r>
    </w:p>
    <w:p w14:paraId="7C570E79" w14:textId="77777777" w:rsidR="006A7299" w:rsidRPr="004B3B5A" w:rsidRDefault="006A7299" w:rsidP="004B3B5A">
      <w:pPr>
        <w:pStyle w:val="Body"/>
        <w:spacing w:after="0"/>
        <w:rPr>
          <w:rFonts w:ascii="Arial" w:hAnsi="Arial" w:cs="Arial"/>
        </w:rPr>
      </w:pPr>
    </w:p>
    <w:p w14:paraId="190AFAB1" w14:textId="696F3DC9" w:rsidR="004B3B5A" w:rsidRPr="00DC54B2" w:rsidRDefault="00DC54B2" w:rsidP="004B3B5A">
      <w:pPr>
        <w:pStyle w:val="Body"/>
        <w:spacing w:after="0"/>
        <w:rPr>
          <w:rFonts w:ascii="Arial" w:hAnsi="Arial" w:cs="Arial"/>
          <w:b/>
          <w:bCs/>
        </w:rPr>
      </w:pPr>
      <w:r>
        <w:rPr>
          <w:rFonts w:ascii="Arial" w:hAnsi="Arial" w:cs="Arial"/>
          <w:b/>
          <w:bCs/>
        </w:rPr>
        <w:t xml:space="preserve">3.6.3 </w:t>
      </w:r>
      <w:r w:rsidR="004B3B5A" w:rsidRPr="00DC54B2">
        <w:rPr>
          <w:rFonts w:ascii="Arial" w:hAnsi="Arial" w:cs="Arial"/>
          <w:b/>
          <w:bCs/>
        </w:rPr>
        <w:t>Chronic Diseases and Lifestyle Factors</w:t>
      </w:r>
    </w:p>
    <w:p w14:paraId="56A812EE" w14:textId="78919FE2" w:rsidR="004B3B5A" w:rsidRPr="004B3B5A" w:rsidRDefault="00DA2986" w:rsidP="005B6384">
      <w:pPr>
        <w:jc w:val="both"/>
        <w:rPr>
          <w:rFonts w:ascii="Arial" w:hAnsi="Arial" w:cs="Arial"/>
        </w:rPr>
      </w:pPr>
      <w:r w:rsidRPr="00DA2986">
        <w:rPr>
          <w:rFonts w:ascii="Arial" w:hAnsi="Arial" w:cs="Arial"/>
        </w:rPr>
        <w:t>From a clinical perspective, the high prevalence of chronic diseases reinforces the importance of prevention programmes and the control of cardiovascular risk factors</w:t>
      </w:r>
      <w:r w:rsidR="00B13895">
        <w:rPr>
          <w:rFonts w:ascii="Arial" w:hAnsi="Arial" w:cs="Arial"/>
        </w:rPr>
        <w:t xml:space="preserve"> </w:t>
      </w:r>
      <w:r w:rsidR="00B13895" w:rsidRPr="00B13895">
        <w:rPr>
          <w:rFonts w:ascii="Arial" w:hAnsi="Arial" w:cs="Arial"/>
        </w:rPr>
        <w:t>(which has been discussed since the 1980s</w:t>
      </w:r>
      <w:r w:rsidR="00B13895">
        <w:rPr>
          <w:rFonts w:ascii="Arial" w:hAnsi="Arial" w:cs="Arial"/>
        </w:rPr>
        <w:t xml:space="preserve"> [</w:t>
      </w:r>
      <w:r w:rsidR="00B13895" w:rsidRPr="00B13895">
        <w:rPr>
          <w:rFonts w:ascii="Arial" w:hAnsi="Arial" w:cs="Arial"/>
        </w:rPr>
        <w:t>Zimmet</w:t>
      </w:r>
      <w:r w:rsidR="00B13895">
        <w:rPr>
          <w:rFonts w:ascii="Arial" w:hAnsi="Arial" w:cs="Arial"/>
        </w:rPr>
        <w:t xml:space="preserve"> et al. </w:t>
      </w:r>
      <w:r w:rsidR="00B13895" w:rsidRPr="00B13895">
        <w:rPr>
          <w:rFonts w:ascii="Arial" w:hAnsi="Arial" w:cs="Arial"/>
        </w:rPr>
        <w:t>1986</w:t>
      </w:r>
      <w:r w:rsidR="00B13895">
        <w:rPr>
          <w:rFonts w:ascii="Arial" w:hAnsi="Arial" w:cs="Arial"/>
        </w:rPr>
        <w:t xml:space="preserve">, </w:t>
      </w:r>
      <w:r w:rsidR="00B13895" w:rsidRPr="00B13895">
        <w:rPr>
          <w:rFonts w:ascii="Arial" w:hAnsi="Arial" w:cs="Arial"/>
        </w:rPr>
        <w:t>Yu</w:t>
      </w:r>
      <w:r w:rsidR="00B13895">
        <w:rPr>
          <w:rFonts w:ascii="Arial" w:hAnsi="Arial" w:cs="Arial"/>
        </w:rPr>
        <w:t xml:space="preserve"> et al. </w:t>
      </w:r>
      <w:r w:rsidR="00B13895" w:rsidRPr="00B13895">
        <w:rPr>
          <w:rFonts w:ascii="Arial" w:hAnsi="Arial" w:cs="Arial"/>
        </w:rPr>
        <w:t>2018</w:t>
      </w:r>
      <w:r w:rsidR="00B13895">
        <w:rPr>
          <w:rFonts w:ascii="Arial" w:hAnsi="Arial" w:cs="Arial"/>
        </w:rPr>
        <w:t xml:space="preserve">, </w:t>
      </w:r>
      <w:r w:rsidR="00B13895" w:rsidRPr="00B13895">
        <w:rPr>
          <w:rFonts w:ascii="Arial" w:hAnsi="Arial" w:cs="Arial"/>
        </w:rPr>
        <w:t>Soltani</w:t>
      </w:r>
      <w:r w:rsidR="00B13895">
        <w:rPr>
          <w:rFonts w:ascii="Arial" w:hAnsi="Arial" w:cs="Arial"/>
        </w:rPr>
        <w:t xml:space="preserve"> et al. </w:t>
      </w:r>
      <w:r w:rsidR="00B13895" w:rsidRPr="00B13895">
        <w:rPr>
          <w:rFonts w:ascii="Arial" w:hAnsi="Arial" w:cs="Arial"/>
        </w:rPr>
        <w:t>2021</w:t>
      </w:r>
      <w:r w:rsidR="00B13895">
        <w:rPr>
          <w:rFonts w:ascii="Arial" w:hAnsi="Arial" w:cs="Arial"/>
        </w:rPr>
        <w:t>]</w:t>
      </w:r>
      <w:r w:rsidR="00B13895" w:rsidRPr="00B13895">
        <w:rPr>
          <w:rFonts w:ascii="Arial" w:hAnsi="Arial" w:cs="Arial"/>
        </w:rPr>
        <w:t>)</w:t>
      </w:r>
      <w:r w:rsidRPr="00DA2986">
        <w:rPr>
          <w:rFonts w:ascii="Arial" w:hAnsi="Arial" w:cs="Arial"/>
        </w:rPr>
        <w:t xml:space="preserve">. </w:t>
      </w:r>
      <w:r w:rsidRPr="004B3B5A">
        <w:rPr>
          <w:rFonts w:ascii="Arial" w:hAnsi="Arial" w:cs="Arial"/>
        </w:rPr>
        <w:t>The high prevalence of cardiovascular and metabolic conditions is a significant public health concern</w:t>
      </w:r>
      <w:r w:rsidR="003C098F">
        <w:rPr>
          <w:rFonts w:ascii="Arial" w:hAnsi="Arial" w:cs="Arial"/>
        </w:rPr>
        <w:t xml:space="preserve"> (</w:t>
      </w:r>
      <w:r w:rsidR="003C098F" w:rsidRPr="003C098F">
        <w:rPr>
          <w:rFonts w:ascii="Arial" w:hAnsi="Arial" w:cs="Arial"/>
        </w:rPr>
        <w:t>Rus</w:t>
      </w:r>
      <w:r w:rsidR="003C098F">
        <w:rPr>
          <w:rFonts w:ascii="Arial" w:hAnsi="Arial" w:cs="Arial"/>
        </w:rPr>
        <w:t xml:space="preserve"> et al. </w:t>
      </w:r>
      <w:r w:rsidR="003C098F" w:rsidRPr="003C098F">
        <w:rPr>
          <w:rFonts w:ascii="Arial" w:hAnsi="Arial" w:cs="Arial"/>
        </w:rPr>
        <w:t>2023</w:t>
      </w:r>
      <w:r w:rsidR="003C098F">
        <w:rPr>
          <w:rFonts w:ascii="Arial" w:hAnsi="Arial" w:cs="Arial"/>
        </w:rPr>
        <w:t>)</w:t>
      </w:r>
      <w:r w:rsidRPr="004B3B5A">
        <w:rPr>
          <w:rFonts w:ascii="Arial" w:hAnsi="Arial" w:cs="Arial"/>
        </w:rPr>
        <w:t xml:space="preserve">. Hypertension, Type 2 Diabetes, and Overweight/Obesity were among the most common conditions, highlighting the urgent need for effective preventive strategies. </w:t>
      </w:r>
      <w:r w:rsidR="007D2F4C">
        <w:rPr>
          <w:rFonts w:ascii="Arial" w:hAnsi="Arial" w:cs="Arial"/>
        </w:rPr>
        <w:t>Likewise, s</w:t>
      </w:r>
      <w:r w:rsidRPr="00DA2986">
        <w:rPr>
          <w:rFonts w:ascii="Arial" w:hAnsi="Arial" w:cs="Arial"/>
        </w:rPr>
        <w:t>edentary behaviour, identified in more than half of the study population, represents a modifiable risk factor that can be addressed through interventions aimed at promoting physical activity</w:t>
      </w:r>
      <w:r w:rsidR="00A56DAC">
        <w:rPr>
          <w:rFonts w:ascii="Arial" w:hAnsi="Arial" w:cs="Arial"/>
        </w:rPr>
        <w:t xml:space="preserve"> (</w:t>
      </w:r>
      <w:r w:rsidR="00A56DAC" w:rsidRPr="00A56DAC">
        <w:rPr>
          <w:rFonts w:ascii="Arial" w:hAnsi="Arial" w:cs="Arial"/>
        </w:rPr>
        <w:t>Lavie</w:t>
      </w:r>
      <w:r w:rsidR="00A56DAC">
        <w:rPr>
          <w:rFonts w:ascii="Arial" w:hAnsi="Arial" w:cs="Arial"/>
        </w:rPr>
        <w:t xml:space="preserve"> et al. </w:t>
      </w:r>
      <w:r w:rsidR="00A56DAC" w:rsidRPr="00A56DAC">
        <w:rPr>
          <w:rFonts w:ascii="Arial" w:hAnsi="Arial" w:cs="Arial"/>
        </w:rPr>
        <w:t>2019</w:t>
      </w:r>
      <w:r w:rsidR="00A56DAC">
        <w:rPr>
          <w:rFonts w:ascii="Arial" w:hAnsi="Arial" w:cs="Arial"/>
        </w:rPr>
        <w:t>)</w:t>
      </w:r>
      <w:r w:rsidRPr="00DA2986">
        <w:rPr>
          <w:rFonts w:ascii="Arial" w:hAnsi="Arial" w:cs="Arial"/>
        </w:rPr>
        <w:t xml:space="preserve">. In addition, urinary incontinence, emerges as a factor that </w:t>
      </w:r>
      <w:r w:rsidR="007D2F4C">
        <w:rPr>
          <w:rFonts w:ascii="Arial" w:hAnsi="Arial" w:cs="Arial"/>
        </w:rPr>
        <w:t>significantly affects</w:t>
      </w:r>
      <w:r w:rsidRPr="00DA2986">
        <w:rPr>
          <w:rFonts w:ascii="Arial" w:hAnsi="Arial" w:cs="Arial"/>
        </w:rPr>
        <w:t xml:space="preserve"> life</w:t>
      </w:r>
      <w:r w:rsidR="007D2F4C">
        <w:rPr>
          <w:rFonts w:ascii="Arial" w:hAnsi="Arial" w:cs="Arial"/>
        </w:rPr>
        <w:t xml:space="preserve"> quality</w:t>
      </w:r>
      <w:r w:rsidRPr="00DA2986">
        <w:rPr>
          <w:rFonts w:ascii="Arial" w:hAnsi="Arial" w:cs="Arial"/>
        </w:rPr>
        <w:t xml:space="preserve"> and requires specific clinical attention. </w:t>
      </w:r>
      <w:r w:rsidR="007D2F4C">
        <w:rPr>
          <w:rFonts w:ascii="Arial" w:hAnsi="Arial" w:cs="Arial"/>
        </w:rPr>
        <w:t>Therefore, t</w:t>
      </w:r>
      <w:r w:rsidR="004B3B5A" w:rsidRPr="004B3B5A">
        <w:rPr>
          <w:rFonts w:ascii="Arial" w:hAnsi="Arial" w:cs="Arial"/>
        </w:rPr>
        <w:t>he significant history of smoking and alcohol use among participants further emphasises the importance of early behavioural interventions to mitigate long-term health risks.</w:t>
      </w:r>
      <w:r w:rsidR="005B6384">
        <w:rPr>
          <w:rFonts w:ascii="Arial" w:hAnsi="Arial" w:cs="Arial"/>
        </w:rPr>
        <w:t xml:space="preserve"> </w:t>
      </w:r>
      <w:r w:rsidR="004B3B5A" w:rsidRPr="004B3B5A">
        <w:rPr>
          <w:rFonts w:ascii="Arial" w:hAnsi="Arial" w:cs="Arial"/>
        </w:rPr>
        <w:t xml:space="preserve">Despite 83.6% of </w:t>
      </w:r>
      <w:r w:rsidR="004B3B5A" w:rsidRPr="004B3B5A">
        <w:rPr>
          <w:rFonts w:ascii="Arial" w:hAnsi="Arial" w:cs="Arial"/>
        </w:rPr>
        <w:lastRenderedPageBreak/>
        <w:t xml:space="preserve">participants reporting healthy eating habits, the high burden of metabolic disorders suggests potential gaps in dietary quality or other contributing lifestyle factors. </w:t>
      </w:r>
      <w:r w:rsidR="007D2F4C">
        <w:rPr>
          <w:rFonts w:ascii="Arial" w:hAnsi="Arial" w:cs="Arial"/>
        </w:rPr>
        <w:t>Thus, t</w:t>
      </w:r>
      <w:r w:rsidR="004B3B5A" w:rsidRPr="004B3B5A">
        <w:rPr>
          <w:rFonts w:ascii="Arial" w:hAnsi="Arial" w:cs="Arial"/>
        </w:rPr>
        <w:t>hese findings call for targeted lifestyle interventions, including physical activity promotion and dietary education, to reduce disease burden and improve overall health outcomes.</w:t>
      </w:r>
    </w:p>
    <w:p w14:paraId="08EB0922" w14:textId="77777777" w:rsidR="004B3B5A" w:rsidRPr="004B3B5A" w:rsidRDefault="004B3B5A" w:rsidP="004B3B5A">
      <w:pPr>
        <w:pStyle w:val="Body"/>
        <w:spacing w:after="0"/>
        <w:rPr>
          <w:rFonts w:ascii="Arial" w:hAnsi="Arial" w:cs="Arial"/>
        </w:rPr>
      </w:pPr>
    </w:p>
    <w:p w14:paraId="27D60D1D" w14:textId="076D6E8D" w:rsidR="004B3B5A" w:rsidRPr="004B3B5A" w:rsidRDefault="007D2F4C" w:rsidP="004B3B5A">
      <w:pPr>
        <w:pStyle w:val="Body"/>
        <w:spacing w:after="0"/>
        <w:rPr>
          <w:rFonts w:ascii="Arial" w:hAnsi="Arial" w:cs="Arial"/>
        </w:rPr>
      </w:pPr>
      <w:r>
        <w:rPr>
          <w:rFonts w:ascii="Arial" w:hAnsi="Arial" w:cs="Arial"/>
        </w:rPr>
        <w:t>Above all, t</w:t>
      </w:r>
      <w:r w:rsidR="004B3B5A" w:rsidRPr="004B3B5A">
        <w:rPr>
          <w:rFonts w:ascii="Arial" w:hAnsi="Arial" w:cs="Arial"/>
        </w:rPr>
        <w:t xml:space="preserve">he study highlights the substantial impact of musculoskeletal conditions on this population, with knee osteoarthritis and osteoporosis being prevalent. These conditions are major contributors to disability and reduced mobility in older adults, </w:t>
      </w:r>
      <w:r>
        <w:rPr>
          <w:rFonts w:ascii="Arial" w:hAnsi="Arial" w:cs="Arial"/>
        </w:rPr>
        <w:t>needing</w:t>
      </w:r>
      <w:r w:rsidR="004B3B5A" w:rsidRPr="004B3B5A">
        <w:rPr>
          <w:rFonts w:ascii="Arial" w:hAnsi="Arial" w:cs="Arial"/>
        </w:rPr>
        <w:t xml:space="preserve"> proactive management strategies such as physiotherapy, pain management, and fall prevention programmes.</w:t>
      </w:r>
      <w:r w:rsidR="00BF5080" w:rsidRPr="00BF5080">
        <w:t xml:space="preserve"> </w:t>
      </w:r>
      <w:r w:rsidR="00BF5080">
        <w:t>Moreover, c</w:t>
      </w:r>
      <w:r w:rsidR="00BF5080" w:rsidRPr="00BF5080">
        <w:rPr>
          <w:rFonts w:ascii="Arial" w:hAnsi="Arial" w:cs="Arial"/>
        </w:rPr>
        <w:t>hronic musculoskeletal (MSK) pain is a major contributor to disability and functional impairment in elderly population, imposing significant personal and societal burdens</w:t>
      </w:r>
      <w:r w:rsidR="00BF5080">
        <w:rPr>
          <w:rFonts w:ascii="Arial" w:hAnsi="Arial" w:cs="Arial"/>
        </w:rPr>
        <w:t xml:space="preserve"> (</w:t>
      </w:r>
      <w:proofErr w:type="spellStart"/>
      <w:r w:rsidR="00BF5080" w:rsidRPr="00BF5080">
        <w:rPr>
          <w:rFonts w:ascii="Arial" w:hAnsi="Arial" w:cs="Arial"/>
        </w:rPr>
        <w:t>Adogwa</w:t>
      </w:r>
      <w:proofErr w:type="spellEnd"/>
      <w:r w:rsidR="00BF5080">
        <w:rPr>
          <w:rFonts w:ascii="Arial" w:hAnsi="Arial" w:cs="Arial"/>
        </w:rPr>
        <w:t xml:space="preserve"> et al. </w:t>
      </w:r>
      <w:r w:rsidR="00BF5080" w:rsidRPr="00BF5080">
        <w:rPr>
          <w:rFonts w:ascii="Arial" w:hAnsi="Arial" w:cs="Arial"/>
        </w:rPr>
        <w:t>2023</w:t>
      </w:r>
      <w:r w:rsidR="00BF5080">
        <w:rPr>
          <w:rFonts w:ascii="Arial" w:hAnsi="Arial" w:cs="Arial"/>
        </w:rPr>
        <w:t>)</w:t>
      </w:r>
      <w:r w:rsidR="00BF5080" w:rsidRPr="00BF5080">
        <w:rPr>
          <w:rFonts w:ascii="Arial" w:hAnsi="Arial" w:cs="Arial"/>
        </w:rPr>
        <w:t>.</w:t>
      </w:r>
    </w:p>
    <w:p w14:paraId="59C1EA19" w14:textId="77777777" w:rsidR="004B3B5A" w:rsidRPr="004B3B5A" w:rsidRDefault="004B3B5A" w:rsidP="004B3B5A">
      <w:pPr>
        <w:pStyle w:val="Body"/>
        <w:spacing w:after="0"/>
        <w:rPr>
          <w:rFonts w:ascii="Arial" w:hAnsi="Arial" w:cs="Arial"/>
        </w:rPr>
      </w:pPr>
    </w:p>
    <w:p w14:paraId="7F3EB5BE" w14:textId="70FD372D" w:rsidR="004B3B5A" w:rsidRDefault="000A363D" w:rsidP="004B3B5A">
      <w:pPr>
        <w:pStyle w:val="Body"/>
        <w:spacing w:after="0"/>
        <w:rPr>
          <w:rFonts w:ascii="Arial" w:hAnsi="Arial" w:cs="Arial"/>
        </w:rPr>
      </w:pPr>
      <w:r>
        <w:rPr>
          <w:rFonts w:ascii="Arial" w:hAnsi="Arial" w:cs="Arial"/>
        </w:rPr>
        <w:t>Similarly, s</w:t>
      </w:r>
      <w:r w:rsidR="004B3B5A" w:rsidRPr="004B3B5A">
        <w:rPr>
          <w:rFonts w:ascii="Arial" w:hAnsi="Arial" w:cs="Arial"/>
        </w:rPr>
        <w:t>ensory impairments, including hearing loss, cataracts, and glaucoma, were also notable, reinforcing the importance of routine screening and timely interventions</w:t>
      </w:r>
      <w:r>
        <w:rPr>
          <w:rFonts w:ascii="Arial" w:hAnsi="Arial" w:cs="Arial"/>
        </w:rPr>
        <w:t xml:space="preserve"> in order</w:t>
      </w:r>
      <w:r w:rsidR="004B3B5A" w:rsidRPr="004B3B5A">
        <w:rPr>
          <w:rFonts w:ascii="Arial" w:hAnsi="Arial" w:cs="Arial"/>
        </w:rPr>
        <w:t xml:space="preserve"> to preserve functional capacity and quality of life</w:t>
      </w:r>
      <w:r w:rsidR="0075739E">
        <w:rPr>
          <w:rFonts w:ascii="Arial" w:hAnsi="Arial" w:cs="Arial"/>
        </w:rPr>
        <w:t xml:space="preserve"> (</w:t>
      </w:r>
      <w:r w:rsidR="0075739E" w:rsidRPr="0075739E">
        <w:rPr>
          <w:rFonts w:ascii="Arial" w:hAnsi="Arial" w:cs="Arial"/>
        </w:rPr>
        <w:t>Zhou &amp; Wu 2023</w:t>
      </w:r>
      <w:r w:rsidR="0075739E">
        <w:rPr>
          <w:rFonts w:ascii="Arial" w:hAnsi="Arial" w:cs="Arial"/>
        </w:rPr>
        <w:t>)</w:t>
      </w:r>
      <w:r w:rsidR="004B3B5A" w:rsidRPr="004B3B5A">
        <w:rPr>
          <w:rFonts w:ascii="Arial" w:hAnsi="Arial" w:cs="Arial"/>
        </w:rPr>
        <w:t xml:space="preserve">. </w:t>
      </w:r>
      <w:r>
        <w:rPr>
          <w:rFonts w:ascii="Arial" w:hAnsi="Arial" w:cs="Arial"/>
        </w:rPr>
        <w:t>In the same way</w:t>
      </w:r>
      <w:r w:rsidR="004B3B5A" w:rsidRPr="004B3B5A">
        <w:rPr>
          <w:rFonts w:ascii="Arial" w:hAnsi="Arial" w:cs="Arial"/>
        </w:rPr>
        <w:t>, mental health disorders, including depression and anxiety-related conditions, were identified, though the true prevalence may be underestimated due to underdiagnosis or stigma associated with mental health issues in older populations.</w:t>
      </w:r>
    </w:p>
    <w:p w14:paraId="1E55D99A" w14:textId="77777777" w:rsidR="00B914C8" w:rsidRDefault="00B914C8" w:rsidP="004B3B5A">
      <w:pPr>
        <w:pStyle w:val="Body"/>
        <w:spacing w:after="0"/>
        <w:rPr>
          <w:rFonts w:ascii="Arial" w:hAnsi="Arial" w:cs="Arial"/>
        </w:rPr>
      </w:pPr>
    </w:p>
    <w:p w14:paraId="23CF331C" w14:textId="2790874F" w:rsidR="004B3B5A" w:rsidRDefault="000A363D" w:rsidP="00E86B07">
      <w:pPr>
        <w:jc w:val="both"/>
        <w:rPr>
          <w:rFonts w:ascii="Arial" w:hAnsi="Arial" w:cs="Arial"/>
          <w:lang w:val="en-US"/>
        </w:rPr>
      </w:pPr>
      <w:r>
        <w:rPr>
          <w:rFonts w:ascii="Arial" w:hAnsi="Arial" w:cs="Arial"/>
        </w:rPr>
        <w:t>Accordingly, i</w:t>
      </w:r>
      <w:r w:rsidR="00EA472E" w:rsidRPr="00EA472E">
        <w:rPr>
          <w:rFonts w:ascii="Arial" w:hAnsi="Arial" w:cs="Arial"/>
        </w:rPr>
        <w:t>t is well established that functional disability is common in older adults, often episodic, and associated with a heightened risk of subsequent health decline</w:t>
      </w:r>
      <w:r w:rsidR="00EA472E">
        <w:rPr>
          <w:rFonts w:ascii="Arial" w:hAnsi="Arial" w:cs="Arial"/>
        </w:rPr>
        <w:t xml:space="preserve"> (</w:t>
      </w:r>
      <w:r w:rsidR="00EA472E" w:rsidRPr="00EA472E">
        <w:rPr>
          <w:rFonts w:ascii="Arial" w:hAnsi="Arial" w:cs="Arial"/>
        </w:rPr>
        <w:t>Colón-Emeric</w:t>
      </w:r>
      <w:r w:rsidR="00EA472E">
        <w:rPr>
          <w:rFonts w:ascii="Arial" w:hAnsi="Arial" w:cs="Arial"/>
        </w:rPr>
        <w:t xml:space="preserve"> et al. </w:t>
      </w:r>
      <w:r w:rsidR="00EA472E" w:rsidRPr="00EA472E">
        <w:rPr>
          <w:rFonts w:ascii="Arial" w:hAnsi="Arial" w:cs="Arial"/>
        </w:rPr>
        <w:t>2013</w:t>
      </w:r>
      <w:r w:rsidR="00EA472E">
        <w:rPr>
          <w:rFonts w:ascii="Arial" w:hAnsi="Arial" w:cs="Arial"/>
        </w:rPr>
        <w:t>)</w:t>
      </w:r>
      <w:r w:rsidR="00EA472E" w:rsidRPr="00EA472E">
        <w:rPr>
          <w:rFonts w:ascii="Arial" w:hAnsi="Arial" w:cs="Arial"/>
        </w:rPr>
        <w:t>. The severity of disability is determined by physical impairments caused by underlying medical conditions, external factors such as social and financial support and environmental influences</w:t>
      </w:r>
      <w:r w:rsidR="00EA472E">
        <w:rPr>
          <w:rFonts w:ascii="Arial" w:hAnsi="Arial" w:cs="Arial"/>
        </w:rPr>
        <w:t xml:space="preserve"> (</w:t>
      </w:r>
      <w:r w:rsidR="00EA472E" w:rsidRPr="00EA472E">
        <w:rPr>
          <w:rFonts w:ascii="Arial" w:hAnsi="Arial" w:cs="Arial"/>
        </w:rPr>
        <w:t>Colón-Emeric</w:t>
      </w:r>
      <w:r w:rsidR="00EA472E">
        <w:rPr>
          <w:rFonts w:ascii="Arial" w:hAnsi="Arial" w:cs="Arial"/>
        </w:rPr>
        <w:t xml:space="preserve"> et al. </w:t>
      </w:r>
      <w:r w:rsidR="00EA472E" w:rsidRPr="00EA472E">
        <w:rPr>
          <w:rFonts w:ascii="Arial" w:hAnsi="Arial" w:cs="Arial"/>
        </w:rPr>
        <w:t>2013</w:t>
      </w:r>
      <w:r w:rsidR="00EA472E">
        <w:rPr>
          <w:rFonts w:ascii="Arial" w:hAnsi="Arial" w:cs="Arial"/>
        </w:rPr>
        <w:t>)</w:t>
      </w:r>
      <w:r w:rsidR="00EA472E" w:rsidRPr="00EA472E">
        <w:rPr>
          <w:rFonts w:ascii="Arial" w:hAnsi="Arial" w:cs="Arial"/>
        </w:rPr>
        <w:t xml:space="preserve">. When several health conditions coexist, they often intensify disability beyond what would be anticipated from each condition alone, as the capacity to compensate for one impairment is reduced by the presence of others. </w:t>
      </w:r>
      <w:r w:rsidR="00EA472E">
        <w:rPr>
          <w:rFonts w:ascii="Arial" w:hAnsi="Arial" w:cs="Arial"/>
        </w:rPr>
        <w:t xml:space="preserve">However, in our study population </w:t>
      </w:r>
      <w:r w:rsidR="00206DF6">
        <w:rPr>
          <w:rFonts w:ascii="Arial" w:hAnsi="Arial" w:cs="Arial"/>
        </w:rPr>
        <w:t>t</w:t>
      </w:r>
      <w:r w:rsidR="00B914C8">
        <w:rPr>
          <w:rFonts w:ascii="Arial" w:hAnsi="Arial" w:cs="Arial"/>
        </w:rPr>
        <w:t xml:space="preserve">he </w:t>
      </w:r>
      <w:r w:rsidR="00C640B9">
        <w:rPr>
          <w:rFonts w:ascii="Arial" w:hAnsi="Arial" w:cs="Arial"/>
        </w:rPr>
        <w:t>m</w:t>
      </w:r>
      <w:r w:rsidR="00B914C8" w:rsidRPr="00B914C8">
        <w:rPr>
          <w:rFonts w:ascii="Arial" w:hAnsi="Arial" w:cs="Arial"/>
        </w:rPr>
        <w:t>u</w:t>
      </w:r>
      <w:r w:rsidR="00C640B9">
        <w:rPr>
          <w:rFonts w:ascii="Arial" w:hAnsi="Arial" w:cs="Arial"/>
        </w:rPr>
        <w:t>lt</w:t>
      </w:r>
      <w:r w:rsidR="00B47614">
        <w:rPr>
          <w:rFonts w:ascii="Arial" w:hAnsi="Arial" w:cs="Arial"/>
        </w:rPr>
        <w:t>i</w:t>
      </w:r>
      <w:r w:rsidR="00B914C8" w:rsidRPr="00B914C8">
        <w:rPr>
          <w:rFonts w:ascii="Arial" w:hAnsi="Arial" w:cs="Arial"/>
        </w:rPr>
        <w:t>varia</w:t>
      </w:r>
      <w:r w:rsidR="00B47614">
        <w:rPr>
          <w:rFonts w:ascii="Arial" w:hAnsi="Arial" w:cs="Arial"/>
        </w:rPr>
        <w:t>n</w:t>
      </w:r>
      <w:r w:rsidR="00B914C8" w:rsidRPr="00B914C8">
        <w:rPr>
          <w:rFonts w:ascii="Arial" w:hAnsi="Arial" w:cs="Arial"/>
        </w:rPr>
        <w:t>t model</w:t>
      </w:r>
      <w:r w:rsidR="00B47614">
        <w:rPr>
          <w:rFonts w:ascii="Arial" w:hAnsi="Arial" w:cs="Arial"/>
        </w:rPr>
        <w:t>s</w:t>
      </w:r>
      <w:r w:rsidR="00B914C8" w:rsidRPr="00B914C8">
        <w:rPr>
          <w:rFonts w:ascii="Arial" w:hAnsi="Arial" w:cs="Arial"/>
        </w:rPr>
        <w:t xml:space="preserve"> identified age</w:t>
      </w:r>
      <w:r w:rsidR="00FE5DCB">
        <w:rPr>
          <w:rFonts w:ascii="Arial" w:hAnsi="Arial" w:cs="Arial"/>
        </w:rPr>
        <w:t>, history of alcohol consumption, and hearing loss</w:t>
      </w:r>
      <w:r w:rsidR="00B914C8" w:rsidRPr="00B914C8">
        <w:rPr>
          <w:rFonts w:ascii="Arial" w:hAnsi="Arial" w:cs="Arial"/>
        </w:rPr>
        <w:t xml:space="preserve"> as a significant risk factor</w:t>
      </w:r>
      <w:r w:rsidR="00FE5DCB">
        <w:rPr>
          <w:rFonts w:ascii="Arial" w:hAnsi="Arial" w:cs="Arial"/>
        </w:rPr>
        <w:t>s</w:t>
      </w:r>
      <w:r w:rsidR="00B914C8" w:rsidRPr="00B914C8">
        <w:rPr>
          <w:rFonts w:ascii="Arial" w:hAnsi="Arial" w:cs="Arial"/>
        </w:rPr>
        <w:t xml:space="preserve"> for </w:t>
      </w:r>
      <w:r w:rsidR="00FE5DCB">
        <w:rPr>
          <w:rFonts w:ascii="Arial" w:hAnsi="Arial" w:cs="Arial"/>
        </w:rPr>
        <w:t>functional impairment</w:t>
      </w:r>
      <w:r w:rsidR="00B914C8" w:rsidRPr="00B914C8">
        <w:rPr>
          <w:rFonts w:ascii="Arial" w:hAnsi="Arial" w:cs="Arial"/>
        </w:rPr>
        <w:t xml:space="preserve">. </w:t>
      </w:r>
      <w:r>
        <w:rPr>
          <w:rFonts w:ascii="Arial" w:hAnsi="Arial" w:cs="Arial"/>
        </w:rPr>
        <w:t>Therefore, a</w:t>
      </w:r>
      <w:r w:rsidR="00B914C8" w:rsidRPr="00B914C8">
        <w:rPr>
          <w:rFonts w:ascii="Arial" w:hAnsi="Arial" w:cs="Arial"/>
        </w:rPr>
        <w:t xml:space="preserve">s age increases, so does the likelihood of </w:t>
      </w:r>
      <w:r w:rsidR="00FE5DCB">
        <w:rPr>
          <w:rFonts w:ascii="Arial" w:hAnsi="Arial" w:cs="Arial"/>
        </w:rPr>
        <w:t>functio</w:t>
      </w:r>
      <w:r w:rsidR="00605863">
        <w:rPr>
          <w:rFonts w:ascii="Arial" w:hAnsi="Arial" w:cs="Arial"/>
        </w:rPr>
        <w:t xml:space="preserve">nal independence </w:t>
      </w:r>
      <w:r w:rsidR="00B914C8" w:rsidRPr="00B914C8">
        <w:rPr>
          <w:rFonts w:ascii="Arial" w:hAnsi="Arial" w:cs="Arial"/>
        </w:rPr>
        <w:t xml:space="preserve">decline. </w:t>
      </w:r>
      <w:r w:rsidR="00605863">
        <w:rPr>
          <w:rFonts w:ascii="Arial" w:hAnsi="Arial" w:cs="Arial"/>
        </w:rPr>
        <w:t>Moreover, a</w:t>
      </w:r>
      <w:r w:rsidR="00605863" w:rsidRPr="00605863">
        <w:rPr>
          <w:rFonts w:ascii="Arial" w:hAnsi="Arial" w:cs="Arial"/>
        </w:rPr>
        <w:t xml:space="preserve"> history of alcoholism and hearing loss increases the likelihood of functional impairment by 10 and 9 times, respectively, compared to individuals without these conditions.</w:t>
      </w:r>
      <w:r w:rsidR="00605863">
        <w:rPr>
          <w:rFonts w:ascii="Arial" w:hAnsi="Arial" w:cs="Arial"/>
        </w:rPr>
        <w:t xml:space="preserve"> </w:t>
      </w:r>
      <w:r w:rsidR="00B914C8" w:rsidRPr="00B914C8">
        <w:rPr>
          <w:rFonts w:ascii="Arial" w:hAnsi="Arial" w:cs="Arial"/>
        </w:rPr>
        <w:t xml:space="preserve">This is consistent with the understanding that aging is a primary risk factor for </w:t>
      </w:r>
      <w:r w:rsidR="00EA472E">
        <w:rPr>
          <w:rFonts w:ascii="Arial" w:hAnsi="Arial" w:cs="Arial"/>
        </w:rPr>
        <w:t>functional impairment</w:t>
      </w:r>
      <w:r w:rsidR="00FF2520">
        <w:rPr>
          <w:rFonts w:ascii="Arial" w:hAnsi="Arial" w:cs="Arial"/>
        </w:rPr>
        <w:t xml:space="preserve"> (</w:t>
      </w:r>
      <w:r w:rsidR="00FF2520" w:rsidRPr="00FF2520">
        <w:rPr>
          <w:rFonts w:ascii="Arial" w:hAnsi="Arial" w:cs="Arial"/>
        </w:rPr>
        <w:t>Castellanos-Perilla</w:t>
      </w:r>
      <w:r w:rsidR="00FF2520">
        <w:rPr>
          <w:rFonts w:ascii="Arial" w:hAnsi="Arial" w:cs="Arial"/>
        </w:rPr>
        <w:t xml:space="preserve"> et al. </w:t>
      </w:r>
      <w:r w:rsidR="00FF2520" w:rsidRPr="00FF2520">
        <w:rPr>
          <w:rFonts w:ascii="Arial" w:hAnsi="Arial" w:cs="Arial"/>
        </w:rPr>
        <w:t>2020</w:t>
      </w:r>
      <w:r w:rsidR="00FF2520">
        <w:rPr>
          <w:rFonts w:ascii="Arial" w:hAnsi="Arial" w:cs="Arial"/>
        </w:rPr>
        <w:t xml:space="preserve">, </w:t>
      </w:r>
      <w:r w:rsidR="00FF2520" w:rsidRPr="00FF2520">
        <w:rPr>
          <w:rFonts w:ascii="Arial" w:hAnsi="Arial" w:cs="Arial"/>
        </w:rPr>
        <w:t>Hajek</w:t>
      </w:r>
      <w:r w:rsidR="00FF2520">
        <w:rPr>
          <w:rFonts w:ascii="Arial" w:hAnsi="Arial" w:cs="Arial"/>
        </w:rPr>
        <w:t xml:space="preserve"> et al. </w:t>
      </w:r>
      <w:r w:rsidR="00FF2520" w:rsidRPr="00FF2520">
        <w:rPr>
          <w:rFonts w:ascii="Arial" w:hAnsi="Arial" w:cs="Arial"/>
        </w:rPr>
        <w:t>2017</w:t>
      </w:r>
      <w:r w:rsidR="00E86B07">
        <w:rPr>
          <w:rFonts w:ascii="Arial" w:hAnsi="Arial" w:cs="Arial"/>
        </w:rPr>
        <w:t>a</w:t>
      </w:r>
      <w:r w:rsidR="00FF2520">
        <w:rPr>
          <w:rFonts w:ascii="Arial" w:hAnsi="Arial" w:cs="Arial"/>
        </w:rPr>
        <w:t>)</w:t>
      </w:r>
      <w:r w:rsidR="00B914C8" w:rsidRPr="00B914C8">
        <w:rPr>
          <w:rFonts w:ascii="Arial" w:hAnsi="Arial" w:cs="Arial"/>
        </w:rPr>
        <w:t xml:space="preserve">, highlighting the </w:t>
      </w:r>
      <w:r w:rsidR="00B56D3F">
        <w:rPr>
          <w:rFonts w:ascii="Arial" w:hAnsi="Arial" w:cs="Arial"/>
        </w:rPr>
        <w:t>n</w:t>
      </w:r>
      <w:r w:rsidR="00B914C8" w:rsidRPr="00B914C8">
        <w:rPr>
          <w:rFonts w:ascii="Arial" w:hAnsi="Arial" w:cs="Arial"/>
        </w:rPr>
        <w:t>eed for targeted interventions in older populations.</w:t>
      </w:r>
      <w:r w:rsidR="00EA472E" w:rsidRPr="00EA472E">
        <w:t xml:space="preserve"> </w:t>
      </w:r>
      <w:r w:rsidR="00EA472E" w:rsidRPr="00EA472E">
        <w:rPr>
          <w:rFonts w:ascii="Arial" w:hAnsi="Arial" w:cs="Arial"/>
        </w:rPr>
        <w:t>However, these findings contrast with those reported by</w:t>
      </w:r>
      <w:r w:rsidR="00EA472E">
        <w:rPr>
          <w:rFonts w:ascii="Arial" w:hAnsi="Arial" w:cs="Arial"/>
        </w:rPr>
        <w:t xml:space="preserve"> other authors. Castellanos et al., reported that </w:t>
      </w:r>
      <w:r w:rsidR="00FF2520">
        <w:rPr>
          <w:rFonts w:ascii="Arial" w:hAnsi="Arial" w:cs="Arial"/>
        </w:rPr>
        <w:t>f</w:t>
      </w:r>
      <w:r w:rsidR="00FF2520" w:rsidRPr="00FF2520">
        <w:rPr>
          <w:rFonts w:ascii="Arial" w:hAnsi="Arial" w:cs="Arial"/>
        </w:rPr>
        <w:t xml:space="preserve">actors such as financial status, educational level, pain, and the number of comorbidities were </w:t>
      </w:r>
      <w:r w:rsidR="00FF2520">
        <w:rPr>
          <w:rFonts w:ascii="Arial" w:hAnsi="Arial" w:cs="Arial"/>
        </w:rPr>
        <w:t>associated</w:t>
      </w:r>
      <w:r w:rsidR="00FF2520" w:rsidRPr="00FF2520">
        <w:rPr>
          <w:rFonts w:ascii="Arial" w:hAnsi="Arial" w:cs="Arial"/>
        </w:rPr>
        <w:t xml:space="preserve"> to the occurrence of a decline in functional status</w:t>
      </w:r>
      <w:r w:rsidR="00FF2520">
        <w:rPr>
          <w:rFonts w:ascii="Arial" w:hAnsi="Arial" w:cs="Arial"/>
        </w:rPr>
        <w:t xml:space="preserve"> in Mexican population (</w:t>
      </w:r>
      <w:r w:rsidR="00FF2520" w:rsidRPr="00FF2520">
        <w:rPr>
          <w:rFonts w:ascii="Arial" w:hAnsi="Arial" w:cs="Arial"/>
        </w:rPr>
        <w:t>Castellanos-Perilla</w:t>
      </w:r>
      <w:r w:rsidR="00FF2520">
        <w:rPr>
          <w:rFonts w:ascii="Arial" w:hAnsi="Arial" w:cs="Arial"/>
        </w:rPr>
        <w:t xml:space="preserve"> et al. </w:t>
      </w:r>
      <w:r w:rsidR="00FF2520" w:rsidRPr="00FF2520">
        <w:rPr>
          <w:rFonts w:ascii="Arial" w:hAnsi="Arial" w:cs="Arial"/>
        </w:rPr>
        <w:t>2020</w:t>
      </w:r>
      <w:r w:rsidR="00FF2520" w:rsidRPr="00FF2520">
        <w:rPr>
          <w:rFonts w:ascii="Arial" w:hAnsi="Arial" w:cs="Arial"/>
          <w:lang w:val="en-US"/>
        </w:rPr>
        <w:t>).</w:t>
      </w:r>
      <w:r w:rsidR="00FF2520">
        <w:rPr>
          <w:rFonts w:ascii="Arial" w:hAnsi="Arial" w:cs="Arial"/>
          <w:lang w:val="en-US"/>
        </w:rPr>
        <w:t xml:space="preserve"> </w:t>
      </w:r>
      <w:r>
        <w:rPr>
          <w:rFonts w:ascii="Arial" w:hAnsi="Arial" w:cs="Arial"/>
          <w:lang w:val="en-US"/>
        </w:rPr>
        <w:t xml:space="preserve">However, </w:t>
      </w:r>
      <w:proofErr w:type="gramStart"/>
      <w:r>
        <w:rPr>
          <w:rFonts w:ascii="Arial" w:hAnsi="Arial" w:cs="Arial"/>
          <w:lang w:val="en-US"/>
        </w:rPr>
        <w:t xml:space="preserve">in </w:t>
      </w:r>
      <w:r w:rsidR="00FF2520" w:rsidRPr="00FF2520">
        <w:rPr>
          <w:rFonts w:ascii="Arial" w:hAnsi="Arial" w:cs="Arial"/>
          <w:lang w:val="en-US"/>
        </w:rPr>
        <w:t xml:space="preserve"> German</w:t>
      </w:r>
      <w:proofErr w:type="gramEnd"/>
      <w:r w:rsidR="00FF2520" w:rsidRPr="00FF2520">
        <w:rPr>
          <w:rFonts w:ascii="Arial" w:hAnsi="Arial" w:cs="Arial"/>
          <w:lang w:val="en-US"/>
        </w:rPr>
        <w:t xml:space="preserve"> population, the functional impairment increased significantly with ageing (similar to our data), loss of a spouse, not living alone in a private household, depression and dementia</w:t>
      </w:r>
      <w:r w:rsidR="009D60A3">
        <w:rPr>
          <w:rFonts w:ascii="Arial" w:hAnsi="Arial" w:cs="Arial"/>
          <w:lang w:val="en-US"/>
        </w:rPr>
        <w:t xml:space="preserve"> (</w:t>
      </w:r>
      <w:r w:rsidR="009D60A3" w:rsidRPr="009D60A3">
        <w:rPr>
          <w:rFonts w:ascii="Arial" w:hAnsi="Arial" w:cs="Arial"/>
          <w:lang w:val="en-US"/>
        </w:rPr>
        <w:t>Hajek</w:t>
      </w:r>
      <w:r w:rsidR="009D60A3">
        <w:rPr>
          <w:rFonts w:ascii="Arial" w:hAnsi="Arial" w:cs="Arial"/>
          <w:lang w:val="en-US"/>
        </w:rPr>
        <w:t xml:space="preserve"> et al. </w:t>
      </w:r>
      <w:r w:rsidR="009D60A3" w:rsidRPr="009D60A3">
        <w:rPr>
          <w:rFonts w:ascii="Arial" w:hAnsi="Arial" w:cs="Arial"/>
          <w:lang w:val="en-US"/>
        </w:rPr>
        <w:t>2017</w:t>
      </w:r>
      <w:r w:rsidR="00E86B07">
        <w:rPr>
          <w:rFonts w:ascii="Arial" w:hAnsi="Arial" w:cs="Arial"/>
          <w:lang w:val="en-US"/>
        </w:rPr>
        <w:t>a</w:t>
      </w:r>
      <w:r w:rsidR="009D60A3">
        <w:rPr>
          <w:rFonts w:ascii="Arial" w:hAnsi="Arial" w:cs="Arial"/>
          <w:lang w:val="en-US"/>
        </w:rPr>
        <w:t xml:space="preserve">), </w:t>
      </w:r>
      <w:r w:rsidR="009D60A3" w:rsidRPr="009D60A3">
        <w:rPr>
          <w:rFonts w:ascii="Arial" w:hAnsi="Arial" w:cs="Arial"/>
          <w:lang w:val="en-US"/>
        </w:rPr>
        <w:t>being female, higher age, low education (compared to high education), income poverty, higher cognitive impairment, and a higher number of chronic conditions</w:t>
      </w:r>
      <w:r w:rsidR="009D60A3">
        <w:rPr>
          <w:rFonts w:ascii="Arial" w:hAnsi="Arial" w:cs="Arial"/>
          <w:lang w:val="en-US"/>
        </w:rPr>
        <w:t xml:space="preserve"> (</w:t>
      </w:r>
      <w:r w:rsidR="009D60A3" w:rsidRPr="009D60A3">
        <w:rPr>
          <w:rFonts w:ascii="Arial" w:hAnsi="Arial" w:cs="Arial"/>
          <w:lang w:val="en-US"/>
        </w:rPr>
        <w:t>Hajek &amp;</w:t>
      </w:r>
      <w:r w:rsidR="00E86B07" w:rsidRPr="00E86B07">
        <w:rPr>
          <w:rFonts w:ascii="Arial" w:hAnsi="Arial" w:cs="Arial"/>
          <w:lang w:val="en-US"/>
        </w:rPr>
        <w:t xml:space="preserve"> König</w:t>
      </w:r>
      <w:r w:rsidR="009D60A3" w:rsidRPr="009D60A3">
        <w:rPr>
          <w:rFonts w:ascii="Arial" w:hAnsi="Arial" w:cs="Arial"/>
          <w:lang w:val="en-US"/>
        </w:rPr>
        <w:t xml:space="preserve"> 2022</w:t>
      </w:r>
      <w:r w:rsidR="009D60A3">
        <w:rPr>
          <w:rFonts w:ascii="Arial" w:hAnsi="Arial" w:cs="Arial"/>
          <w:lang w:val="en-US"/>
        </w:rPr>
        <w:t>)</w:t>
      </w:r>
      <w:r w:rsidR="009D60A3" w:rsidRPr="009D60A3">
        <w:rPr>
          <w:rFonts w:ascii="Arial" w:hAnsi="Arial" w:cs="Arial"/>
          <w:lang w:val="en-US"/>
        </w:rPr>
        <w:t>.</w:t>
      </w:r>
      <w:r w:rsidR="009D60A3">
        <w:rPr>
          <w:rFonts w:ascii="Arial" w:hAnsi="Arial" w:cs="Arial"/>
          <w:lang w:val="en-US"/>
        </w:rPr>
        <w:t xml:space="preserve"> </w:t>
      </w:r>
      <w:r w:rsidR="00E86B07" w:rsidRPr="00E86B07">
        <w:rPr>
          <w:rFonts w:ascii="Arial" w:hAnsi="Arial" w:cs="Arial"/>
          <w:lang w:val="en-US"/>
        </w:rPr>
        <w:t>In contrast to our findings, we did not observe an association among functional impairment and depression, dementia, socioeconomic status, or educational level. Therefore, our findings between the health-related factors (depression, and chronic conditions) and functional impairment are not in accordance with existing studies</w:t>
      </w:r>
      <w:r w:rsidR="00E86B07">
        <w:rPr>
          <w:rFonts w:ascii="Arial" w:hAnsi="Arial" w:cs="Arial"/>
          <w:lang w:val="en-US"/>
        </w:rPr>
        <w:t xml:space="preserve"> (</w:t>
      </w:r>
      <w:r w:rsidR="00E86B07" w:rsidRPr="00E86B07">
        <w:rPr>
          <w:rFonts w:ascii="Arial" w:hAnsi="Arial" w:cs="Arial"/>
          <w:lang w:val="en-US"/>
        </w:rPr>
        <w:t xml:space="preserve">McCusker et al. 2002, Ryan et al. 2015, Hajek et al. 2017b, </w:t>
      </w:r>
      <w:r w:rsidR="00E86B07" w:rsidRPr="009D60A3">
        <w:rPr>
          <w:rFonts w:ascii="Arial" w:hAnsi="Arial" w:cs="Arial"/>
          <w:lang w:val="en-US"/>
        </w:rPr>
        <w:t xml:space="preserve">Hajek &amp; </w:t>
      </w:r>
      <w:r w:rsidR="00E86B07" w:rsidRPr="00F935E2">
        <w:rPr>
          <w:rFonts w:ascii="Arial" w:hAnsi="Arial" w:cs="Arial"/>
          <w:lang w:val="en-US"/>
        </w:rPr>
        <w:t>König</w:t>
      </w:r>
      <w:r w:rsidR="00E86B07" w:rsidRPr="009D60A3">
        <w:rPr>
          <w:rFonts w:ascii="Arial" w:hAnsi="Arial" w:cs="Arial"/>
          <w:lang w:val="en-US"/>
        </w:rPr>
        <w:t xml:space="preserve"> 2022</w:t>
      </w:r>
      <w:r w:rsidR="00E86B07">
        <w:rPr>
          <w:rFonts w:ascii="Arial" w:hAnsi="Arial" w:cs="Arial"/>
          <w:lang w:val="en-US"/>
        </w:rPr>
        <w:t>)</w:t>
      </w:r>
      <w:r w:rsidR="00E86B07" w:rsidRPr="00E86B07">
        <w:rPr>
          <w:rFonts w:ascii="Arial" w:hAnsi="Arial" w:cs="Arial"/>
          <w:lang w:val="en-US"/>
        </w:rPr>
        <w:t>. However, regarding other variables, we did not include all the variables that have been associated with functional impairment in other studies.</w:t>
      </w:r>
    </w:p>
    <w:p w14:paraId="32C543E4" w14:textId="77777777" w:rsidR="00251125" w:rsidRPr="00FF2520" w:rsidRDefault="00251125" w:rsidP="004B3B5A">
      <w:pPr>
        <w:pStyle w:val="Body"/>
        <w:spacing w:after="0"/>
        <w:rPr>
          <w:rFonts w:ascii="Arial" w:hAnsi="Arial" w:cs="Arial"/>
          <w:lang w:val="en-US"/>
        </w:rPr>
      </w:pPr>
    </w:p>
    <w:p w14:paraId="5EE88107" w14:textId="40EE6E8F" w:rsidR="004B3B5A" w:rsidRPr="001677D3" w:rsidRDefault="001677D3" w:rsidP="004B3B5A">
      <w:pPr>
        <w:pStyle w:val="Body"/>
        <w:spacing w:after="0"/>
        <w:rPr>
          <w:rFonts w:ascii="Arial" w:hAnsi="Arial" w:cs="Arial"/>
          <w:b/>
          <w:bCs/>
          <w:sz w:val="22"/>
          <w:szCs w:val="22"/>
        </w:rPr>
      </w:pPr>
      <w:r w:rsidRPr="001677D3">
        <w:rPr>
          <w:rFonts w:ascii="Arial" w:hAnsi="Arial" w:cs="Arial"/>
          <w:b/>
          <w:bCs/>
          <w:sz w:val="22"/>
          <w:szCs w:val="22"/>
        </w:rPr>
        <w:t xml:space="preserve">3.6 </w:t>
      </w:r>
      <w:r w:rsidR="004B3B5A" w:rsidRPr="001677D3">
        <w:rPr>
          <w:rFonts w:ascii="Arial" w:hAnsi="Arial" w:cs="Arial"/>
          <w:b/>
          <w:bCs/>
          <w:sz w:val="22"/>
          <w:szCs w:val="22"/>
        </w:rPr>
        <w:t>Implications and Future Directions</w:t>
      </w:r>
    </w:p>
    <w:p w14:paraId="1B8041FF" w14:textId="5AE35949" w:rsidR="004B3B5A" w:rsidRDefault="00EC1664" w:rsidP="004B3B5A">
      <w:pPr>
        <w:pStyle w:val="Body"/>
        <w:spacing w:after="0"/>
        <w:rPr>
          <w:rFonts w:ascii="Arial" w:hAnsi="Arial" w:cs="Arial"/>
        </w:rPr>
      </w:pPr>
      <w:r w:rsidRPr="00EC1664">
        <w:rPr>
          <w:rFonts w:ascii="Arial" w:hAnsi="Arial" w:cs="Arial"/>
        </w:rPr>
        <w:t>Future research should investigate the long-term impact of factors associated with functional impairment and assess the effectiveness of targeted interventions</w:t>
      </w:r>
      <w:r w:rsidR="000A363D">
        <w:rPr>
          <w:rFonts w:ascii="Arial" w:hAnsi="Arial" w:cs="Arial"/>
        </w:rPr>
        <w:t xml:space="preserve"> in order</w:t>
      </w:r>
      <w:r w:rsidRPr="00EC1664">
        <w:rPr>
          <w:rFonts w:ascii="Arial" w:hAnsi="Arial" w:cs="Arial"/>
        </w:rPr>
        <w:t xml:space="preserve"> to promote healthy </w:t>
      </w:r>
      <w:r w:rsidRPr="00EC1664">
        <w:rPr>
          <w:rFonts w:ascii="Arial" w:hAnsi="Arial" w:cs="Arial"/>
        </w:rPr>
        <w:lastRenderedPageBreak/>
        <w:t xml:space="preserve">ageing. Additionally, it should emphasise the evaluation of interventions aimed at enhancing functional independence and </w:t>
      </w:r>
      <w:proofErr w:type="gramStart"/>
      <w:r w:rsidRPr="00EC1664">
        <w:rPr>
          <w:rFonts w:ascii="Arial" w:hAnsi="Arial" w:cs="Arial"/>
        </w:rPr>
        <w:t xml:space="preserve">improving </w:t>
      </w:r>
      <w:r w:rsidR="000A363D">
        <w:rPr>
          <w:rFonts w:ascii="Arial" w:hAnsi="Arial" w:cs="Arial"/>
        </w:rPr>
        <w:t xml:space="preserve"> life</w:t>
      </w:r>
      <w:proofErr w:type="gramEnd"/>
      <w:r w:rsidR="000A363D">
        <w:rPr>
          <w:rFonts w:ascii="Arial" w:hAnsi="Arial" w:cs="Arial"/>
        </w:rPr>
        <w:t xml:space="preserve"> quality</w:t>
      </w:r>
      <w:r w:rsidRPr="00EC1664">
        <w:rPr>
          <w:rFonts w:ascii="Arial" w:hAnsi="Arial" w:cs="Arial"/>
        </w:rPr>
        <w:t xml:space="preserve"> in older adults, adopting an approach that considers both clinical aspects and the social determinants of health, while addressing gender differences and prevalent health conditions within this population.</w:t>
      </w:r>
    </w:p>
    <w:p w14:paraId="0D4EA2F5" w14:textId="77777777" w:rsidR="00EC1664" w:rsidRPr="004B3B5A" w:rsidRDefault="00EC1664" w:rsidP="004B3B5A">
      <w:pPr>
        <w:pStyle w:val="Body"/>
        <w:spacing w:after="0"/>
        <w:rPr>
          <w:rFonts w:ascii="Arial" w:hAnsi="Arial" w:cs="Arial"/>
        </w:rPr>
      </w:pPr>
    </w:p>
    <w:p w14:paraId="54ACF471" w14:textId="69655972" w:rsidR="00D25DAB" w:rsidRPr="0054404D" w:rsidRDefault="00D25DAB" w:rsidP="00CE7693">
      <w:pPr>
        <w:pStyle w:val="Body"/>
        <w:spacing w:after="0"/>
        <w:rPr>
          <w:rFonts w:ascii="Arial" w:hAnsi="Arial" w:cs="Arial"/>
        </w:rPr>
      </w:pPr>
      <w:r w:rsidRPr="0054404D">
        <w:rPr>
          <w:rFonts w:ascii="Arial" w:hAnsi="Arial" w:cs="Arial"/>
          <w:b/>
          <w:caps/>
          <w:sz w:val="22"/>
        </w:rPr>
        <w:t>3.</w:t>
      </w:r>
      <w:r w:rsidR="00EC1664">
        <w:rPr>
          <w:rFonts w:ascii="Arial" w:hAnsi="Arial" w:cs="Arial"/>
          <w:b/>
          <w:caps/>
          <w:sz w:val="22"/>
        </w:rPr>
        <w:t>7</w:t>
      </w:r>
      <w:r w:rsidRPr="0054404D">
        <w:rPr>
          <w:rFonts w:ascii="Arial" w:hAnsi="Arial" w:cs="Arial"/>
          <w:b/>
          <w:caps/>
          <w:sz w:val="22"/>
        </w:rPr>
        <w:t xml:space="preserve"> </w:t>
      </w:r>
      <w:r w:rsidR="006D74DF" w:rsidRPr="0054404D">
        <w:rPr>
          <w:rFonts w:ascii="Arial" w:hAnsi="Arial" w:cs="Arial"/>
          <w:b/>
          <w:sz w:val="22"/>
        </w:rPr>
        <w:t>Limit</w:t>
      </w:r>
      <w:r w:rsidR="00FB1E3E">
        <w:rPr>
          <w:rFonts w:ascii="Arial" w:hAnsi="Arial" w:cs="Arial"/>
          <w:b/>
          <w:sz w:val="22"/>
        </w:rPr>
        <w:t>ation</w:t>
      </w:r>
      <w:r w:rsidR="006D74DF" w:rsidRPr="0054404D">
        <w:rPr>
          <w:rFonts w:ascii="Arial" w:hAnsi="Arial" w:cs="Arial"/>
          <w:b/>
          <w:sz w:val="22"/>
        </w:rPr>
        <w:t>s</w:t>
      </w:r>
      <w:r w:rsidR="00FB1E3E">
        <w:rPr>
          <w:rFonts w:ascii="Arial" w:hAnsi="Arial" w:cs="Arial"/>
          <w:b/>
          <w:sz w:val="22"/>
        </w:rPr>
        <w:t xml:space="preserve"> and applications</w:t>
      </w:r>
      <w:r w:rsidR="006B5904" w:rsidRPr="0054404D">
        <w:rPr>
          <w:rFonts w:ascii="Arial" w:hAnsi="Arial" w:cs="Arial"/>
          <w:b/>
          <w:sz w:val="22"/>
        </w:rPr>
        <w:t>.</w:t>
      </w:r>
    </w:p>
    <w:p w14:paraId="2EF1C889" w14:textId="480EAE91" w:rsidR="004D63F2" w:rsidRDefault="00772665" w:rsidP="00384BF7">
      <w:pPr>
        <w:pStyle w:val="Body"/>
        <w:spacing w:after="0"/>
        <w:rPr>
          <w:rFonts w:ascii="Arial" w:hAnsi="Arial" w:cs="Arial"/>
        </w:rPr>
      </w:pPr>
      <w:r w:rsidRPr="00772665">
        <w:rPr>
          <w:rFonts w:ascii="Arial" w:hAnsi="Arial" w:cs="Arial"/>
        </w:rPr>
        <w:t xml:space="preserve">A descriptive, cross-sectional and </w:t>
      </w:r>
      <w:proofErr w:type="spellStart"/>
      <w:r w:rsidRPr="00772665">
        <w:rPr>
          <w:rFonts w:ascii="Arial" w:hAnsi="Arial" w:cs="Arial"/>
        </w:rPr>
        <w:t>prolective</w:t>
      </w:r>
      <w:proofErr w:type="spellEnd"/>
      <w:r w:rsidRPr="00772665">
        <w:rPr>
          <w:rFonts w:ascii="Arial" w:hAnsi="Arial" w:cs="Arial"/>
        </w:rPr>
        <w:t xml:space="preserve"> study with an analytical approach </w:t>
      </w:r>
      <w:r>
        <w:rPr>
          <w:rFonts w:ascii="Arial" w:hAnsi="Arial" w:cs="Arial"/>
        </w:rPr>
        <w:t xml:space="preserve">can establish an epidemiological association but </w:t>
      </w:r>
      <w:r w:rsidR="00537EA5" w:rsidRPr="00537EA5">
        <w:rPr>
          <w:rFonts w:ascii="Arial" w:hAnsi="Arial" w:cs="Arial"/>
        </w:rPr>
        <w:t>cannot be used to establish cause-and-effect relationships</w:t>
      </w:r>
      <w:r w:rsidR="00537EA5">
        <w:rPr>
          <w:rFonts w:ascii="Arial" w:hAnsi="Arial" w:cs="Arial"/>
        </w:rPr>
        <w:t xml:space="preserve"> (Lopez-Hernandez et al. 2024</w:t>
      </w:r>
      <w:r>
        <w:rPr>
          <w:rFonts w:ascii="Arial" w:hAnsi="Arial" w:cs="Arial"/>
        </w:rPr>
        <w:t>a</w:t>
      </w:r>
      <w:r w:rsidR="00537EA5">
        <w:rPr>
          <w:rFonts w:ascii="Arial" w:hAnsi="Arial" w:cs="Arial"/>
        </w:rPr>
        <w:t>)</w:t>
      </w:r>
      <w:r w:rsidR="00537EA5" w:rsidRPr="00537EA5">
        <w:rPr>
          <w:rFonts w:ascii="Arial" w:hAnsi="Arial" w:cs="Arial"/>
        </w:rPr>
        <w:t xml:space="preserve">. </w:t>
      </w:r>
      <w:r w:rsidR="00384BF7" w:rsidRPr="00384BF7">
        <w:rPr>
          <w:rFonts w:ascii="Arial" w:hAnsi="Arial" w:cs="Arial"/>
        </w:rPr>
        <w:t xml:space="preserve">Additionally, </w:t>
      </w:r>
      <w:r>
        <w:rPr>
          <w:rFonts w:ascii="Arial" w:hAnsi="Arial" w:cs="Arial"/>
        </w:rPr>
        <w:t>t</w:t>
      </w:r>
      <w:r w:rsidR="00384BF7" w:rsidRPr="00384BF7">
        <w:rPr>
          <w:rFonts w:ascii="Arial" w:hAnsi="Arial" w:cs="Arial"/>
        </w:rPr>
        <w:t>o minimise th</w:t>
      </w:r>
      <w:r w:rsidR="00B914C8">
        <w:rPr>
          <w:rFonts w:ascii="Arial" w:hAnsi="Arial" w:cs="Arial"/>
        </w:rPr>
        <w:t>e</w:t>
      </w:r>
      <w:r w:rsidR="00384BF7" w:rsidRPr="00384BF7">
        <w:rPr>
          <w:rFonts w:ascii="Arial" w:hAnsi="Arial" w:cs="Arial"/>
        </w:rPr>
        <w:t xml:space="preserve"> </w:t>
      </w:r>
      <w:r w:rsidR="00B914C8">
        <w:rPr>
          <w:rFonts w:ascii="Arial" w:hAnsi="Arial" w:cs="Arial"/>
        </w:rPr>
        <w:t xml:space="preserve">information and selection </w:t>
      </w:r>
      <w:r w:rsidR="00384BF7" w:rsidRPr="00384BF7">
        <w:rPr>
          <w:rFonts w:ascii="Arial" w:hAnsi="Arial" w:cs="Arial"/>
        </w:rPr>
        <w:t>bias</w:t>
      </w:r>
      <w:r w:rsidR="00B56D3F">
        <w:rPr>
          <w:rFonts w:ascii="Arial" w:hAnsi="Arial" w:cs="Arial"/>
        </w:rPr>
        <w:t xml:space="preserve"> due to the </w:t>
      </w:r>
      <w:r w:rsidR="00B56D3F" w:rsidRPr="00B56D3F">
        <w:rPr>
          <w:rFonts w:ascii="Arial" w:hAnsi="Arial" w:cs="Arial"/>
        </w:rPr>
        <w:t xml:space="preserve">subjective nature and non-random selection process </w:t>
      </w:r>
      <w:r w:rsidR="00B56D3F">
        <w:rPr>
          <w:rFonts w:ascii="Arial" w:hAnsi="Arial" w:cs="Arial"/>
        </w:rPr>
        <w:t>of the intentional sampling</w:t>
      </w:r>
      <w:r w:rsidR="00384BF7" w:rsidRPr="00384BF7">
        <w:rPr>
          <w:rFonts w:ascii="Arial" w:hAnsi="Arial" w:cs="Arial"/>
        </w:rPr>
        <w:t>,</w:t>
      </w:r>
      <w:r w:rsidR="00B56D3F" w:rsidRPr="00B56D3F">
        <w:t xml:space="preserve"> </w:t>
      </w:r>
      <w:r w:rsidR="00B56D3F">
        <w:t>a</w:t>
      </w:r>
      <w:r w:rsidR="00B56D3F" w:rsidRPr="00B56D3F">
        <w:rPr>
          <w:rFonts w:ascii="Arial" w:hAnsi="Arial" w:cs="Arial"/>
        </w:rPr>
        <w:t xml:space="preserve"> healthcare professional conducted all the assessments of functional impairment</w:t>
      </w:r>
      <w:r w:rsidR="00B56D3F">
        <w:rPr>
          <w:rFonts w:ascii="Arial" w:hAnsi="Arial" w:cs="Arial"/>
        </w:rPr>
        <w:t xml:space="preserve">. This professional </w:t>
      </w:r>
      <w:r w:rsidR="00B56D3F" w:rsidRPr="00B56D3F">
        <w:rPr>
          <w:rFonts w:ascii="Arial" w:hAnsi="Arial" w:cs="Arial"/>
        </w:rPr>
        <w:t>underwent training to ensure standardisation and reliability in test administration and scoring.</w:t>
      </w:r>
      <w:r w:rsidR="00384BF7" w:rsidRPr="00384BF7">
        <w:rPr>
          <w:rFonts w:ascii="Arial" w:hAnsi="Arial" w:cs="Arial"/>
        </w:rPr>
        <w:t xml:space="preserve"> </w:t>
      </w:r>
      <w:r w:rsidR="00BC5BE1">
        <w:rPr>
          <w:rFonts w:ascii="Arial" w:hAnsi="Arial" w:cs="Arial"/>
        </w:rPr>
        <w:t>However, t</w:t>
      </w:r>
      <w:r w:rsidR="00BC5BE1" w:rsidRPr="00BC5BE1">
        <w:rPr>
          <w:rFonts w:ascii="Arial" w:hAnsi="Arial" w:cs="Arial"/>
        </w:rPr>
        <w:t>his method</w:t>
      </w:r>
      <w:r w:rsidR="00BC5BE1">
        <w:rPr>
          <w:rFonts w:ascii="Arial" w:hAnsi="Arial" w:cs="Arial"/>
        </w:rPr>
        <w:t xml:space="preserve"> </w:t>
      </w:r>
      <w:r w:rsidR="00BC5BE1" w:rsidRPr="00BC5BE1">
        <w:rPr>
          <w:rFonts w:ascii="Arial" w:hAnsi="Arial" w:cs="Arial"/>
        </w:rPr>
        <w:t>involved</w:t>
      </w:r>
      <w:r w:rsidR="00BC5BE1">
        <w:rPr>
          <w:rFonts w:ascii="Arial" w:hAnsi="Arial" w:cs="Arial"/>
        </w:rPr>
        <w:t xml:space="preserve"> </w:t>
      </w:r>
      <w:r w:rsidR="00BC5BE1" w:rsidRPr="00BC5BE1">
        <w:rPr>
          <w:rFonts w:ascii="Arial" w:hAnsi="Arial" w:cs="Arial"/>
        </w:rPr>
        <w:t>selecting</w:t>
      </w:r>
      <w:r w:rsidR="00BC5BE1">
        <w:rPr>
          <w:rFonts w:ascii="Arial" w:hAnsi="Arial" w:cs="Arial"/>
        </w:rPr>
        <w:t xml:space="preserve"> </w:t>
      </w:r>
      <w:r w:rsidR="00BC5BE1" w:rsidRPr="00BC5BE1">
        <w:rPr>
          <w:rFonts w:ascii="Arial" w:hAnsi="Arial" w:cs="Arial"/>
        </w:rPr>
        <w:t>individuals</w:t>
      </w:r>
      <w:r w:rsidR="00BC5BE1">
        <w:rPr>
          <w:rFonts w:ascii="Arial" w:hAnsi="Arial" w:cs="Arial"/>
        </w:rPr>
        <w:t xml:space="preserve"> </w:t>
      </w:r>
      <w:r w:rsidR="00BC5BE1" w:rsidRPr="00BC5BE1">
        <w:rPr>
          <w:rFonts w:ascii="Arial" w:hAnsi="Arial" w:cs="Arial"/>
        </w:rPr>
        <w:t>who</w:t>
      </w:r>
      <w:r w:rsidR="00BC5BE1">
        <w:rPr>
          <w:rFonts w:ascii="Arial" w:hAnsi="Arial" w:cs="Arial"/>
        </w:rPr>
        <w:t xml:space="preserve"> </w:t>
      </w:r>
      <w:r w:rsidR="00BC5BE1" w:rsidRPr="00BC5BE1">
        <w:rPr>
          <w:rFonts w:ascii="Arial" w:hAnsi="Arial" w:cs="Arial"/>
        </w:rPr>
        <w:t>either self-reported</w:t>
      </w:r>
      <w:r w:rsidR="00BC5BE1">
        <w:rPr>
          <w:rFonts w:ascii="Arial" w:hAnsi="Arial" w:cs="Arial"/>
        </w:rPr>
        <w:t xml:space="preserve"> functional impairment </w:t>
      </w:r>
      <w:r w:rsidR="00BC5BE1" w:rsidRPr="00BC5BE1">
        <w:rPr>
          <w:rFonts w:ascii="Arial" w:hAnsi="Arial" w:cs="Arial"/>
        </w:rPr>
        <w:t>or</w:t>
      </w:r>
      <w:r w:rsidR="00BC5BE1">
        <w:rPr>
          <w:rFonts w:ascii="Arial" w:hAnsi="Arial" w:cs="Arial"/>
        </w:rPr>
        <w:t xml:space="preserve"> </w:t>
      </w:r>
      <w:r w:rsidR="00BC5BE1" w:rsidRPr="00BC5BE1">
        <w:rPr>
          <w:rFonts w:ascii="Arial" w:hAnsi="Arial" w:cs="Arial"/>
        </w:rPr>
        <w:t xml:space="preserve">whose caregivers or clinicians reported </w:t>
      </w:r>
      <w:r w:rsidR="00BC5BE1">
        <w:rPr>
          <w:rFonts w:ascii="Arial" w:hAnsi="Arial" w:cs="Arial"/>
        </w:rPr>
        <w:t xml:space="preserve">functional </w:t>
      </w:r>
      <w:r w:rsidR="00BC5BE1" w:rsidRPr="00BC5BE1">
        <w:rPr>
          <w:rFonts w:ascii="Arial" w:hAnsi="Arial" w:cs="Arial"/>
        </w:rPr>
        <w:t xml:space="preserve">issues. </w:t>
      </w:r>
      <w:r w:rsidR="000A363D">
        <w:rPr>
          <w:rFonts w:ascii="Arial" w:hAnsi="Arial" w:cs="Arial"/>
        </w:rPr>
        <w:t>Therefore, t</w:t>
      </w:r>
      <w:r w:rsidR="00BC5BE1" w:rsidRPr="00BC5BE1">
        <w:rPr>
          <w:rFonts w:ascii="Arial" w:hAnsi="Arial" w:cs="Arial"/>
        </w:rPr>
        <w:t>he</w:t>
      </w:r>
      <w:r w:rsidR="00BC5BE1">
        <w:rPr>
          <w:rFonts w:ascii="Arial" w:hAnsi="Arial" w:cs="Arial"/>
        </w:rPr>
        <w:t xml:space="preserve"> </w:t>
      </w:r>
      <w:r w:rsidR="00BC5BE1" w:rsidRPr="00BC5BE1">
        <w:rPr>
          <w:rFonts w:ascii="Arial" w:hAnsi="Arial" w:cs="Arial"/>
        </w:rPr>
        <w:t>participants</w:t>
      </w:r>
      <w:r w:rsidR="00BC5BE1">
        <w:rPr>
          <w:rFonts w:ascii="Arial" w:hAnsi="Arial" w:cs="Arial"/>
        </w:rPr>
        <w:t xml:space="preserve"> </w:t>
      </w:r>
      <w:r w:rsidR="00BC5BE1" w:rsidRPr="00BC5BE1">
        <w:rPr>
          <w:rFonts w:ascii="Arial" w:hAnsi="Arial" w:cs="Arial"/>
        </w:rPr>
        <w:t>who</w:t>
      </w:r>
      <w:r w:rsidR="00BC5BE1">
        <w:rPr>
          <w:rFonts w:ascii="Arial" w:hAnsi="Arial" w:cs="Arial"/>
        </w:rPr>
        <w:t xml:space="preserve"> </w:t>
      </w:r>
      <w:r w:rsidR="00BC5BE1" w:rsidRPr="00BC5BE1">
        <w:rPr>
          <w:rFonts w:ascii="Arial" w:hAnsi="Arial" w:cs="Arial"/>
        </w:rPr>
        <w:t>did</w:t>
      </w:r>
      <w:r w:rsidR="00BC5BE1">
        <w:rPr>
          <w:rFonts w:ascii="Arial" w:hAnsi="Arial" w:cs="Arial"/>
        </w:rPr>
        <w:t xml:space="preserve"> </w:t>
      </w:r>
      <w:r w:rsidR="00BC5BE1" w:rsidRPr="00BC5BE1">
        <w:rPr>
          <w:rFonts w:ascii="Arial" w:hAnsi="Arial" w:cs="Arial"/>
        </w:rPr>
        <w:t>not</w:t>
      </w:r>
      <w:r w:rsidR="00BC5BE1">
        <w:rPr>
          <w:rFonts w:ascii="Arial" w:hAnsi="Arial" w:cs="Arial"/>
        </w:rPr>
        <w:t xml:space="preserve"> </w:t>
      </w:r>
      <w:r w:rsidR="00BC5BE1" w:rsidRPr="00BC5BE1">
        <w:rPr>
          <w:rFonts w:ascii="Arial" w:hAnsi="Arial" w:cs="Arial"/>
        </w:rPr>
        <w:t>report</w:t>
      </w:r>
      <w:r w:rsidR="00BC5BE1">
        <w:rPr>
          <w:rFonts w:ascii="Arial" w:hAnsi="Arial" w:cs="Arial"/>
        </w:rPr>
        <w:t xml:space="preserve"> functional impairment o</w:t>
      </w:r>
      <w:r w:rsidR="00BC5BE1" w:rsidRPr="00BC5BE1">
        <w:rPr>
          <w:rFonts w:ascii="Arial" w:hAnsi="Arial" w:cs="Arial"/>
        </w:rPr>
        <w:t>r</w:t>
      </w:r>
      <w:r w:rsidR="00BC5BE1">
        <w:rPr>
          <w:rFonts w:ascii="Arial" w:hAnsi="Arial" w:cs="Arial"/>
        </w:rPr>
        <w:t xml:space="preserve"> </w:t>
      </w:r>
      <w:r w:rsidR="00BC5BE1" w:rsidRPr="00BC5BE1">
        <w:rPr>
          <w:rFonts w:ascii="Arial" w:hAnsi="Arial" w:cs="Arial"/>
        </w:rPr>
        <w:t>who</w:t>
      </w:r>
      <w:r w:rsidR="00BC5BE1">
        <w:rPr>
          <w:rFonts w:ascii="Arial" w:hAnsi="Arial" w:cs="Arial"/>
        </w:rPr>
        <w:t xml:space="preserve"> </w:t>
      </w:r>
      <w:r w:rsidR="00BC5BE1" w:rsidRPr="00BC5BE1">
        <w:rPr>
          <w:rFonts w:ascii="Arial" w:hAnsi="Arial" w:cs="Arial"/>
        </w:rPr>
        <w:t>were</w:t>
      </w:r>
      <w:r w:rsidR="00BC5BE1">
        <w:rPr>
          <w:rFonts w:ascii="Arial" w:hAnsi="Arial" w:cs="Arial"/>
        </w:rPr>
        <w:t xml:space="preserve"> </w:t>
      </w:r>
      <w:r w:rsidR="00BC5BE1" w:rsidRPr="00BC5BE1">
        <w:rPr>
          <w:rFonts w:ascii="Arial" w:hAnsi="Arial" w:cs="Arial"/>
        </w:rPr>
        <w:t>less</w:t>
      </w:r>
      <w:r w:rsidR="00BC5BE1">
        <w:rPr>
          <w:rFonts w:ascii="Arial" w:hAnsi="Arial" w:cs="Arial"/>
        </w:rPr>
        <w:t xml:space="preserve"> </w:t>
      </w:r>
      <w:r w:rsidR="00BC5BE1" w:rsidRPr="00BC5BE1">
        <w:rPr>
          <w:rFonts w:ascii="Arial" w:hAnsi="Arial" w:cs="Arial"/>
        </w:rPr>
        <w:t>engaged</w:t>
      </w:r>
      <w:r w:rsidR="00BC5BE1">
        <w:rPr>
          <w:rFonts w:ascii="Arial" w:hAnsi="Arial" w:cs="Arial"/>
        </w:rPr>
        <w:t xml:space="preserve"> </w:t>
      </w:r>
      <w:r w:rsidR="00BC5BE1" w:rsidRPr="00BC5BE1">
        <w:rPr>
          <w:rFonts w:ascii="Arial" w:hAnsi="Arial" w:cs="Arial"/>
        </w:rPr>
        <w:t>with healthcare services may have been underrepresented,</w:t>
      </w:r>
      <w:r w:rsidR="00BC5BE1">
        <w:rPr>
          <w:rFonts w:ascii="Arial" w:hAnsi="Arial" w:cs="Arial"/>
        </w:rPr>
        <w:t xml:space="preserve"> </w:t>
      </w:r>
      <w:r w:rsidR="00BC5BE1" w:rsidRPr="00BC5BE1">
        <w:rPr>
          <w:rFonts w:ascii="Arial" w:hAnsi="Arial" w:cs="Arial"/>
        </w:rPr>
        <w:t>potentially</w:t>
      </w:r>
      <w:r w:rsidR="00BC5BE1">
        <w:rPr>
          <w:rFonts w:ascii="Arial" w:hAnsi="Arial" w:cs="Arial"/>
        </w:rPr>
        <w:t xml:space="preserve"> </w:t>
      </w:r>
      <w:r w:rsidR="00BC5BE1" w:rsidRPr="00BC5BE1">
        <w:rPr>
          <w:rFonts w:ascii="Arial" w:hAnsi="Arial" w:cs="Arial"/>
        </w:rPr>
        <w:t>affecting</w:t>
      </w:r>
      <w:r w:rsidR="00BC5BE1">
        <w:rPr>
          <w:rFonts w:ascii="Arial" w:hAnsi="Arial" w:cs="Arial"/>
        </w:rPr>
        <w:t xml:space="preserve"> </w:t>
      </w:r>
      <w:r w:rsidR="00BC5BE1" w:rsidRPr="00BC5BE1">
        <w:rPr>
          <w:rFonts w:ascii="Arial" w:hAnsi="Arial" w:cs="Arial"/>
        </w:rPr>
        <w:t>the findings</w:t>
      </w:r>
      <w:r w:rsidR="00BC5BE1">
        <w:rPr>
          <w:rFonts w:ascii="Arial" w:hAnsi="Arial" w:cs="Arial"/>
        </w:rPr>
        <w:t xml:space="preserve"> </w:t>
      </w:r>
      <w:r w:rsidR="00BC5BE1" w:rsidRPr="00BC5BE1">
        <w:rPr>
          <w:rFonts w:ascii="Arial" w:hAnsi="Arial" w:cs="Arial"/>
        </w:rPr>
        <w:t>to</w:t>
      </w:r>
      <w:r w:rsidR="00BC5BE1">
        <w:rPr>
          <w:rFonts w:ascii="Arial" w:hAnsi="Arial" w:cs="Arial"/>
        </w:rPr>
        <w:t xml:space="preserve"> </w:t>
      </w:r>
      <w:r w:rsidR="00BC5BE1" w:rsidRPr="00BC5BE1">
        <w:rPr>
          <w:rFonts w:ascii="Arial" w:hAnsi="Arial" w:cs="Arial"/>
        </w:rPr>
        <w:t>be</w:t>
      </w:r>
      <w:r w:rsidR="00BC5BE1">
        <w:rPr>
          <w:rFonts w:ascii="Arial" w:hAnsi="Arial" w:cs="Arial"/>
        </w:rPr>
        <w:t xml:space="preserve"> </w:t>
      </w:r>
      <w:r w:rsidR="00BC5BE1" w:rsidRPr="00BC5BE1">
        <w:rPr>
          <w:rFonts w:ascii="Arial" w:hAnsi="Arial" w:cs="Arial"/>
        </w:rPr>
        <w:t>extrapolated</w:t>
      </w:r>
      <w:r w:rsidR="00BC5BE1">
        <w:rPr>
          <w:rFonts w:ascii="Arial" w:hAnsi="Arial" w:cs="Arial"/>
        </w:rPr>
        <w:t xml:space="preserve"> </w:t>
      </w:r>
      <w:r w:rsidR="00BC5BE1" w:rsidRPr="00BC5BE1">
        <w:rPr>
          <w:rFonts w:ascii="Arial" w:hAnsi="Arial" w:cs="Arial"/>
        </w:rPr>
        <w:t>to</w:t>
      </w:r>
      <w:r w:rsidR="00BC5BE1">
        <w:rPr>
          <w:rFonts w:ascii="Arial" w:hAnsi="Arial" w:cs="Arial"/>
        </w:rPr>
        <w:t xml:space="preserve"> </w:t>
      </w:r>
      <w:r w:rsidR="00BC5BE1" w:rsidRPr="00BC5BE1">
        <w:rPr>
          <w:rFonts w:ascii="Arial" w:hAnsi="Arial" w:cs="Arial"/>
        </w:rPr>
        <w:t>the</w:t>
      </w:r>
      <w:r w:rsidR="00BC5BE1">
        <w:rPr>
          <w:rFonts w:ascii="Arial" w:hAnsi="Arial" w:cs="Arial"/>
        </w:rPr>
        <w:t xml:space="preserve"> </w:t>
      </w:r>
      <w:r w:rsidR="00BC5BE1" w:rsidRPr="00BC5BE1">
        <w:rPr>
          <w:rFonts w:ascii="Arial" w:hAnsi="Arial" w:cs="Arial"/>
        </w:rPr>
        <w:t xml:space="preserve">broader population of </w:t>
      </w:r>
      <w:r w:rsidR="00BC5BE1">
        <w:rPr>
          <w:rFonts w:ascii="Arial" w:hAnsi="Arial" w:cs="Arial"/>
        </w:rPr>
        <w:t xml:space="preserve">the elderly population (Rueda-De-La-Rosa et al. 2024). </w:t>
      </w:r>
      <w:r w:rsidR="00BC5BE1" w:rsidRPr="00BC5BE1">
        <w:rPr>
          <w:rFonts w:ascii="Arial" w:hAnsi="Arial" w:cs="Arial"/>
        </w:rPr>
        <w:t>Despite these limitations, the study was able to establish an epidemiological association between various sociodemographic and clinical factors and functional impairment through univariate logistic regression models. Additionally, it determined the prevalence of functional impairment in the study population and characterised their sociodemographic and clinical conditions.</w:t>
      </w:r>
    </w:p>
    <w:p w14:paraId="480D563E" w14:textId="77777777" w:rsidR="00384BF7" w:rsidRPr="004D63F2" w:rsidRDefault="00384BF7" w:rsidP="00384BF7">
      <w:pPr>
        <w:pStyle w:val="Body"/>
        <w:spacing w:after="0"/>
        <w:rPr>
          <w:rFonts w:ascii="Arial" w:hAnsi="Arial" w:cs="Arial"/>
        </w:rPr>
      </w:pPr>
    </w:p>
    <w:p w14:paraId="100F902E" w14:textId="77777777" w:rsidR="00113660" w:rsidRPr="00B65923" w:rsidRDefault="00000F8F" w:rsidP="00384BF7">
      <w:pPr>
        <w:pStyle w:val="ConcHead"/>
        <w:spacing w:after="0"/>
        <w:jc w:val="both"/>
        <w:rPr>
          <w:rFonts w:ascii="Arial" w:hAnsi="Arial" w:cs="Arial"/>
        </w:rPr>
      </w:pPr>
      <w:r w:rsidRPr="00B65923">
        <w:rPr>
          <w:rFonts w:ascii="Arial" w:hAnsi="Arial" w:cs="Arial"/>
        </w:rPr>
        <w:t xml:space="preserve">4. </w:t>
      </w:r>
      <w:r w:rsidR="00B01FCD" w:rsidRPr="00B65923">
        <w:rPr>
          <w:rFonts w:ascii="Arial" w:hAnsi="Arial" w:cs="Arial"/>
        </w:rPr>
        <w:t>Conclusion</w:t>
      </w:r>
      <w:r w:rsidR="006B5904" w:rsidRPr="00B65923">
        <w:rPr>
          <w:rFonts w:ascii="Arial" w:hAnsi="Arial" w:cs="Arial"/>
        </w:rPr>
        <w:t>.</w:t>
      </w:r>
    </w:p>
    <w:p w14:paraId="3C3E9CDD" w14:textId="4DD71DEE" w:rsidR="00CE7693" w:rsidRDefault="007615BF" w:rsidP="007615BF">
      <w:pPr>
        <w:jc w:val="both"/>
        <w:rPr>
          <w:rFonts w:ascii="Arial" w:hAnsi="Arial" w:cs="Arial"/>
        </w:rPr>
      </w:pPr>
      <w:r w:rsidRPr="007615BF">
        <w:rPr>
          <w:rFonts w:ascii="Arial" w:hAnsi="Arial" w:cs="Arial"/>
        </w:rPr>
        <w:t>This study underscores the need to ad</w:t>
      </w:r>
      <w:r w:rsidR="000A363D">
        <w:rPr>
          <w:rFonts w:ascii="Arial" w:hAnsi="Arial" w:cs="Arial"/>
        </w:rPr>
        <w:t>dress gender inequalities and the</w:t>
      </w:r>
      <w:r w:rsidRPr="007615BF">
        <w:rPr>
          <w:rFonts w:ascii="Arial" w:hAnsi="Arial" w:cs="Arial"/>
        </w:rPr>
        <w:t xml:space="preserve"> implement comprehensive health programmes that support active and healthy ageing, with policies focusing on physical activity, lifelong learning, and psychosocial support, as well as strengthening support networks, which enhance autonomy and quality of life for the elderly population.</w:t>
      </w:r>
    </w:p>
    <w:p w14:paraId="2BA74C2F" w14:textId="77777777" w:rsidR="007615BF" w:rsidRPr="00B65923" w:rsidRDefault="007615BF" w:rsidP="00B65923">
      <w:pPr>
        <w:rPr>
          <w:rFonts w:ascii="Arial" w:hAnsi="Arial" w:cs="Arial"/>
        </w:rPr>
      </w:pPr>
    </w:p>
    <w:p w14:paraId="3232A667" w14:textId="77777777" w:rsidR="00B65AF6" w:rsidRPr="00FD3472" w:rsidRDefault="00B65AF6" w:rsidP="00FD3472">
      <w:pPr>
        <w:jc w:val="both"/>
        <w:rPr>
          <w:rFonts w:ascii="Arial" w:hAnsi="Arial" w:cs="Arial"/>
          <w:caps/>
        </w:rPr>
      </w:pPr>
    </w:p>
    <w:p w14:paraId="72C4C215" w14:textId="7FA6CC31" w:rsidR="00B65AF6" w:rsidRPr="0054404D" w:rsidRDefault="00B65AF6" w:rsidP="00B65AF6">
      <w:pPr>
        <w:pStyle w:val="AcknHead"/>
        <w:spacing w:after="0"/>
        <w:jc w:val="both"/>
        <w:rPr>
          <w:rFonts w:ascii="Arial" w:hAnsi="Arial" w:cs="Arial"/>
        </w:rPr>
      </w:pPr>
      <w:r w:rsidRPr="0054404D">
        <w:rPr>
          <w:rFonts w:ascii="Arial" w:hAnsi="Arial" w:cs="Arial"/>
        </w:rPr>
        <w:t>DISCLAIMER</w:t>
      </w:r>
      <w:r w:rsidR="006B5904" w:rsidRPr="0054404D">
        <w:rPr>
          <w:rFonts w:ascii="Arial" w:hAnsi="Arial" w:cs="Arial"/>
        </w:rPr>
        <w:t>.</w:t>
      </w:r>
    </w:p>
    <w:p w14:paraId="2651E884" w14:textId="30A7B8E5" w:rsidR="00B65AF6" w:rsidRDefault="00B65AF6" w:rsidP="00FD3472">
      <w:pPr>
        <w:jc w:val="both"/>
        <w:rPr>
          <w:rFonts w:ascii="Arial" w:hAnsi="Arial" w:cs="Arial"/>
        </w:rPr>
      </w:pPr>
      <w:r w:rsidRPr="00FD3472">
        <w:rPr>
          <w:rFonts w:ascii="Arial" w:hAnsi="Arial" w:cs="Arial"/>
        </w:rPr>
        <w:t>Authors hereby declare that NO generative AI technologies such as Large Language Models (ChatGPT, COPILOT, etc) and text-to-image generators have been used during writing or editing of manuscripts.</w:t>
      </w:r>
    </w:p>
    <w:p w14:paraId="2EE7DDF1" w14:textId="77777777" w:rsidR="00FD3472" w:rsidRPr="00FD3472" w:rsidRDefault="00FD3472" w:rsidP="00FD3472">
      <w:pPr>
        <w:jc w:val="both"/>
        <w:rPr>
          <w:rFonts w:ascii="Arial" w:hAnsi="Arial" w:cs="Arial"/>
          <w:b/>
        </w:rPr>
      </w:pPr>
    </w:p>
    <w:p w14:paraId="6A95C57F" w14:textId="6E7C72F1" w:rsidR="00B65AF6" w:rsidRPr="0054404D" w:rsidRDefault="00B65AF6" w:rsidP="00B65AF6">
      <w:pPr>
        <w:pStyle w:val="ReferHead"/>
        <w:spacing w:after="0"/>
        <w:jc w:val="both"/>
        <w:rPr>
          <w:rFonts w:ascii="Arial" w:hAnsi="Arial" w:cs="Arial"/>
          <w:bCs/>
        </w:rPr>
      </w:pPr>
      <w:r w:rsidRPr="0054404D">
        <w:rPr>
          <w:rFonts w:ascii="Arial" w:hAnsi="Arial" w:cs="Arial"/>
          <w:bCs/>
        </w:rPr>
        <w:t>Consent</w:t>
      </w:r>
      <w:r w:rsidR="006B5904" w:rsidRPr="0054404D">
        <w:rPr>
          <w:rFonts w:ascii="Arial" w:hAnsi="Arial" w:cs="Arial"/>
          <w:bCs/>
        </w:rPr>
        <w:t>.</w:t>
      </w:r>
    </w:p>
    <w:p w14:paraId="6A92A037" w14:textId="56CD0990" w:rsidR="00FD3472" w:rsidRDefault="00B65AF6" w:rsidP="00FD3472">
      <w:pPr>
        <w:jc w:val="both"/>
        <w:rPr>
          <w:rFonts w:ascii="Arial" w:hAnsi="Arial" w:cs="Arial"/>
        </w:rPr>
      </w:pPr>
      <w:r w:rsidRPr="00FD3472">
        <w:rPr>
          <w:rFonts w:ascii="Arial" w:hAnsi="Arial" w:cs="Arial"/>
        </w:rPr>
        <w:t xml:space="preserve">A medical professional informed all participants about the study's objective, its benefits, and potential adverse events. </w:t>
      </w:r>
      <w:r w:rsidR="000A363D">
        <w:rPr>
          <w:rFonts w:ascii="Arial" w:hAnsi="Arial" w:cs="Arial"/>
        </w:rPr>
        <w:t>Thus, a</w:t>
      </w:r>
      <w:r w:rsidRPr="00FD3472">
        <w:rPr>
          <w:rFonts w:ascii="Arial" w:hAnsi="Arial" w:cs="Arial"/>
        </w:rPr>
        <w:t xml:space="preserve">fter providing a clear explanation, </w:t>
      </w:r>
      <w:r w:rsidR="000A363D">
        <w:rPr>
          <w:rFonts w:ascii="Arial" w:hAnsi="Arial" w:cs="Arial"/>
        </w:rPr>
        <w:t xml:space="preserve">the </w:t>
      </w:r>
      <w:r w:rsidRPr="00FD3472">
        <w:rPr>
          <w:rFonts w:ascii="Arial" w:hAnsi="Arial" w:cs="Arial"/>
        </w:rPr>
        <w:t>signatures</w:t>
      </w:r>
      <w:r w:rsidR="000A363D">
        <w:rPr>
          <w:rFonts w:ascii="Arial" w:hAnsi="Arial" w:cs="Arial"/>
        </w:rPr>
        <w:t xml:space="preserve"> </w:t>
      </w:r>
      <w:r w:rsidR="006E0968">
        <w:rPr>
          <w:rFonts w:ascii="Arial" w:hAnsi="Arial" w:cs="Arial"/>
        </w:rPr>
        <w:t xml:space="preserve">collection </w:t>
      </w:r>
      <w:r w:rsidR="006E0968" w:rsidRPr="00FD3472">
        <w:rPr>
          <w:rFonts w:ascii="Arial" w:hAnsi="Arial" w:cs="Arial"/>
        </w:rPr>
        <w:t>of</w:t>
      </w:r>
      <w:r w:rsidRPr="00FD3472">
        <w:rPr>
          <w:rFonts w:ascii="Arial" w:hAnsi="Arial" w:cs="Arial"/>
        </w:rPr>
        <w:t xml:space="preserve"> those who voluntarily decided to pa</w:t>
      </w:r>
      <w:r w:rsidR="000A363D">
        <w:rPr>
          <w:rFonts w:ascii="Arial" w:hAnsi="Arial" w:cs="Arial"/>
        </w:rPr>
        <w:t>rticipate in the study, and to ensure</w:t>
      </w:r>
      <w:r w:rsidRPr="00FD3472">
        <w:rPr>
          <w:rFonts w:ascii="Arial" w:hAnsi="Arial" w:cs="Arial"/>
        </w:rPr>
        <w:t xml:space="preserve"> that participants had sufficient time to read and sign the corresponding informed consent form.</w:t>
      </w:r>
    </w:p>
    <w:p w14:paraId="4488166B" w14:textId="77777777" w:rsidR="00FD3472" w:rsidRPr="00FD3472" w:rsidRDefault="00FD3472" w:rsidP="00FD3472">
      <w:pPr>
        <w:jc w:val="both"/>
        <w:rPr>
          <w:rFonts w:ascii="Arial" w:hAnsi="Arial" w:cs="Arial"/>
          <w:b/>
          <w:caps/>
        </w:rPr>
      </w:pPr>
    </w:p>
    <w:p w14:paraId="64AE3444" w14:textId="03F65CAE" w:rsidR="005C784C" w:rsidRPr="0054404D" w:rsidRDefault="005C784C" w:rsidP="00441B6F">
      <w:pPr>
        <w:pStyle w:val="ReferHead"/>
        <w:spacing w:after="0"/>
        <w:jc w:val="both"/>
        <w:rPr>
          <w:rFonts w:ascii="Arial" w:hAnsi="Arial" w:cs="Arial"/>
          <w:bCs/>
        </w:rPr>
      </w:pPr>
      <w:r w:rsidRPr="0054404D">
        <w:rPr>
          <w:rFonts w:ascii="Arial" w:hAnsi="Arial" w:cs="Arial"/>
          <w:bCs/>
        </w:rPr>
        <w:t>Ethical approval</w:t>
      </w:r>
      <w:r w:rsidR="006B5904" w:rsidRPr="0054404D">
        <w:rPr>
          <w:rFonts w:ascii="Arial" w:hAnsi="Arial" w:cs="Arial"/>
          <w:bCs/>
        </w:rPr>
        <w:t>.</w:t>
      </w:r>
    </w:p>
    <w:p w14:paraId="52E7997B" w14:textId="62CABD96" w:rsidR="00860000" w:rsidRDefault="00206DF6" w:rsidP="00206DF6">
      <w:pPr>
        <w:jc w:val="both"/>
        <w:rPr>
          <w:rFonts w:ascii="Arial" w:hAnsi="Arial" w:cs="Arial"/>
        </w:rPr>
      </w:pPr>
      <w:r w:rsidRPr="00206DF6">
        <w:rPr>
          <w:rFonts w:ascii="Arial" w:hAnsi="Arial" w:cs="Arial"/>
        </w:rPr>
        <w:t>The</w:t>
      </w:r>
      <w:r>
        <w:rPr>
          <w:rFonts w:ascii="Arial" w:hAnsi="Arial" w:cs="Arial"/>
        </w:rPr>
        <w:t xml:space="preserve"> </w:t>
      </w:r>
      <w:r w:rsidRPr="00206DF6">
        <w:rPr>
          <w:rFonts w:ascii="Arial" w:hAnsi="Arial" w:cs="Arial"/>
        </w:rPr>
        <w:t>protocol</w:t>
      </w:r>
      <w:r>
        <w:rPr>
          <w:rFonts w:ascii="Arial" w:hAnsi="Arial" w:cs="Arial"/>
        </w:rPr>
        <w:t xml:space="preserve"> </w:t>
      </w:r>
      <w:r w:rsidRPr="00206DF6">
        <w:rPr>
          <w:rFonts w:ascii="Arial" w:hAnsi="Arial" w:cs="Arial"/>
        </w:rPr>
        <w:t>was</w:t>
      </w:r>
      <w:r>
        <w:rPr>
          <w:rFonts w:ascii="Arial" w:hAnsi="Arial" w:cs="Arial"/>
        </w:rPr>
        <w:t xml:space="preserve"> </w:t>
      </w:r>
      <w:r w:rsidRPr="00206DF6">
        <w:rPr>
          <w:rFonts w:ascii="Arial" w:hAnsi="Arial" w:cs="Arial"/>
        </w:rPr>
        <w:t>approved</w:t>
      </w:r>
      <w:r>
        <w:rPr>
          <w:rFonts w:ascii="Arial" w:hAnsi="Arial" w:cs="Arial"/>
        </w:rPr>
        <w:t xml:space="preserve"> </w:t>
      </w:r>
      <w:r w:rsidRPr="00206DF6">
        <w:rPr>
          <w:rFonts w:ascii="Arial" w:hAnsi="Arial" w:cs="Arial"/>
        </w:rPr>
        <w:t>by</w:t>
      </w:r>
      <w:r>
        <w:rPr>
          <w:rFonts w:ascii="Arial" w:hAnsi="Arial" w:cs="Arial"/>
        </w:rPr>
        <w:t xml:space="preserve"> </w:t>
      </w:r>
      <w:r w:rsidRPr="00206DF6">
        <w:rPr>
          <w:rFonts w:ascii="Arial" w:hAnsi="Arial" w:cs="Arial"/>
        </w:rPr>
        <w:t>two committees:</w:t>
      </w:r>
      <w:r>
        <w:rPr>
          <w:rFonts w:ascii="Arial" w:hAnsi="Arial" w:cs="Arial"/>
        </w:rPr>
        <w:t xml:space="preserve"> </w:t>
      </w:r>
      <w:r w:rsidRPr="00206DF6">
        <w:rPr>
          <w:rFonts w:ascii="Arial" w:hAnsi="Arial" w:cs="Arial"/>
        </w:rPr>
        <w:t>The</w:t>
      </w:r>
      <w:r>
        <w:rPr>
          <w:rFonts w:ascii="Arial" w:hAnsi="Arial" w:cs="Arial"/>
        </w:rPr>
        <w:t xml:space="preserve"> </w:t>
      </w:r>
      <w:r w:rsidRPr="00206DF6">
        <w:rPr>
          <w:rFonts w:ascii="Arial" w:hAnsi="Arial" w:cs="Arial"/>
        </w:rPr>
        <w:t>Research</w:t>
      </w:r>
      <w:r>
        <w:rPr>
          <w:rFonts w:ascii="Arial" w:hAnsi="Arial" w:cs="Arial"/>
        </w:rPr>
        <w:t xml:space="preserve"> </w:t>
      </w:r>
      <w:r w:rsidRPr="00206DF6">
        <w:rPr>
          <w:rFonts w:ascii="Arial" w:hAnsi="Arial" w:cs="Arial"/>
        </w:rPr>
        <w:t>Committee</w:t>
      </w:r>
      <w:r>
        <w:rPr>
          <w:rFonts w:ascii="Arial" w:hAnsi="Arial" w:cs="Arial"/>
        </w:rPr>
        <w:t xml:space="preserve"> </w:t>
      </w:r>
      <w:r w:rsidRPr="00206DF6">
        <w:rPr>
          <w:rFonts w:ascii="Arial" w:hAnsi="Arial" w:cs="Arial"/>
        </w:rPr>
        <w:t>and</w:t>
      </w:r>
      <w:r>
        <w:rPr>
          <w:rFonts w:ascii="Arial" w:hAnsi="Arial" w:cs="Arial"/>
        </w:rPr>
        <w:t xml:space="preserve"> </w:t>
      </w:r>
      <w:r w:rsidRPr="00206DF6">
        <w:rPr>
          <w:rFonts w:ascii="Arial" w:hAnsi="Arial" w:cs="Arial"/>
        </w:rPr>
        <w:t>the Ethics</w:t>
      </w:r>
      <w:r>
        <w:rPr>
          <w:rFonts w:ascii="Arial" w:hAnsi="Arial" w:cs="Arial"/>
        </w:rPr>
        <w:t xml:space="preserve"> </w:t>
      </w:r>
      <w:r w:rsidRPr="00206DF6">
        <w:rPr>
          <w:rFonts w:ascii="Arial" w:hAnsi="Arial" w:cs="Arial"/>
        </w:rPr>
        <w:t>Committee</w:t>
      </w:r>
      <w:r>
        <w:rPr>
          <w:rFonts w:ascii="Arial" w:hAnsi="Arial" w:cs="Arial"/>
        </w:rPr>
        <w:t xml:space="preserve"> </w:t>
      </w:r>
      <w:r w:rsidRPr="00206DF6">
        <w:rPr>
          <w:rFonts w:ascii="Arial" w:hAnsi="Arial" w:cs="Arial"/>
        </w:rPr>
        <w:t>in</w:t>
      </w:r>
      <w:r>
        <w:rPr>
          <w:rFonts w:ascii="Arial" w:hAnsi="Arial" w:cs="Arial"/>
        </w:rPr>
        <w:t xml:space="preserve"> </w:t>
      </w:r>
      <w:r w:rsidRPr="00206DF6">
        <w:rPr>
          <w:rFonts w:ascii="Arial" w:hAnsi="Arial" w:cs="Arial"/>
        </w:rPr>
        <w:t>Research</w:t>
      </w:r>
      <w:r>
        <w:rPr>
          <w:rFonts w:ascii="Arial" w:hAnsi="Arial" w:cs="Arial"/>
        </w:rPr>
        <w:t xml:space="preserve"> </w:t>
      </w:r>
      <w:r w:rsidRPr="00206DF6">
        <w:rPr>
          <w:rFonts w:ascii="Arial" w:hAnsi="Arial" w:cs="Arial"/>
        </w:rPr>
        <w:t>of</w:t>
      </w:r>
      <w:r>
        <w:rPr>
          <w:rFonts w:ascii="Arial" w:hAnsi="Arial" w:cs="Arial"/>
        </w:rPr>
        <w:t xml:space="preserve"> </w:t>
      </w:r>
      <w:r w:rsidRPr="00206DF6">
        <w:rPr>
          <w:rFonts w:ascii="Arial" w:hAnsi="Arial" w:cs="Arial"/>
        </w:rPr>
        <w:t>the</w:t>
      </w:r>
      <w:r>
        <w:rPr>
          <w:rFonts w:ascii="Arial" w:hAnsi="Arial" w:cs="Arial"/>
        </w:rPr>
        <w:t xml:space="preserve"> </w:t>
      </w:r>
      <w:r w:rsidRPr="00206DF6">
        <w:rPr>
          <w:rFonts w:ascii="Arial" w:hAnsi="Arial" w:cs="Arial"/>
        </w:rPr>
        <w:t>FMC "División</w:t>
      </w:r>
      <w:r>
        <w:rPr>
          <w:rFonts w:ascii="Arial" w:hAnsi="Arial" w:cs="Arial"/>
        </w:rPr>
        <w:t xml:space="preserve"> </w:t>
      </w:r>
      <w:r w:rsidRPr="00206DF6">
        <w:rPr>
          <w:rFonts w:ascii="Arial" w:hAnsi="Arial" w:cs="Arial"/>
        </w:rPr>
        <w:t>del</w:t>
      </w:r>
      <w:r>
        <w:rPr>
          <w:rFonts w:ascii="Arial" w:hAnsi="Arial" w:cs="Arial"/>
        </w:rPr>
        <w:t xml:space="preserve"> </w:t>
      </w:r>
      <w:r w:rsidRPr="00206DF6">
        <w:rPr>
          <w:rFonts w:ascii="Arial" w:hAnsi="Arial" w:cs="Arial"/>
        </w:rPr>
        <w:t>Norte",</w:t>
      </w:r>
      <w:r>
        <w:rPr>
          <w:rFonts w:ascii="Arial" w:hAnsi="Arial" w:cs="Arial"/>
        </w:rPr>
        <w:t xml:space="preserve"> </w:t>
      </w:r>
      <w:r w:rsidRPr="00206DF6">
        <w:rPr>
          <w:rFonts w:ascii="Arial" w:hAnsi="Arial" w:cs="Arial"/>
        </w:rPr>
        <w:t>ISSSTE.</w:t>
      </w:r>
      <w:r>
        <w:rPr>
          <w:rFonts w:ascii="Arial" w:hAnsi="Arial" w:cs="Arial"/>
        </w:rPr>
        <w:t xml:space="preserve"> </w:t>
      </w:r>
      <w:r w:rsidRPr="00206DF6">
        <w:rPr>
          <w:rFonts w:ascii="Arial" w:hAnsi="Arial" w:cs="Arial"/>
        </w:rPr>
        <w:t>The</w:t>
      </w:r>
      <w:r>
        <w:rPr>
          <w:rFonts w:ascii="Arial" w:hAnsi="Arial" w:cs="Arial"/>
        </w:rPr>
        <w:t xml:space="preserve"> </w:t>
      </w:r>
      <w:r w:rsidRPr="00206DF6">
        <w:rPr>
          <w:rFonts w:ascii="Arial" w:hAnsi="Arial" w:cs="Arial"/>
        </w:rPr>
        <w:t>Data</w:t>
      </w:r>
      <w:r>
        <w:rPr>
          <w:rFonts w:ascii="Arial" w:hAnsi="Arial" w:cs="Arial"/>
        </w:rPr>
        <w:t xml:space="preserve"> </w:t>
      </w:r>
      <w:r w:rsidRPr="00206DF6">
        <w:rPr>
          <w:rFonts w:ascii="Arial" w:hAnsi="Arial" w:cs="Arial"/>
        </w:rPr>
        <w:t>was treated confidentially.</w:t>
      </w:r>
    </w:p>
    <w:p w14:paraId="16D81815" w14:textId="68CA6ECC" w:rsidR="00CC53D5" w:rsidRDefault="00CC53D5" w:rsidP="00206DF6">
      <w:pPr>
        <w:jc w:val="both"/>
        <w:rPr>
          <w:rFonts w:ascii="Arial" w:hAnsi="Arial" w:cs="Arial"/>
        </w:rPr>
      </w:pPr>
    </w:p>
    <w:p w14:paraId="39096A91" w14:textId="394A0A14" w:rsidR="00CC53D5" w:rsidRDefault="00CC53D5" w:rsidP="00206DF6">
      <w:pPr>
        <w:jc w:val="both"/>
        <w:rPr>
          <w:rFonts w:ascii="Arial" w:hAnsi="Arial" w:cs="Arial"/>
        </w:rPr>
      </w:pPr>
    </w:p>
    <w:p w14:paraId="68716D17" w14:textId="627304AA" w:rsidR="00CC53D5" w:rsidRDefault="00CC53D5" w:rsidP="00206DF6">
      <w:pPr>
        <w:jc w:val="both"/>
        <w:rPr>
          <w:rFonts w:ascii="Arial" w:hAnsi="Arial" w:cs="Arial"/>
        </w:rPr>
      </w:pPr>
    </w:p>
    <w:p w14:paraId="7186CA84" w14:textId="5B142535" w:rsidR="00CC53D5" w:rsidRDefault="00CC53D5" w:rsidP="00206DF6">
      <w:pPr>
        <w:jc w:val="both"/>
        <w:rPr>
          <w:rFonts w:ascii="Arial" w:hAnsi="Arial" w:cs="Arial"/>
        </w:rPr>
      </w:pPr>
    </w:p>
    <w:p w14:paraId="2EE45AD1" w14:textId="097CC15F" w:rsidR="00CC53D5" w:rsidRDefault="00CC53D5" w:rsidP="00206DF6">
      <w:pPr>
        <w:jc w:val="both"/>
        <w:rPr>
          <w:rFonts w:ascii="Arial" w:hAnsi="Arial" w:cs="Arial"/>
        </w:rPr>
      </w:pPr>
    </w:p>
    <w:p w14:paraId="12130AE5" w14:textId="7F959B33" w:rsidR="00CC53D5" w:rsidRDefault="00CC53D5" w:rsidP="00206DF6">
      <w:pPr>
        <w:jc w:val="both"/>
        <w:rPr>
          <w:rFonts w:ascii="Arial" w:hAnsi="Arial" w:cs="Arial"/>
        </w:rPr>
      </w:pPr>
    </w:p>
    <w:p w14:paraId="296FF395" w14:textId="46E05EF0" w:rsidR="00CC53D5" w:rsidRDefault="00CC53D5" w:rsidP="00206DF6">
      <w:pPr>
        <w:jc w:val="both"/>
        <w:rPr>
          <w:rFonts w:ascii="Arial" w:hAnsi="Arial" w:cs="Arial"/>
        </w:rPr>
      </w:pPr>
    </w:p>
    <w:p w14:paraId="28A705CA" w14:textId="2A95DFBD" w:rsidR="00CC53D5" w:rsidRDefault="00CC53D5" w:rsidP="00206DF6">
      <w:pPr>
        <w:jc w:val="both"/>
        <w:rPr>
          <w:rFonts w:ascii="Arial" w:hAnsi="Arial" w:cs="Arial"/>
        </w:rPr>
      </w:pPr>
    </w:p>
    <w:p w14:paraId="52B528D4" w14:textId="0AEC3EAF" w:rsidR="00CC53D5" w:rsidRDefault="00CC53D5" w:rsidP="00206DF6">
      <w:pPr>
        <w:jc w:val="both"/>
        <w:rPr>
          <w:rFonts w:ascii="Arial" w:hAnsi="Arial" w:cs="Arial"/>
        </w:rPr>
      </w:pPr>
    </w:p>
    <w:p w14:paraId="242D881B" w14:textId="01CB470F" w:rsidR="00CC53D5" w:rsidRDefault="00CC53D5" w:rsidP="00206DF6">
      <w:pPr>
        <w:jc w:val="both"/>
        <w:rPr>
          <w:rFonts w:ascii="Arial" w:hAnsi="Arial" w:cs="Arial"/>
        </w:rPr>
      </w:pPr>
    </w:p>
    <w:p w14:paraId="6E71B65B" w14:textId="1B6DABD6" w:rsidR="00CC53D5" w:rsidRDefault="00CC53D5" w:rsidP="00206DF6">
      <w:pPr>
        <w:jc w:val="both"/>
        <w:rPr>
          <w:rFonts w:ascii="Arial" w:hAnsi="Arial" w:cs="Arial"/>
        </w:rPr>
      </w:pPr>
    </w:p>
    <w:p w14:paraId="5965F500" w14:textId="3774ED0C" w:rsidR="00CC53D5" w:rsidRDefault="00CC53D5" w:rsidP="00206DF6">
      <w:pPr>
        <w:jc w:val="both"/>
        <w:rPr>
          <w:rFonts w:ascii="Arial" w:hAnsi="Arial" w:cs="Arial"/>
        </w:rPr>
      </w:pPr>
    </w:p>
    <w:p w14:paraId="1BB6BC5B" w14:textId="4C649E1D" w:rsidR="00CC53D5" w:rsidRDefault="00CC53D5" w:rsidP="00206DF6">
      <w:pPr>
        <w:jc w:val="both"/>
        <w:rPr>
          <w:rFonts w:ascii="Arial" w:hAnsi="Arial" w:cs="Arial"/>
        </w:rPr>
      </w:pPr>
    </w:p>
    <w:p w14:paraId="4B129B12" w14:textId="23D3E7E5" w:rsidR="00CC53D5" w:rsidRDefault="00CC53D5" w:rsidP="00206DF6">
      <w:pPr>
        <w:jc w:val="both"/>
        <w:rPr>
          <w:rFonts w:ascii="Arial" w:hAnsi="Arial" w:cs="Arial"/>
        </w:rPr>
      </w:pPr>
    </w:p>
    <w:p w14:paraId="1373F451" w14:textId="62707CC6" w:rsidR="00CC53D5" w:rsidRDefault="00CC53D5" w:rsidP="00206DF6">
      <w:pPr>
        <w:jc w:val="both"/>
        <w:rPr>
          <w:rFonts w:ascii="Arial" w:hAnsi="Arial" w:cs="Arial"/>
        </w:rPr>
      </w:pPr>
    </w:p>
    <w:p w14:paraId="106F9E5C" w14:textId="251AEE83" w:rsidR="00CC53D5" w:rsidRDefault="00CC53D5" w:rsidP="00206DF6">
      <w:pPr>
        <w:jc w:val="both"/>
        <w:rPr>
          <w:rFonts w:ascii="Arial" w:hAnsi="Arial" w:cs="Arial"/>
        </w:rPr>
      </w:pPr>
    </w:p>
    <w:p w14:paraId="153CEF2F" w14:textId="77777777" w:rsidR="00CC53D5" w:rsidRDefault="00CC53D5" w:rsidP="00206DF6">
      <w:pPr>
        <w:jc w:val="both"/>
        <w:rPr>
          <w:rFonts w:ascii="Arial" w:hAnsi="Arial" w:cs="Arial"/>
        </w:rPr>
      </w:pPr>
    </w:p>
    <w:p w14:paraId="7C2FD5A9" w14:textId="52249C2B" w:rsidR="00CC53D5" w:rsidRDefault="00CC53D5" w:rsidP="00206DF6">
      <w:pPr>
        <w:jc w:val="both"/>
        <w:rPr>
          <w:rFonts w:ascii="Arial" w:hAnsi="Arial" w:cs="Arial"/>
        </w:rPr>
      </w:pPr>
    </w:p>
    <w:p w14:paraId="6BF6F4FB" w14:textId="77777777" w:rsidR="00CC53D5" w:rsidRPr="00CC53D5" w:rsidRDefault="00CC53D5" w:rsidP="00CC53D5">
      <w:pPr>
        <w:spacing w:after="200" w:line="276" w:lineRule="auto"/>
        <w:rPr>
          <w:rFonts w:ascii="Calibri" w:eastAsia="Calibri" w:hAnsi="Calibri"/>
          <w:kern w:val="2"/>
          <w:sz w:val="22"/>
          <w:szCs w:val="22"/>
          <w:highlight w:val="yellow"/>
          <w:lang w:val="en-US"/>
        </w:rPr>
      </w:pPr>
      <w:bookmarkStart w:id="4" w:name="_Hlk180402183"/>
      <w:r w:rsidRPr="00CC53D5">
        <w:rPr>
          <w:rFonts w:ascii="Calibri" w:eastAsia="Calibri" w:hAnsi="Calibri"/>
          <w:kern w:val="2"/>
          <w:sz w:val="22"/>
          <w:szCs w:val="22"/>
          <w:highlight w:val="yellow"/>
          <w:lang w:val="en-US"/>
        </w:rPr>
        <w:t>Disclaimer (Artificial intelligence)</w:t>
      </w:r>
    </w:p>
    <w:p w14:paraId="7C2124E9" w14:textId="77777777" w:rsidR="00CC53D5" w:rsidRPr="00CC53D5" w:rsidRDefault="00CC53D5" w:rsidP="00CC53D5">
      <w:pPr>
        <w:spacing w:after="200" w:line="276" w:lineRule="auto"/>
        <w:rPr>
          <w:rFonts w:ascii="Calibri" w:eastAsia="Calibri" w:hAnsi="Calibri"/>
          <w:kern w:val="2"/>
          <w:sz w:val="22"/>
          <w:szCs w:val="22"/>
          <w:highlight w:val="yellow"/>
          <w:lang w:val="en-US"/>
        </w:rPr>
      </w:pPr>
      <w:r w:rsidRPr="00CC53D5">
        <w:rPr>
          <w:rFonts w:ascii="Calibri" w:eastAsia="Calibri" w:hAnsi="Calibri"/>
          <w:kern w:val="2"/>
          <w:sz w:val="22"/>
          <w:szCs w:val="22"/>
          <w:highlight w:val="yellow"/>
          <w:lang w:val="en-US"/>
        </w:rPr>
        <w:t xml:space="preserve">Option 1: </w:t>
      </w:r>
    </w:p>
    <w:p w14:paraId="1E91F5DC" w14:textId="77777777" w:rsidR="00CC53D5" w:rsidRPr="00CC53D5" w:rsidRDefault="00CC53D5" w:rsidP="00CC53D5">
      <w:pPr>
        <w:spacing w:after="200" w:line="276" w:lineRule="auto"/>
        <w:rPr>
          <w:rFonts w:ascii="Calibri" w:eastAsia="Calibri" w:hAnsi="Calibri"/>
          <w:kern w:val="2"/>
          <w:sz w:val="22"/>
          <w:szCs w:val="22"/>
          <w:highlight w:val="yellow"/>
          <w:lang w:val="en-US"/>
        </w:rPr>
      </w:pPr>
      <w:r w:rsidRPr="00CC53D5">
        <w:rPr>
          <w:rFonts w:ascii="Calibri" w:eastAsia="Calibri" w:hAnsi="Calibri"/>
          <w:kern w:val="2"/>
          <w:sz w:val="22"/>
          <w:szCs w:val="22"/>
          <w:highlight w:val="yellow"/>
          <w:lang w:val="en-US"/>
        </w:rPr>
        <w:t xml:space="preserve">Author(s) hereby </w:t>
      </w:r>
      <w:proofErr w:type="gramStart"/>
      <w:r w:rsidRPr="00CC53D5">
        <w:rPr>
          <w:rFonts w:ascii="Calibri" w:eastAsia="Calibri" w:hAnsi="Calibri"/>
          <w:kern w:val="2"/>
          <w:sz w:val="22"/>
          <w:szCs w:val="22"/>
          <w:highlight w:val="yellow"/>
          <w:lang w:val="en-US"/>
        </w:rPr>
        <w:t>declare</w:t>
      </w:r>
      <w:proofErr w:type="gramEnd"/>
      <w:r w:rsidRPr="00CC53D5">
        <w:rPr>
          <w:rFonts w:ascii="Calibri" w:eastAsia="Calibri" w:hAnsi="Calibri"/>
          <w:kern w:val="2"/>
          <w:sz w:val="22"/>
          <w:szCs w:val="22"/>
          <w:highlight w:val="yellow"/>
          <w:lang w:val="en-US"/>
        </w:rPr>
        <w:t xml:space="preserve"> that NO generative AI technologies such as Large Language Models (ChatGPT, COPILOT, etc.) and text-to-image generators have been used during the writing or editing of this manuscript. </w:t>
      </w:r>
    </w:p>
    <w:p w14:paraId="6091AC19" w14:textId="77777777" w:rsidR="00CC53D5" w:rsidRPr="00CC53D5" w:rsidRDefault="00CC53D5" w:rsidP="00CC53D5">
      <w:pPr>
        <w:spacing w:after="200" w:line="276" w:lineRule="auto"/>
        <w:rPr>
          <w:rFonts w:ascii="Calibri" w:eastAsia="Calibri" w:hAnsi="Calibri"/>
          <w:kern w:val="2"/>
          <w:sz w:val="22"/>
          <w:szCs w:val="22"/>
          <w:highlight w:val="yellow"/>
          <w:lang w:val="en-US"/>
        </w:rPr>
      </w:pPr>
      <w:r w:rsidRPr="00CC53D5">
        <w:rPr>
          <w:rFonts w:ascii="Calibri" w:eastAsia="Calibri" w:hAnsi="Calibri"/>
          <w:kern w:val="2"/>
          <w:sz w:val="22"/>
          <w:szCs w:val="22"/>
          <w:highlight w:val="yellow"/>
          <w:lang w:val="en-US"/>
        </w:rPr>
        <w:t xml:space="preserve">Option 2: </w:t>
      </w:r>
    </w:p>
    <w:p w14:paraId="4F84173E" w14:textId="77777777" w:rsidR="00CC53D5" w:rsidRPr="00CC53D5" w:rsidRDefault="00CC53D5" w:rsidP="00CC53D5">
      <w:pPr>
        <w:spacing w:after="200" w:line="276" w:lineRule="auto"/>
        <w:rPr>
          <w:rFonts w:ascii="Calibri" w:eastAsia="Calibri" w:hAnsi="Calibri"/>
          <w:kern w:val="2"/>
          <w:sz w:val="22"/>
          <w:szCs w:val="22"/>
          <w:highlight w:val="yellow"/>
          <w:lang w:val="en-US"/>
        </w:rPr>
      </w:pPr>
      <w:r w:rsidRPr="00CC53D5">
        <w:rPr>
          <w:rFonts w:ascii="Calibri" w:eastAsia="Calibri" w:hAnsi="Calibri"/>
          <w:kern w:val="2"/>
          <w:sz w:val="22"/>
          <w:szCs w:val="22"/>
          <w:highlight w:val="yellow"/>
          <w:lang w:val="en-US"/>
        </w:rPr>
        <w:t xml:space="preserve">Author(s) hereby </w:t>
      </w:r>
      <w:proofErr w:type="gramStart"/>
      <w:r w:rsidRPr="00CC53D5">
        <w:rPr>
          <w:rFonts w:ascii="Calibri" w:eastAsia="Calibri" w:hAnsi="Calibri"/>
          <w:kern w:val="2"/>
          <w:sz w:val="22"/>
          <w:szCs w:val="22"/>
          <w:highlight w:val="yellow"/>
          <w:lang w:val="en-US"/>
        </w:rPr>
        <w:t>declare</w:t>
      </w:r>
      <w:proofErr w:type="gramEnd"/>
      <w:r w:rsidRPr="00CC53D5">
        <w:rPr>
          <w:rFonts w:ascii="Calibri" w:eastAsia="Calibri" w:hAnsi="Calibri"/>
          <w:kern w:val="2"/>
          <w:sz w:val="22"/>
          <w:szCs w:val="22"/>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97C8F66" w14:textId="77777777" w:rsidR="00CC53D5" w:rsidRPr="00CC53D5" w:rsidRDefault="00CC53D5" w:rsidP="00CC53D5">
      <w:pPr>
        <w:spacing w:after="200" w:line="276" w:lineRule="auto"/>
        <w:rPr>
          <w:rFonts w:ascii="Calibri" w:eastAsia="Calibri" w:hAnsi="Calibri"/>
          <w:kern w:val="2"/>
          <w:sz w:val="22"/>
          <w:szCs w:val="22"/>
          <w:highlight w:val="yellow"/>
          <w:lang w:val="en-US"/>
        </w:rPr>
      </w:pPr>
      <w:r w:rsidRPr="00CC53D5">
        <w:rPr>
          <w:rFonts w:ascii="Calibri" w:eastAsia="Calibri" w:hAnsi="Calibri"/>
          <w:kern w:val="2"/>
          <w:sz w:val="22"/>
          <w:szCs w:val="22"/>
          <w:highlight w:val="yellow"/>
          <w:lang w:val="en-US"/>
        </w:rPr>
        <w:t>Details of the AI usage are given below:</w:t>
      </w:r>
    </w:p>
    <w:p w14:paraId="5A9608C8" w14:textId="77777777" w:rsidR="00CC53D5" w:rsidRPr="00CC53D5" w:rsidRDefault="00CC53D5" w:rsidP="00CC53D5">
      <w:pPr>
        <w:spacing w:after="200" w:line="276" w:lineRule="auto"/>
        <w:rPr>
          <w:rFonts w:ascii="Calibri" w:eastAsia="Calibri" w:hAnsi="Calibri"/>
          <w:kern w:val="2"/>
          <w:sz w:val="22"/>
          <w:szCs w:val="22"/>
          <w:highlight w:val="yellow"/>
          <w:lang w:val="en-US"/>
        </w:rPr>
      </w:pPr>
      <w:r w:rsidRPr="00CC53D5">
        <w:rPr>
          <w:rFonts w:ascii="Calibri" w:eastAsia="Calibri" w:hAnsi="Calibri"/>
          <w:kern w:val="2"/>
          <w:sz w:val="22"/>
          <w:szCs w:val="22"/>
          <w:highlight w:val="yellow"/>
          <w:lang w:val="en-US"/>
        </w:rPr>
        <w:t>1.</w:t>
      </w:r>
    </w:p>
    <w:p w14:paraId="48DBBA7F" w14:textId="77777777" w:rsidR="00CC53D5" w:rsidRPr="00CC53D5" w:rsidRDefault="00CC53D5" w:rsidP="00CC53D5">
      <w:pPr>
        <w:spacing w:after="200" w:line="276" w:lineRule="auto"/>
        <w:rPr>
          <w:rFonts w:ascii="Calibri" w:eastAsia="Calibri" w:hAnsi="Calibri"/>
          <w:kern w:val="2"/>
          <w:sz w:val="22"/>
          <w:szCs w:val="22"/>
          <w:highlight w:val="yellow"/>
          <w:lang w:val="en-US"/>
        </w:rPr>
      </w:pPr>
      <w:r w:rsidRPr="00CC53D5">
        <w:rPr>
          <w:rFonts w:ascii="Calibri" w:eastAsia="Calibri" w:hAnsi="Calibri"/>
          <w:kern w:val="2"/>
          <w:sz w:val="22"/>
          <w:szCs w:val="22"/>
          <w:highlight w:val="yellow"/>
          <w:lang w:val="en-US"/>
        </w:rPr>
        <w:t>2.</w:t>
      </w:r>
    </w:p>
    <w:p w14:paraId="308E6BCF" w14:textId="77777777" w:rsidR="00CC53D5" w:rsidRPr="00CC53D5" w:rsidRDefault="00CC53D5" w:rsidP="00CC53D5">
      <w:pPr>
        <w:spacing w:after="200" w:line="276" w:lineRule="auto"/>
        <w:rPr>
          <w:rFonts w:ascii="Calibri" w:eastAsia="Calibri" w:hAnsi="Calibri"/>
          <w:kern w:val="2"/>
          <w:sz w:val="22"/>
          <w:szCs w:val="22"/>
          <w:lang w:val="en-US"/>
        </w:rPr>
      </w:pPr>
      <w:r w:rsidRPr="00CC53D5">
        <w:rPr>
          <w:rFonts w:ascii="Calibri" w:eastAsia="Calibri" w:hAnsi="Calibri"/>
          <w:kern w:val="2"/>
          <w:sz w:val="22"/>
          <w:szCs w:val="22"/>
          <w:highlight w:val="yellow"/>
          <w:lang w:val="en-US"/>
        </w:rPr>
        <w:t>3.</w:t>
      </w:r>
    </w:p>
    <w:bookmarkEnd w:id="4"/>
    <w:p w14:paraId="61880D7D" w14:textId="77777777" w:rsidR="00CC53D5" w:rsidRDefault="00CC53D5" w:rsidP="00206DF6">
      <w:pPr>
        <w:jc w:val="both"/>
        <w:rPr>
          <w:rFonts w:ascii="Arial" w:hAnsi="Arial" w:cs="Arial"/>
        </w:rPr>
      </w:pPr>
    </w:p>
    <w:p w14:paraId="7CE1003B" w14:textId="77777777" w:rsidR="00206DF6" w:rsidRPr="00206DF6" w:rsidRDefault="00206DF6" w:rsidP="00206DF6">
      <w:pPr>
        <w:jc w:val="both"/>
        <w:rPr>
          <w:rFonts w:ascii="Arial" w:hAnsi="Arial" w:cs="Arial"/>
        </w:rPr>
      </w:pPr>
    </w:p>
    <w:p w14:paraId="19F7E77E" w14:textId="77777777" w:rsidR="00B01FCD" w:rsidRPr="0054404D" w:rsidRDefault="00B01FCD" w:rsidP="00441B6F">
      <w:pPr>
        <w:pStyle w:val="ReferHead"/>
        <w:spacing w:after="0"/>
        <w:jc w:val="both"/>
        <w:rPr>
          <w:rFonts w:ascii="Arial" w:hAnsi="Arial" w:cs="Arial"/>
        </w:rPr>
      </w:pPr>
      <w:r w:rsidRPr="0054404D">
        <w:rPr>
          <w:rFonts w:ascii="Arial" w:hAnsi="Arial" w:cs="Arial"/>
        </w:rPr>
        <w:t>References</w:t>
      </w:r>
    </w:p>
    <w:p w14:paraId="118546F5" w14:textId="2EBC22D4" w:rsidR="007F0787" w:rsidRDefault="007F0787" w:rsidP="00E513C6">
      <w:pPr>
        <w:pStyle w:val="ListParagraph"/>
        <w:numPr>
          <w:ilvl w:val="0"/>
          <w:numId w:val="31"/>
        </w:numPr>
        <w:rPr>
          <w:rFonts w:ascii="Arial" w:hAnsi="Arial" w:cs="Arial"/>
          <w:sz w:val="20"/>
          <w:szCs w:val="20"/>
          <w:lang w:val="en-US"/>
        </w:rPr>
      </w:pPr>
      <w:bookmarkStart w:id="5" w:name="_Hlk188371158"/>
      <w:bookmarkStart w:id="6" w:name="_Hlk188369693"/>
      <w:proofErr w:type="spellStart"/>
      <w:r w:rsidRPr="007F0787">
        <w:rPr>
          <w:rFonts w:ascii="Arial" w:hAnsi="Arial" w:cs="Arial"/>
          <w:sz w:val="20"/>
          <w:szCs w:val="20"/>
          <w:lang w:val="en-US"/>
        </w:rPr>
        <w:t>Abdulkadri</w:t>
      </w:r>
      <w:proofErr w:type="spellEnd"/>
      <w:r w:rsidRPr="007F0787">
        <w:rPr>
          <w:rFonts w:ascii="Arial" w:hAnsi="Arial" w:cs="Arial"/>
          <w:sz w:val="20"/>
          <w:szCs w:val="20"/>
          <w:lang w:val="en-US"/>
        </w:rPr>
        <w:t>, A., John-</w:t>
      </w:r>
      <w:proofErr w:type="spellStart"/>
      <w:r w:rsidRPr="007F0787">
        <w:rPr>
          <w:rFonts w:ascii="Arial" w:hAnsi="Arial" w:cs="Arial"/>
          <w:sz w:val="20"/>
          <w:szCs w:val="20"/>
          <w:lang w:val="en-US"/>
        </w:rPr>
        <w:t>Aloye</w:t>
      </w:r>
      <w:proofErr w:type="spellEnd"/>
      <w:r w:rsidRPr="007F0787">
        <w:rPr>
          <w:rFonts w:ascii="Arial" w:hAnsi="Arial" w:cs="Arial"/>
          <w:sz w:val="20"/>
          <w:szCs w:val="20"/>
          <w:lang w:val="en-US"/>
        </w:rPr>
        <w:t>, S., Mkrtchyan, I., Gonzales, C., Johnson, S., &amp; Floyd, F. (2022) Addressing gender disparities in education and employment: a necessary step for achieving sustainable development in the Caribbean, Studies and Perspectives series-ECLAC Subregional Headquarters for the Caribbean, No. 109 (LC/TS.2022/114, LC/CAR/TS.2022/3), Santiago, Economic Commission for Latin America and the Caribbean (ECLAC), 2022.</w:t>
      </w:r>
    </w:p>
    <w:p w14:paraId="521B569E" w14:textId="6D4EE9AE" w:rsidR="00BF5080" w:rsidRDefault="00BF5080" w:rsidP="00E513C6">
      <w:pPr>
        <w:pStyle w:val="ListParagraph"/>
        <w:numPr>
          <w:ilvl w:val="0"/>
          <w:numId w:val="31"/>
        </w:numPr>
        <w:rPr>
          <w:rFonts w:ascii="Arial" w:hAnsi="Arial" w:cs="Arial"/>
          <w:sz w:val="20"/>
          <w:szCs w:val="20"/>
          <w:lang w:val="en-US"/>
        </w:rPr>
      </w:pPr>
      <w:proofErr w:type="spellStart"/>
      <w:r w:rsidRPr="00BF5080">
        <w:rPr>
          <w:rFonts w:ascii="Arial" w:hAnsi="Arial" w:cs="Arial"/>
          <w:sz w:val="20"/>
          <w:szCs w:val="20"/>
          <w:lang w:val="en-US"/>
        </w:rPr>
        <w:t>Adogwa</w:t>
      </w:r>
      <w:proofErr w:type="spellEnd"/>
      <w:r w:rsidRPr="00BF5080">
        <w:rPr>
          <w:rFonts w:ascii="Arial" w:hAnsi="Arial" w:cs="Arial"/>
          <w:sz w:val="20"/>
          <w:szCs w:val="20"/>
          <w:lang w:val="en-US"/>
        </w:rPr>
        <w:t xml:space="preserve">, O., Reid, M. C., </w:t>
      </w:r>
      <w:proofErr w:type="spellStart"/>
      <w:r w:rsidRPr="00BF5080">
        <w:rPr>
          <w:rFonts w:ascii="Arial" w:hAnsi="Arial" w:cs="Arial"/>
          <w:sz w:val="20"/>
          <w:szCs w:val="20"/>
          <w:lang w:val="en-US"/>
        </w:rPr>
        <w:t>Chilakapati</w:t>
      </w:r>
      <w:proofErr w:type="spellEnd"/>
      <w:r w:rsidRPr="00BF5080">
        <w:rPr>
          <w:rFonts w:ascii="Arial" w:hAnsi="Arial" w:cs="Arial"/>
          <w:sz w:val="20"/>
          <w:szCs w:val="20"/>
          <w:lang w:val="en-US"/>
        </w:rPr>
        <w:t xml:space="preserve">, S., &amp; Makris, U. E. (2023). Clin-STAR corner: 2021 update in musculoskeletal pain in older adults with a focus on osteoarthritis-related pain. Journal of the American Geriatrics Society, 71(8), 2373–2380. </w:t>
      </w:r>
      <w:hyperlink r:id="rId14" w:history="1">
        <w:r w:rsidRPr="00127D07">
          <w:rPr>
            <w:rStyle w:val="Hyperlink"/>
            <w:rFonts w:ascii="Arial" w:hAnsi="Arial" w:cs="Arial"/>
            <w:sz w:val="20"/>
            <w:szCs w:val="20"/>
            <w:lang w:val="en-US"/>
          </w:rPr>
          <w:t>https://doi.org/10.1111/jgs.18369</w:t>
        </w:r>
      </w:hyperlink>
      <w:r>
        <w:rPr>
          <w:rFonts w:ascii="Arial" w:hAnsi="Arial" w:cs="Arial"/>
          <w:sz w:val="20"/>
          <w:szCs w:val="20"/>
          <w:lang w:val="en-US"/>
        </w:rPr>
        <w:t xml:space="preserve"> </w:t>
      </w:r>
    </w:p>
    <w:p w14:paraId="564A8268" w14:textId="75CAD85B" w:rsidR="007C009F" w:rsidRDefault="007C009F" w:rsidP="00E513C6">
      <w:pPr>
        <w:pStyle w:val="ListParagraph"/>
        <w:numPr>
          <w:ilvl w:val="0"/>
          <w:numId w:val="31"/>
        </w:numPr>
        <w:rPr>
          <w:rFonts w:ascii="Arial" w:hAnsi="Arial" w:cs="Arial"/>
          <w:sz w:val="20"/>
          <w:szCs w:val="20"/>
          <w:lang w:val="en-US"/>
        </w:rPr>
      </w:pPr>
      <w:bookmarkStart w:id="7" w:name="_Hlk189950517"/>
      <w:r w:rsidRPr="007C009F">
        <w:rPr>
          <w:rFonts w:ascii="Arial" w:hAnsi="Arial" w:cs="Arial"/>
          <w:sz w:val="20"/>
          <w:szCs w:val="20"/>
          <w:lang w:val="nb-NO"/>
        </w:rPr>
        <w:t>Arik</w:t>
      </w:r>
      <w:bookmarkEnd w:id="7"/>
      <w:r w:rsidRPr="007C009F">
        <w:rPr>
          <w:rFonts w:ascii="Arial" w:hAnsi="Arial" w:cs="Arial"/>
          <w:sz w:val="20"/>
          <w:szCs w:val="20"/>
          <w:lang w:val="nb-NO"/>
        </w:rPr>
        <w:t xml:space="preserve">, G., Varan, H. D., Yavuz, B. B., Karabulut, E., Kara, O., Kilic, M. K., et al. </w:t>
      </w:r>
      <w:r w:rsidRPr="007C009F">
        <w:rPr>
          <w:rFonts w:ascii="Arial" w:hAnsi="Arial" w:cs="Arial"/>
          <w:sz w:val="20"/>
          <w:szCs w:val="20"/>
          <w:lang w:val="en-US"/>
        </w:rPr>
        <w:t xml:space="preserve">(2015). Validation of Katz index of independence in activities of daily living in Turkish older </w:t>
      </w:r>
      <w:r w:rsidRPr="007C009F">
        <w:rPr>
          <w:rFonts w:ascii="Arial" w:hAnsi="Arial" w:cs="Arial"/>
          <w:sz w:val="20"/>
          <w:szCs w:val="20"/>
          <w:lang w:val="en-US"/>
        </w:rPr>
        <w:lastRenderedPageBreak/>
        <w:t xml:space="preserve">adults. Archives of gerontology and geriatrics, 61(3), 344–350. </w:t>
      </w:r>
      <w:hyperlink r:id="rId15" w:history="1">
        <w:r w:rsidRPr="006B53CE">
          <w:rPr>
            <w:rStyle w:val="Hyperlink"/>
            <w:rFonts w:ascii="Arial" w:hAnsi="Arial" w:cs="Arial"/>
            <w:sz w:val="20"/>
            <w:szCs w:val="20"/>
            <w:lang w:val="en-US"/>
          </w:rPr>
          <w:t>https://doi.org/10.1016/j.archger.2015.08.019</w:t>
        </w:r>
      </w:hyperlink>
      <w:r>
        <w:rPr>
          <w:rFonts w:ascii="Arial" w:hAnsi="Arial" w:cs="Arial"/>
          <w:sz w:val="20"/>
          <w:szCs w:val="20"/>
          <w:lang w:val="en-US"/>
        </w:rPr>
        <w:t xml:space="preserve"> </w:t>
      </w:r>
    </w:p>
    <w:p w14:paraId="5042E2CF" w14:textId="575440E5" w:rsidR="004B5584" w:rsidRPr="004B5584" w:rsidRDefault="004B5584" w:rsidP="00E513C6">
      <w:pPr>
        <w:pStyle w:val="ListParagraph"/>
        <w:numPr>
          <w:ilvl w:val="0"/>
          <w:numId w:val="31"/>
        </w:numPr>
        <w:rPr>
          <w:rFonts w:ascii="Arial" w:hAnsi="Arial" w:cs="Arial"/>
          <w:sz w:val="20"/>
          <w:szCs w:val="20"/>
          <w:lang w:val="en-US"/>
        </w:rPr>
      </w:pPr>
      <w:r w:rsidRPr="004B5584">
        <w:rPr>
          <w:rFonts w:ascii="Arial" w:hAnsi="Arial" w:cs="Arial"/>
          <w:sz w:val="20"/>
          <w:szCs w:val="20"/>
          <w:lang w:val="en-US"/>
        </w:rPr>
        <w:t xml:space="preserve">Azad, A. D., Charles, A. G., Ding, Q., Trickey, A. W., &amp; Wren, S. M. (2020). The gender gap and healthcare: associations between gender roles and factors affecting healthcare access in Central Malawi, June-August 2017. Archives of public health = Archives </w:t>
      </w:r>
      <w:proofErr w:type="spellStart"/>
      <w:r w:rsidRPr="004B5584">
        <w:rPr>
          <w:rFonts w:ascii="Arial" w:hAnsi="Arial" w:cs="Arial"/>
          <w:sz w:val="20"/>
          <w:szCs w:val="20"/>
          <w:lang w:val="en-US"/>
        </w:rPr>
        <w:t>belges</w:t>
      </w:r>
      <w:proofErr w:type="spellEnd"/>
      <w:r w:rsidRPr="004B5584">
        <w:rPr>
          <w:rFonts w:ascii="Arial" w:hAnsi="Arial" w:cs="Arial"/>
          <w:sz w:val="20"/>
          <w:szCs w:val="20"/>
          <w:lang w:val="en-US"/>
        </w:rPr>
        <w:t xml:space="preserve"> de </w:t>
      </w:r>
      <w:proofErr w:type="spellStart"/>
      <w:r w:rsidRPr="004B5584">
        <w:rPr>
          <w:rFonts w:ascii="Arial" w:hAnsi="Arial" w:cs="Arial"/>
          <w:sz w:val="20"/>
          <w:szCs w:val="20"/>
          <w:lang w:val="en-US"/>
        </w:rPr>
        <w:t>sante</w:t>
      </w:r>
      <w:proofErr w:type="spellEnd"/>
      <w:r w:rsidRPr="004B5584">
        <w:rPr>
          <w:rFonts w:ascii="Arial" w:hAnsi="Arial" w:cs="Arial"/>
          <w:sz w:val="20"/>
          <w:szCs w:val="20"/>
          <w:lang w:val="en-US"/>
        </w:rPr>
        <w:t xml:space="preserve"> </w:t>
      </w:r>
      <w:proofErr w:type="spellStart"/>
      <w:r w:rsidRPr="004B5584">
        <w:rPr>
          <w:rFonts w:ascii="Arial" w:hAnsi="Arial" w:cs="Arial"/>
          <w:sz w:val="20"/>
          <w:szCs w:val="20"/>
          <w:lang w:val="en-US"/>
        </w:rPr>
        <w:t>publique</w:t>
      </w:r>
      <w:proofErr w:type="spellEnd"/>
      <w:r w:rsidRPr="004B5584">
        <w:rPr>
          <w:rFonts w:ascii="Arial" w:hAnsi="Arial" w:cs="Arial"/>
          <w:sz w:val="20"/>
          <w:szCs w:val="20"/>
          <w:lang w:val="en-US"/>
        </w:rPr>
        <w:t xml:space="preserve">, 78(1), 119. </w:t>
      </w:r>
      <w:hyperlink r:id="rId16" w:history="1">
        <w:r w:rsidRPr="00973303">
          <w:rPr>
            <w:rStyle w:val="Hyperlink"/>
            <w:rFonts w:ascii="Arial" w:hAnsi="Arial" w:cs="Arial"/>
            <w:sz w:val="20"/>
            <w:szCs w:val="20"/>
            <w:lang w:val="en-US"/>
          </w:rPr>
          <w:t>https://doi.org/10.1186/s13690-020-00497-w</w:t>
        </w:r>
      </w:hyperlink>
      <w:r>
        <w:rPr>
          <w:rFonts w:ascii="Arial" w:hAnsi="Arial" w:cs="Arial"/>
          <w:sz w:val="20"/>
          <w:szCs w:val="20"/>
          <w:lang w:val="en-US"/>
        </w:rPr>
        <w:t xml:space="preserve"> </w:t>
      </w:r>
    </w:p>
    <w:p w14:paraId="15E00336" w14:textId="51088E2B" w:rsidR="00E513C6" w:rsidRPr="00E513C6" w:rsidRDefault="00E513C6" w:rsidP="00E513C6">
      <w:pPr>
        <w:pStyle w:val="ListParagraph"/>
        <w:numPr>
          <w:ilvl w:val="0"/>
          <w:numId w:val="31"/>
        </w:numPr>
        <w:rPr>
          <w:rFonts w:ascii="Arial" w:hAnsi="Arial" w:cs="Arial"/>
          <w:sz w:val="20"/>
          <w:szCs w:val="20"/>
          <w:lang w:val="en-US"/>
        </w:rPr>
      </w:pPr>
      <w:r w:rsidRPr="00BC1EFA">
        <w:rPr>
          <w:rFonts w:ascii="Arial" w:hAnsi="Arial" w:cs="Arial"/>
          <w:sz w:val="20"/>
          <w:szCs w:val="20"/>
          <w:lang w:val="en-US"/>
        </w:rPr>
        <w:t xml:space="preserve">Baum, F., Musolino, C., </w:t>
      </w:r>
      <w:proofErr w:type="spellStart"/>
      <w:r w:rsidRPr="00BC1EFA">
        <w:rPr>
          <w:rFonts w:ascii="Arial" w:hAnsi="Arial" w:cs="Arial"/>
          <w:sz w:val="20"/>
          <w:szCs w:val="20"/>
          <w:lang w:val="en-US"/>
        </w:rPr>
        <w:t>Gesesew</w:t>
      </w:r>
      <w:proofErr w:type="spellEnd"/>
      <w:r w:rsidRPr="00BC1EFA">
        <w:rPr>
          <w:rFonts w:ascii="Arial" w:hAnsi="Arial" w:cs="Arial"/>
          <w:sz w:val="20"/>
          <w:szCs w:val="20"/>
          <w:lang w:val="en-US"/>
        </w:rPr>
        <w:t xml:space="preserve">, H. A., &amp; Popay, J. (2021). </w:t>
      </w:r>
      <w:r w:rsidRPr="00E513C6">
        <w:rPr>
          <w:rFonts w:ascii="Arial" w:hAnsi="Arial" w:cs="Arial"/>
          <w:sz w:val="20"/>
          <w:szCs w:val="20"/>
          <w:lang w:val="en-US"/>
        </w:rPr>
        <w:t xml:space="preserve">New Perspective on Why Women Live Longer Than Men: An Exploration of Power, Gender, Social Determinants, and Capitals. International journal of environmental research and public health, 18(2), 661. </w:t>
      </w:r>
      <w:hyperlink r:id="rId17" w:history="1">
        <w:r w:rsidRPr="00973303">
          <w:rPr>
            <w:rStyle w:val="Hyperlink"/>
            <w:rFonts w:ascii="Arial" w:hAnsi="Arial" w:cs="Arial"/>
            <w:sz w:val="20"/>
            <w:szCs w:val="20"/>
            <w:lang w:val="en-US"/>
          </w:rPr>
          <w:t>https://doi.org/10.3390/ijerph18020661</w:t>
        </w:r>
      </w:hyperlink>
      <w:r>
        <w:rPr>
          <w:rFonts w:ascii="Arial" w:hAnsi="Arial" w:cs="Arial"/>
          <w:sz w:val="20"/>
          <w:szCs w:val="20"/>
          <w:lang w:val="en-US"/>
        </w:rPr>
        <w:t xml:space="preserve"> </w:t>
      </w:r>
    </w:p>
    <w:p w14:paraId="1ECEDD5D" w14:textId="36538EAA" w:rsidR="005813C7" w:rsidRDefault="005813C7" w:rsidP="00BA6D90">
      <w:pPr>
        <w:pStyle w:val="ListParagraph"/>
        <w:numPr>
          <w:ilvl w:val="0"/>
          <w:numId w:val="31"/>
        </w:numPr>
        <w:spacing w:after="0" w:line="240" w:lineRule="auto"/>
        <w:jc w:val="both"/>
        <w:rPr>
          <w:rFonts w:ascii="Arial" w:hAnsi="Arial" w:cs="Arial"/>
          <w:sz w:val="20"/>
          <w:szCs w:val="20"/>
        </w:rPr>
      </w:pPr>
      <w:r w:rsidRPr="005813C7">
        <w:rPr>
          <w:rFonts w:ascii="Arial" w:hAnsi="Arial" w:cs="Arial"/>
          <w:sz w:val="20"/>
          <w:szCs w:val="20"/>
          <w:lang w:val="nb-NO"/>
        </w:rPr>
        <w:t xml:space="preserve">Bouwstra, H., Smit, E. B., Wattel, E. M., van der Wouden, J. C., Hertogh, C. M. P. M., Terluin, B., et al. </w:t>
      </w:r>
      <w:r w:rsidRPr="005813C7">
        <w:rPr>
          <w:rFonts w:ascii="Arial" w:hAnsi="Arial" w:cs="Arial"/>
          <w:sz w:val="20"/>
          <w:szCs w:val="20"/>
          <w:lang w:val="en-US"/>
        </w:rPr>
        <w:t xml:space="preserve">(2019). Measurement Properties of the Barthel Index in Geriatric Rehabilitation. Journal of the American Medical Directors Association, 20(4), 420–425.e1. </w:t>
      </w:r>
      <w:hyperlink r:id="rId18" w:history="1">
        <w:r w:rsidRPr="006B53CE">
          <w:rPr>
            <w:rStyle w:val="Hyperlink"/>
            <w:rFonts w:ascii="Arial" w:hAnsi="Arial" w:cs="Arial"/>
            <w:sz w:val="20"/>
            <w:szCs w:val="20"/>
          </w:rPr>
          <w:t>https://doi.org/10.1016/j.jamda.2018.09.033</w:t>
        </w:r>
      </w:hyperlink>
      <w:r>
        <w:rPr>
          <w:rFonts w:ascii="Arial" w:hAnsi="Arial" w:cs="Arial"/>
          <w:sz w:val="20"/>
          <w:szCs w:val="20"/>
        </w:rPr>
        <w:t xml:space="preserve"> </w:t>
      </w:r>
    </w:p>
    <w:p w14:paraId="6A8D9678" w14:textId="09FBE00C" w:rsidR="00FF2520" w:rsidRPr="00FF2520" w:rsidRDefault="00FF2520" w:rsidP="00BA6D90">
      <w:pPr>
        <w:pStyle w:val="ListParagraph"/>
        <w:numPr>
          <w:ilvl w:val="0"/>
          <w:numId w:val="31"/>
        </w:numPr>
        <w:spacing w:after="0" w:line="240" w:lineRule="auto"/>
        <w:jc w:val="both"/>
        <w:rPr>
          <w:rFonts w:ascii="Arial" w:hAnsi="Arial" w:cs="Arial"/>
          <w:sz w:val="20"/>
          <w:szCs w:val="20"/>
        </w:rPr>
      </w:pPr>
      <w:r w:rsidRPr="00FF2520">
        <w:rPr>
          <w:rFonts w:ascii="Arial" w:hAnsi="Arial" w:cs="Arial"/>
          <w:sz w:val="20"/>
          <w:szCs w:val="20"/>
        </w:rPr>
        <w:t>Castellanos-Perilla, N., Borda, M. G., Fernández-</w:t>
      </w:r>
      <w:proofErr w:type="spellStart"/>
      <w:r w:rsidRPr="00FF2520">
        <w:rPr>
          <w:rFonts w:ascii="Arial" w:hAnsi="Arial" w:cs="Arial"/>
          <w:sz w:val="20"/>
          <w:szCs w:val="20"/>
        </w:rPr>
        <w:t>Quilez</w:t>
      </w:r>
      <w:proofErr w:type="spellEnd"/>
      <w:r w:rsidRPr="00FF2520">
        <w:rPr>
          <w:rFonts w:ascii="Arial" w:hAnsi="Arial" w:cs="Arial"/>
          <w:sz w:val="20"/>
          <w:szCs w:val="20"/>
        </w:rPr>
        <w:t xml:space="preserve">, Á., </w:t>
      </w:r>
      <w:proofErr w:type="spellStart"/>
      <w:r w:rsidRPr="00FF2520">
        <w:rPr>
          <w:rFonts w:ascii="Arial" w:hAnsi="Arial" w:cs="Arial"/>
          <w:sz w:val="20"/>
          <w:szCs w:val="20"/>
        </w:rPr>
        <w:t>Aarsland</w:t>
      </w:r>
      <w:proofErr w:type="spellEnd"/>
      <w:r w:rsidRPr="00FF2520">
        <w:rPr>
          <w:rFonts w:ascii="Arial" w:hAnsi="Arial" w:cs="Arial"/>
          <w:sz w:val="20"/>
          <w:szCs w:val="20"/>
        </w:rPr>
        <w:t xml:space="preserve">, V., </w:t>
      </w:r>
      <w:proofErr w:type="spellStart"/>
      <w:r w:rsidRPr="00FF2520">
        <w:rPr>
          <w:rFonts w:ascii="Arial" w:hAnsi="Arial" w:cs="Arial"/>
          <w:sz w:val="20"/>
          <w:szCs w:val="20"/>
        </w:rPr>
        <w:t>Soennesyn</w:t>
      </w:r>
      <w:proofErr w:type="spellEnd"/>
      <w:r w:rsidRPr="00FF2520">
        <w:rPr>
          <w:rFonts w:ascii="Arial" w:hAnsi="Arial" w:cs="Arial"/>
          <w:sz w:val="20"/>
          <w:szCs w:val="20"/>
        </w:rPr>
        <w:t xml:space="preserve">, H., &amp; Cano-Gutiérrez, C. A. (2020). </w:t>
      </w:r>
      <w:r w:rsidRPr="00FF2520">
        <w:rPr>
          <w:rFonts w:ascii="Arial" w:hAnsi="Arial" w:cs="Arial"/>
          <w:sz w:val="20"/>
          <w:szCs w:val="20"/>
          <w:lang w:val="en-US"/>
        </w:rPr>
        <w:t xml:space="preserve">Factors associated with functional loss among community-dwelling Mexican older adults. </w:t>
      </w:r>
      <w:r w:rsidRPr="00FF2520">
        <w:rPr>
          <w:rFonts w:ascii="Arial" w:hAnsi="Arial" w:cs="Arial"/>
          <w:sz w:val="20"/>
          <w:szCs w:val="20"/>
        </w:rPr>
        <w:t xml:space="preserve">Factores asociados con el deterioro funcional en adultos mayores mexicanos. </w:t>
      </w:r>
      <w:proofErr w:type="spellStart"/>
      <w:proofErr w:type="gramStart"/>
      <w:r w:rsidRPr="00FF2520">
        <w:rPr>
          <w:rFonts w:ascii="Arial" w:hAnsi="Arial" w:cs="Arial"/>
          <w:sz w:val="20"/>
          <w:szCs w:val="20"/>
        </w:rPr>
        <w:t>Biomedica</w:t>
      </w:r>
      <w:proofErr w:type="spellEnd"/>
      <w:r w:rsidRPr="00FF2520">
        <w:rPr>
          <w:rFonts w:ascii="Arial" w:hAnsi="Arial" w:cs="Arial"/>
          <w:sz w:val="20"/>
          <w:szCs w:val="20"/>
        </w:rPr>
        <w:t xml:space="preserve"> :</w:t>
      </w:r>
      <w:proofErr w:type="gramEnd"/>
      <w:r w:rsidRPr="00FF2520">
        <w:rPr>
          <w:rFonts w:ascii="Arial" w:hAnsi="Arial" w:cs="Arial"/>
          <w:sz w:val="20"/>
          <w:szCs w:val="20"/>
        </w:rPr>
        <w:t xml:space="preserve"> revista del Instituto Nacional de Salud, 40(3), 546–556. </w:t>
      </w:r>
      <w:hyperlink r:id="rId19" w:history="1">
        <w:r w:rsidRPr="00FF2520">
          <w:rPr>
            <w:rStyle w:val="Hyperlink"/>
            <w:rFonts w:ascii="Arial" w:hAnsi="Arial" w:cs="Arial"/>
            <w:sz w:val="20"/>
            <w:szCs w:val="20"/>
          </w:rPr>
          <w:t>https://doi.org/10.7705/biomedica.5380</w:t>
        </w:r>
      </w:hyperlink>
      <w:r w:rsidRPr="00FF2520">
        <w:rPr>
          <w:rFonts w:ascii="Arial" w:hAnsi="Arial" w:cs="Arial"/>
          <w:sz w:val="20"/>
          <w:szCs w:val="20"/>
        </w:rPr>
        <w:t xml:space="preserve"> </w:t>
      </w:r>
    </w:p>
    <w:p w14:paraId="3B90825F" w14:textId="5F67E27C" w:rsidR="005404BA" w:rsidRDefault="005404BA" w:rsidP="00BA6D90">
      <w:pPr>
        <w:pStyle w:val="ListParagraph"/>
        <w:numPr>
          <w:ilvl w:val="0"/>
          <w:numId w:val="31"/>
        </w:numPr>
        <w:spacing w:after="0" w:line="240" w:lineRule="auto"/>
        <w:jc w:val="both"/>
        <w:rPr>
          <w:rFonts w:ascii="Arial" w:hAnsi="Arial" w:cs="Arial"/>
          <w:sz w:val="20"/>
          <w:szCs w:val="20"/>
          <w:lang w:val="en-US"/>
        </w:rPr>
      </w:pPr>
      <w:r w:rsidRPr="005404BA">
        <w:rPr>
          <w:rFonts w:ascii="Arial" w:hAnsi="Arial" w:cs="Arial"/>
          <w:sz w:val="20"/>
          <w:szCs w:val="20"/>
          <w:lang w:val="en-US"/>
        </w:rPr>
        <w:t xml:space="preserve">Colita, E., Mateescu, V. O., Olaru, D. G., &amp; Popa-Wagner, A. (2024). Cognitive Decline in Ageing and Disease: Risk factors, Genetics and Treatments. Current health sciences journal, 50(2), 170–180. </w:t>
      </w:r>
      <w:hyperlink r:id="rId20" w:history="1">
        <w:r w:rsidRPr="008F4A7E">
          <w:rPr>
            <w:rStyle w:val="Hyperlink"/>
            <w:rFonts w:ascii="Arial" w:hAnsi="Arial" w:cs="Arial"/>
            <w:sz w:val="20"/>
            <w:szCs w:val="20"/>
            <w:lang w:val="en-US"/>
          </w:rPr>
          <w:t>https://doi.org/10.12865/CHSJ.50.02.02</w:t>
        </w:r>
      </w:hyperlink>
      <w:r>
        <w:rPr>
          <w:rFonts w:ascii="Arial" w:hAnsi="Arial" w:cs="Arial"/>
          <w:sz w:val="20"/>
          <w:szCs w:val="20"/>
          <w:lang w:val="en-US"/>
        </w:rPr>
        <w:t xml:space="preserve"> </w:t>
      </w:r>
    </w:p>
    <w:p w14:paraId="5948A1F7" w14:textId="77777777" w:rsidR="005813C7" w:rsidRDefault="005813C7" w:rsidP="005813C7">
      <w:pPr>
        <w:pStyle w:val="ListParagraph"/>
        <w:numPr>
          <w:ilvl w:val="0"/>
          <w:numId w:val="31"/>
        </w:numPr>
        <w:spacing w:after="0" w:line="240" w:lineRule="auto"/>
        <w:jc w:val="both"/>
        <w:rPr>
          <w:rFonts w:ascii="Arial" w:hAnsi="Arial" w:cs="Arial"/>
          <w:sz w:val="20"/>
          <w:szCs w:val="20"/>
          <w:lang w:val="en-US"/>
        </w:rPr>
      </w:pPr>
      <w:r w:rsidRPr="005813C7">
        <w:rPr>
          <w:rFonts w:ascii="Arial" w:hAnsi="Arial" w:cs="Arial"/>
          <w:sz w:val="20"/>
          <w:szCs w:val="20"/>
          <w:lang w:val="en-US"/>
        </w:rPr>
        <w:t xml:space="preserve">Collin, C., Wade, D. T., Davies, S., &amp; Horne, V. (1988). The Barthel ADL Index: a reliability study. International disability studies, 10(2), 61–63. </w:t>
      </w:r>
      <w:hyperlink r:id="rId21" w:history="1">
        <w:r w:rsidRPr="006B53CE">
          <w:rPr>
            <w:rStyle w:val="Hyperlink"/>
            <w:rFonts w:ascii="Arial" w:hAnsi="Arial" w:cs="Arial"/>
            <w:sz w:val="20"/>
            <w:szCs w:val="20"/>
            <w:lang w:val="en-US"/>
          </w:rPr>
          <w:t>https://doi.org/10.3109/09638288809164103</w:t>
        </w:r>
      </w:hyperlink>
      <w:r>
        <w:rPr>
          <w:rFonts w:ascii="Arial" w:hAnsi="Arial" w:cs="Arial"/>
          <w:sz w:val="20"/>
          <w:szCs w:val="20"/>
          <w:lang w:val="en-US"/>
        </w:rPr>
        <w:t xml:space="preserve"> </w:t>
      </w:r>
    </w:p>
    <w:p w14:paraId="2F3EBE3E" w14:textId="5AFC238C" w:rsidR="00EA472E" w:rsidRDefault="00EA472E" w:rsidP="00BA6D90">
      <w:pPr>
        <w:pStyle w:val="ListParagraph"/>
        <w:numPr>
          <w:ilvl w:val="0"/>
          <w:numId w:val="31"/>
        </w:numPr>
        <w:spacing w:after="0" w:line="240" w:lineRule="auto"/>
        <w:jc w:val="both"/>
        <w:rPr>
          <w:rFonts w:ascii="Arial" w:hAnsi="Arial" w:cs="Arial"/>
          <w:sz w:val="20"/>
          <w:szCs w:val="20"/>
          <w:lang w:val="en-US"/>
        </w:rPr>
      </w:pPr>
      <w:r w:rsidRPr="00EA472E">
        <w:rPr>
          <w:rFonts w:ascii="Arial" w:hAnsi="Arial" w:cs="Arial"/>
          <w:sz w:val="20"/>
          <w:szCs w:val="20"/>
          <w:lang w:val="en-US"/>
        </w:rPr>
        <w:t>Colón-Emeric, C. S., Whitson, H. E., Pavon, J., &amp; Hoenig, H. (2013). Functional decline in older adults. American family physician, 88(6), 388–394.</w:t>
      </w:r>
    </w:p>
    <w:p w14:paraId="087ED75A" w14:textId="2B59CDF3" w:rsidR="0095039D" w:rsidRPr="0095039D" w:rsidRDefault="0095039D" w:rsidP="00BA6D90">
      <w:pPr>
        <w:pStyle w:val="ListParagraph"/>
        <w:numPr>
          <w:ilvl w:val="0"/>
          <w:numId w:val="31"/>
        </w:numPr>
        <w:spacing w:after="0" w:line="240" w:lineRule="auto"/>
        <w:jc w:val="both"/>
        <w:rPr>
          <w:rFonts w:ascii="Arial" w:hAnsi="Arial" w:cs="Arial"/>
          <w:sz w:val="20"/>
          <w:szCs w:val="20"/>
          <w:lang w:val="en-US"/>
        </w:rPr>
      </w:pPr>
      <w:r w:rsidRPr="0095039D">
        <w:rPr>
          <w:rFonts w:ascii="Arial" w:hAnsi="Arial" w:cs="Arial"/>
          <w:sz w:val="20"/>
          <w:szCs w:val="20"/>
          <w:lang w:val="en-US"/>
        </w:rPr>
        <w:t>Committee on Family Caregiving for Older Adults</w:t>
      </w:r>
      <w:bookmarkEnd w:id="5"/>
      <w:r w:rsidRPr="0095039D">
        <w:rPr>
          <w:rFonts w:ascii="Arial" w:hAnsi="Arial" w:cs="Arial"/>
          <w:sz w:val="20"/>
          <w:szCs w:val="20"/>
          <w:lang w:val="en-US"/>
        </w:rPr>
        <w:t xml:space="preserve">; Board on Health Care Services; Health and Medicine Division; National Academies of Sciences, Engineering, and Medicine; Schulz R, Eden J, editors. Families Caring for an Aging America. Washington (DC): National Academies Press (US); 2016 Nov 8. 3, Family Caregiving Roles and Impacts. Available from: </w:t>
      </w:r>
      <w:hyperlink r:id="rId22" w:history="1">
        <w:r w:rsidRPr="00AD639F">
          <w:rPr>
            <w:rStyle w:val="Hyperlink"/>
            <w:rFonts w:ascii="Arial" w:hAnsi="Arial" w:cs="Arial"/>
            <w:sz w:val="20"/>
            <w:szCs w:val="20"/>
            <w:lang w:val="en-US"/>
          </w:rPr>
          <w:t>https://www.ncbi.nlm.nih.gov/books/NBK396398/</w:t>
        </w:r>
      </w:hyperlink>
      <w:r>
        <w:rPr>
          <w:rFonts w:ascii="Arial" w:hAnsi="Arial" w:cs="Arial"/>
          <w:sz w:val="20"/>
          <w:szCs w:val="20"/>
          <w:lang w:val="en-US"/>
        </w:rPr>
        <w:t xml:space="preserve"> </w:t>
      </w:r>
    </w:p>
    <w:p w14:paraId="23C5BF42" w14:textId="7EC70459" w:rsidR="00DA70A9" w:rsidRPr="00DA70A9" w:rsidRDefault="00DA70A9" w:rsidP="00BA6D90">
      <w:pPr>
        <w:pStyle w:val="ListParagraph"/>
        <w:numPr>
          <w:ilvl w:val="0"/>
          <w:numId w:val="31"/>
        </w:numPr>
        <w:spacing w:after="0" w:line="240" w:lineRule="auto"/>
        <w:jc w:val="both"/>
        <w:rPr>
          <w:rFonts w:ascii="Arial" w:hAnsi="Arial" w:cs="Arial"/>
          <w:sz w:val="20"/>
          <w:szCs w:val="20"/>
          <w:lang w:val="en-US"/>
        </w:rPr>
      </w:pPr>
      <w:r w:rsidRPr="00DA70A9">
        <w:rPr>
          <w:rFonts w:ascii="Arial" w:hAnsi="Arial" w:cs="Arial"/>
          <w:sz w:val="20"/>
          <w:szCs w:val="20"/>
          <w:lang w:val="nb-NO"/>
        </w:rPr>
        <w:t xml:space="preserve">Culberson, J. W., Kopel, J., Sehar, U., &amp; Reddy, P. H. (2023). </w:t>
      </w:r>
      <w:r w:rsidRPr="00DA70A9">
        <w:rPr>
          <w:rFonts w:ascii="Arial" w:hAnsi="Arial" w:cs="Arial"/>
          <w:sz w:val="20"/>
          <w:szCs w:val="20"/>
          <w:lang w:val="en-US"/>
        </w:rPr>
        <w:t xml:space="preserve">Urgent needs of caregiving in ageing populations with Alzheimer’s disease and other chronic conditions: Support our loved ones. Ageing Research Reviews, 90, 102001. </w:t>
      </w:r>
      <w:hyperlink r:id="rId23" w:history="1">
        <w:r w:rsidRPr="00E5556F">
          <w:rPr>
            <w:rStyle w:val="Hyperlink"/>
            <w:rFonts w:ascii="Arial" w:hAnsi="Arial" w:cs="Arial"/>
            <w:sz w:val="20"/>
            <w:szCs w:val="20"/>
            <w:lang w:val="en-US"/>
          </w:rPr>
          <w:t>https://doi.org/10.1016/j.arr.2023.102001</w:t>
        </w:r>
      </w:hyperlink>
      <w:r>
        <w:rPr>
          <w:rFonts w:ascii="Arial" w:hAnsi="Arial" w:cs="Arial"/>
          <w:sz w:val="20"/>
          <w:szCs w:val="20"/>
          <w:lang w:val="en-US"/>
        </w:rPr>
        <w:t xml:space="preserve"> </w:t>
      </w:r>
    </w:p>
    <w:p w14:paraId="4657E452" w14:textId="1C470CB9" w:rsidR="005813C7" w:rsidRPr="005813C7" w:rsidRDefault="005813C7" w:rsidP="00BA6D90">
      <w:pPr>
        <w:pStyle w:val="ListParagraph"/>
        <w:numPr>
          <w:ilvl w:val="0"/>
          <w:numId w:val="31"/>
        </w:numPr>
        <w:spacing w:after="0" w:line="240" w:lineRule="auto"/>
        <w:jc w:val="both"/>
        <w:rPr>
          <w:rFonts w:ascii="Arial" w:hAnsi="Arial" w:cs="Arial"/>
          <w:sz w:val="20"/>
          <w:szCs w:val="20"/>
          <w:lang w:val="en-US"/>
        </w:rPr>
      </w:pPr>
      <w:r w:rsidRPr="00BC1EFA">
        <w:rPr>
          <w:rFonts w:ascii="Arial" w:hAnsi="Arial" w:cs="Arial"/>
          <w:sz w:val="20"/>
          <w:szCs w:val="20"/>
          <w:lang w:val="de-DE"/>
        </w:rPr>
        <w:t xml:space="preserve">de Haan, R., Limburg, M., Schuling, J., Broeshart, J., Jonkers, L., &amp; van Zuylen, P. (1993). </w:t>
      </w:r>
      <w:proofErr w:type="spellStart"/>
      <w:r w:rsidRPr="005813C7">
        <w:rPr>
          <w:rFonts w:ascii="Arial" w:hAnsi="Arial" w:cs="Arial"/>
          <w:sz w:val="20"/>
          <w:szCs w:val="20"/>
          <w:lang w:val="en-US"/>
        </w:rPr>
        <w:t>Klinimetrische</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evaluatie</w:t>
      </w:r>
      <w:proofErr w:type="spellEnd"/>
      <w:r w:rsidRPr="005813C7">
        <w:rPr>
          <w:rFonts w:ascii="Arial" w:hAnsi="Arial" w:cs="Arial"/>
          <w:sz w:val="20"/>
          <w:szCs w:val="20"/>
          <w:lang w:val="en-US"/>
        </w:rPr>
        <w:t xml:space="preserve"> van de Barthel-index, </w:t>
      </w:r>
      <w:proofErr w:type="spellStart"/>
      <w:r w:rsidRPr="005813C7">
        <w:rPr>
          <w:rFonts w:ascii="Arial" w:hAnsi="Arial" w:cs="Arial"/>
          <w:sz w:val="20"/>
          <w:szCs w:val="20"/>
          <w:lang w:val="en-US"/>
        </w:rPr>
        <w:t>een</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maat</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voor</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beperkingen</w:t>
      </w:r>
      <w:proofErr w:type="spellEnd"/>
      <w:r w:rsidRPr="005813C7">
        <w:rPr>
          <w:rFonts w:ascii="Arial" w:hAnsi="Arial" w:cs="Arial"/>
          <w:sz w:val="20"/>
          <w:szCs w:val="20"/>
          <w:lang w:val="en-US"/>
        </w:rPr>
        <w:t xml:space="preserve"> in het </w:t>
      </w:r>
      <w:proofErr w:type="spellStart"/>
      <w:r w:rsidRPr="005813C7">
        <w:rPr>
          <w:rFonts w:ascii="Arial" w:hAnsi="Arial" w:cs="Arial"/>
          <w:sz w:val="20"/>
          <w:szCs w:val="20"/>
          <w:lang w:val="en-US"/>
        </w:rPr>
        <w:t>dagelijks</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functioneren</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Clinimetric</w:t>
      </w:r>
      <w:proofErr w:type="spellEnd"/>
      <w:r w:rsidRPr="005813C7">
        <w:rPr>
          <w:rFonts w:ascii="Arial" w:hAnsi="Arial" w:cs="Arial"/>
          <w:sz w:val="20"/>
          <w:szCs w:val="20"/>
          <w:lang w:val="en-US"/>
        </w:rPr>
        <w:t xml:space="preserve"> evaluation of the Barthel Index, a measure of limitations in </w:t>
      </w:r>
      <w:proofErr w:type="spellStart"/>
      <w:r w:rsidRPr="005813C7">
        <w:rPr>
          <w:rFonts w:ascii="Arial" w:hAnsi="Arial" w:cs="Arial"/>
          <w:sz w:val="20"/>
          <w:szCs w:val="20"/>
          <w:lang w:val="en-US"/>
        </w:rPr>
        <w:t>dailly</w:t>
      </w:r>
      <w:proofErr w:type="spellEnd"/>
      <w:r w:rsidRPr="005813C7">
        <w:rPr>
          <w:rFonts w:ascii="Arial" w:hAnsi="Arial" w:cs="Arial"/>
          <w:sz w:val="20"/>
          <w:szCs w:val="20"/>
          <w:lang w:val="en-US"/>
        </w:rPr>
        <w:t xml:space="preserve"> activities]. </w:t>
      </w:r>
      <w:proofErr w:type="spellStart"/>
      <w:r w:rsidRPr="005813C7">
        <w:rPr>
          <w:rFonts w:ascii="Arial" w:hAnsi="Arial" w:cs="Arial"/>
          <w:sz w:val="20"/>
          <w:szCs w:val="20"/>
          <w:lang w:val="en-US"/>
        </w:rPr>
        <w:t>Nederlands</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tijdschrift</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voor</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geneeskunde</w:t>
      </w:r>
      <w:proofErr w:type="spellEnd"/>
      <w:r w:rsidRPr="005813C7">
        <w:rPr>
          <w:rFonts w:ascii="Arial" w:hAnsi="Arial" w:cs="Arial"/>
          <w:sz w:val="20"/>
          <w:szCs w:val="20"/>
          <w:lang w:val="en-US"/>
        </w:rPr>
        <w:t>, 137(18), 917–921.</w:t>
      </w:r>
      <w:r>
        <w:rPr>
          <w:rFonts w:ascii="Arial" w:hAnsi="Arial" w:cs="Arial"/>
          <w:sz w:val="20"/>
          <w:szCs w:val="20"/>
          <w:lang w:val="en-US"/>
        </w:rPr>
        <w:t xml:space="preserve"> </w:t>
      </w:r>
    </w:p>
    <w:p w14:paraId="2E592FDD" w14:textId="58A72273" w:rsidR="006C6321" w:rsidRPr="006C6321" w:rsidRDefault="006C6321" w:rsidP="006C6321">
      <w:pPr>
        <w:pStyle w:val="ListParagraph"/>
        <w:numPr>
          <w:ilvl w:val="0"/>
          <w:numId w:val="31"/>
        </w:numPr>
        <w:rPr>
          <w:rFonts w:ascii="Arial" w:hAnsi="Arial" w:cs="Arial"/>
          <w:sz w:val="20"/>
          <w:szCs w:val="20"/>
          <w:lang w:val="en-US"/>
        </w:rPr>
      </w:pPr>
      <w:r w:rsidRPr="006C6321">
        <w:rPr>
          <w:rFonts w:ascii="Arial" w:hAnsi="Arial" w:cs="Arial"/>
          <w:sz w:val="20"/>
          <w:szCs w:val="20"/>
        </w:rPr>
        <w:t xml:space="preserve">Erazo, M., Fors, M., Mullo, S., González, P., &amp; Viada, C. (2020). </w:t>
      </w:r>
      <w:r w:rsidRPr="006C6321">
        <w:rPr>
          <w:rFonts w:ascii="Arial" w:hAnsi="Arial" w:cs="Arial"/>
          <w:sz w:val="20"/>
          <w:szCs w:val="20"/>
          <w:lang w:val="en-US"/>
        </w:rPr>
        <w:t xml:space="preserve">Internal Consistency of </w:t>
      </w:r>
      <w:proofErr w:type="spellStart"/>
      <w:r w:rsidRPr="006C6321">
        <w:rPr>
          <w:rFonts w:ascii="Arial" w:hAnsi="Arial" w:cs="Arial"/>
          <w:sz w:val="20"/>
          <w:szCs w:val="20"/>
          <w:lang w:val="en-US"/>
        </w:rPr>
        <w:t>Yesavage</w:t>
      </w:r>
      <w:proofErr w:type="spellEnd"/>
      <w:r w:rsidRPr="006C6321">
        <w:rPr>
          <w:rFonts w:ascii="Arial" w:hAnsi="Arial" w:cs="Arial"/>
          <w:sz w:val="20"/>
          <w:szCs w:val="20"/>
          <w:lang w:val="en-US"/>
        </w:rPr>
        <w:t xml:space="preserve"> Geriatric Depression Scale (GDS 15-Item Version) in Ecuadorian Older Adults. </w:t>
      </w:r>
      <w:proofErr w:type="gramStart"/>
      <w:r w:rsidRPr="006C6321">
        <w:rPr>
          <w:rFonts w:ascii="Arial" w:hAnsi="Arial" w:cs="Arial"/>
          <w:sz w:val="20"/>
          <w:szCs w:val="20"/>
          <w:lang w:val="en-US"/>
        </w:rPr>
        <w:t>Inquiry :</w:t>
      </w:r>
      <w:proofErr w:type="gramEnd"/>
      <w:r w:rsidRPr="006C6321">
        <w:rPr>
          <w:rFonts w:ascii="Arial" w:hAnsi="Arial" w:cs="Arial"/>
          <w:sz w:val="20"/>
          <w:szCs w:val="20"/>
          <w:lang w:val="en-US"/>
        </w:rPr>
        <w:t xml:space="preserve"> a journal of medical care organization, provision and financing, 57, 46958020971184. </w:t>
      </w:r>
      <w:hyperlink r:id="rId24" w:history="1">
        <w:r w:rsidRPr="006B53CE">
          <w:rPr>
            <w:rStyle w:val="Hyperlink"/>
            <w:rFonts w:ascii="Arial" w:hAnsi="Arial" w:cs="Arial"/>
            <w:sz w:val="20"/>
            <w:szCs w:val="20"/>
            <w:lang w:val="en-US"/>
          </w:rPr>
          <w:t>https://doi.org/10.1177/0046958020971184</w:t>
        </w:r>
      </w:hyperlink>
      <w:r>
        <w:rPr>
          <w:rFonts w:ascii="Arial" w:hAnsi="Arial" w:cs="Arial"/>
          <w:sz w:val="20"/>
          <w:szCs w:val="20"/>
          <w:lang w:val="en-US"/>
        </w:rPr>
        <w:t xml:space="preserve"> </w:t>
      </w:r>
    </w:p>
    <w:p w14:paraId="734A457A" w14:textId="43A5DBED" w:rsidR="0095039D" w:rsidRDefault="0095039D" w:rsidP="00BA6D90">
      <w:pPr>
        <w:pStyle w:val="ListParagraph"/>
        <w:numPr>
          <w:ilvl w:val="0"/>
          <w:numId w:val="31"/>
        </w:numPr>
        <w:spacing w:after="0" w:line="240" w:lineRule="auto"/>
        <w:jc w:val="both"/>
        <w:rPr>
          <w:rFonts w:ascii="Arial" w:hAnsi="Arial" w:cs="Arial"/>
          <w:sz w:val="20"/>
          <w:szCs w:val="20"/>
          <w:lang w:val="en-US"/>
        </w:rPr>
      </w:pPr>
      <w:r w:rsidRPr="0095039D">
        <w:rPr>
          <w:rFonts w:ascii="Arial" w:hAnsi="Arial" w:cs="Arial"/>
          <w:sz w:val="20"/>
          <w:szCs w:val="20"/>
          <w:lang w:val="fr-FR"/>
        </w:rPr>
        <w:t xml:space="preserve">Falck, R.S., Percival, A.G., Tai, D. &amp; Davis, J.C. (2022). </w:t>
      </w:r>
      <w:r w:rsidRPr="0095039D">
        <w:rPr>
          <w:rFonts w:ascii="Arial" w:hAnsi="Arial" w:cs="Arial"/>
          <w:sz w:val="20"/>
          <w:szCs w:val="20"/>
          <w:lang w:val="en-US"/>
        </w:rPr>
        <w:t xml:space="preserve">International depiction of the cost of functional independence limitations among older adults living in the community: a systematic review and cost-of-impairment study. BMC </w:t>
      </w:r>
      <w:proofErr w:type="spellStart"/>
      <w:r w:rsidRPr="0095039D">
        <w:rPr>
          <w:rFonts w:ascii="Arial" w:hAnsi="Arial" w:cs="Arial"/>
          <w:sz w:val="20"/>
          <w:szCs w:val="20"/>
          <w:lang w:val="en-US"/>
        </w:rPr>
        <w:t>Geriatr</w:t>
      </w:r>
      <w:proofErr w:type="spellEnd"/>
      <w:r w:rsidRPr="0095039D">
        <w:rPr>
          <w:rFonts w:ascii="Arial" w:hAnsi="Arial" w:cs="Arial"/>
          <w:sz w:val="20"/>
          <w:szCs w:val="20"/>
          <w:lang w:val="en-US"/>
        </w:rPr>
        <w:t xml:space="preserve"> 22, 815 </w:t>
      </w:r>
      <w:hyperlink r:id="rId25" w:history="1">
        <w:r w:rsidRPr="00AD639F">
          <w:rPr>
            <w:rStyle w:val="Hyperlink"/>
            <w:rFonts w:ascii="Arial" w:hAnsi="Arial" w:cs="Arial"/>
            <w:sz w:val="20"/>
            <w:szCs w:val="20"/>
            <w:lang w:val="en-US"/>
          </w:rPr>
          <w:t>https://doi.org/10.1186/s12877-022-03466-w</w:t>
        </w:r>
      </w:hyperlink>
      <w:r>
        <w:rPr>
          <w:rFonts w:ascii="Arial" w:hAnsi="Arial" w:cs="Arial"/>
          <w:sz w:val="20"/>
          <w:szCs w:val="20"/>
          <w:lang w:val="en-US"/>
        </w:rPr>
        <w:t xml:space="preserve"> </w:t>
      </w:r>
    </w:p>
    <w:p w14:paraId="36E77199" w14:textId="5408995E" w:rsidR="005404BA" w:rsidRDefault="005404BA" w:rsidP="00BA6D90">
      <w:pPr>
        <w:pStyle w:val="ListParagraph"/>
        <w:numPr>
          <w:ilvl w:val="0"/>
          <w:numId w:val="31"/>
        </w:numPr>
        <w:spacing w:after="0" w:line="240" w:lineRule="auto"/>
        <w:jc w:val="both"/>
        <w:rPr>
          <w:rFonts w:ascii="Arial" w:hAnsi="Arial" w:cs="Arial"/>
          <w:sz w:val="20"/>
          <w:szCs w:val="20"/>
          <w:lang w:val="en-US"/>
        </w:rPr>
      </w:pPr>
      <w:r w:rsidRPr="005404BA">
        <w:rPr>
          <w:rFonts w:ascii="Arial" w:hAnsi="Arial" w:cs="Arial"/>
          <w:sz w:val="20"/>
          <w:szCs w:val="20"/>
          <w:lang w:val="en-US"/>
        </w:rPr>
        <w:lastRenderedPageBreak/>
        <w:t xml:space="preserve">Fong J. H. (2019). Disability incidence and functional decline among older adults with major chronic diseases. BMC geriatrics, 19(1), 323. </w:t>
      </w:r>
      <w:hyperlink r:id="rId26" w:history="1">
        <w:r w:rsidRPr="008F4A7E">
          <w:rPr>
            <w:rStyle w:val="Hyperlink"/>
            <w:rFonts w:ascii="Arial" w:hAnsi="Arial" w:cs="Arial"/>
            <w:sz w:val="20"/>
            <w:szCs w:val="20"/>
            <w:lang w:val="en-US"/>
          </w:rPr>
          <w:t>https://doi.org/10.1186/s12877-019-1348-z</w:t>
        </w:r>
      </w:hyperlink>
      <w:r>
        <w:rPr>
          <w:rFonts w:ascii="Arial" w:hAnsi="Arial" w:cs="Arial"/>
          <w:sz w:val="20"/>
          <w:szCs w:val="20"/>
          <w:lang w:val="en-US"/>
        </w:rPr>
        <w:t xml:space="preserve"> </w:t>
      </w:r>
    </w:p>
    <w:p w14:paraId="3775992C" w14:textId="089AD4EE" w:rsidR="00AD3F96" w:rsidRDefault="00AD3F96" w:rsidP="00BA6D90">
      <w:pPr>
        <w:pStyle w:val="ListParagraph"/>
        <w:numPr>
          <w:ilvl w:val="0"/>
          <w:numId w:val="31"/>
        </w:numPr>
        <w:spacing w:after="0" w:line="240" w:lineRule="auto"/>
        <w:jc w:val="both"/>
        <w:rPr>
          <w:rFonts w:ascii="Arial" w:hAnsi="Arial" w:cs="Arial"/>
          <w:sz w:val="20"/>
          <w:szCs w:val="20"/>
          <w:lang w:val="en-US"/>
        </w:rPr>
      </w:pPr>
      <w:r w:rsidRPr="00AD3F96">
        <w:rPr>
          <w:rFonts w:ascii="Arial" w:hAnsi="Arial" w:cs="Arial"/>
          <w:sz w:val="20"/>
          <w:szCs w:val="20"/>
          <w:lang w:val="en-US"/>
        </w:rPr>
        <w:t>Guo HJ, Sapra A</w:t>
      </w:r>
      <w:bookmarkEnd w:id="6"/>
      <w:r w:rsidRPr="00AD3F96">
        <w:rPr>
          <w:rFonts w:ascii="Arial" w:hAnsi="Arial" w:cs="Arial"/>
          <w:sz w:val="20"/>
          <w:szCs w:val="20"/>
          <w:lang w:val="en-US"/>
        </w:rPr>
        <w:t xml:space="preserve">. Instrumental Activity of Daily Living. [Updated 2022 Nov 14]. In: </w:t>
      </w:r>
      <w:proofErr w:type="spellStart"/>
      <w:r w:rsidRPr="00AD3F96">
        <w:rPr>
          <w:rFonts w:ascii="Arial" w:hAnsi="Arial" w:cs="Arial"/>
          <w:sz w:val="20"/>
          <w:szCs w:val="20"/>
          <w:lang w:val="en-US"/>
        </w:rPr>
        <w:t>StatPearls</w:t>
      </w:r>
      <w:proofErr w:type="spellEnd"/>
      <w:r w:rsidRPr="00AD3F96">
        <w:rPr>
          <w:rFonts w:ascii="Arial" w:hAnsi="Arial" w:cs="Arial"/>
          <w:sz w:val="20"/>
          <w:szCs w:val="20"/>
          <w:lang w:val="en-US"/>
        </w:rPr>
        <w:t xml:space="preserve"> [Internet]. Treasure Island (FL): </w:t>
      </w:r>
      <w:proofErr w:type="spellStart"/>
      <w:r w:rsidRPr="00AD3F96">
        <w:rPr>
          <w:rFonts w:ascii="Arial" w:hAnsi="Arial" w:cs="Arial"/>
          <w:sz w:val="20"/>
          <w:szCs w:val="20"/>
          <w:lang w:val="en-US"/>
        </w:rPr>
        <w:t>StatPearls</w:t>
      </w:r>
      <w:proofErr w:type="spellEnd"/>
      <w:r w:rsidRPr="00AD3F96">
        <w:rPr>
          <w:rFonts w:ascii="Arial" w:hAnsi="Arial" w:cs="Arial"/>
          <w:sz w:val="20"/>
          <w:szCs w:val="20"/>
          <w:lang w:val="en-US"/>
        </w:rPr>
        <w:t xml:space="preserve"> Publishing; 2025 Jan-. Available from: </w:t>
      </w:r>
      <w:hyperlink r:id="rId27" w:history="1">
        <w:r w:rsidRPr="00AD639F">
          <w:rPr>
            <w:rStyle w:val="Hyperlink"/>
            <w:rFonts w:ascii="Arial" w:hAnsi="Arial" w:cs="Arial"/>
            <w:sz w:val="20"/>
            <w:szCs w:val="20"/>
            <w:lang w:val="en-US"/>
          </w:rPr>
          <w:t>https://www.ncbi.nlm.nih.gov/books/NBK553126/</w:t>
        </w:r>
      </w:hyperlink>
      <w:r>
        <w:rPr>
          <w:rFonts w:ascii="Arial" w:hAnsi="Arial" w:cs="Arial"/>
          <w:sz w:val="20"/>
          <w:szCs w:val="20"/>
          <w:lang w:val="en-US"/>
        </w:rPr>
        <w:t xml:space="preserve"> </w:t>
      </w:r>
    </w:p>
    <w:p w14:paraId="7CB75BDF" w14:textId="4BFF6904" w:rsidR="009D60A3" w:rsidRDefault="009D60A3" w:rsidP="00BA6D90">
      <w:pPr>
        <w:pStyle w:val="ListParagraph"/>
        <w:numPr>
          <w:ilvl w:val="0"/>
          <w:numId w:val="31"/>
        </w:numPr>
        <w:spacing w:after="0" w:line="240" w:lineRule="auto"/>
        <w:jc w:val="both"/>
        <w:rPr>
          <w:rFonts w:ascii="Arial" w:hAnsi="Arial" w:cs="Arial"/>
          <w:sz w:val="20"/>
          <w:szCs w:val="20"/>
          <w:lang w:val="en-US"/>
        </w:rPr>
      </w:pPr>
      <w:r w:rsidRPr="009D60A3">
        <w:rPr>
          <w:rFonts w:ascii="Arial" w:hAnsi="Arial" w:cs="Arial"/>
          <w:sz w:val="20"/>
          <w:szCs w:val="20"/>
          <w:lang w:val="nb-NO"/>
        </w:rPr>
        <w:t xml:space="preserve">Hajek, A., Luck, T., Brettschneider, C., Posselt, T., Lange, C., Wiese, B., et al. </w:t>
      </w:r>
      <w:r w:rsidRPr="009D60A3">
        <w:rPr>
          <w:rFonts w:ascii="Arial" w:hAnsi="Arial" w:cs="Arial"/>
          <w:sz w:val="20"/>
          <w:szCs w:val="20"/>
          <w:lang w:val="en-US"/>
        </w:rPr>
        <w:t>(2017</w:t>
      </w:r>
      <w:r w:rsidR="00E86B07">
        <w:rPr>
          <w:rFonts w:ascii="Arial" w:hAnsi="Arial" w:cs="Arial"/>
          <w:sz w:val="20"/>
          <w:szCs w:val="20"/>
          <w:lang w:val="en-US"/>
        </w:rPr>
        <w:t>a</w:t>
      </w:r>
      <w:r w:rsidRPr="009D60A3">
        <w:rPr>
          <w:rFonts w:ascii="Arial" w:hAnsi="Arial" w:cs="Arial"/>
          <w:sz w:val="20"/>
          <w:szCs w:val="20"/>
          <w:lang w:val="en-US"/>
        </w:rPr>
        <w:t xml:space="preserve">). Factors affecting functional impairment among elderly Germans — Results of a longitudinal study. The Journal of Nutrition, Health and Aging, 21(3), 299-306. </w:t>
      </w:r>
      <w:hyperlink r:id="rId28" w:history="1">
        <w:r w:rsidRPr="006B53CE">
          <w:rPr>
            <w:rStyle w:val="Hyperlink"/>
            <w:rFonts w:ascii="Arial" w:hAnsi="Arial" w:cs="Arial"/>
            <w:sz w:val="20"/>
            <w:szCs w:val="20"/>
            <w:lang w:val="en-US"/>
          </w:rPr>
          <w:t>https://doi.org/10.1007/s12603-016-0771-5</w:t>
        </w:r>
      </w:hyperlink>
      <w:r>
        <w:rPr>
          <w:rFonts w:ascii="Arial" w:hAnsi="Arial" w:cs="Arial"/>
          <w:sz w:val="20"/>
          <w:szCs w:val="20"/>
          <w:lang w:val="en-US"/>
        </w:rPr>
        <w:t xml:space="preserve"> </w:t>
      </w:r>
    </w:p>
    <w:p w14:paraId="01A19610" w14:textId="71499D31" w:rsidR="006419FE" w:rsidRPr="006419FE" w:rsidRDefault="006419FE" w:rsidP="006419FE">
      <w:pPr>
        <w:pStyle w:val="ListParagraph"/>
        <w:numPr>
          <w:ilvl w:val="0"/>
          <w:numId w:val="31"/>
        </w:numPr>
        <w:rPr>
          <w:rFonts w:ascii="Arial" w:hAnsi="Arial" w:cs="Arial"/>
          <w:sz w:val="20"/>
          <w:szCs w:val="20"/>
          <w:lang w:val="en-US"/>
        </w:rPr>
      </w:pPr>
      <w:r w:rsidRPr="006419FE">
        <w:rPr>
          <w:rFonts w:ascii="Arial" w:hAnsi="Arial" w:cs="Arial"/>
          <w:sz w:val="20"/>
          <w:szCs w:val="20"/>
          <w:lang w:val="nb-NO"/>
        </w:rPr>
        <w:t xml:space="preserve">Hajek, A., Brettschneider, C., Eisele, M., Lühmann, D., Mamone, S., Wiese, B., et al. </w:t>
      </w:r>
      <w:r w:rsidRPr="006419FE">
        <w:rPr>
          <w:rFonts w:ascii="Arial" w:hAnsi="Arial" w:cs="Arial"/>
          <w:sz w:val="20"/>
          <w:szCs w:val="20"/>
          <w:lang w:val="en-US"/>
        </w:rPr>
        <w:t>(2017</w:t>
      </w:r>
      <w:r>
        <w:rPr>
          <w:rFonts w:ascii="Arial" w:hAnsi="Arial" w:cs="Arial"/>
          <w:sz w:val="20"/>
          <w:szCs w:val="20"/>
          <w:lang w:val="en-US"/>
        </w:rPr>
        <w:t>b</w:t>
      </w:r>
      <w:r w:rsidRPr="006419FE">
        <w:rPr>
          <w:rFonts w:ascii="Arial" w:hAnsi="Arial" w:cs="Arial"/>
          <w:sz w:val="20"/>
          <w:szCs w:val="20"/>
          <w:lang w:val="en-US"/>
        </w:rPr>
        <w:t xml:space="preserve">). Disentangling the complex relation of disability and depressive symptoms in old age - findings of a multicenter prospective cohort study in Germany. International psychogeriatrics, 29(6), 885–895. https://doi.org/10.1017/S1041610216002507 </w:t>
      </w:r>
    </w:p>
    <w:p w14:paraId="0BEB4B99" w14:textId="7F42ECC5" w:rsidR="009D60A3" w:rsidRPr="009D60A3" w:rsidRDefault="009D60A3" w:rsidP="00BA6D90">
      <w:pPr>
        <w:pStyle w:val="ListParagraph"/>
        <w:numPr>
          <w:ilvl w:val="0"/>
          <w:numId w:val="31"/>
        </w:numPr>
        <w:spacing w:after="0" w:line="240" w:lineRule="auto"/>
        <w:jc w:val="both"/>
        <w:rPr>
          <w:rFonts w:ascii="Arial" w:hAnsi="Arial" w:cs="Arial"/>
          <w:sz w:val="20"/>
          <w:szCs w:val="20"/>
          <w:lang w:val="en-US"/>
        </w:rPr>
      </w:pPr>
      <w:r w:rsidRPr="009D60A3">
        <w:rPr>
          <w:rFonts w:ascii="Arial" w:hAnsi="Arial" w:cs="Arial"/>
          <w:sz w:val="20"/>
          <w:szCs w:val="20"/>
          <w:lang w:val="nb-NO"/>
        </w:rPr>
        <w:t xml:space="preserve">Hajek, A., &amp; König, H. H. (2022). </w:t>
      </w:r>
      <w:r w:rsidRPr="009D60A3">
        <w:rPr>
          <w:rFonts w:ascii="Arial" w:hAnsi="Arial" w:cs="Arial"/>
          <w:sz w:val="20"/>
          <w:szCs w:val="20"/>
          <w:lang w:val="en-US"/>
        </w:rPr>
        <w:t xml:space="preserve">What factors are associated with functional impairment among the oldest </w:t>
      </w:r>
      <w:proofErr w:type="gramStart"/>
      <w:r w:rsidRPr="009D60A3">
        <w:rPr>
          <w:rFonts w:ascii="Arial" w:hAnsi="Arial" w:cs="Arial"/>
          <w:sz w:val="20"/>
          <w:szCs w:val="20"/>
          <w:lang w:val="en-US"/>
        </w:rPr>
        <w:t>old?.</w:t>
      </w:r>
      <w:proofErr w:type="gramEnd"/>
      <w:r w:rsidRPr="009D60A3">
        <w:rPr>
          <w:rFonts w:ascii="Arial" w:hAnsi="Arial" w:cs="Arial"/>
          <w:sz w:val="20"/>
          <w:szCs w:val="20"/>
          <w:lang w:val="en-US"/>
        </w:rPr>
        <w:t xml:space="preserve"> Frontiers in medicine, 9, 1092775. </w:t>
      </w:r>
      <w:hyperlink r:id="rId29" w:history="1">
        <w:r w:rsidRPr="006B53CE">
          <w:rPr>
            <w:rStyle w:val="Hyperlink"/>
            <w:rFonts w:ascii="Arial" w:hAnsi="Arial" w:cs="Arial"/>
            <w:sz w:val="20"/>
            <w:szCs w:val="20"/>
            <w:lang w:val="en-US"/>
          </w:rPr>
          <w:t>https://doi.org/10.3389/fmed.2022.1092775</w:t>
        </w:r>
      </w:hyperlink>
      <w:r>
        <w:rPr>
          <w:rFonts w:ascii="Arial" w:hAnsi="Arial" w:cs="Arial"/>
          <w:sz w:val="20"/>
          <w:szCs w:val="20"/>
          <w:lang w:val="en-US"/>
        </w:rPr>
        <w:t xml:space="preserve"> </w:t>
      </w:r>
    </w:p>
    <w:p w14:paraId="5AC1AEC6" w14:textId="1B8C9EDE" w:rsidR="002E2631" w:rsidRPr="002E2631" w:rsidRDefault="002E2631" w:rsidP="00BA6D90">
      <w:pPr>
        <w:pStyle w:val="ListParagraph"/>
        <w:numPr>
          <w:ilvl w:val="0"/>
          <w:numId w:val="31"/>
        </w:numPr>
        <w:spacing w:after="0" w:line="240" w:lineRule="auto"/>
        <w:jc w:val="both"/>
        <w:rPr>
          <w:rFonts w:ascii="Arial" w:hAnsi="Arial" w:cs="Arial"/>
          <w:sz w:val="20"/>
          <w:szCs w:val="20"/>
          <w:lang w:val="en-US"/>
        </w:rPr>
      </w:pPr>
      <w:r w:rsidRPr="002E2631">
        <w:rPr>
          <w:rFonts w:ascii="Arial" w:hAnsi="Arial" w:cs="Arial"/>
          <w:sz w:val="20"/>
          <w:szCs w:val="20"/>
          <w:lang w:val="nb-NO"/>
        </w:rPr>
        <w:t xml:space="preserve">Hofmann, A., Khalid, A., Mao, Y. H., Al-Nakeeb, S., Obi, I., Essem, J., et al. </w:t>
      </w:r>
      <w:r w:rsidRPr="002E2631">
        <w:rPr>
          <w:rFonts w:ascii="Arial" w:hAnsi="Arial" w:cs="Arial"/>
          <w:sz w:val="20"/>
          <w:szCs w:val="20"/>
          <w:lang w:val="en-US"/>
        </w:rPr>
        <w:t xml:space="preserve">(2020). Prescribing cascade in mental health: The older person at risk. Progress in Neurology and Psychiatry, 24(2), 17-20. </w:t>
      </w:r>
      <w:hyperlink r:id="rId30" w:history="1">
        <w:r w:rsidRPr="00E5556F">
          <w:rPr>
            <w:rStyle w:val="Hyperlink"/>
            <w:rFonts w:ascii="Arial" w:hAnsi="Arial" w:cs="Arial"/>
            <w:sz w:val="20"/>
            <w:szCs w:val="20"/>
            <w:lang w:val="en-US"/>
          </w:rPr>
          <w:t>https://doi.org/10.1002/pnp.665</w:t>
        </w:r>
      </w:hyperlink>
      <w:r>
        <w:rPr>
          <w:rFonts w:ascii="Arial" w:hAnsi="Arial" w:cs="Arial"/>
          <w:sz w:val="20"/>
          <w:szCs w:val="20"/>
          <w:lang w:val="en-US"/>
        </w:rPr>
        <w:t xml:space="preserve"> </w:t>
      </w:r>
    </w:p>
    <w:p w14:paraId="682E735C" w14:textId="1FD0AAEE" w:rsidR="009D10F5" w:rsidRPr="009D10F5" w:rsidRDefault="009D10F5" w:rsidP="00BA6D90">
      <w:pPr>
        <w:pStyle w:val="ListParagraph"/>
        <w:numPr>
          <w:ilvl w:val="0"/>
          <w:numId w:val="31"/>
        </w:numPr>
        <w:spacing w:after="0" w:line="240" w:lineRule="auto"/>
        <w:jc w:val="both"/>
        <w:rPr>
          <w:rFonts w:ascii="Arial" w:hAnsi="Arial" w:cs="Arial"/>
          <w:sz w:val="20"/>
          <w:szCs w:val="20"/>
          <w:lang w:val="en-US"/>
        </w:rPr>
      </w:pPr>
      <w:r w:rsidRPr="00BC1EFA">
        <w:rPr>
          <w:rFonts w:ascii="Arial" w:hAnsi="Arial" w:cs="Arial"/>
          <w:sz w:val="20"/>
          <w:szCs w:val="20"/>
          <w:lang w:val="de-DE"/>
        </w:rPr>
        <w:t xml:space="preserve">Hong, A., Welch-Stockton, J., Kim, J. Y., Canham, S. L., Greer, V., &amp; Sorweid, M. (2023). </w:t>
      </w:r>
      <w:r w:rsidRPr="009D10F5">
        <w:rPr>
          <w:rFonts w:ascii="Arial" w:hAnsi="Arial" w:cs="Arial"/>
          <w:sz w:val="20"/>
          <w:szCs w:val="20"/>
          <w:lang w:val="en-US"/>
        </w:rPr>
        <w:t xml:space="preserve">Age-Friendly Community Interventions for Health and Social Outcomes: A Scoping Review. International journal of environmental research and public health, 20(3), 2554. </w:t>
      </w:r>
      <w:hyperlink r:id="rId31" w:history="1">
        <w:r w:rsidRPr="00E5556F">
          <w:rPr>
            <w:rStyle w:val="Hyperlink"/>
            <w:rFonts w:ascii="Arial" w:hAnsi="Arial" w:cs="Arial"/>
            <w:sz w:val="20"/>
            <w:szCs w:val="20"/>
            <w:lang w:val="en-US"/>
          </w:rPr>
          <w:t>https://doi.org/10.3390/ijerph20032554</w:t>
        </w:r>
      </w:hyperlink>
      <w:r>
        <w:rPr>
          <w:rFonts w:ascii="Arial" w:hAnsi="Arial" w:cs="Arial"/>
          <w:sz w:val="20"/>
          <w:szCs w:val="20"/>
          <w:lang w:val="en-US"/>
        </w:rPr>
        <w:t xml:space="preserve"> </w:t>
      </w:r>
    </w:p>
    <w:p w14:paraId="300C1AB4" w14:textId="53BBD6DB" w:rsidR="002007E8" w:rsidRDefault="002007E8" w:rsidP="00BA6D90">
      <w:pPr>
        <w:pStyle w:val="ListParagraph"/>
        <w:numPr>
          <w:ilvl w:val="0"/>
          <w:numId w:val="31"/>
        </w:numPr>
        <w:spacing w:after="0" w:line="240" w:lineRule="auto"/>
        <w:jc w:val="both"/>
        <w:rPr>
          <w:rFonts w:ascii="Arial" w:hAnsi="Arial" w:cs="Arial"/>
          <w:sz w:val="20"/>
          <w:szCs w:val="20"/>
          <w:lang w:val="en-US"/>
        </w:rPr>
      </w:pPr>
      <w:r w:rsidRPr="002007E8">
        <w:rPr>
          <w:rFonts w:ascii="Arial" w:hAnsi="Arial" w:cs="Arial"/>
          <w:sz w:val="20"/>
          <w:szCs w:val="20"/>
          <w:lang w:val="fr-FR"/>
        </w:rPr>
        <w:t xml:space="preserve">Huang, Z., Lai, E. T., Luo, Y., &amp; Woo, J. (2024). </w:t>
      </w:r>
      <w:r w:rsidRPr="002007E8">
        <w:rPr>
          <w:rFonts w:ascii="Arial" w:hAnsi="Arial" w:cs="Arial"/>
          <w:sz w:val="20"/>
          <w:szCs w:val="20"/>
          <w:lang w:val="en-US"/>
        </w:rPr>
        <w:t>Social determinants of intrinsic capacity: A systematic review of observational studies. Ageing Research Reviews, 95, 102239. https://doi.org/10.1016/j.arr.2024.102239</w:t>
      </w:r>
    </w:p>
    <w:p w14:paraId="5E0D390B" w14:textId="01C2FA61" w:rsidR="00D05CFC" w:rsidRDefault="00D05CFC" w:rsidP="00BA6D90">
      <w:pPr>
        <w:pStyle w:val="ListParagraph"/>
        <w:numPr>
          <w:ilvl w:val="0"/>
          <w:numId w:val="31"/>
        </w:numPr>
        <w:spacing w:after="0" w:line="240" w:lineRule="auto"/>
        <w:jc w:val="both"/>
        <w:rPr>
          <w:rFonts w:ascii="Arial" w:hAnsi="Arial" w:cs="Arial"/>
          <w:sz w:val="20"/>
          <w:szCs w:val="20"/>
          <w:lang w:val="en-US"/>
        </w:rPr>
      </w:pPr>
      <w:r w:rsidRPr="00D05CFC">
        <w:rPr>
          <w:rFonts w:ascii="Arial" w:hAnsi="Arial" w:cs="Arial"/>
          <w:sz w:val="20"/>
          <w:szCs w:val="20"/>
          <w:lang w:val="en-US"/>
        </w:rPr>
        <w:t>Hwang</w:t>
      </w:r>
      <w:r>
        <w:rPr>
          <w:rFonts w:ascii="Arial" w:hAnsi="Arial" w:cs="Arial"/>
          <w:sz w:val="20"/>
          <w:szCs w:val="20"/>
          <w:lang w:val="en-US"/>
        </w:rPr>
        <w:t>,</w:t>
      </w:r>
      <w:r w:rsidRPr="00D05CFC">
        <w:rPr>
          <w:rFonts w:ascii="Arial" w:hAnsi="Arial" w:cs="Arial"/>
          <w:sz w:val="20"/>
          <w:szCs w:val="20"/>
          <w:lang w:val="en-US"/>
        </w:rPr>
        <w:t xml:space="preserve"> E</w:t>
      </w:r>
      <w:r>
        <w:rPr>
          <w:rFonts w:ascii="Arial" w:hAnsi="Arial" w:cs="Arial"/>
          <w:sz w:val="20"/>
          <w:szCs w:val="20"/>
          <w:lang w:val="en-US"/>
        </w:rPr>
        <w:t>.</w:t>
      </w:r>
      <w:r w:rsidRPr="00D05CFC">
        <w:rPr>
          <w:rFonts w:ascii="Arial" w:hAnsi="Arial" w:cs="Arial"/>
          <w:sz w:val="20"/>
          <w:szCs w:val="20"/>
          <w:lang w:val="en-US"/>
        </w:rPr>
        <w:t xml:space="preserve">J. </w:t>
      </w:r>
      <w:r>
        <w:rPr>
          <w:rFonts w:ascii="Arial" w:hAnsi="Arial" w:cs="Arial"/>
          <w:sz w:val="20"/>
          <w:szCs w:val="20"/>
          <w:lang w:val="en-US"/>
        </w:rPr>
        <w:t>(2022).</w:t>
      </w:r>
      <w:r w:rsidRPr="00D05CFC">
        <w:rPr>
          <w:rFonts w:ascii="Arial" w:hAnsi="Arial" w:cs="Arial"/>
          <w:sz w:val="20"/>
          <w:szCs w:val="20"/>
          <w:lang w:val="en-US"/>
        </w:rPr>
        <w:t xml:space="preserve"> Analysis of factors associated with subjective mild cognitive impairment (MCI) among older </w:t>
      </w:r>
      <w:proofErr w:type="gramStart"/>
      <w:r w:rsidRPr="00D05CFC">
        <w:rPr>
          <w:rFonts w:ascii="Arial" w:hAnsi="Arial" w:cs="Arial"/>
          <w:sz w:val="20"/>
          <w:szCs w:val="20"/>
          <w:lang w:val="en-US"/>
        </w:rPr>
        <w:t>adults</w:t>
      </w:r>
      <w:proofErr w:type="gramEnd"/>
      <w:r w:rsidRPr="00D05CFC">
        <w:rPr>
          <w:rFonts w:ascii="Arial" w:hAnsi="Arial" w:cs="Arial"/>
          <w:sz w:val="20"/>
          <w:szCs w:val="20"/>
          <w:lang w:val="en-US"/>
        </w:rPr>
        <w:t xml:space="preserve"> resident in the community. Int J Environ Res Public Health</w:t>
      </w:r>
      <w:r>
        <w:rPr>
          <w:rFonts w:ascii="Arial" w:hAnsi="Arial" w:cs="Arial"/>
          <w:sz w:val="20"/>
          <w:szCs w:val="20"/>
          <w:lang w:val="en-US"/>
        </w:rPr>
        <w:t xml:space="preserve">, </w:t>
      </w:r>
      <w:r w:rsidRPr="00D05CFC">
        <w:rPr>
          <w:rFonts w:ascii="Arial" w:hAnsi="Arial" w:cs="Arial"/>
          <w:sz w:val="20"/>
          <w:szCs w:val="20"/>
          <w:lang w:val="en-US"/>
        </w:rPr>
        <w:t xml:space="preserve">19(16):10387. </w:t>
      </w:r>
      <w:proofErr w:type="spellStart"/>
      <w:r>
        <w:rPr>
          <w:rFonts w:ascii="Arial" w:hAnsi="Arial" w:cs="Arial"/>
          <w:sz w:val="20"/>
          <w:szCs w:val="20"/>
          <w:lang w:val="en-US"/>
        </w:rPr>
        <w:t>doi</w:t>
      </w:r>
      <w:proofErr w:type="spellEnd"/>
      <w:r w:rsidRPr="00D05CFC">
        <w:rPr>
          <w:rFonts w:ascii="Arial" w:hAnsi="Arial" w:cs="Arial"/>
          <w:sz w:val="20"/>
          <w:szCs w:val="20"/>
          <w:lang w:val="en-US"/>
        </w:rPr>
        <w:t>: 10.3390/ijerph191610387</w:t>
      </w:r>
      <w:r>
        <w:rPr>
          <w:rFonts w:ascii="Arial" w:hAnsi="Arial" w:cs="Arial"/>
          <w:sz w:val="20"/>
          <w:szCs w:val="20"/>
          <w:lang w:val="en-US"/>
        </w:rPr>
        <w:t xml:space="preserve"> </w:t>
      </w:r>
    </w:p>
    <w:p w14:paraId="00C90CCF" w14:textId="77721EC9" w:rsidR="00E513C6" w:rsidRDefault="00E513C6" w:rsidP="00BA6D90">
      <w:pPr>
        <w:pStyle w:val="ListParagraph"/>
        <w:numPr>
          <w:ilvl w:val="0"/>
          <w:numId w:val="31"/>
        </w:numPr>
        <w:spacing w:after="0" w:line="240" w:lineRule="auto"/>
        <w:jc w:val="both"/>
        <w:rPr>
          <w:rFonts w:ascii="Arial" w:hAnsi="Arial" w:cs="Arial"/>
          <w:sz w:val="20"/>
          <w:szCs w:val="20"/>
          <w:lang w:val="en-US"/>
        </w:rPr>
      </w:pPr>
      <w:r w:rsidRPr="00E513C6">
        <w:rPr>
          <w:rFonts w:ascii="Arial" w:hAnsi="Arial" w:cs="Arial"/>
          <w:sz w:val="20"/>
          <w:szCs w:val="20"/>
        </w:rPr>
        <w:t xml:space="preserve">Jia, H., &amp; </w:t>
      </w:r>
      <w:proofErr w:type="spellStart"/>
      <w:r w:rsidRPr="00E513C6">
        <w:rPr>
          <w:rFonts w:ascii="Arial" w:hAnsi="Arial" w:cs="Arial"/>
          <w:sz w:val="20"/>
          <w:szCs w:val="20"/>
        </w:rPr>
        <w:t>Lubetkin</w:t>
      </w:r>
      <w:proofErr w:type="spellEnd"/>
      <w:r w:rsidRPr="00E513C6">
        <w:rPr>
          <w:rFonts w:ascii="Arial" w:hAnsi="Arial" w:cs="Arial"/>
          <w:sz w:val="20"/>
          <w:szCs w:val="20"/>
        </w:rPr>
        <w:t xml:space="preserve">, E. I. (2020). </w:t>
      </w:r>
      <w:r w:rsidRPr="00E513C6">
        <w:rPr>
          <w:rFonts w:ascii="Arial" w:hAnsi="Arial" w:cs="Arial"/>
          <w:sz w:val="20"/>
          <w:szCs w:val="20"/>
          <w:lang w:val="en-US"/>
        </w:rPr>
        <w:t xml:space="preserve">Life expectancy and active life expectancy by marital status among older U.S. adults: Results from the U.S. Medicare Health Outcome Survey (HOS). SSM - population health, 12, 100642. </w:t>
      </w:r>
      <w:hyperlink r:id="rId32" w:history="1">
        <w:r w:rsidRPr="00973303">
          <w:rPr>
            <w:rStyle w:val="Hyperlink"/>
            <w:rFonts w:ascii="Arial" w:hAnsi="Arial" w:cs="Arial"/>
            <w:sz w:val="20"/>
            <w:szCs w:val="20"/>
            <w:lang w:val="en-US"/>
          </w:rPr>
          <w:t>https://doi.org/10.1016/j.ssmph.2020.100642</w:t>
        </w:r>
      </w:hyperlink>
      <w:r>
        <w:rPr>
          <w:rFonts w:ascii="Arial" w:hAnsi="Arial" w:cs="Arial"/>
          <w:sz w:val="20"/>
          <w:szCs w:val="20"/>
          <w:lang w:val="en-US"/>
        </w:rPr>
        <w:t xml:space="preserve"> </w:t>
      </w:r>
    </w:p>
    <w:p w14:paraId="3881E1AE" w14:textId="5DF377D7" w:rsidR="00D05CFC" w:rsidRDefault="00D05CFC" w:rsidP="00BA6D90">
      <w:pPr>
        <w:pStyle w:val="ListParagraph"/>
        <w:numPr>
          <w:ilvl w:val="0"/>
          <w:numId w:val="31"/>
        </w:numPr>
        <w:spacing w:after="0" w:line="240" w:lineRule="auto"/>
        <w:jc w:val="both"/>
        <w:rPr>
          <w:rFonts w:ascii="Arial" w:hAnsi="Arial" w:cs="Arial"/>
          <w:sz w:val="20"/>
          <w:szCs w:val="20"/>
          <w:lang w:val="en-US"/>
        </w:rPr>
      </w:pPr>
      <w:r w:rsidRPr="00D05CFC">
        <w:rPr>
          <w:rFonts w:ascii="Arial" w:hAnsi="Arial" w:cs="Arial"/>
          <w:sz w:val="20"/>
          <w:szCs w:val="20"/>
          <w:lang w:val="fr-FR"/>
        </w:rPr>
        <w:t xml:space="preserve">Jia, L., Du, Y., Chu, L., Zhang, Z., Li, F., </w:t>
      </w:r>
      <w:proofErr w:type="spellStart"/>
      <w:r w:rsidRPr="00D05CFC">
        <w:rPr>
          <w:rFonts w:ascii="Arial" w:hAnsi="Arial" w:cs="Arial"/>
          <w:sz w:val="20"/>
          <w:szCs w:val="20"/>
          <w:lang w:val="fr-FR"/>
        </w:rPr>
        <w:t>Lyu</w:t>
      </w:r>
      <w:proofErr w:type="spellEnd"/>
      <w:r w:rsidRPr="00D05CFC">
        <w:rPr>
          <w:rFonts w:ascii="Arial" w:hAnsi="Arial" w:cs="Arial"/>
          <w:sz w:val="20"/>
          <w:szCs w:val="20"/>
          <w:lang w:val="fr-FR"/>
        </w:rPr>
        <w:t xml:space="preserve">, D., et al. </w:t>
      </w:r>
      <w:r w:rsidRPr="00D05CFC">
        <w:rPr>
          <w:rFonts w:ascii="Arial" w:hAnsi="Arial" w:cs="Arial"/>
          <w:sz w:val="20"/>
          <w:szCs w:val="20"/>
          <w:lang w:val="en-US"/>
        </w:rPr>
        <w:t xml:space="preserve">(2020). Prevalence, risk factors, and management of dementia and mild cognitive impairment in adults aged 60 years or older in China: a cross-sectional study. The Lancet. Public health, 5(12), e661–e671. </w:t>
      </w:r>
      <w:hyperlink r:id="rId33" w:history="1">
        <w:r w:rsidRPr="008F4A7E">
          <w:rPr>
            <w:rStyle w:val="Hyperlink"/>
            <w:rFonts w:ascii="Arial" w:hAnsi="Arial" w:cs="Arial"/>
            <w:sz w:val="20"/>
            <w:szCs w:val="20"/>
            <w:lang w:val="en-US"/>
          </w:rPr>
          <w:t>https://doi.org/10.1016/S2468-2667(20)30185-7</w:t>
        </w:r>
      </w:hyperlink>
      <w:r>
        <w:rPr>
          <w:rFonts w:ascii="Arial" w:hAnsi="Arial" w:cs="Arial"/>
          <w:sz w:val="20"/>
          <w:szCs w:val="20"/>
          <w:lang w:val="en-US"/>
        </w:rPr>
        <w:t xml:space="preserve"> </w:t>
      </w:r>
    </w:p>
    <w:p w14:paraId="4E1B201F" w14:textId="0CC33982" w:rsidR="003B2AD4" w:rsidRPr="003B2AD4" w:rsidRDefault="003B2AD4" w:rsidP="00BA6D90">
      <w:pPr>
        <w:pStyle w:val="ListParagraph"/>
        <w:numPr>
          <w:ilvl w:val="0"/>
          <w:numId w:val="31"/>
        </w:numPr>
        <w:spacing w:after="0" w:line="240" w:lineRule="auto"/>
        <w:jc w:val="both"/>
        <w:rPr>
          <w:rFonts w:ascii="Arial" w:hAnsi="Arial" w:cs="Arial"/>
          <w:sz w:val="20"/>
          <w:szCs w:val="20"/>
          <w:lang w:val="en-US"/>
        </w:rPr>
      </w:pPr>
      <w:r w:rsidRPr="003B2AD4">
        <w:rPr>
          <w:rFonts w:ascii="Arial" w:hAnsi="Arial" w:cs="Arial"/>
          <w:sz w:val="20"/>
          <w:szCs w:val="20"/>
          <w:lang w:val="en-US"/>
        </w:rPr>
        <w:t xml:space="preserve">Katz, S., Downs, T. D., Cash, H. R., &amp; Grotz, R. C. (1970). Progress in development of the index of ADL. The Gerontologist, 10(1), 20–30. </w:t>
      </w:r>
      <w:hyperlink r:id="rId34" w:history="1">
        <w:r w:rsidRPr="00AD639F">
          <w:rPr>
            <w:rStyle w:val="Hyperlink"/>
            <w:rFonts w:ascii="Arial" w:hAnsi="Arial" w:cs="Arial"/>
            <w:sz w:val="20"/>
            <w:szCs w:val="20"/>
            <w:lang w:val="en-US"/>
          </w:rPr>
          <w:t>https://doi.org/10.1093/geront/10.1_part_1.20</w:t>
        </w:r>
      </w:hyperlink>
      <w:r>
        <w:rPr>
          <w:rFonts w:ascii="Arial" w:hAnsi="Arial" w:cs="Arial"/>
          <w:sz w:val="20"/>
          <w:szCs w:val="20"/>
          <w:lang w:val="en-US"/>
        </w:rPr>
        <w:t xml:space="preserve"> </w:t>
      </w:r>
    </w:p>
    <w:p w14:paraId="30180086" w14:textId="779EA0EA" w:rsidR="002D27EA" w:rsidRPr="002D27EA" w:rsidRDefault="002D27EA" w:rsidP="00BA6D90">
      <w:pPr>
        <w:pStyle w:val="ListParagraph"/>
        <w:numPr>
          <w:ilvl w:val="0"/>
          <w:numId w:val="31"/>
        </w:numPr>
        <w:spacing w:after="0" w:line="240" w:lineRule="auto"/>
        <w:jc w:val="both"/>
        <w:rPr>
          <w:rFonts w:ascii="Arial" w:hAnsi="Arial" w:cs="Arial"/>
          <w:sz w:val="20"/>
          <w:szCs w:val="20"/>
          <w:lang w:val="en-US"/>
        </w:rPr>
      </w:pPr>
      <w:r w:rsidRPr="002D27EA">
        <w:rPr>
          <w:rFonts w:ascii="Arial" w:hAnsi="Arial" w:cs="Arial"/>
          <w:sz w:val="20"/>
          <w:szCs w:val="20"/>
          <w:lang w:val="en-US"/>
        </w:rPr>
        <w:t xml:space="preserve">Leveille, S. G., </w:t>
      </w:r>
      <w:proofErr w:type="spellStart"/>
      <w:r w:rsidRPr="002D27EA">
        <w:rPr>
          <w:rFonts w:ascii="Arial" w:hAnsi="Arial" w:cs="Arial"/>
          <w:sz w:val="20"/>
          <w:szCs w:val="20"/>
          <w:lang w:val="en-US"/>
        </w:rPr>
        <w:t>Penninx</w:t>
      </w:r>
      <w:proofErr w:type="spellEnd"/>
      <w:r w:rsidRPr="002D27EA">
        <w:rPr>
          <w:rFonts w:ascii="Arial" w:hAnsi="Arial" w:cs="Arial"/>
          <w:sz w:val="20"/>
          <w:szCs w:val="20"/>
          <w:lang w:val="en-US"/>
        </w:rPr>
        <w:t xml:space="preserve">, B. W., Melzer, D., Izmirlian, G., &amp; Guralnik, J. M. (2000). Sex differences in the prevalence of mobility disability in old age: the dynamics of incidence, recovery, and mortality. The journals of gerontology. Series B, Psychological sciences and social sciences, 55(1), S41–S50. </w:t>
      </w:r>
      <w:hyperlink r:id="rId35" w:history="1">
        <w:r w:rsidRPr="00973303">
          <w:rPr>
            <w:rStyle w:val="Hyperlink"/>
            <w:rFonts w:ascii="Arial" w:hAnsi="Arial" w:cs="Arial"/>
            <w:sz w:val="20"/>
            <w:szCs w:val="20"/>
            <w:lang w:val="en-US"/>
          </w:rPr>
          <w:t>https://doi.org/10.1093/geronb/55.1.s41</w:t>
        </w:r>
      </w:hyperlink>
      <w:r>
        <w:rPr>
          <w:rFonts w:ascii="Arial" w:hAnsi="Arial" w:cs="Arial"/>
          <w:sz w:val="20"/>
          <w:szCs w:val="20"/>
          <w:lang w:val="en-US"/>
        </w:rPr>
        <w:t xml:space="preserve"> </w:t>
      </w:r>
    </w:p>
    <w:p w14:paraId="3D396745" w14:textId="0565DE90" w:rsidR="00537EA5" w:rsidRDefault="00537EA5" w:rsidP="00BA6D90">
      <w:pPr>
        <w:pStyle w:val="ListParagraph"/>
        <w:numPr>
          <w:ilvl w:val="0"/>
          <w:numId w:val="31"/>
        </w:numPr>
        <w:spacing w:after="0" w:line="240" w:lineRule="auto"/>
        <w:jc w:val="both"/>
        <w:rPr>
          <w:rFonts w:ascii="Arial" w:hAnsi="Arial" w:cs="Arial"/>
          <w:sz w:val="20"/>
          <w:szCs w:val="20"/>
          <w:lang w:val="en-US"/>
        </w:rPr>
      </w:pPr>
      <w:proofErr w:type="spellStart"/>
      <w:r w:rsidRPr="00537EA5">
        <w:rPr>
          <w:rFonts w:ascii="Arial" w:hAnsi="Arial" w:cs="Arial"/>
          <w:sz w:val="20"/>
          <w:szCs w:val="20"/>
        </w:rPr>
        <w:t>Lopez-Hernandez</w:t>
      </w:r>
      <w:proofErr w:type="spellEnd"/>
      <w:r w:rsidRPr="00537EA5">
        <w:rPr>
          <w:rFonts w:ascii="Arial" w:hAnsi="Arial" w:cs="Arial"/>
          <w:sz w:val="20"/>
          <w:szCs w:val="20"/>
        </w:rPr>
        <w:t>, D</w:t>
      </w:r>
      <w:r>
        <w:rPr>
          <w:rFonts w:ascii="Arial" w:hAnsi="Arial" w:cs="Arial"/>
          <w:sz w:val="20"/>
          <w:szCs w:val="20"/>
        </w:rPr>
        <w:t>.</w:t>
      </w:r>
      <w:r w:rsidRPr="00537EA5">
        <w:rPr>
          <w:rFonts w:ascii="Arial" w:hAnsi="Arial" w:cs="Arial"/>
          <w:sz w:val="20"/>
          <w:szCs w:val="20"/>
        </w:rPr>
        <w:t xml:space="preserve">, Brito-Aranda, </w:t>
      </w:r>
      <w:r>
        <w:rPr>
          <w:rFonts w:ascii="Arial" w:hAnsi="Arial" w:cs="Arial"/>
          <w:sz w:val="20"/>
          <w:szCs w:val="20"/>
        </w:rPr>
        <w:t xml:space="preserve">L., </w:t>
      </w:r>
      <w:r w:rsidRPr="00537EA5">
        <w:rPr>
          <w:rFonts w:ascii="Arial" w:hAnsi="Arial" w:cs="Arial"/>
          <w:sz w:val="20"/>
          <w:szCs w:val="20"/>
        </w:rPr>
        <w:t xml:space="preserve">Flores-Morales, </w:t>
      </w:r>
      <w:r>
        <w:rPr>
          <w:rFonts w:ascii="Arial" w:hAnsi="Arial" w:cs="Arial"/>
          <w:sz w:val="20"/>
          <w:szCs w:val="20"/>
        </w:rPr>
        <w:t xml:space="preserve">G.J., </w:t>
      </w:r>
      <w:proofErr w:type="spellStart"/>
      <w:r w:rsidRPr="00537EA5">
        <w:rPr>
          <w:rFonts w:ascii="Arial" w:hAnsi="Arial" w:cs="Arial"/>
          <w:sz w:val="20"/>
          <w:szCs w:val="20"/>
        </w:rPr>
        <w:t>Ham</w:t>
      </w:r>
      <w:proofErr w:type="spellEnd"/>
      <w:r w:rsidRPr="00537EA5">
        <w:rPr>
          <w:rFonts w:ascii="Arial" w:hAnsi="Arial" w:cs="Arial"/>
          <w:sz w:val="20"/>
          <w:szCs w:val="20"/>
        </w:rPr>
        <w:t>-Olvera</w:t>
      </w:r>
      <w:r>
        <w:rPr>
          <w:rFonts w:ascii="Arial" w:hAnsi="Arial" w:cs="Arial"/>
          <w:sz w:val="20"/>
          <w:szCs w:val="20"/>
        </w:rPr>
        <w:t>, M.C.,</w:t>
      </w:r>
      <w:r w:rsidRPr="00537EA5">
        <w:rPr>
          <w:rFonts w:ascii="Arial" w:hAnsi="Arial" w:cs="Arial"/>
          <w:sz w:val="20"/>
          <w:szCs w:val="20"/>
        </w:rPr>
        <w:t xml:space="preserve"> </w:t>
      </w:r>
      <w:proofErr w:type="spellStart"/>
      <w:r w:rsidRPr="00537EA5">
        <w:rPr>
          <w:rFonts w:ascii="Arial" w:hAnsi="Arial" w:cs="Arial"/>
          <w:sz w:val="20"/>
          <w:szCs w:val="20"/>
        </w:rPr>
        <w:t>Beltran</w:t>
      </w:r>
      <w:proofErr w:type="spellEnd"/>
      <w:r w:rsidRPr="00537EA5">
        <w:rPr>
          <w:rFonts w:ascii="Arial" w:hAnsi="Arial" w:cs="Arial"/>
          <w:sz w:val="20"/>
          <w:szCs w:val="20"/>
        </w:rPr>
        <w:t xml:space="preserve">-Lagunes, </w:t>
      </w:r>
      <w:r>
        <w:rPr>
          <w:rFonts w:ascii="Arial" w:hAnsi="Arial" w:cs="Arial"/>
          <w:sz w:val="20"/>
          <w:szCs w:val="20"/>
        </w:rPr>
        <w:t xml:space="preserve">L., </w:t>
      </w:r>
      <w:proofErr w:type="spellStart"/>
      <w:r w:rsidRPr="00537EA5">
        <w:rPr>
          <w:rFonts w:ascii="Arial" w:hAnsi="Arial" w:cs="Arial"/>
          <w:sz w:val="20"/>
          <w:szCs w:val="20"/>
        </w:rPr>
        <w:t>Vazquez-Sanchez</w:t>
      </w:r>
      <w:proofErr w:type="spellEnd"/>
      <w:r w:rsidRPr="00537EA5">
        <w:rPr>
          <w:rFonts w:ascii="Arial" w:hAnsi="Arial" w:cs="Arial"/>
          <w:sz w:val="20"/>
          <w:szCs w:val="20"/>
        </w:rPr>
        <w:t xml:space="preserve">, </w:t>
      </w:r>
      <w:r>
        <w:rPr>
          <w:rFonts w:ascii="Arial" w:hAnsi="Arial" w:cs="Arial"/>
          <w:sz w:val="20"/>
          <w:szCs w:val="20"/>
        </w:rPr>
        <w:t xml:space="preserve">A., et al. </w:t>
      </w:r>
      <w:r w:rsidRPr="005404BA">
        <w:rPr>
          <w:rFonts w:ascii="Arial" w:hAnsi="Arial" w:cs="Arial"/>
          <w:sz w:val="20"/>
          <w:szCs w:val="20"/>
          <w:lang w:val="en-US"/>
        </w:rPr>
        <w:t>(2024</w:t>
      </w:r>
      <w:r w:rsidR="00DA70A9">
        <w:rPr>
          <w:rFonts w:ascii="Arial" w:hAnsi="Arial" w:cs="Arial"/>
          <w:sz w:val="20"/>
          <w:szCs w:val="20"/>
          <w:lang w:val="en-US"/>
        </w:rPr>
        <w:t>a</w:t>
      </w:r>
      <w:r w:rsidRPr="005404BA">
        <w:rPr>
          <w:rFonts w:ascii="Arial" w:hAnsi="Arial" w:cs="Arial"/>
          <w:sz w:val="20"/>
          <w:szCs w:val="20"/>
          <w:lang w:val="en-US"/>
        </w:rPr>
        <w:t xml:space="preserve">). </w:t>
      </w:r>
      <w:r w:rsidRPr="00537EA5">
        <w:rPr>
          <w:rFonts w:ascii="Arial" w:hAnsi="Arial" w:cs="Arial"/>
          <w:sz w:val="20"/>
          <w:szCs w:val="20"/>
          <w:lang w:val="en-US"/>
        </w:rPr>
        <w:t xml:space="preserve">Health Status and Demographic Characteristics of Patients Attending a Primary Care Unit in Mexico City: A Descriptive Study. Current </w:t>
      </w:r>
      <w:proofErr w:type="spellStart"/>
      <w:r w:rsidRPr="00537EA5">
        <w:rPr>
          <w:rFonts w:ascii="Arial" w:hAnsi="Arial" w:cs="Arial"/>
          <w:sz w:val="20"/>
          <w:szCs w:val="20"/>
          <w:lang w:val="en-US"/>
        </w:rPr>
        <w:t>Journalof</w:t>
      </w:r>
      <w:proofErr w:type="spellEnd"/>
      <w:r w:rsidRPr="00537EA5">
        <w:rPr>
          <w:rFonts w:ascii="Arial" w:hAnsi="Arial" w:cs="Arial"/>
          <w:sz w:val="20"/>
          <w:szCs w:val="20"/>
          <w:lang w:val="en-US"/>
        </w:rPr>
        <w:t xml:space="preserve"> Applied Science and Technology 43 (12):12-26. </w:t>
      </w:r>
      <w:hyperlink r:id="rId36" w:history="1">
        <w:r w:rsidRPr="00117CD1">
          <w:rPr>
            <w:rStyle w:val="Hyperlink"/>
            <w:rFonts w:ascii="Arial" w:hAnsi="Arial" w:cs="Arial"/>
            <w:sz w:val="20"/>
            <w:szCs w:val="20"/>
            <w:lang w:val="en-US"/>
          </w:rPr>
          <w:t>https://doi.org/10.9734/cjast/2024/v43i124455</w:t>
        </w:r>
      </w:hyperlink>
      <w:r>
        <w:rPr>
          <w:rFonts w:ascii="Arial" w:hAnsi="Arial" w:cs="Arial"/>
          <w:sz w:val="20"/>
          <w:szCs w:val="20"/>
          <w:lang w:val="en-US"/>
        </w:rPr>
        <w:t xml:space="preserve"> </w:t>
      </w:r>
    </w:p>
    <w:p w14:paraId="1519F53B" w14:textId="7B2A9D84" w:rsidR="0036578E" w:rsidRDefault="0036578E" w:rsidP="00BA6D90">
      <w:pPr>
        <w:pStyle w:val="ListParagraph"/>
        <w:numPr>
          <w:ilvl w:val="0"/>
          <w:numId w:val="31"/>
        </w:numPr>
        <w:spacing w:after="0" w:line="240" w:lineRule="auto"/>
        <w:jc w:val="both"/>
        <w:rPr>
          <w:rFonts w:ascii="Arial" w:hAnsi="Arial" w:cs="Arial"/>
          <w:sz w:val="20"/>
          <w:szCs w:val="20"/>
          <w:lang w:val="en-US"/>
        </w:rPr>
      </w:pPr>
      <w:proofErr w:type="spellStart"/>
      <w:r w:rsidRPr="0036578E">
        <w:rPr>
          <w:rFonts w:ascii="Arial" w:hAnsi="Arial" w:cs="Arial"/>
          <w:sz w:val="20"/>
          <w:szCs w:val="20"/>
        </w:rPr>
        <w:lastRenderedPageBreak/>
        <w:t>Lopez-Hernandez</w:t>
      </w:r>
      <w:proofErr w:type="spellEnd"/>
      <w:r w:rsidRPr="0036578E">
        <w:rPr>
          <w:rFonts w:ascii="Arial" w:hAnsi="Arial" w:cs="Arial"/>
          <w:sz w:val="20"/>
          <w:szCs w:val="20"/>
        </w:rPr>
        <w:t>, D</w:t>
      </w:r>
      <w:r w:rsidR="00DA70A9">
        <w:rPr>
          <w:rFonts w:ascii="Arial" w:hAnsi="Arial" w:cs="Arial"/>
          <w:sz w:val="20"/>
          <w:szCs w:val="20"/>
        </w:rPr>
        <w:t>.</w:t>
      </w:r>
      <w:r w:rsidRPr="0036578E">
        <w:rPr>
          <w:rFonts w:ascii="Arial" w:hAnsi="Arial" w:cs="Arial"/>
          <w:sz w:val="20"/>
          <w:szCs w:val="20"/>
        </w:rPr>
        <w:t xml:space="preserve">, </w:t>
      </w:r>
      <w:proofErr w:type="spellStart"/>
      <w:r w:rsidRPr="0036578E">
        <w:rPr>
          <w:rFonts w:ascii="Arial" w:hAnsi="Arial" w:cs="Arial"/>
          <w:sz w:val="20"/>
          <w:szCs w:val="20"/>
        </w:rPr>
        <w:t>Beltran</w:t>
      </w:r>
      <w:proofErr w:type="spellEnd"/>
      <w:r w:rsidRPr="0036578E">
        <w:rPr>
          <w:rFonts w:ascii="Arial" w:hAnsi="Arial" w:cs="Arial"/>
          <w:sz w:val="20"/>
          <w:szCs w:val="20"/>
        </w:rPr>
        <w:t xml:space="preserve">-Lagunes, </w:t>
      </w:r>
      <w:r w:rsidR="00DA70A9">
        <w:rPr>
          <w:rFonts w:ascii="Arial" w:hAnsi="Arial" w:cs="Arial"/>
          <w:sz w:val="20"/>
          <w:szCs w:val="20"/>
        </w:rPr>
        <w:t xml:space="preserve">L., </w:t>
      </w:r>
      <w:r w:rsidRPr="0036578E">
        <w:rPr>
          <w:rFonts w:ascii="Arial" w:hAnsi="Arial" w:cs="Arial"/>
          <w:sz w:val="20"/>
          <w:szCs w:val="20"/>
        </w:rPr>
        <w:t xml:space="preserve">Soto-de-la-Cruz, </w:t>
      </w:r>
      <w:r w:rsidR="00DA70A9">
        <w:rPr>
          <w:rFonts w:ascii="Arial" w:hAnsi="Arial" w:cs="Arial"/>
          <w:sz w:val="20"/>
          <w:szCs w:val="20"/>
        </w:rPr>
        <w:t xml:space="preserve">P., </w:t>
      </w:r>
      <w:r w:rsidRPr="0036578E">
        <w:rPr>
          <w:rFonts w:ascii="Arial" w:hAnsi="Arial" w:cs="Arial"/>
          <w:sz w:val="20"/>
          <w:szCs w:val="20"/>
        </w:rPr>
        <w:t xml:space="preserve">Brito-Aranda, </w:t>
      </w:r>
      <w:r w:rsidR="00DA70A9">
        <w:rPr>
          <w:rFonts w:ascii="Arial" w:hAnsi="Arial" w:cs="Arial"/>
          <w:sz w:val="20"/>
          <w:szCs w:val="20"/>
        </w:rPr>
        <w:t xml:space="preserve">L., </w:t>
      </w:r>
      <w:proofErr w:type="spellStart"/>
      <w:r w:rsidRPr="0036578E">
        <w:rPr>
          <w:rFonts w:ascii="Arial" w:hAnsi="Arial" w:cs="Arial"/>
          <w:sz w:val="20"/>
          <w:szCs w:val="20"/>
        </w:rPr>
        <w:t>Pavon</w:t>
      </w:r>
      <w:proofErr w:type="spellEnd"/>
      <w:r w:rsidRPr="0036578E">
        <w:rPr>
          <w:rFonts w:ascii="Arial" w:hAnsi="Arial" w:cs="Arial"/>
          <w:sz w:val="20"/>
          <w:szCs w:val="20"/>
        </w:rPr>
        <w:t xml:space="preserve">-Delgado, </w:t>
      </w:r>
      <w:r w:rsidR="00DA70A9">
        <w:rPr>
          <w:rFonts w:ascii="Arial" w:hAnsi="Arial" w:cs="Arial"/>
          <w:sz w:val="20"/>
          <w:szCs w:val="20"/>
        </w:rPr>
        <w:t xml:space="preserve">E., </w:t>
      </w:r>
      <w:r w:rsidRPr="0036578E">
        <w:rPr>
          <w:rFonts w:ascii="Arial" w:hAnsi="Arial" w:cs="Arial"/>
          <w:sz w:val="20"/>
          <w:szCs w:val="20"/>
        </w:rPr>
        <w:t xml:space="preserve">Castro-Diaz, </w:t>
      </w:r>
      <w:r w:rsidR="00DA70A9">
        <w:rPr>
          <w:rFonts w:ascii="Arial" w:hAnsi="Arial" w:cs="Arial"/>
          <w:sz w:val="20"/>
          <w:szCs w:val="20"/>
        </w:rPr>
        <w:t xml:space="preserve">A.M., et al. </w:t>
      </w:r>
      <w:r w:rsidR="00DA70A9" w:rsidRPr="00DA70A9">
        <w:rPr>
          <w:rFonts w:ascii="Arial" w:hAnsi="Arial" w:cs="Arial"/>
          <w:sz w:val="20"/>
          <w:szCs w:val="20"/>
          <w:lang w:val="en-US"/>
        </w:rPr>
        <w:t>(</w:t>
      </w:r>
      <w:r w:rsidRPr="0036578E">
        <w:rPr>
          <w:rFonts w:ascii="Arial" w:hAnsi="Arial" w:cs="Arial"/>
          <w:sz w:val="20"/>
          <w:szCs w:val="20"/>
          <w:lang w:val="en-US"/>
        </w:rPr>
        <w:t>2024</w:t>
      </w:r>
      <w:r w:rsidR="00DA70A9">
        <w:rPr>
          <w:rFonts w:ascii="Arial" w:hAnsi="Arial" w:cs="Arial"/>
          <w:sz w:val="20"/>
          <w:szCs w:val="20"/>
          <w:lang w:val="en-US"/>
        </w:rPr>
        <w:t>b)</w:t>
      </w:r>
      <w:r w:rsidRPr="0036578E">
        <w:rPr>
          <w:rFonts w:ascii="Arial" w:hAnsi="Arial" w:cs="Arial"/>
          <w:sz w:val="20"/>
          <w:szCs w:val="20"/>
          <w:lang w:val="en-US"/>
        </w:rPr>
        <w:t xml:space="preserve">. Associated Factors of Polypharmacy Among Elderly Patients Attended at Primary Care Setting. Current Journal of Applied Science and Technology 43 (8):73-87. </w:t>
      </w:r>
      <w:hyperlink r:id="rId37" w:history="1">
        <w:r w:rsidRPr="00E5556F">
          <w:rPr>
            <w:rStyle w:val="Hyperlink"/>
            <w:rFonts w:ascii="Arial" w:hAnsi="Arial" w:cs="Arial"/>
            <w:sz w:val="20"/>
            <w:szCs w:val="20"/>
            <w:lang w:val="en-US"/>
          </w:rPr>
          <w:t>https://doi.org/10.9734/cjast/2024/v43i84423</w:t>
        </w:r>
      </w:hyperlink>
      <w:r>
        <w:rPr>
          <w:rFonts w:ascii="Arial" w:hAnsi="Arial" w:cs="Arial"/>
          <w:sz w:val="20"/>
          <w:szCs w:val="20"/>
          <w:lang w:val="en-US"/>
        </w:rPr>
        <w:t xml:space="preserve"> </w:t>
      </w:r>
    </w:p>
    <w:p w14:paraId="1F6FD364" w14:textId="067D6F0D" w:rsidR="002007E8" w:rsidRPr="002007E8" w:rsidRDefault="002007E8" w:rsidP="00BA6D90">
      <w:pPr>
        <w:pStyle w:val="ListParagraph"/>
        <w:numPr>
          <w:ilvl w:val="0"/>
          <w:numId w:val="31"/>
        </w:numPr>
        <w:spacing w:after="0" w:line="240" w:lineRule="auto"/>
        <w:jc w:val="both"/>
        <w:rPr>
          <w:rFonts w:ascii="Arial" w:hAnsi="Arial" w:cs="Arial"/>
          <w:sz w:val="20"/>
          <w:szCs w:val="20"/>
          <w:lang w:val="en-US"/>
        </w:rPr>
      </w:pPr>
      <w:proofErr w:type="spellStart"/>
      <w:r w:rsidRPr="002007E8">
        <w:rPr>
          <w:rFonts w:ascii="Arial" w:hAnsi="Arial" w:cs="Arial"/>
          <w:sz w:val="20"/>
          <w:szCs w:val="20"/>
          <w:lang w:val="en-US"/>
        </w:rPr>
        <w:t>Majoka</w:t>
      </w:r>
      <w:proofErr w:type="spellEnd"/>
      <w:r w:rsidRPr="002007E8">
        <w:rPr>
          <w:rFonts w:ascii="Arial" w:hAnsi="Arial" w:cs="Arial"/>
          <w:sz w:val="20"/>
          <w:szCs w:val="20"/>
          <w:lang w:val="en-US"/>
        </w:rPr>
        <w:t xml:space="preserve">, M. A., &amp; Schimming, C. (2021). Effect of Social Determinants of Health on Cognition and Risk of Alzheimer Disease and Related Dementias. Clinical Therapeutics, 43(6), 922-929. </w:t>
      </w:r>
      <w:hyperlink r:id="rId38" w:history="1">
        <w:r w:rsidRPr="008F4A7E">
          <w:rPr>
            <w:rStyle w:val="Hyperlink"/>
            <w:rFonts w:ascii="Arial" w:hAnsi="Arial" w:cs="Arial"/>
            <w:sz w:val="20"/>
            <w:szCs w:val="20"/>
            <w:lang w:val="en-US"/>
          </w:rPr>
          <w:t>https://doi.org/10.1016/j.clinthera.2021.05.005</w:t>
        </w:r>
      </w:hyperlink>
      <w:r>
        <w:rPr>
          <w:rFonts w:ascii="Arial" w:hAnsi="Arial" w:cs="Arial"/>
          <w:sz w:val="20"/>
          <w:szCs w:val="20"/>
          <w:lang w:val="en-US"/>
        </w:rPr>
        <w:t xml:space="preserve"> </w:t>
      </w:r>
    </w:p>
    <w:p w14:paraId="24DF9A24" w14:textId="49498FBE" w:rsidR="004B5584" w:rsidRPr="004B5584" w:rsidRDefault="004B5584" w:rsidP="00BA6D90">
      <w:pPr>
        <w:pStyle w:val="ListParagraph"/>
        <w:numPr>
          <w:ilvl w:val="0"/>
          <w:numId w:val="31"/>
        </w:numPr>
        <w:spacing w:after="0" w:line="240" w:lineRule="auto"/>
        <w:jc w:val="both"/>
        <w:rPr>
          <w:rFonts w:ascii="Arial" w:hAnsi="Arial" w:cs="Arial"/>
          <w:sz w:val="20"/>
          <w:szCs w:val="20"/>
          <w:lang w:val="en-US"/>
        </w:rPr>
      </w:pPr>
      <w:proofErr w:type="spellStart"/>
      <w:r w:rsidRPr="004B5584">
        <w:rPr>
          <w:rFonts w:ascii="Arial" w:hAnsi="Arial" w:cs="Arial"/>
          <w:sz w:val="20"/>
          <w:szCs w:val="20"/>
          <w:lang w:val="en-US"/>
        </w:rPr>
        <w:t>Malmusi</w:t>
      </w:r>
      <w:proofErr w:type="spellEnd"/>
      <w:r w:rsidRPr="004B5584">
        <w:rPr>
          <w:rFonts w:ascii="Arial" w:hAnsi="Arial" w:cs="Arial"/>
          <w:sz w:val="20"/>
          <w:szCs w:val="20"/>
          <w:lang w:val="en-US"/>
        </w:rPr>
        <w:t xml:space="preserve">, D., Vives, A., Benach, J., &amp; Borrell, C. (2014). Gender inequalities in health: exploring the contribution of living conditions in the intersection of social class. Global health action, 7, 23189. </w:t>
      </w:r>
      <w:hyperlink r:id="rId39" w:history="1">
        <w:r w:rsidRPr="00973303">
          <w:rPr>
            <w:rStyle w:val="Hyperlink"/>
            <w:rFonts w:ascii="Arial" w:hAnsi="Arial" w:cs="Arial"/>
            <w:sz w:val="20"/>
            <w:szCs w:val="20"/>
            <w:lang w:val="en-US"/>
          </w:rPr>
          <w:t>https://doi.org/10.3402/gha.v7.23189</w:t>
        </w:r>
      </w:hyperlink>
      <w:r>
        <w:rPr>
          <w:rFonts w:ascii="Arial" w:hAnsi="Arial" w:cs="Arial"/>
          <w:sz w:val="20"/>
          <w:szCs w:val="20"/>
          <w:lang w:val="en-US"/>
        </w:rPr>
        <w:t xml:space="preserve"> </w:t>
      </w:r>
    </w:p>
    <w:p w14:paraId="3BF79E45" w14:textId="45E37B42" w:rsidR="006A7299" w:rsidRPr="006A7299" w:rsidRDefault="006A7299" w:rsidP="00BA6D90">
      <w:pPr>
        <w:pStyle w:val="ListParagraph"/>
        <w:numPr>
          <w:ilvl w:val="0"/>
          <w:numId w:val="31"/>
        </w:numPr>
        <w:spacing w:after="0" w:line="240" w:lineRule="auto"/>
        <w:jc w:val="both"/>
        <w:rPr>
          <w:rFonts w:ascii="Arial" w:hAnsi="Arial" w:cs="Arial"/>
          <w:sz w:val="20"/>
          <w:szCs w:val="20"/>
          <w:lang w:val="en-US"/>
        </w:rPr>
      </w:pPr>
      <w:r w:rsidRPr="006A7299">
        <w:rPr>
          <w:rFonts w:ascii="Arial" w:hAnsi="Arial" w:cs="Arial"/>
          <w:sz w:val="20"/>
          <w:szCs w:val="20"/>
          <w:lang w:val="nb-NO"/>
        </w:rPr>
        <w:t xml:space="preserve">Maresova, P., Krejcar, O., Maskuriy, R., Abu Bakar, N. A., Selamat, A., Truhlarova, Z., et al. </w:t>
      </w:r>
      <w:r w:rsidRPr="006A7299">
        <w:rPr>
          <w:rFonts w:ascii="Arial" w:hAnsi="Arial" w:cs="Arial"/>
          <w:sz w:val="20"/>
          <w:szCs w:val="20"/>
          <w:lang w:val="en-US"/>
        </w:rPr>
        <w:t xml:space="preserve">(2023). Challenges and opportunity in mobility among older adults – key determinant identification. BMC Geriatrics, 23, 447. </w:t>
      </w:r>
      <w:hyperlink r:id="rId40" w:history="1">
        <w:r w:rsidRPr="00973303">
          <w:rPr>
            <w:rStyle w:val="Hyperlink"/>
            <w:rFonts w:ascii="Arial" w:hAnsi="Arial" w:cs="Arial"/>
            <w:sz w:val="20"/>
            <w:szCs w:val="20"/>
            <w:lang w:val="en-US"/>
          </w:rPr>
          <w:t>https://doi.org/10.1186/s12877-023-04106-7</w:t>
        </w:r>
      </w:hyperlink>
      <w:r>
        <w:rPr>
          <w:rFonts w:ascii="Arial" w:hAnsi="Arial" w:cs="Arial"/>
          <w:sz w:val="20"/>
          <w:szCs w:val="20"/>
          <w:lang w:val="en-US"/>
        </w:rPr>
        <w:t xml:space="preserve"> </w:t>
      </w:r>
    </w:p>
    <w:p w14:paraId="26B860CD" w14:textId="1F8074DB" w:rsidR="006419FE" w:rsidRPr="006419FE" w:rsidRDefault="006419FE" w:rsidP="00BA6D90">
      <w:pPr>
        <w:pStyle w:val="ListParagraph"/>
        <w:numPr>
          <w:ilvl w:val="0"/>
          <w:numId w:val="31"/>
        </w:numPr>
        <w:spacing w:after="0" w:line="240" w:lineRule="auto"/>
        <w:jc w:val="both"/>
        <w:rPr>
          <w:rFonts w:ascii="Arial" w:hAnsi="Arial" w:cs="Arial"/>
          <w:sz w:val="20"/>
          <w:szCs w:val="20"/>
          <w:lang w:val="en-US"/>
        </w:rPr>
      </w:pPr>
      <w:r w:rsidRPr="00BC1EFA">
        <w:rPr>
          <w:rFonts w:ascii="Arial" w:hAnsi="Arial" w:cs="Arial"/>
          <w:sz w:val="20"/>
          <w:szCs w:val="20"/>
          <w:lang w:val="de-DE"/>
        </w:rPr>
        <w:t xml:space="preserve">McCusker, J., Kakuma, R., &amp; Abrahamowicz, M. (2002). </w:t>
      </w:r>
      <w:r w:rsidRPr="006419FE">
        <w:rPr>
          <w:rFonts w:ascii="Arial" w:hAnsi="Arial" w:cs="Arial"/>
          <w:sz w:val="20"/>
          <w:szCs w:val="20"/>
          <w:lang w:val="en-US"/>
        </w:rPr>
        <w:t xml:space="preserve">Predictors of functional decline in hospitalized elderly patients: a systematic review. The journals of gerontology. Series A, Biological sciences and medical sciences, 57(9), M569–M577. </w:t>
      </w:r>
      <w:hyperlink r:id="rId41" w:history="1">
        <w:r w:rsidRPr="006B53CE">
          <w:rPr>
            <w:rStyle w:val="Hyperlink"/>
            <w:rFonts w:ascii="Arial" w:hAnsi="Arial" w:cs="Arial"/>
            <w:sz w:val="20"/>
            <w:szCs w:val="20"/>
            <w:lang w:val="en-US"/>
          </w:rPr>
          <w:t>https://doi.org/10.1093/gerona/57.9.m569</w:t>
        </w:r>
      </w:hyperlink>
      <w:r>
        <w:rPr>
          <w:rFonts w:ascii="Arial" w:hAnsi="Arial" w:cs="Arial"/>
          <w:sz w:val="20"/>
          <w:szCs w:val="20"/>
          <w:lang w:val="en-US"/>
        </w:rPr>
        <w:t xml:space="preserve"> </w:t>
      </w:r>
    </w:p>
    <w:p w14:paraId="684CE0D7" w14:textId="18022E56" w:rsidR="003B2AD4" w:rsidRDefault="003B2AD4" w:rsidP="00BA6D90">
      <w:pPr>
        <w:pStyle w:val="ListParagraph"/>
        <w:numPr>
          <w:ilvl w:val="0"/>
          <w:numId w:val="31"/>
        </w:numPr>
        <w:spacing w:after="0" w:line="240" w:lineRule="auto"/>
        <w:jc w:val="both"/>
        <w:rPr>
          <w:rFonts w:ascii="Arial" w:hAnsi="Arial" w:cs="Arial"/>
          <w:sz w:val="20"/>
          <w:szCs w:val="20"/>
          <w:lang w:val="en-US"/>
        </w:rPr>
      </w:pPr>
      <w:r w:rsidRPr="003B2AD4">
        <w:rPr>
          <w:rFonts w:ascii="Arial" w:hAnsi="Arial" w:cs="Arial"/>
          <w:sz w:val="20"/>
          <w:szCs w:val="20"/>
        </w:rPr>
        <w:t xml:space="preserve">Moreno-Martin, P., </w:t>
      </w:r>
      <w:proofErr w:type="spellStart"/>
      <w:r w:rsidRPr="003B2AD4">
        <w:rPr>
          <w:rFonts w:ascii="Arial" w:hAnsi="Arial" w:cs="Arial"/>
          <w:sz w:val="20"/>
          <w:szCs w:val="20"/>
        </w:rPr>
        <w:t>Minobes</w:t>
      </w:r>
      <w:proofErr w:type="spellEnd"/>
      <w:r w:rsidRPr="003B2AD4">
        <w:rPr>
          <w:rFonts w:ascii="Arial" w:hAnsi="Arial" w:cs="Arial"/>
          <w:sz w:val="20"/>
          <w:szCs w:val="20"/>
        </w:rPr>
        <w:t xml:space="preserve">-Molina, E., Carbó-Cardeña, A., Masó-Aguado, M., Solé-Casals, M., Torrents-Solé, M., et al. </w:t>
      </w:r>
      <w:r w:rsidRPr="003B2AD4">
        <w:rPr>
          <w:rFonts w:ascii="Arial" w:hAnsi="Arial" w:cs="Arial"/>
          <w:sz w:val="20"/>
          <w:szCs w:val="20"/>
          <w:lang w:val="en-US"/>
        </w:rPr>
        <w:t xml:space="preserve">(2024). Exploring Early, Middle, and Late Loss in Basic Activities of Daily Living among Nursing Home Residents: A Multicenter Observational Study. Healthcare, 12(8), 810. </w:t>
      </w:r>
      <w:hyperlink r:id="rId42" w:history="1">
        <w:r w:rsidRPr="00AD639F">
          <w:rPr>
            <w:rStyle w:val="Hyperlink"/>
            <w:rFonts w:ascii="Arial" w:hAnsi="Arial" w:cs="Arial"/>
            <w:sz w:val="20"/>
            <w:szCs w:val="20"/>
            <w:lang w:val="en-US"/>
          </w:rPr>
          <w:t>https://doi.org/10.3390/healthcare12080810</w:t>
        </w:r>
      </w:hyperlink>
      <w:r>
        <w:rPr>
          <w:rFonts w:ascii="Arial" w:hAnsi="Arial" w:cs="Arial"/>
          <w:sz w:val="20"/>
          <w:szCs w:val="20"/>
          <w:lang w:val="en-US"/>
        </w:rPr>
        <w:t xml:space="preserve"> </w:t>
      </w:r>
    </w:p>
    <w:p w14:paraId="39878F7A" w14:textId="1FDF29CE" w:rsidR="002D27EA" w:rsidRDefault="002D27EA" w:rsidP="00BA6D90">
      <w:pPr>
        <w:pStyle w:val="ListParagraph"/>
        <w:numPr>
          <w:ilvl w:val="0"/>
          <w:numId w:val="31"/>
        </w:numPr>
        <w:spacing w:after="0" w:line="240" w:lineRule="auto"/>
        <w:jc w:val="both"/>
        <w:rPr>
          <w:rFonts w:ascii="Arial" w:hAnsi="Arial" w:cs="Arial"/>
          <w:sz w:val="20"/>
          <w:szCs w:val="20"/>
          <w:lang w:val="en-US"/>
        </w:rPr>
      </w:pPr>
      <w:r w:rsidRPr="002D27EA">
        <w:rPr>
          <w:rFonts w:ascii="Arial" w:hAnsi="Arial" w:cs="Arial"/>
          <w:sz w:val="20"/>
          <w:szCs w:val="20"/>
          <w:lang w:val="en-US"/>
        </w:rPr>
        <w:t xml:space="preserve">Mudrick N. R. (1988). Predictors of disability among midlife men and women: differences by severity of impairment. Journal of community health, 13(2), 70–84. </w:t>
      </w:r>
      <w:hyperlink r:id="rId43" w:history="1">
        <w:r w:rsidRPr="00973303">
          <w:rPr>
            <w:rStyle w:val="Hyperlink"/>
            <w:rFonts w:ascii="Arial" w:hAnsi="Arial" w:cs="Arial"/>
            <w:sz w:val="20"/>
            <w:szCs w:val="20"/>
            <w:lang w:val="en-US"/>
          </w:rPr>
          <w:t>https://doi.org/10.1007/BF01364202</w:t>
        </w:r>
      </w:hyperlink>
      <w:r>
        <w:rPr>
          <w:rFonts w:ascii="Arial" w:hAnsi="Arial" w:cs="Arial"/>
          <w:sz w:val="20"/>
          <w:szCs w:val="20"/>
          <w:lang w:val="en-US"/>
        </w:rPr>
        <w:t xml:space="preserve"> </w:t>
      </w:r>
    </w:p>
    <w:p w14:paraId="592AD615" w14:textId="7FD21549" w:rsidR="00D0126C" w:rsidRDefault="00D0126C" w:rsidP="00BA6D90">
      <w:pPr>
        <w:pStyle w:val="ListParagraph"/>
        <w:numPr>
          <w:ilvl w:val="0"/>
          <w:numId w:val="31"/>
        </w:numPr>
        <w:spacing w:after="0" w:line="240" w:lineRule="auto"/>
        <w:jc w:val="both"/>
        <w:rPr>
          <w:rFonts w:ascii="Arial" w:hAnsi="Arial" w:cs="Arial"/>
          <w:sz w:val="20"/>
          <w:szCs w:val="20"/>
          <w:lang w:val="en-US"/>
        </w:rPr>
      </w:pPr>
      <w:r w:rsidRPr="00D0126C">
        <w:rPr>
          <w:rFonts w:ascii="Arial" w:hAnsi="Arial" w:cs="Arial"/>
          <w:sz w:val="20"/>
          <w:szCs w:val="20"/>
          <w:lang w:val="en-US"/>
        </w:rPr>
        <w:t xml:space="preserve">Muramatsu, N., Yin, H., &amp; Hedeker, D. (2010). Functional declines, social support, and mental health in the elderly: does living in a state supportive of home and community-based services make a </w:t>
      </w:r>
      <w:proofErr w:type="gramStart"/>
      <w:r w:rsidRPr="00D0126C">
        <w:rPr>
          <w:rFonts w:ascii="Arial" w:hAnsi="Arial" w:cs="Arial"/>
          <w:sz w:val="20"/>
          <w:szCs w:val="20"/>
          <w:lang w:val="en-US"/>
        </w:rPr>
        <w:t>difference?.</w:t>
      </w:r>
      <w:proofErr w:type="gramEnd"/>
      <w:r w:rsidRPr="00D0126C">
        <w:rPr>
          <w:rFonts w:ascii="Arial" w:hAnsi="Arial" w:cs="Arial"/>
          <w:sz w:val="20"/>
          <w:szCs w:val="20"/>
          <w:lang w:val="en-US"/>
        </w:rPr>
        <w:t xml:space="preserve"> Social science &amp; medicine (1982), 70(7), 1050–1058. </w:t>
      </w:r>
      <w:hyperlink r:id="rId44" w:history="1">
        <w:r w:rsidRPr="00E5556F">
          <w:rPr>
            <w:rStyle w:val="Hyperlink"/>
            <w:rFonts w:ascii="Arial" w:hAnsi="Arial" w:cs="Arial"/>
            <w:sz w:val="20"/>
            <w:szCs w:val="20"/>
            <w:lang w:val="en-US"/>
          </w:rPr>
          <w:t>https://doi.org/10.1016/j.socscimed.2009.12.005</w:t>
        </w:r>
      </w:hyperlink>
      <w:r>
        <w:rPr>
          <w:rFonts w:ascii="Arial" w:hAnsi="Arial" w:cs="Arial"/>
          <w:sz w:val="20"/>
          <w:szCs w:val="20"/>
          <w:lang w:val="en-US"/>
        </w:rPr>
        <w:t xml:space="preserve"> </w:t>
      </w:r>
    </w:p>
    <w:p w14:paraId="5A1B9FFE" w14:textId="192C7255" w:rsidR="003B2AD4" w:rsidRDefault="003B2AD4" w:rsidP="00BA6D90">
      <w:pPr>
        <w:pStyle w:val="ListParagraph"/>
        <w:numPr>
          <w:ilvl w:val="0"/>
          <w:numId w:val="31"/>
        </w:numPr>
        <w:spacing w:after="0" w:line="240" w:lineRule="auto"/>
        <w:jc w:val="both"/>
        <w:rPr>
          <w:rFonts w:ascii="Arial" w:hAnsi="Arial" w:cs="Arial"/>
          <w:sz w:val="20"/>
          <w:szCs w:val="20"/>
          <w:lang w:val="en-US"/>
        </w:rPr>
      </w:pPr>
      <w:bookmarkStart w:id="8" w:name="_Hlk189950329"/>
      <w:r w:rsidRPr="003B2AD4">
        <w:rPr>
          <w:rFonts w:ascii="Arial" w:hAnsi="Arial" w:cs="Arial"/>
          <w:sz w:val="20"/>
          <w:szCs w:val="20"/>
          <w:lang w:val="en-US"/>
        </w:rPr>
        <w:t>Rathnayake</w:t>
      </w:r>
      <w:bookmarkEnd w:id="8"/>
      <w:r w:rsidRPr="003B2AD4">
        <w:rPr>
          <w:rFonts w:ascii="Arial" w:hAnsi="Arial" w:cs="Arial"/>
          <w:sz w:val="20"/>
          <w:szCs w:val="20"/>
          <w:lang w:val="en-US"/>
        </w:rPr>
        <w:t xml:space="preserve">, N., Karunadasa, R., </w:t>
      </w:r>
      <w:proofErr w:type="spellStart"/>
      <w:r w:rsidRPr="003B2AD4">
        <w:rPr>
          <w:rFonts w:ascii="Arial" w:hAnsi="Arial" w:cs="Arial"/>
          <w:sz w:val="20"/>
          <w:szCs w:val="20"/>
          <w:lang w:val="en-US"/>
        </w:rPr>
        <w:t>Abeygunasekara</w:t>
      </w:r>
      <w:proofErr w:type="spellEnd"/>
      <w:r w:rsidRPr="003B2AD4">
        <w:rPr>
          <w:rFonts w:ascii="Arial" w:hAnsi="Arial" w:cs="Arial"/>
          <w:sz w:val="20"/>
          <w:szCs w:val="20"/>
          <w:lang w:val="en-US"/>
        </w:rPr>
        <w:t xml:space="preserve">, T., De Zoysa, W., </w:t>
      </w:r>
      <w:proofErr w:type="spellStart"/>
      <w:r w:rsidRPr="003B2AD4">
        <w:rPr>
          <w:rFonts w:ascii="Arial" w:hAnsi="Arial" w:cs="Arial"/>
          <w:sz w:val="20"/>
          <w:szCs w:val="20"/>
          <w:lang w:val="en-US"/>
        </w:rPr>
        <w:t>Palangasinghe</w:t>
      </w:r>
      <w:proofErr w:type="spellEnd"/>
      <w:r w:rsidRPr="003B2AD4">
        <w:rPr>
          <w:rFonts w:ascii="Arial" w:hAnsi="Arial" w:cs="Arial"/>
          <w:sz w:val="20"/>
          <w:szCs w:val="20"/>
          <w:lang w:val="en-US"/>
        </w:rPr>
        <w:t xml:space="preserve">, D., &amp; </w:t>
      </w:r>
      <w:proofErr w:type="spellStart"/>
      <w:r w:rsidRPr="003B2AD4">
        <w:rPr>
          <w:rFonts w:ascii="Arial" w:hAnsi="Arial" w:cs="Arial"/>
          <w:sz w:val="20"/>
          <w:szCs w:val="20"/>
          <w:lang w:val="en-US"/>
        </w:rPr>
        <w:t>Lekamwasam</w:t>
      </w:r>
      <w:proofErr w:type="spellEnd"/>
      <w:r w:rsidRPr="003B2AD4">
        <w:rPr>
          <w:rFonts w:ascii="Arial" w:hAnsi="Arial" w:cs="Arial"/>
          <w:sz w:val="20"/>
          <w:szCs w:val="20"/>
          <w:lang w:val="en-US"/>
        </w:rPr>
        <w:t xml:space="preserve">, S. (2023). Katz index of activities of daily living in assessing functional status of older people: Reliability and validity of Sinhala version. Dialogues in health, 2, 100134. </w:t>
      </w:r>
      <w:hyperlink r:id="rId45" w:history="1">
        <w:r w:rsidRPr="00AD639F">
          <w:rPr>
            <w:rStyle w:val="Hyperlink"/>
            <w:rFonts w:ascii="Arial" w:hAnsi="Arial" w:cs="Arial"/>
            <w:sz w:val="20"/>
            <w:szCs w:val="20"/>
            <w:lang w:val="en-US"/>
          </w:rPr>
          <w:t>https://doi.org/10.1016/j.dialog.2023.100134</w:t>
        </w:r>
      </w:hyperlink>
      <w:r>
        <w:rPr>
          <w:rFonts w:ascii="Arial" w:hAnsi="Arial" w:cs="Arial"/>
          <w:sz w:val="20"/>
          <w:szCs w:val="20"/>
          <w:lang w:val="en-US"/>
        </w:rPr>
        <w:t xml:space="preserve"> </w:t>
      </w:r>
    </w:p>
    <w:p w14:paraId="0D6986E4" w14:textId="521B151F" w:rsidR="002007E8" w:rsidRPr="002007E8" w:rsidRDefault="002007E8" w:rsidP="00BA6D90">
      <w:pPr>
        <w:pStyle w:val="ListParagraph"/>
        <w:numPr>
          <w:ilvl w:val="0"/>
          <w:numId w:val="31"/>
        </w:numPr>
        <w:spacing w:after="0" w:line="240" w:lineRule="auto"/>
        <w:jc w:val="both"/>
        <w:rPr>
          <w:rFonts w:ascii="Arial" w:hAnsi="Arial" w:cs="Arial"/>
          <w:sz w:val="20"/>
          <w:szCs w:val="20"/>
          <w:lang w:val="en-US"/>
        </w:rPr>
      </w:pPr>
      <w:proofErr w:type="spellStart"/>
      <w:r w:rsidRPr="002007E8">
        <w:rPr>
          <w:rFonts w:ascii="Arial" w:hAnsi="Arial" w:cs="Arial"/>
          <w:sz w:val="20"/>
          <w:szCs w:val="20"/>
          <w:lang w:val="fr-FR"/>
        </w:rPr>
        <w:t>Rebok</w:t>
      </w:r>
      <w:proofErr w:type="spellEnd"/>
      <w:r w:rsidRPr="002007E8">
        <w:rPr>
          <w:rFonts w:ascii="Arial" w:hAnsi="Arial" w:cs="Arial"/>
          <w:sz w:val="20"/>
          <w:szCs w:val="20"/>
          <w:lang w:val="fr-FR"/>
        </w:rPr>
        <w:t xml:space="preserve">, G. W., Gellert, A., Coe, N. B., Clay, O. J., Wallace, G., </w:t>
      </w:r>
      <w:proofErr w:type="spellStart"/>
      <w:r w:rsidRPr="002007E8">
        <w:rPr>
          <w:rFonts w:ascii="Arial" w:hAnsi="Arial" w:cs="Arial"/>
          <w:sz w:val="20"/>
          <w:szCs w:val="20"/>
          <w:lang w:val="fr-FR"/>
        </w:rPr>
        <w:t>Parisi</w:t>
      </w:r>
      <w:proofErr w:type="spellEnd"/>
      <w:r w:rsidRPr="002007E8">
        <w:rPr>
          <w:rFonts w:ascii="Arial" w:hAnsi="Arial" w:cs="Arial"/>
          <w:sz w:val="20"/>
          <w:szCs w:val="20"/>
          <w:lang w:val="fr-FR"/>
        </w:rPr>
        <w:t xml:space="preserve">, J. M., et al. </w:t>
      </w:r>
      <w:r w:rsidRPr="002007E8">
        <w:rPr>
          <w:rFonts w:ascii="Arial" w:hAnsi="Arial" w:cs="Arial"/>
          <w:sz w:val="20"/>
          <w:szCs w:val="20"/>
          <w:lang w:val="en-US"/>
        </w:rPr>
        <w:t xml:space="preserve">(2023). Effects of Cognitive Training on Alzheimer's Disease and Related Dementias: The Moderating Role of Social Determinants of Health. Journal of aging and health, 35(9_suppl), 40S–50S. </w:t>
      </w:r>
      <w:hyperlink r:id="rId46" w:history="1">
        <w:r w:rsidRPr="008F4A7E">
          <w:rPr>
            <w:rStyle w:val="Hyperlink"/>
            <w:rFonts w:ascii="Arial" w:hAnsi="Arial" w:cs="Arial"/>
            <w:sz w:val="20"/>
            <w:szCs w:val="20"/>
            <w:lang w:val="en-US"/>
          </w:rPr>
          <w:t>https://doi.org/10.1177/08982643231203755</w:t>
        </w:r>
      </w:hyperlink>
      <w:r>
        <w:rPr>
          <w:rFonts w:ascii="Arial" w:hAnsi="Arial" w:cs="Arial"/>
          <w:sz w:val="20"/>
          <w:szCs w:val="20"/>
          <w:lang w:val="en-US"/>
        </w:rPr>
        <w:t xml:space="preserve"> </w:t>
      </w:r>
    </w:p>
    <w:p w14:paraId="5E01BE72" w14:textId="549A0217" w:rsidR="00D0126C" w:rsidRPr="00D0126C" w:rsidRDefault="00D0126C" w:rsidP="00BA6D90">
      <w:pPr>
        <w:pStyle w:val="ListParagraph"/>
        <w:numPr>
          <w:ilvl w:val="0"/>
          <w:numId w:val="31"/>
        </w:numPr>
        <w:spacing w:after="0" w:line="240" w:lineRule="auto"/>
        <w:jc w:val="both"/>
        <w:rPr>
          <w:rFonts w:ascii="Arial" w:hAnsi="Arial" w:cs="Arial"/>
          <w:sz w:val="20"/>
          <w:szCs w:val="20"/>
          <w:lang w:val="en-US"/>
        </w:rPr>
      </w:pPr>
      <w:r w:rsidRPr="00D0126C">
        <w:rPr>
          <w:rFonts w:ascii="Arial" w:hAnsi="Arial" w:cs="Arial"/>
          <w:sz w:val="20"/>
          <w:szCs w:val="20"/>
          <w:lang w:val="nb-NO"/>
        </w:rPr>
        <w:t xml:space="preserve">Reynolds, C. F., 3rd, Jeste, D. V., Sachdev, P. S., &amp; Blazer, D. G. (2022). </w:t>
      </w:r>
      <w:r w:rsidRPr="00D0126C">
        <w:rPr>
          <w:rFonts w:ascii="Arial" w:hAnsi="Arial" w:cs="Arial"/>
          <w:sz w:val="20"/>
          <w:szCs w:val="20"/>
          <w:lang w:val="en-US"/>
        </w:rPr>
        <w:t xml:space="preserve">Mental health care for older adults: recent advances and new directions in clinical practice and research. World </w:t>
      </w:r>
      <w:proofErr w:type="gramStart"/>
      <w:r w:rsidRPr="00D0126C">
        <w:rPr>
          <w:rFonts w:ascii="Arial" w:hAnsi="Arial" w:cs="Arial"/>
          <w:sz w:val="20"/>
          <w:szCs w:val="20"/>
          <w:lang w:val="en-US"/>
        </w:rPr>
        <w:t>psychiatry :</w:t>
      </w:r>
      <w:proofErr w:type="gramEnd"/>
      <w:r w:rsidRPr="00D0126C">
        <w:rPr>
          <w:rFonts w:ascii="Arial" w:hAnsi="Arial" w:cs="Arial"/>
          <w:sz w:val="20"/>
          <w:szCs w:val="20"/>
          <w:lang w:val="en-US"/>
        </w:rPr>
        <w:t xml:space="preserve"> official journal of the World Psychiatric Association (WPA), 21(3), 336–363. </w:t>
      </w:r>
      <w:hyperlink r:id="rId47" w:history="1">
        <w:r w:rsidRPr="00E5556F">
          <w:rPr>
            <w:rStyle w:val="Hyperlink"/>
            <w:rFonts w:ascii="Arial" w:hAnsi="Arial" w:cs="Arial"/>
            <w:sz w:val="20"/>
            <w:szCs w:val="20"/>
            <w:lang w:val="en-US"/>
          </w:rPr>
          <w:t>https://doi.org/10.1002/wps.20996</w:t>
        </w:r>
      </w:hyperlink>
      <w:r>
        <w:rPr>
          <w:rFonts w:ascii="Arial" w:hAnsi="Arial" w:cs="Arial"/>
          <w:sz w:val="20"/>
          <w:szCs w:val="20"/>
          <w:lang w:val="en-US"/>
        </w:rPr>
        <w:t xml:space="preserve"> </w:t>
      </w:r>
    </w:p>
    <w:p w14:paraId="0BD0677D" w14:textId="183C57D1" w:rsidR="009C4EA5" w:rsidRDefault="009C4EA5" w:rsidP="00BA6D90">
      <w:pPr>
        <w:pStyle w:val="ListParagraph"/>
        <w:numPr>
          <w:ilvl w:val="0"/>
          <w:numId w:val="31"/>
        </w:numPr>
        <w:spacing w:after="0" w:line="240" w:lineRule="auto"/>
        <w:jc w:val="both"/>
        <w:rPr>
          <w:rFonts w:ascii="Arial" w:hAnsi="Arial" w:cs="Arial"/>
          <w:sz w:val="20"/>
          <w:szCs w:val="20"/>
          <w:lang w:val="en-US"/>
        </w:rPr>
      </w:pPr>
      <w:r w:rsidRPr="009C4EA5">
        <w:rPr>
          <w:rFonts w:ascii="Arial" w:hAnsi="Arial" w:cs="Arial"/>
          <w:sz w:val="20"/>
          <w:szCs w:val="20"/>
        </w:rPr>
        <w:t>Rueda-De-la-Rosa</w:t>
      </w:r>
      <w:r>
        <w:rPr>
          <w:rFonts w:ascii="Arial" w:hAnsi="Arial" w:cs="Arial"/>
          <w:sz w:val="20"/>
          <w:szCs w:val="20"/>
        </w:rPr>
        <w:t>,</w:t>
      </w:r>
      <w:r w:rsidRPr="009C4EA5">
        <w:rPr>
          <w:rFonts w:ascii="Arial" w:hAnsi="Arial" w:cs="Arial"/>
          <w:sz w:val="20"/>
          <w:szCs w:val="20"/>
        </w:rPr>
        <w:t xml:space="preserve"> </w:t>
      </w:r>
      <w:r>
        <w:rPr>
          <w:rFonts w:ascii="Arial" w:hAnsi="Arial" w:cs="Arial"/>
          <w:sz w:val="20"/>
          <w:szCs w:val="20"/>
        </w:rPr>
        <w:t>M.</w:t>
      </w:r>
      <w:r w:rsidRPr="009C4EA5">
        <w:rPr>
          <w:rFonts w:ascii="Arial" w:hAnsi="Arial" w:cs="Arial"/>
          <w:sz w:val="20"/>
          <w:szCs w:val="20"/>
        </w:rPr>
        <w:t>R</w:t>
      </w:r>
      <w:r>
        <w:rPr>
          <w:rFonts w:ascii="Arial" w:hAnsi="Arial" w:cs="Arial"/>
          <w:sz w:val="20"/>
          <w:szCs w:val="20"/>
        </w:rPr>
        <w:t>.</w:t>
      </w:r>
      <w:r w:rsidRPr="009C4EA5">
        <w:rPr>
          <w:rFonts w:ascii="Arial" w:hAnsi="Arial" w:cs="Arial"/>
          <w:sz w:val="20"/>
          <w:szCs w:val="20"/>
        </w:rPr>
        <w:t xml:space="preserve">, </w:t>
      </w:r>
      <w:proofErr w:type="spellStart"/>
      <w:r w:rsidRPr="009C4EA5">
        <w:rPr>
          <w:rFonts w:ascii="Arial" w:hAnsi="Arial" w:cs="Arial"/>
          <w:sz w:val="20"/>
          <w:szCs w:val="20"/>
        </w:rPr>
        <w:t>Lopez-Hernandez</w:t>
      </w:r>
      <w:proofErr w:type="spellEnd"/>
      <w:r>
        <w:rPr>
          <w:rFonts w:ascii="Arial" w:hAnsi="Arial" w:cs="Arial"/>
          <w:sz w:val="20"/>
          <w:szCs w:val="20"/>
        </w:rPr>
        <w:t>,</w:t>
      </w:r>
      <w:r w:rsidRPr="009C4EA5">
        <w:rPr>
          <w:rFonts w:ascii="Arial" w:hAnsi="Arial" w:cs="Arial"/>
          <w:sz w:val="20"/>
          <w:szCs w:val="20"/>
        </w:rPr>
        <w:t xml:space="preserve"> D</w:t>
      </w:r>
      <w:r>
        <w:rPr>
          <w:rFonts w:ascii="Arial" w:hAnsi="Arial" w:cs="Arial"/>
          <w:sz w:val="20"/>
          <w:szCs w:val="20"/>
        </w:rPr>
        <w:t>.</w:t>
      </w:r>
      <w:r w:rsidRPr="009C4EA5">
        <w:rPr>
          <w:rFonts w:ascii="Arial" w:hAnsi="Arial" w:cs="Arial"/>
          <w:sz w:val="20"/>
          <w:szCs w:val="20"/>
        </w:rPr>
        <w:t>, Herrera-Cruz</w:t>
      </w:r>
      <w:r>
        <w:rPr>
          <w:rFonts w:ascii="Arial" w:hAnsi="Arial" w:cs="Arial"/>
          <w:sz w:val="20"/>
          <w:szCs w:val="20"/>
        </w:rPr>
        <w:t>,</w:t>
      </w:r>
      <w:r w:rsidRPr="009C4EA5">
        <w:rPr>
          <w:rFonts w:ascii="Arial" w:hAnsi="Arial" w:cs="Arial"/>
          <w:sz w:val="20"/>
          <w:szCs w:val="20"/>
        </w:rPr>
        <w:t xml:space="preserve"> M</w:t>
      </w:r>
      <w:r>
        <w:rPr>
          <w:rFonts w:ascii="Arial" w:hAnsi="Arial" w:cs="Arial"/>
          <w:sz w:val="20"/>
          <w:szCs w:val="20"/>
        </w:rPr>
        <w:t>.</w:t>
      </w:r>
      <w:r w:rsidRPr="009C4EA5">
        <w:rPr>
          <w:rFonts w:ascii="Arial" w:hAnsi="Arial" w:cs="Arial"/>
          <w:sz w:val="20"/>
          <w:szCs w:val="20"/>
        </w:rPr>
        <w:t xml:space="preserve">, </w:t>
      </w:r>
      <w:proofErr w:type="spellStart"/>
      <w:r w:rsidRPr="009C4EA5">
        <w:rPr>
          <w:rFonts w:ascii="Arial" w:hAnsi="Arial" w:cs="Arial"/>
          <w:sz w:val="20"/>
          <w:szCs w:val="20"/>
        </w:rPr>
        <w:t>Martinez</w:t>
      </w:r>
      <w:proofErr w:type="spellEnd"/>
      <w:r w:rsidRPr="009C4EA5">
        <w:rPr>
          <w:rFonts w:ascii="Arial" w:hAnsi="Arial" w:cs="Arial"/>
          <w:sz w:val="20"/>
          <w:szCs w:val="20"/>
        </w:rPr>
        <w:t>-Meraz</w:t>
      </w:r>
      <w:r>
        <w:rPr>
          <w:rFonts w:ascii="Arial" w:hAnsi="Arial" w:cs="Arial"/>
          <w:sz w:val="20"/>
          <w:szCs w:val="20"/>
        </w:rPr>
        <w:t>,</w:t>
      </w:r>
      <w:r w:rsidRPr="009C4EA5">
        <w:rPr>
          <w:rFonts w:ascii="Arial" w:hAnsi="Arial" w:cs="Arial"/>
          <w:sz w:val="20"/>
          <w:szCs w:val="20"/>
        </w:rPr>
        <w:t xml:space="preserve"> M</w:t>
      </w:r>
      <w:r>
        <w:rPr>
          <w:rFonts w:ascii="Arial" w:hAnsi="Arial" w:cs="Arial"/>
          <w:sz w:val="20"/>
          <w:szCs w:val="20"/>
        </w:rPr>
        <w:t>.</w:t>
      </w:r>
      <w:r w:rsidRPr="009C4EA5">
        <w:rPr>
          <w:rFonts w:ascii="Arial" w:hAnsi="Arial" w:cs="Arial"/>
          <w:sz w:val="20"/>
          <w:szCs w:val="20"/>
        </w:rPr>
        <w:t xml:space="preserve">, </w:t>
      </w:r>
      <w:proofErr w:type="spellStart"/>
      <w:r w:rsidRPr="009C4EA5">
        <w:rPr>
          <w:rFonts w:ascii="Arial" w:hAnsi="Arial" w:cs="Arial"/>
          <w:sz w:val="20"/>
          <w:szCs w:val="20"/>
        </w:rPr>
        <w:t>Pavon</w:t>
      </w:r>
      <w:proofErr w:type="spellEnd"/>
      <w:r w:rsidRPr="009C4EA5">
        <w:rPr>
          <w:rFonts w:ascii="Arial" w:hAnsi="Arial" w:cs="Arial"/>
          <w:sz w:val="20"/>
          <w:szCs w:val="20"/>
        </w:rPr>
        <w:t>-Delgado</w:t>
      </w:r>
      <w:r>
        <w:rPr>
          <w:rFonts w:ascii="Arial" w:hAnsi="Arial" w:cs="Arial"/>
          <w:sz w:val="20"/>
          <w:szCs w:val="20"/>
        </w:rPr>
        <w:t>,</w:t>
      </w:r>
      <w:r w:rsidRPr="009C4EA5">
        <w:rPr>
          <w:rFonts w:ascii="Arial" w:hAnsi="Arial" w:cs="Arial"/>
          <w:sz w:val="20"/>
          <w:szCs w:val="20"/>
        </w:rPr>
        <w:t xml:space="preserve"> E</w:t>
      </w:r>
      <w:r>
        <w:rPr>
          <w:rFonts w:ascii="Arial" w:hAnsi="Arial" w:cs="Arial"/>
          <w:sz w:val="20"/>
          <w:szCs w:val="20"/>
        </w:rPr>
        <w:t>.</w:t>
      </w:r>
      <w:r w:rsidRPr="009C4EA5">
        <w:rPr>
          <w:rFonts w:ascii="Arial" w:hAnsi="Arial" w:cs="Arial"/>
          <w:sz w:val="20"/>
          <w:szCs w:val="20"/>
        </w:rPr>
        <w:t xml:space="preserve">, </w:t>
      </w:r>
      <w:proofErr w:type="spellStart"/>
      <w:r w:rsidRPr="009C4EA5">
        <w:rPr>
          <w:rFonts w:ascii="Arial" w:hAnsi="Arial" w:cs="Arial"/>
          <w:sz w:val="20"/>
          <w:szCs w:val="20"/>
        </w:rPr>
        <w:t>Velez-Resendiz</w:t>
      </w:r>
      <w:proofErr w:type="spellEnd"/>
      <w:r>
        <w:rPr>
          <w:rFonts w:ascii="Arial" w:hAnsi="Arial" w:cs="Arial"/>
          <w:sz w:val="20"/>
          <w:szCs w:val="20"/>
        </w:rPr>
        <w:t>,</w:t>
      </w:r>
      <w:r w:rsidRPr="009C4EA5">
        <w:rPr>
          <w:rFonts w:ascii="Arial" w:hAnsi="Arial" w:cs="Arial"/>
          <w:sz w:val="20"/>
          <w:szCs w:val="20"/>
        </w:rPr>
        <w:t xml:space="preserve"> J</w:t>
      </w:r>
      <w:r>
        <w:rPr>
          <w:rFonts w:ascii="Arial" w:hAnsi="Arial" w:cs="Arial"/>
          <w:sz w:val="20"/>
          <w:szCs w:val="20"/>
        </w:rPr>
        <w:t>.</w:t>
      </w:r>
      <w:r w:rsidRPr="009C4EA5">
        <w:rPr>
          <w:rFonts w:ascii="Arial" w:hAnsi="Arial" w:cs="Arial"/>
          <w:sz w:val="20"/>
          <w:szCs w:val="20"/>
        </w:rPr>
        <w:t>M</w:t>
      </w:r>
      <w:r>
        <w:rPr>
          <w:rFonts w:ascii="Arial" w:hAnsi="Arial" w:cs="Arial"/>
          <w:sz w:val="20"/>
          <w:szCs w:val="20"/>
        </w:rPr>
        <w:t>.</w:t>
      </w:r>
      <w:r w:rsidRPr="009C4EA5">
        <w:rPr>
          <w:rFonts w:ascii="Arial" w:hAnsi="Arial" w:cs="Arial"/>
          <w:sz w:val="20"/>
          <w:szCs w:val="20"/>
        </w:rPr>
        <w:t xml:space="preserve">, </w:t>
      </w:r>
      <w:r>
        <w:rPr>
          <w:rFonts w:ascii="Arial" w:hAnsi="Arial" w:cs="Arial"/>
          <w:sz w:val="20"/>
          <w:szCs w:val="20"/>
        </w:rPr>
        <w:t xml:space="preserve">et al. </w:t>
      </w:r>
      <w:r w:rsidRPr="009C4EA5">
        <w:rPr>
          <w:rFonts w:ascii="Arial" w:hAnsi="Arial" w:cs="Arial"/>
          <w:sz w:val="20"/>
          <w:szCs w:val="20"/>
          <w:lang w:val="en-US"/>
        </w:rPr>
        <w:t>(2024</w:t>
      </w:r>
      <w:r>
        <w:rPr>
          <w:rFonts w:ascii="Arial" w:hAnsi="Arial" w:cs="Arial"/>
          <w:sz w:val="20"/>
          <w:szCs w:val="20"/>
          <w:lang w:val="en-US"/>
        </w:rPr>
        <w:t>)</w:t>
      </w:r>
      <w:r w:rsidRPr="009C4EA5">
        <w:rPr>
          <w:rFonts w:ascii="Arial" w:hAnsi="Arial" w:cs="Arial"/>
          <w:sz w:val="20"/>
          <w:szCs w:val="20"/>
          <w:lang w:val="en-US"/>
        </w:rPr>
        <w:t xml:space="preserve">. Investigating the Prevalence and Determinants of Mild Cognitive Impairment in the Elderly Population at Primary Care Facilities. Current Journal of Applied Science and Technology 43 (9):7-19. </w:t>
      </w:r>
      <w:hyperlink r:id="rId48" w:history="1">
        <w:r w:rsidRPr="008F4A7E">
          <w:rPr>
            <w:rStyle w:val="Hyperlink"/>
            <w:rFonts w:ascii="Arial" w:hAnsi="Arial" w:cs="Arial"/>
            <w:sz w:val="20"/>
            <w:szCs w:val="20"/>
            <w:lang w:val="en-US"/>
          </w:rPr>
          <w:t>https://doi.org/10.9734/cjast/2024/v43i94426</w:t>
        </w:r>
      </w:hyperlink>
      <w:r w:rsidRPr="009C4EA5">
        <w:rPr>
          <w:rFonts w:ascii="Arial" w:hAnsi="Arial" w:cs="Arial"/>
          <w:sz w:val="20"/>
          <w:szCs w:val="20"/>
          <w:lang w:val="en-US"/>
        </w:rPr>
        <w:t>.</w:t>
      </w:r>
      <w:r>
        <w:rPr>
          <w:rFonts w:ascii="Arial" w:hAnsi="Arial" w:cs="Arial"/>
          <w:sz w:val="20"/>
          <w:szCs w:val="20"/>
          <w:lang w:val="en-US"/>
        </w:rPr>
        <w:t xml:space="preserve"> </w:t>
      </w:r>
    </w:p>
    <w:p w14:paraId="60797956" w14:textId="70F905BB" w:rsidR="003C098F" w:rsidRPr="003C098F" w:rsidRDefault="003C098F" w:rsidP="00BA6D90">
      <w:pPr>
        <w:pStyle w:val="ListParagraph"/>
        <w:numPr>
          <w:ilvl w:val="0"/>
          <w:numId w:val="31"/>
        </w:numPr>
        <w:spacing w:after="0" w:line="240" w:lineRule="auto"/>
        <w:jc w:val="both"/>
        <w:rPr>
          <w:rFonts w:ascii="Arial" w:hAnsi="Arial" w:cs="Arial"/>
          <w:sz w:val="20"/>
          <w:szCs w:val="20"/>
          <w:lang w:val="en-US"/>
        </w:rPr>
      </w:pPr>
      <w:r w:rsidRPr="003C098F">
        <w:rPr>
          <w:rFonts w:ascii="Arial" w:hAnsi="Arial" w:cs="Arial"/>
          <w:sz w:val="20"/>
          <w:szCs w:val="20"/>
          <w:lang w:val="fr-FR"/>
        </w:rPr>
        <w:t xml:space="preserve">Rus, M., </w:t>
      </w:r>
      <w:proofErr w:type="spellStart"/>
      <w:r w:rsidRPr="003C098F">
        <w:rPr>
          <w:rFonts w:ascii="Arial" w:hAnsi="Arial" w:cs="Arial"/>
          <w:sz w:val="20"/>
          <w:szCs w:val="20"/>
          <w:lang w:val="fr-FR"/>
        </w:rPr>
        <w:t>Crisan</w:t>
      </w:r>
      <w:proofErr w:type="spellEnd"/>
      <w:r w:rsidRPr="003C098F">
        <w:rPr>
          <w:rFonts w:ascii="Arial" w:hAnsi="Arial" w:cs="Arial"/>
          <w:sz w:val="20"/>
          <w:szCs w:val="20"/>
          <w:lang w:val="fr-FR"/>
        </w:rPr>
        <w:t xml:space="preserve">, S., </w:t>
      </w:r>
      <w:proofErr w:type="spellStart"/>
      <w:r w:rsidRPr="003C098F">
        <w:rPr>
          <w:rFonts w:ascii="Arial" w:hAnsi="Arial" w:cs="Arial"/>
          <w:sz w:val="20"/>
          <w:szCs w:val="20"/>
          <w:lang w:val="fr-FR"/>
        </w:rPr>
        <w:t>Andronie-Cioara</w:t>
      </w:r>
      <w:proofErr w:type="spellEnd"/>
      <w:r w:rsidRPr="003C098F">
        <w:rPr>
          <w:rFonts w:ascii="Arial" w:hAnsi="Arial" w:cs="Arial"/>
          <w:sz w:val="20"/>
          <w:szCs w:val="20"/>
          <w:lang w:val="fr-FR"/>
        </w:rPr>
        <w:t xml:space="preserve">, F. L., </w:t>
      </w:r>
      <w:proofErr w:type="spellStart"/>
      <w:r w:rsidRPr="003C098F">
        <w:rPr>
          <w:rFonts w:ascii="Arial" w:hAnsi="Arial" w:cs="Arial"/>
          <w:sz w:val="20"/>
          <w:szCs w:val="20"/>
          <w:lang w:val="fr-FR"/>
        </w:rPr>
        <w:t>Indries</w:t>
      </w:r>
      <w:proofErr w:type="spellEnd"/>
      <w:r w:rsidRPr="003C098F">
        <w:rPr>
          <w:rFonts w:ascii="Arial" w:hAnsi="Arial" w:cs="Arial"/>
          <w:sz w:val="20"/>
          <w:szCs w:val="20"/>
          <w:lang w:val="fr-FR"/>
        </w:rPr>
        <w:t xml:space="preserve">, M., Marian, P., </w:t>
      </w:r>
      <w:proofErr w:type="spellStart"/>
      <w:r w:rsidRPr="003C098F">
        <w:rPr>
          <w:rFonts w:ascii="Arial" w:hAnsi="Arial" w:cs="Arial"/>
          <w:sz w:val="20"/>
          <w:szCs w:val="20"/>
          <w:lang w:val="fr-FR"/>
        </w:rPr>
        <w:t>Pobirci</w:t>
      </w:r>
      <w:proofErr w:type="spellEnd"/>
      <w:r w:rsidRPr="003C098F">
        <w:rPr>
          <w:rFonts w:ascii="Arial" w:hAnsi="Arial" w:cs="Arial"/>
          <w:sz w:val="20"/>
          <w:szCs w:val="20"/>
          <w:lang w:val="fr-FR"/>
        </w:rPr>
        <w:t xml:space="preserve">, O. L., &amp; </w:t>
      </w:r>
      <w:proofErr w:type="spellStart"/>
      <w:r w:rsidRPr="003C098F">
        <w:rPr>
          <w:rFonts w:ascii="Arial" w:hAnsi="Arial" w:cs="Arial"/>
          <w:sz w:val="20"/>
          <w:szCs w:val="20"/>
          <w:lang w:val="fr-FR"/>
        </w:rPr>
        <w:t>Ardelean</w:t>
      </w:r>
      <w:proofErr w:type="spellEnd"/>
      <w:r w:rsidRPr="003C098F">
        <w:rPr>
          <w:rFonts w:ascii="Arial" w:hAnsi="Arial" w:cs="Arial"/>
          <w:sz w:val="20"/>
          <w:szCs w:val="20"/>
          <w:lang w:val="fr-FR"/>
        </w:rPr>
        <w:t xml:space="preserve">, A. I. (2023). </w:t>
      </w:r>
      <w:r w:rsidRPr="003C098F">
        <w:rPr>
          <w:rFonts w:ascii="Arial" w:hAnsi="Arial" w:cs="Arial"/>
          <w:sz w:val="20"/>
          <w:szCs w:val="20"/>
          <w:lang w:val="en-US"/>
        </w:rPr>
        <w:t xml:space="preserve">Prevalence and Risk Factors of Metabolic Syndrome: A Prospective Study on Cardiovascular Health. Medicina (Kaunas, Lithuania), 59(10), 1711. </w:t>
      </w:r>
      <w:hyperlink r:id="rId49" w:history="1">
        <w:r w:rsidRPr="00127D07">
          <w:rPr>
            <w:rStyle w:val="Hyperlink"/>
            <w:rFonts w:ascii="Arial" w:hAnsi="Arial" w:cs="Arial"/>
            <w:sz w:val="20"/>
            <w:szCs w:val="20"/>
            <w:lang w:val="en-US"/>
          </w:rPr>
          <w:t>https://doi.org/10.3390/medicina59101711</w:t>
        </w:r>
      </w:hyperlink>
      <w:r>
        <w:rPr>
          <w:rFonts w:ascii="Arial" w:hAnsi="Arial" w:cs="Arial"/>
          <w:sz w:val="20"/>
          <w:szCs w:val="20"/>
          <w:lang w:val="en-US"/>
        </w:rPr>
        <w:t xml:space="preserve"> </w:t>
      </w:r>
    </w:p>
    <w:p w14:paraId="634458BC" w14:textId="16EA38AE" w:rsidR="006419FE" w:rsidRPr="006419FE" w:rsidRDefault="006419FE" w:rsidP="00BA6D90">
      <w:pPr>
        <w:pStyle w:val="ListParagraph"/>
        <w:numPr>
          <w:ilvl w:val="0"/>
          <w:numId w:val="31"/>
        </w:numPr>
        <w:spacing w:after="0" w:line="240" w:lineRule="auto"/>
        <w:jc w:val="both"/>
        <w:rPr>
          <w:rFonts w:ascii="Arial" w:hAnsi="Arial" w:cs="Arial"/>
          <w:sz w:val="20"/>
          <w:szCs w:val="20"/>
          <w:lang w:val="en-US"/>
        </w:rPr>
      </w:pPr>
      <w:r w:rsidRPr="006419FE">
        <w:rPr>
          <w:rFonts w:ascii="Arial" w:hAnsi="Arial" w:cs="Arial"/>
          <w:sz w:val="20"/>
          <w:szCs w:val="20"/>
          <w:lang w:val="en-US"/>
        </w:rPr>
        <w:lastRenderedPageBreak/>
        <w:t xml:space="preserve">Ryan, A., Wallace, E., O'Hara, P., &amp; Smith, S. M. (2015). Multimorbidity and functional decline in community-dwelling adults: a systematic review. Health and quality of life outcomes, 13, 168. </w:t>
      </w:r>
      <w:hyperlink r:id="rId50" w:history="1">
        <w:r w:rsidRPr="006B53CE">
          <w:rPr>
            <w:rStyle w:val="Hyperlink"/>
            <w:rFonts w:ascii="Arial" w:hAnsi="Arial" w:cs="Arial"/>
            <w:sz w:val="20"/>
            <w:szCs w:val="20"/>
            <w:lang w:val="en-US"/>
          </w:rPr>
          <w:t>https://doi.org/10.1186/s12955-015-0355-9</w:t>
        </w:r>
      </w:hyperlink>
      <w:r>
        <w:rPr>
          <w:rFonts w:ascii="Arial" w:hAnsi="Arial" w:cs="Arial"/>
          <w:sz w:val="20"/>
          <w:szCs w:val="20"/>
          <w:lang w:val="en-US"/>
        </w:rPr>
        <w:t xml:space="preserve"> </w:t>
      </w:r>
    </w:p>
    <w:p w14:paraId="6B0C139A" w14:textId="22CB107D" w:rsidR="0032138D" w:rsidRDefault="0032138D" w:rsidP="00BA6D90">
      <w:pPr>
        <w:pStyle w:val="ListParagraph"/>
        <w:numPr>
          <w:ilvl w:val="0"/>
          <w:numId w:val="31"/>
        </w:numPr>
        <w:spacing w:after="0" w:line="240" w:lineRule="auto"/>
        <w:jc w:val="both"/>
        <w:rPr>
          <w:rFonts w:ascii="Arial" w:hAnsi="Arial" w:cs="Arial"/>
          <w:sz w:val="20"/>
          <w:szCs w:val="20"/>
          <w:lang w:val="en-US"/>
        </w:rPr>
      </w:pPr>
      <w:r w:rsidRPr="0032138D">
        <w:rPr>
          <w:rFonts w:ascii="Arial" w:hAnsi="Arial" w:cs="Arial"/>
          <w:sz w:val="20"/>
          <w:szCs w:val="20"/>
        </w:rPr>
        <w:t>Santamaria-</w:t>
      </w:r>
      <w:proofErr w:type="spellStart"/>
      <w:r w:rsidRPr="0032138D">
        <w:rPr>
          <w:rFonts w:ascii="Arial" w:hAnsi="Arial" w:cs="Arial"/>
          <w:sz w:val="20"/>
          <w:szCs w:val="20"/>
        </w:rPr>
        <w:t>Garcia</w:t>
      </w:r>
      <w:proofErr w:type="spellEnd"/>
      <w:r w:rsidRPr="0032138D">
        <w:rPr>
          <w:rFonts w:ascii="Arial" w:hAnsi="Arial" w:cs="Arial"/>
          <w:sz w:val="20"/>
          <w:szCs w:val="20"/>
        </w:rPr>
        <w:t xml:space="preserve">, H., </w:t>
      </w:r>
      <w:proofErr w:type="spellStart"/>
      <w:r w:rsidRPr="0032138D">
        <w:rPr>
          <w:rFonts w:ascii="Arial" w:hAnsi="Arial" w:cs="Arial"/>
          <w:sz w:val="20"/>
          <w:szCs w:val="20"/>
        </w:rPr>
        <w:t>Moguilner</w:t>
      </w:r>
      <w:proofErr w:type="spellEnd"/>
      <w:r w:rsidRPr="0032138D">
        <w:rPr>
          <w:rFonts w:ascii="Arial" w:hAnsi="Arial" w:cs="Arial"/>
          <w:sz w:val="20"/>
          <w:szCs w:val="20"/>
        </w:rPr>
        <w:t xml:space="preserve">, S., </w:t>
      </w:r>
      <w:proofErr w:type="spellStart"/>
      <w:r w:rsidRPr="0032138D">
        <w:rPr>
          <w:rFonts w:ascii="Arial" w:hAnsi="Arial" w:cs="Arial"/>
          <w:sz w:val="20"/>
          <w:szCs w:val="20"/>
        </w:rPr>
        <w:t>Rodriguez</w:t>
      </w:r>
      <w:proofErr w:type="spellEnd"/>
      <w:r w:rsidRPr="0032138D">
        <w:rPr>
          <w:rFonts w:ascii="Arial" w:hAnsi="Arial" w:cs="Arial"/>
          <w:sz w:val="20"/>
          <w:szCs w:val="20"/>
        </w:rPr>
        <w:t>-Villagra, O.A.</w:t>
      </w:r>
      <w:r>
        <w:rPr>
          <w:rFonts w:ascii="Arial" w:hAnsi="Arial" w:cs="Arial"/>
          <w:sz w:val="20"/>
          <w:szCs w:val="20"/>
        </w:rPr>
        <w:t>,</w:t>
      </w:r>
      <w:r w:rsidRPr="0032138D">
        <w:rPr>
          <w:rFonts w:ascii="Arial" w:hAnsi="Arial" w:cs="Arial"/>
          <w:sz w:val="20"/>
          <w:szCs w:val="20"/>
        </w:rPr>
        <w:t xml:space="preserve"> Botero-</w:t>
      </w:r>
      <w:proofErr w:type="spellStart"/>
      <w:r w:rsidRPr="0032138D">
        <w:rPr>
          <w:rFonts w:ascii="Arial" w:hAnsi="Arial" w:cs="Arial"/>
          <w:sz w:val="20"/>
          <w:szCs w:val="20"/>
        </w:rPr>
        <w:t>Rodriguez</w:t>
      </w:r>
      <w:proofErr w:type="spellEnd"/>
      <w:r w:rsidRPr="0032138D">
        <w:rPr>
          <w:rFonts w:ascii="Arial" w:hAnsi="Arial" w:cs="Arial"/>
          <w:sz w:val="20"/>
          <w:szCs w:val="20"/>
        </w:rPr>
        <w:t xml:space="preserve">, </w:t>
      </w:r>
      <w:r>
        <w:rPr>
          <w:rFonts w:ascii="Arial" w:hAnsi="Arial" w:cs="Arial"/>
          <w:sz w:val="20"/>
          <w:szCs w:val="20"/>
        </w:rPr>
        <w:t xml:space="preserve">F., </w:t>
      </w:r>
      <w:r w:rsidRPr="0032138D">
        <w:rPr>
          <w:rFonts w:ascii="Arial" w:hAnsi="Arial" w:cs="Arial"/>
          <w:sz w:val="20"/>
          <w:szCs w:val="20"/>
        </w:rPr>
        <w:t xml:space="preserve">Pina-Escudero, </w:t>
      </w:r>
      <w:r>
        <w:rPr>
          <w:rFonts w:ascii="Arial" w:hAnsi="Arial" w:cs="Arial"/>
          <w:sz w:val="20"/>
          <w:szCs w:val="20"/>
        </w:rPr>
        <w:t xml:space="preserve">S.D., </w:t>
      </w:r>
      <w:proofErr w:type="spellStart"/>
      <w:r w:rsidRPr="0032138D">
        <w:rPr>
          <w:rFonts w:ascii="Arial" w:hAnsi="Arial" w:cs="Arial"/>
          <w:sz w:val="20"/>
          <w:szCs w:val="20"/>
        </w:rPr>
        <w:t>O’Donovan</w:t>
      </w:r>
      <w:proofErr w:type="spellEnd"/>
      <w:r w:rsidRPr="0032138D">
        <w:rPr>
          <w:rFonts w:ascii="Arial" w:hAnsi="Arial" w:cs="Arial"/>
          <w:sz w:val="20"/>
          <w:szCs w:val="20"/>
        </w:rPr>
        <w:t>,</w:t>
      </w:r>
      <w:r>
        <w:rPr>
          <w:rFonts w:ascii="Arial" w:hAnsi="Arial" w:cs="Arial"/>
          <w:sz w:val="20"/>
          <w:szCs w:val="20"/>
        </w:rPr>
        <w:t xml:space="preserve"> G. </w:t>
      </w:r>
      <w:r w:rsidRPr="0032138D">
        <w:rPr>
          <w:rFonts w:ascii="Arial" w:hAnsi="Arial" w:cs="Arial"/>
          <w:sz w:val="20"/>
          <w:szCs w:val="20"/>
        </w:rPr>
        <w:t xml:space="preserve">et al. </w:t>
      </w:r>
      <w:r w:rsidRPr="0032138D">
        <w:rPr>
          <w:rFonts w:ascii="Arial" w:hAnsi="Arial" w:cs="Arial"/>
          <w:sz w:val="20"/>
          <w:szCs w:val="20"/>
          <w:lang w:val="en-US"/>
        </w:rPr>
        <w:t xml:space="preserve">The impacts of social determinants of health and cardiometabolic factors on cognitive and functional aging in Colombian underserved populations. </w:t>
      </w:r>
      <w:proofErr w:type="spellStart"/>
      <w:r w:rsidRPr="0032138D">
        <w:rPr>
          <w:rFonts w:ascii="Arial" w:hAnsi="Arial" w:cs="Arial"/>
          <w:sz w:val="20"/>
          <w:szCs w:val="20"/>
          <w:lang w:val="en-US"/>
        </w:rPr>
        <w:t>GeroScience</w:t>
      </w:r>
      <w:proofErr w:type="spellEnd"/>
      <w:r w:rsidRPr="0032138D">
        <w:rPr>
          <w:rFonts w:ascii="Arial" w:hAnsi="Arial" w:cs="Arial"/>
          <w:sz w:val="20"/>
          <w:szCs w:val="20"/>
          <w:lang w:val="en-US"/>
        </w:rPr>
        <w:t xml:space="preserve"> 45, 2405–2423 (2023). https://doi.org/10.1007/s11357-023-00755-z</w:t>
      </w:r>
    </w:p>
    <w:p w14:paraId="23BE1A16" w14:textId="48D02D15" w:rsidR="0036578E" w:rsidRDefault="0036578E" w:rsidP="00BA6D90">
      <w:pPr>
        <w:pStyle w:val="ListParagraph"/>
        <w:numPr>
          <w:ilvl w:val="0"/>
          <w:numId w:val="31"/>
        </w:numPr>
        <w:spacing w:after="0" w:line="240" w:lineRule="auto"/>
        <w:jc w:val="both"/>
        <w:rPr>
          <w:rFonts w:ascii="Arial" w:hAnsi="Arial" w:cs="Arial"/>
          <w:sz w:val="20"/>
          <w:szCs w:val="20"/>
          <w:lang w:val="en-US"/>
        </w:rPr>
      </w:pPr>
      <w:r w:rsidRPr="00BC1EFA">
        <w:rPr>
          <w:rFonts w:ascii="Arial" w:hAnsi="Arial" w:cs="Arial"/>
          <w:sz w:val="20"/>
          <w:szCs w:val="20"/>
          <w:lang w:val="de-DE"/>
        </w:rPr>
        <w:t xml:space="preserve">Schulz, R., &amp; Sherwood, P. R. (2008). </w:t>
      </w:r>
      <w:r w:rsidRPr="0036578E">
        <w:rPr>
          <w:rFonts w:ascii="Arial" w:hAnsi="Arial" w:cs="Arial"/>
          <w:sz w:val="20"/>
          <w:szCs w:val="20"/>
          <w:lang w:val="en-US"/>
        </w:rPr>
        <w:t xml:space="preserve">Physical and mental health effects of family caregiving. The American journal of nursing, 108(9 Suppl), 23–27. </w:t>
      </w:r>
      <w:hyperlink r:id="rId51" w:history="1">
        <w:r w:rsidRPr="00E5556F">
          <w:rPr>
            <w:rStyle w:val="Hyperlink"/>
            <w:rFonts w:ascii="Arial" w:hAnsi="Arial" w:cs="Arial"/>
            <w:sz w:val="20"/>
            <w:szCs w:val="20"/>
            <w:lang w:val="en-US"/>
          </w:rPr>
          <w:t>https://doi.org/10.1097/01.NAJ.0000336406.45248.4c</w:t>
        </w:r>
      </w:hyperlink>
      <w:r>
        <w:rPr>
          <w:rFonts w:ascii="Arial" w:hAnsi="Arial" w:cs="Arial"/>
          <w:sz w:val="20"/>
          <w:szCs w:val="20"/>
          <w:lang w:val="en-US"/>
        </w:rPr>
        <w:t xml:space="preserve"> </w:t>
      </w:r>
    </w:p>
    <w:p w14:paraId="29B5FF0E" w14:textId="00D95BE8" w:rsidR="00141185" w:rsidRDefault="00141185" w:rsidP="00BA6D90">
      <w:pPr>
        <w:pStyle w:val="ListParagraph"/>
        <w:numPr>
          <w:ilvl w:val="0"/>
          <w:numId w:val="31"/>
        </w:numPr>
        <w:spacing w:after="0" w:line="240" w:lineRule="auto"/>
        <w:jc w:val="both"/>
        <w:rPr>
          <w:rFonts w:ascii="Arial" w:hAnsi="Arial" w:cs="Arial"/>
          <w:sz w:val="20"/>
          <w:szCs w:val="20"/>
          <w:lang w:val="en-US"/>
        </w:rPr>
      </w:pPr>
      <w:r w:rsidRPr="00141185">
        <w:rPr>
          <w:rFonts w:ascii="Arial" w:hAnsi="Arial" w:cs="Arial"/>
          <w:sz w:val="20"/>
          <w:szCs w:val="20"/>
          <w:lang w:val="en-US"/>
        </w:rPr>
        <w:t>Soltani, S., Saraf-Bank, S., Basirat, R., Salehi-</w:t>
      </w:r>
      <w:proofErr w:type="spellStart"/>
      <w:r w:rsidRPr="00141185">
        <w:rPr>
          <w:rFonts w:ascii="Arial" w:hAnsi="Arial" w:cs="Arial"/>
          <w:sz w:val="20"/>
          <w:szCs w:val="20"/>
          <w:lang w:val="en-US"/>
        </w:rPr>
        <w:t>Abargouei</w:t>
      </w:r>
      <w:proofErr w:type="spellEnd"/>
      <w:r w:rsidRPr="00141185">
        <w:rPr>
          <w:rFonts w:ascii="Arial" w:hAnsi="Arial" w:cs="Arial"/>
          <w:sz w:val="20"/>
          <w:szCs w:val="20"/>
          <w:lang w:val="en-US"/>
        </w:rPr>
        <w:t xml:space="preserve">, A., </w:t>
      </w:r>
      <w:proofErr w:type="spellStart"/>
      <w:r w:rsidRPr="00141185">
        <w:rPr>
          <w:rFonts w:ascii="Arial" w:hAnsi="Arial" w:cs="Arial"/>
          <w:sz w:val="20"/>
          <w:szCs w:val="20"/>
          <w:lang w:val="en-US"/>
        </w:rPr>
        <w:t>Mohammadifard</w:t>
      </w:r>
      <w:proofErr w:type="spellEnd"/>
      <w:r w:rsidRPr="00141185">
        <w:rPr>
          <w:rFonts w:ascii="Arial" w:hAnsi="Arial" w:cs="Arial"/>
          <w:sz w:val="20"/>
          <w:szCs w:val="20"/>
          <w:lang w:val="en-US"/>
        </w:rPr>
        <w:t xml:space="preserve">, N., Sadeghi, M., </w:t>
      </w:r>
      <w:r>
        <w:rPr>
          <w:rFonts w:ascii="Arial" w:hAnsi="Arial" w:cs="Arial"/>
          <w:sz w:val="20"/>
          <w:szCs w:val="20"/>
          <w:lang w:val="en-US"/>
        </w:rPr>
        <w:t>et al</w:t>
      </w:r>
      <w:r w:rsidRPr="00141185">
        <w:rPr>
          <w:rFonts w:ascii="Arial" w:hAnsi="Arial" w:cs="Arial"/>
          <w:sz w:val="20"/>
          <w:szCs w:val="20"/>
          <w:lang w:val="en-US"/>
        </w:rPr>
        <w:t xml:space="preserve">. (2021). Community-based cardiovascular disease prevention </w:t>
      </w:r>
      <w:proofErr w:type="spellStart"/>
      <w:r w:rsidRPr="00141185">
        <w:rPr>
          <w:rFonts w:ascii="Arial" w:hAnsi="Arial" w:cs="Arial"/>
          <w:sz w:val="20"/>
          <w:szCs w:val="20"/>
          <w:lang w:val="en-US"/>
        </w:rPr>
        <w:t>programmes</w:t>
      </w:r>
      <w:proofErr w:type="spellEnd"/>
      <w:r w:rsidRPr="00141185">
        <w:rPr>
          <w:rFonts w:ascii="Arial" w:hAnsi="Arial" w:cs="Arial"/>
          <w:sz w:val="20"/>
          <w:szCs w:val="20"/>
          <w:lang w:val="en-US"/>
        </w:rPr>
        <w:t xml:space="preserve"> and cardiovascular risk factors: a systematic review and meta-analysis. Public health, 200, 59–70. </w:t>
      </w:r>
      <w:hyperlink r:id="rId52" w:history="1">
        <w:r w:rsidRPr="00127D07">
          <w:rPr>
            <w:rStyle w:val="Hyperlink"/>
            <w:rFonts w:ascii="Arial" w:hAnsi="Arial" w:cs="Arial"/>
            <w:sz w:val="20"/>
            <w:szCs w:val="20"/>
            <w:lang w:val="en-US"/>
          </w:rPr>
          <w:t>https://doi.org/10.1016/j.puhe.2021.09.006</w:t>
        </w:r>
      </w:hyperlink>
      <w:r>
        <w:rPr>
          <w:rFonts w:ascii="Arial" w:hAnsi="Arial" w:cs="Arial"/>
          <w:sz w:val="20"/>
          <w:szCs w:val="20"/>
          <w:lang w:val="en-US"/>
        </w:rPr>
        <w:t xml:space="preserve"> </w:t>
      </w:r>
    </w:p>
    <w:p w14:paraId="71D83A16" w14:textId="5C970C0C" w:rsidR="003B2AD4" w:rsidRDefault="003B2AD4" w:rsidP="00BA6D90">
      <w:pPr>
        <w:pStyle w:val="ListParagraph"/>
        <w:numPr>
          <w:ilvl w:val="0"/>
          <w:numId w:val="31"/>
        </w:numPr>
        <w:spacing w:after="0" w:line="240" w:lineRule="auto"/>
        <w:jc w:val="both"/>
        <w:rPr>
          <w:rFonts w:ascii="Arial" w:hAnsi="Arial" w:cs="Arial"/>
          <w:sz w:val="20"/>
          <w:szCs w:val="20"/>
          <w:lang w:val="en-US"/>
        </w:rPr>
      </w:pPr>
      <w:r w:rsidRPr="003B2AD4">
        <w:rPr>
          <w:rFonts w:ascii="Arial" w:hAnsi="Arial" w:cs="Arial"/>
          <w:sz w:val="20"/>
          <w:szCs w:val="20"/>
          <w:lang w:val="en-US"/>
        </w:rPr>
        <w:t xml:space="preserve">Successful Aging after Elective Surgery Functional Measures Working Group, Fong, T. G., Gleason, L. J., Wong, B., Habtemariam, D., Jones, R. N., </w:t>
      </w:r>
      <w:r>
        <w:rPr>
          <w:rFonts w:ascii="Arial" w:hAnsi="Arial" w:cs="Arial"/>
          <w:sz w:val="20"/>
          <w:szCs w:val="20"/>
          <w:lang w:val="en-US"/>
        </w:rPr>
        <w:t>et al</w:t>
      </w:r>
      <w:r w:rsidRPr="003B2AD4">
        <w:rPr>
          <w:rFonts w:ascii="Arial" w:hAnsi="Arial" w:cs="Arial"/>
          <w:sz w:val="20"/>
          <w:szCs w:val="20"/>
          <w:lang w:val="en-US"/>
        </w:rPr>
        <w:t xml:space="preserve">. (2015). Cognitive and Physical Demands of Activities of Daily Living in Older Adults: Validation of Expert Panel Ratings. PM &amp; </w:t>
      </w:r>
      <w:proofErr w:type="gramStart"/>
      <w:r w:rsidRPr="003B2AD4">
        <w:rPr>
          <w:rFonts w:ascii="Arial" w:hAnsi="Arial" w:cs="Arial"/>
          <w:sz w:val="20"/>
          <w:szCs w:val="20"/>
          <w:lang w:val="en-US"/>
        </w:rPr>
        <w:t>R :</w:t>
      </w:r>
      <w:proofErr w:type="gramEnd"/>
      <w:r w:rsidRPr="003B2AD4">
        <w:rPr>
          <w:rFonts w:ascii="Arial" w:hAnsi="Arial" w:cs="Arial"/>
          <w:sz w:val="20"/>
          <w:szCs w:val="20"/>
          <w:lang w:val="en-US"/>
        </w:rPr>
        <w:t xml:space="preserve"> the journal of injury, function, and rehabilitation, 7(7), 727–735. </w:t>
      </w:r>
      <w:hyperlink r:id="rId53" w:history="1">
        <w:r w:rsidRPr="00AD639F">
          <w:rPr>
            <w:rStyle w:val="Hyperlink"/>
            <w:rFonts w:ascii="Arial" w:hAnsi="Arial" w:cs="Arial"/>
            <w:sz w:val="20"/>
            <w:szCs w:val="20"/>
            <w:lang w:val="en-US"/>
          </w:rPr>
          <w:t>https://doi.org/10.1016/j.pmrj.2015.01.018</w:t>
        </w:r>
      </w:hyperlink>
      <w:r>
        <w:rPr>
          <w:rFonts w:ascii="Arial" w:hAnsi="Arial" w:cs="Arial"/>
          <w:sz w:val="20"/>
          <w:szCs w:val="20"/>
          <w:lang w:val="en-US"/>
        </w:rPr>
        <w:t xml:space="preserve"> </w:t>
      </w:r>
    </w:p>
    <w:p w14:paraId="579B1BAE" w14:textId="5EDD7B83" w:rsidR="005575C5" w:rsidRPr="005575C5" w:rsidRDefault="005575C5" w:rsidP="00BA6D90">
      <w:pPr>
        <w:pStyle w:val="ListParagraph"/>
        <w:numPr>
          <w:ilvl w:val="0"/>
          <w:numId w:val="31"/>
        </w:numPr>
        <w:spacing w:after="0" w:line="240" w:lineRule="auto"/>
        <w:jc w:val="both"/>
        <w:rPr>
          <w:rFonts w:ascii="Arial" w:hAnsi="Arial" w:cs="Arial"/>
          <w:sz w:val="20"/>
          <w:szCs w:val="20"/>
          <w:lang w:val="en-US"/>
        </w:rPr>
      </w:pPr>
      <w:r w:rsidRPr="005575C5">
        <w:rPr>
          <w:rFonts w:ascii="Arial" w:hAnsi="Arial" w:cs="Arial"/>
          <w:sz w:val="20"/>
          <w:szCs w:val="20"/>
          <w:lang w:val="en-US"/>
        </w:rPr>
        <w:t xml:space="preserve">Takele, M.D., </w:t>
      </w:r>
      <w:proofErr w:type="spellStart"/>
      <w:r w:rsidRPr="005575C5">
        <w:rPr>
          <w:rFonts w:ascii="Arial" w:hAnsi="Arial" w:cs="Arial"/>
          <w:sz w:val="20"/>
          <w:szCs w:val="20"/>
          <w:lang w:val="en-US"/>
        </w:rPr>
        <w:t>Eriku</w:t>
      </w:r>
      <w:proofErr w:type="spellEnd"/>
      <w:r w:rsidRPr="005575C5">
        <w:rPr>
          <w:rFonts w:ascii="Arial" w:hAnsi="Arial" w:cs="Arial"/>
          <w:sz w:val="20"/>
          <w:szCs w:val="20"/>
          <w:lang w:val="en-US"/>
        </w:rPr>
        <w:t xml:space="preserve">, G.A., </w:t>
      </w:r>
      <w:proofErr w:type="spellStart"/>
      <w:r w:rsidRPr="005575C5">
        <w:rPr>
          <w:rFonts w:ascii="Arial" w:hAnsi="Arial" w:cs="Arial"/>
          <w:sz w:val="20"/>
          <w:szCs w:val="20"/>
          <w:lang w:val="en-US"/>
        </w:rPr>
        <w:t>Merawie</w:t>
      </w:r>
      <w:proofErr w:type="spellEnd"/>
      <w:r w:rsidRPr="005575C5">
        <w:rPr>
          <w:rFonts w:ascii="Arial" w:hAnsi="Arial" w:cs="Arial"/>
          <w:sz w:val="20"/>
          <w:szCs w:val="20"/>
          <w:lang w:val="en-US"/>
        </w:rPr>
        <w:t xml:space="preserve">, D.M. </w:t>
      </w:r>
      <w:proofErr w:type="spellStart"/>
      <w:r w:rsidRPr="005575C5">
        <w:rPr>
          <w:rFonts w:ascii="Arial" w:hAnsi="Arial" w:cs="Arial"/>
          <w:sz w:val="20"/>
          <w:szCs w:val="20"/>
          <w:lang w:val="en-US"/>
        </w:rPr>
        <w:t>Zinabu</w:t>
      </w:r>
      <w:proofErr w:type="spellEnd"/>
      <w:r w:rsidRPr="005575C5">
        <w:rPr>
          <w:rFonts w:ascii="Arial" w:hAnsi="Arial" w:cs="Arial"/>
          <w:sz w:val="20"/>
          <w:szCs w:val="20"/>
          <w:lang w:val="en-US"/>
        </w:rPr>
        <w:t>, F</w:t>
      </w:r>
      <w:r>
        <w:rPr>
          <w:rFonts w:ascii="Arial" w:hAnsi="Arial" w:cs="Arial"/>
          <w:sz w:val="20"/>
          <w:szCs w:val="20"/>
          <w:lang w:val="en-US"/>
        </w:rPr>
        <w:t xml:space="preserve">.S., </w:t>
      </w:r>
      <w:proofErr w:type="spellStart"/>
      <w:r w:rsidRPr="005575C5">
        <w:rPr>
          <w:rFonts w:ascii="Arial" w:hAnsi="Arial" w:cs="Arial"/>
          <w:sz w:val="20"/>
          <w:szCs w:val="20"/>
          <w:lang w:val="en-US"/>
        </w:rPr>
        <w:t>Fentanew</w:t>
      </w:r>
      <w:proofErr w:type="spellEnd"/>
      <w:r w:rsidRPr="005575C5">
        <w:rPr>
          <w:rFonts w:ascii="Arial" w:hAnsi="Arial" w:cs="Arial"/>
          <w:sz w:val="20"/>
          <w:szCs w:val="20"/>
          <w:lang w:val="en-US"/>
        </w:rPr>
        <w:t xml:space="preserve">, </w:t>
      </w:r>
      <w:r>
        <w:rPr>
          <w:rFonts w:ascii="Arial" w:hAnsi="Arial" w:cs="Arial"/>
          <w:sz w:val="20"/>
          <w:szCs w:val="20"/>
          <w:lang w:val="en-US"/>
        </w:rPr>
        <w:t xml:space="preserve">M., </w:t>
      </w:r>
      <w:r w:rsidRPr="005575C5">
        <w:rPr>
          <w:rFonts w:ascii="Arial" w:hAnsi="Arial" w:cs="Arial"/>
          <w:sz w:val="20"/>
          <w:szCs w:val="20"/>
          <w:lang w:val="en-US"/>
        </w:rPr>
        <w:t>Belay</w:t>
      </w:r>
      <w:r>
        <w:rPr>
          <w:rFonts w:ascii="Arial" w:hAnsi="Arial" w:cs="Arial"/>
          <w:sz w:val="20"/>
          <w:szCs w:val="20"/>
          <w:lang w:val="en-US"/>
        </w:rPr>
        <w:t>, G.J.,</w:t>
      </w:r>
      <w:r w:rsidRPr="005575C5">
        <w:rPr>
          <w:rFonts w:ascii="Arial" w:hAnsi="Arial" w:cs="Arial"/>
          <w:sz w:val="20"/>
          <w:szCs w:val="20"/>
          <w:lang w:val="en-US"/>
        </w:rPr>
        <w:t xml:space="preserve"> et al. (2024)</w:t>
      </w:r>
      <w:r>
        <w:rPr>
          <w:rFonts w:ascii="Arial" w:hAnsi="Arial" w:cs="Arial"/>
          <w:sz w:val="20"/>
          <w:szCs w:val="20"/>
          <w:lang w:val="en-US"/>
        </w:rPr>
        <w:t xml:space="preserve">. </w:t>
      </w:r>
      <w:r w:rsidRPr="005575C5">
        <w:rPr>
          <w:rFonts w:ascii="Arial" w:hAnsi="Arial" w:cs="Arial"/>
          <w:sz w:val="20"/>
          <w:szCs w:val="20"/>
          <w:lang w:val="en-US"/>
        </w:rPr>
        <w:t xml:space="preserve">Functional disability and its associated factors among community- dweller older adults living in Gondar Town, Ethiopia: a community-based cross-sectional study. BMC Public Health 24, 647. </w:t>
      </w:r>
      <w:hyperlink r:id="rId54" w:history="1">
        <w:r w:rsidRPr="005575C5">
          <w:rPr>
            <w:rStyle w:val="Hyperlink"/>
            <w:rFonts w:ascii="Arial" w:hAnsi="Arial" w:cs="Arial"/>
            <w:sz w:val="20"/>
            <w:szCs w:val="20"/>
            <w:lang w:val="en-US"/>
          </w:rPr>
          <w:t>https://doi.org/10.1186/s12889-024-18110-y</w:t>
        </w:r>
      </w:hyperlink>
      <w:r w:rsidRPr="005575C5">
        <w:rPr>
          <w:rFonts w:ascii="Arial" w:hAnsi="Arial" w:cs="Arial"/>
          <w:sz w:val="20"/>
          <w:szCs w:val="20"/>
          <w:lang w:val="en-US"/>
        </w:rPr>
        <w:t xml:space="preserve"> </w:t>
      </w:r>
    </w:p>
    <w:p w14:paraId="29DAC3A3" w14:textId="3EC69D7F" w:rsidR="0032138D" w:rsidRDefault="0032138D" w:rsidP="00BA6D90">
      <w:pPr>
        <w:pStyle w:val="ListParagraph"/>
        <w:numPr>
          <w:ilvl w:val="0"/>
          <w:numId w:val="31"/>
        </w:numPr>
        <w:spacing w:after="0" w:line="240" w:lineRule="auto"/>
        <w:jc w:val="both"/>
        <w:rPr>
          <w:rFonts w:ascii="Arial" w:hAnsi="Arial" w:cs="Arial"/>
          <w:sz w:val="20"/>
          <w:szCs w:val="20"/>
        </w:rPr>
      </w:pPr>
      <w:r w:rsidRPr="0032138D">
        <w:rPr>
          <w:rFonts w:ascii="Arial" w:hAnsi="Arial" w:cs="Arial"/>
          <w:sz w:val="20"/>
          <w:szCs w:val="20"/>
          <w:lang w:val="fr-FR"/>
        </w:rPr>
        <w:t xml:space="preserve">Tan, V., Chen, C., &amp; Merchant, R. A. (2022). </w:t>
      </w:r>
      <w:r w:rsidRPr="0032138D">
        <w:rPr>
          <w:rFonts w:ascii="Arial" w:hAnsi="Arial" w:cs="Arial"/>
          <w:sz w:val="20"/>
          <w:szCs w:val="20"/>
          <w:lang w:val="en-US"/>
        </w:rPr>
        <w:t xml:space="preserve">Association of social determinants of health with frailty, cognitive impairment, and self-rated health among older adults. </w:t>
      </w:r>
      <w:r w:rsidRPr="0032138D">
        <w:rPr>
          <w:rFonts w:ascii="Arial" w:hAnsi="Arial" w:cs="Arial"/>
          <w:sz w:val="20"/>
          <w:szCs w:val="20"/>
        </w:rPr>
        <w:t xml:space="preserve">PLOS ONE, 17(11), e0277290. </w:t>
      </w:r>
      <w:hyperlink r:id="rId55" w:history="1">
        <w:r w:rsidRPr="008F4A7E">
          <w:rPr>
            <w:rStyle w:val="Hyperlink"/>
            <w:rFonts w:ascii="Arial" w:hAnsi="Arial" w:cs="Arial"/>
            <w:sz w:val="20"/>
            <w:szCs w:val="20"/>
          </w:rPr>
          <w:t>https://doi.org/10.1371/journal.pone.0277290</w:t>
        </w:r>
      </w:hyperlink>
      <w:r>
        <w:rPr>
          <w:rFonts w:ascii="Arial" w:hAnsi="Arial" w:cs="Arial"/>
          <w:sz w:val="20"/>
          <w:szCs w:val="20"/>
        </w:rPr>
        <w:t xml:space="preserve"> </w:t>
      </w:r>
    </w:p>
    <w:p w14:paraId="5E783E7A" w14:textId="0017BDD8" w:rsidR="004F0081" w:rsidRDefault="005575C5" w:rsidP="00BA6D90">
      <w:pPr>
        <w:pStyle w:val="ListParagraph"/>
        <w:numPr>
          <w:ilvl w:val="0"/>
          <w:numId w:val="31"/>
        </w:numPr>
        <w:spacing w:after="0" w:line="240" w:lineRule="auto"/>
        <w:jc w:val="both"/>
        <w:rPr>
          <w:rFonts w:ascii="Arial" w:hAnsi="Arial" w:cs="Arial"/>
          <w:sz w:val="20"/>
          <w:szCs w:val="20"/>
        </w:rPr>
      </w:pPr>
      <w:r w:rsidRPr="005575C5">
        <w:rPr>
          <w:rFonts w:ascii="Arial" w:hAnsi="Arial" w:cs="Arial"/>
          <w:sz w:val="20"/>
          <w:szCs w:val="20"/>
        </w:rPr>
        <w:t>Torres-de</w:t>
      </w:r>
      <w:r>
        <w:rPr>
          <w:rFonts w:ascii="Arial" w:hAnsi="Arial" w:cs="Arial"/>
          <w:sz w:val="20"/>
          <w:szCs w:val="20"/>
        </w:rPr>
        <w:t>-</w:t>
      </w:r>
      <w:r w:rsidRPr="005575C5">
        <w:rPr>
          <w:rFonts w:ascii="Arial" w:hAnsi="Arial" w:cs="Arial"/>
          <w:sz w:val="20"/>
          <w:szCs w:val="20"/>
        </w:rPr>
        <w:t>Araújo, J</w:t>
      </w:r>
      <w:r>
        <w:rPr>
          <w:rFonts w:ascii="Arial" w:hAnsi="Arial" w:cs="Arial"/>
          <w:sz w:val="20"/>
          <w:szCs w:val="20"/>
        </w:rPr>
        <w:t>.</w:t>
      </w:r>
      <w:r w:rsidRPr="005575C5">
        <w:rPr>
          <w:rFonts w:ascii="Arial" w:hAnsi="Arial" w:cs="Arial"/>
          <w:sz w:val="20"/>
          <w:szCs w:val="20"/>
        </w:rPr>
        <w:t>R</w:t>
      </w:r>
      <w:r>
        <w:rPr>
          <w:rFonts w:ascii="Arial" w:hAnsi="Arial" w:cs="Arial"/>
          <w:sz w:val="20"/>
          <w:szCs w:val="20"/>
        </w:rPr>
        <w:t>.</w:t>
      </w:r>
      <w:r w:rsidRPr="005575C5">
        <w:rPr>
          <w:rFonts w:ascii="Arial" w:hAnsi="Arial" w:cs="Arial"/>
          <w:sz w:val="20"/>
          <w:szCs w:val="20"/>
        </w:rPr>
        <w:t xml:space="preserve">, </w:t>
      </w:r>
      <w:proofErr w:type="spellStart"/>
      <w:r w:rsidRPr="005575C5">
        <w:rPr>
          <w:rFonts w:ascii="Arial" w:hAnsi="Arial" w:cs="Arial"/>
          <w:sz w:val="20"/>
          <w:szCs w:val="20"/>
        </w:rPr>
        <w:t>Tomaz</w:t>
      </w:r>
      <w:proofErr w:type="spellEnd"/>
      <w:r w:rsidRPr="005575C5">
        <w:rPr>
          <w:rFonts w:ascii="Arial" w:hAnsi="Arial" w:cs="Arial"/>
          <w:sz w:val="20"/>
          <w:szCs w:val="20"/>
        </w:rPr>
        <w:t>-de</w:t>
      </w:r>
      <w:r>
        <w:rPr>
          <w:rFonts w:ascii="Arial" w:hAnsi="Arial" w:cs="Arial"/>
          <w:sz w:val="20"/>
          <w:szCs w:val="20"/>
        </w:rPr>
        <w:t>-</w:t>
      </w:r>
      <w:r w:rsidRPr="005575C5">
        <w:rPr>
          <w:rFonts w:ascii="Arial" w:hAnsi="Arial" w:cs="Arial"/>
          <w:sz w:val="20"/>
          <w:szCs w:val="20"/>
        </w:rPr>
        <w:t>Lima, R</w:t>
      </w:r>
      <w:r>
        <w:rPr>
          <w:rFonts w:ascii="Arial" w:hAnsi="Arial" w:cs="Arial"/>
          <w:sz w:val="20"/>
          <w:szCs w:val="20"/>
        </w:rPr>
        <w:t>.</w:t>
      </w:r>
      <w:r w:rsidRPr="005575C5">
        <w:rPr>
          <w:rFonts w:ascii="Arial" w:hAnsi="Arial" w:cs="Arial"/>
          <w:sz w:val="20"/>
          <w:szCs w:val="20"/>
        </w:rPr>
        <w:t>R</w:t>
      </w:r>
      <w:r>
        <w:rPr>
          <w:rFonts w:ascii="Arial" w:hAnsi="Arial" w:cs="Arial"/>
          <w:sz w:val="20"/>
          <w:szCs w:val="20"/>
        </w:rPr>
        <w:t>.</w:t>
      </w:r>
      <w:r w:rsidRPr="005575C5">
        <w:rPr>
          <w:rFonts w:ascii="Arial" w:hAnsi="Arial" w:cs="Arial"/>
          <w:sz w:val="20"/>
          <w:szCs w:val="20"/>
        </w:rPr>
        <w:t>, Ferreira-</w:t>
      </w:r>
      <w:proofErr w:type="spellStart"/>
      <w:r w:rsidRPr="005575C5">
        <w:rPr>
          <w:rFonts w:ascii="Arial" w:hAnsi="Arial" w:cs="Arial"/>
          <w:sz w:val="20"/>
          <w:szCs w:val="20"/>
        </w:rPr>
        <w:t>Bendassolli</w:t>
      </w:r>
      <w:proofErr w:type="spellEnd"/>
      <w:r w:rsidRPr="005575C5">
        <w:rPr>
          <w:rFonts w:ascii="Arial" w:hAnsi="Arial" w:cs="Arial"/>
          <w:sz w:val="20"/>
          <w:szCs w:val="20"/>
        </w:rPr>
        <w:t>, I</w:t>
      </w:r>
      <w:r>
        <w:rPr>
          <w:rFonts w:ascii="Arial" w:hAnsi="Arial" w:cs="Arial"/>
          <w:sz w:val="20"/>
          <w:szCs w:val="20"/>
        </w:rPr>
        <w:t>.</w:t>
      </w:r>
      <w:r w:rsidRPr="005575C5">
        <w:rPr>
          <w:rFonts w:ascii="Arial" w:hAnsi="Arial" w:cs="Arial"/>
          <w:sz w:val="20"/>
          <w:szCs w:val="20"/>
        </w:rPr>
        <w:t>M</w:t>
      </w:r>
      <w:r>
        <w:rPr>
          <w:rFonts w:ascii="Arial" w:hAnsi="Arial" w:cs="Arial"/>
          <w:sz w:val="20"/>
          <w:szCs w:val="20"/>
        </w:rPr>
        <w:t>.</w:t>
      </w:r>
      <w:r w:rsidRPr="005575C5">
        <w:rPr>
          <w:rFonts w:ascii="Arial" w:hAnsi="Arial" w:cs="Arial"/>
          <w:sz w:val="20"/>
          <w:szCs w:val="20"/>
        </w:rPr>
        <w:t xml:space="preserve">, &amp; Costa-de Lima, </w:t>
      </w:r>
      <w:proofErr w:type="spellStart"/>
      <w:r w:rsidRPr="005575C5">
        <w:rPr>
          <w:rFonts w:ascii="Arial" w:hAnsi="Arial" w:cs="Arial"/>
          <w:sz w:val="20"/>
          <w:szCs w:val="20"/>
        </w:rPr>
        <w:t>Kenio</w:t>
      </w:r>
      <w:proofErr w:type="spellEnd"/>
      <w:r w:rsidRPr="005575C5">
        <w:rPr>
          <w:rFonts w:ascii="Arial" w:hAnsi="Arial" w:cs="Arial"/>
          <w:sz w:val="20"/>
          <w:szCs w:val="20"/>
        </w:rPr>
        <w:t xml:space="preserve">. </w:t>
      </w:r>
      <w:r w:rsidRPr="005575C5">
        <w:rPr>
          <w:rFonts w:ascii="Arial" w:hAnsi="Arial" w:cs="Arial"/>
          <w:sz w:val="20"/>
          <w:szCs w:val="20"/>
          <w:lang w:val="en-US"/>
        </w:rPr>
        <w:t xml:space="preserve">(2018). Functional, nutritional and social factors associated with mobility limitations in the elderly: a systematic review. </w:t>
      </w:r>
      <w:r w:rsidRPr="005575C5">
        <w:rPr>
          <w:rFonts w:ascii="Arial" w:hAnsi="Arial" w:cs="Arial"/>
          <w:sz w:val="20"/>
          <w:szCs w:val="20"/>
        </w:rPr>
        <w:t xml:space="preserve">Salud Pública de México, 60(5), 579-585. </w:t>
      </w:r>
      <w:hyperlink r:id="rId56" w:history="1">
        <w:r w:rsidRPr="00AD639F">
          <w:rPr>
            <w:rStyle w:val="Hyperlink"/>
            <w:rFonts w:ascii="Arial" w:hAnsi="Arial" w:cs="Arial"/>
            <w:sz w:val="20"/>
            <w:szCs w:val="20"/>
          </w:rPr>
          <w:t>https://doi.org/10.21149/9075</w:t>
        </w:r>
      </w:hyperlink>
      <w:r>
        <w:rPr>
          <w:rFonts w:ascii="Arial" w:hAnsi="Arial" w:cs="Arial"/>
          <w:sz w:val="20"/>
          <w:szCs w:val="20"/>
        </w:rPr>
        <w:t xml:space="preserve"> </w:t>
      </w:r>
    </w:p>
    <w:p w14:paraId="6A6E92D4" w14:textId="4FDC3ED9" w:rsidR="00AD3F96" w:rsidRDefault="00AD3F96" w:rsidP="00BA6D90">
      <w:pPr>
        <w:pStyle w:val="ListParagraph"/>
        <w:numPr>
          <w:ilvl w:val="0"/>
          <w:numId w:val="31"/>
        </w:numPr>
        <w:spacing w:after="0" w:line="240" w:lineRule="auto"/>
        <w:jc w:val="both"/>
        <w:rPr>
          <w:rFonts w:ascii="Arial" w:hAnsi="Arial" w:cs="Arial"/>
          <w:sz w:val="20"/>
          <w:szCs w:val="20"/>
        </w:rPr>
      </w:pPr>
      <w:r w:rsidRPr="00AD3F96">
        <w:rPr>
          <w:rFonts w:ascii="Arial" w:hAnsi="Arial" w:cs="Arial"/>
          <w:sz w:val="20"/>
          <w:szCs w:val="20"/>
          <w:lang w:val="en-US"/>
        </w:rPr>
        <w:t xml:space="preserve">Wei, L., &amp; Hodgson, C. (2023). </w:t>
      </w:r>
      <w:proofErr w:type="spellStart"/>
      <w:r w:rsidRPr="00AD3F96">
        <w:rPr>
          <w:rFonts w:ascii="Arial" w:hAnsi="Arial" w:cs="Arial"/>
          <w:sz w:val="20"/>
          <w:szCs w:val="20"/>
          <w:lang w:val="en-US"/>
        </w:rPr>
        <w:t>Clinimetrics</w:t>
      </w:r>
      <w:proofErr w:type="spellEnd"/>
      <w:r w:rsidRPr="00AD3F96">
        <w:rPr>
          <w:rFonts w:ascii="Arial" w:hAnsi="Arial" w:cs="Arial"/>
          <w:sz w:val="20"/>
          <w:szCs w:val="20"/>
          <w:lang w:val="en-US"/>
        </w:rPr>
        <w:t xml:space="preserve">: The Lawton-Brody Instrumental Activities of Daily Living Scale. </w:t>
      </w:r>
      <w:proofErr w:type="spellStart"/>
      <w:r w:rsidRPr="00AD3F96">
        <w:rPr>
          <w:rFonts w:ascii="Arial" w:hAnsi="Arial" w:cs="Arial"/>
          <w:sz w:val="20"/>
          <w:szCs w:val="20"/>
        </w:rPr>
        <w:t>Journal</w:t>
      </w:r>
      <w:proofErr w:type="spellEnd"/>
      <w:r w:rsidRPr="00AD3F96">
        <w:rPr>
          <w:rFonts w:ascii="Arial" w:hAnsi="Arial" w:cs="Arial"/>
          <w:sz w:val="20"/>
          <w:szCs w:val="20"/>
        </w:rPr>
        <w:t xml:space="preserve"> </w:t>
      </w:r>
      <w:proofErr w:type="spellStart"/>
      <w:r w:rsidRPr="00AD3F96">
        <w:rPr>
          <w:rFonts w:ascii="Arial" w:hAnsi="Arial" w:cs="Arial"/>
          <w:sz w:val="20"/>
          <w:szCs w:val="20"/>
        </w:rPr>
        <w:t>of</w:t>
      </w:r>
      <w:proofErr w:type="spellEnd"/>
      <w:r w:rsidRPr="00AD3F96">
        <w:rPr>
          <w:rFonts w:ascii="Arial" w:hAnsi="Arial" w:cs="Arial"/>
          <w:sz w:val="20"/>
          <w:szCs w:val="20"/>
        </w:rPr>
        <w:t xml:space="preserve"> </w:t>
      </w:r>
      <w:proofErr w:type="spellStart"/>
      <w:r w:rsidRPr="00AD3F96">
        <w:rPr>
          <w:rFonts w:ascii="Arial" w:hAnsi="Arial" w:cs="Arial"/>
          <w:sz w:val="20"/>
          <w:szCs w:val="20"/>
        </w:rPr>
        <w:t>physiotherapy</w:t>
      </w:r>
      <w:proofErr w:type="spellEnd"/>
      <w:r w:rsidRPr="00AD3F96">
        <w:rPr>
          <w:rFonts w:ascii="Arial" w:hAnsi="Arial" w:cs="Arial"/>
          <w:sz w:val="20"/>
          <w:szCs w:val="20"/>
        </w:rPr>
        <w:t xml:space="preserve">, 69(1), 57. </w:t>
      </w:r>
      <w:hyperlink r:id="rId57" w:history="1">
        <w:r w:rsidRPr="00AD639F">
          <w:rPr>
            <w:rStyle w:val="Hyperlink"/>
            <w:rFonts w:ascii="Arial" w:hAnsi="Arial" w:cs="Arial"/>
            <w:sz w:val="20"/>
            <w:szCs w:val="20"/>
          </w:rPr>
          <w:t>https://doi.org/10.1016/j.jphys.2022.06.007</w:t>
        </w:r>
      </w:hyperlink>
      <w:r>
        <w:rPr>
          <w:rFonts w:ascii="Arial" w:hAnsi="Arial" w:cs="Arial"/>
          <w:sz w:val="20"/>
          <w:szCs w:val="20"/>
        </w:rPr>
        <w:t xml:space="preserve"> </w:t>
      </w:r>
    </w:p>
    <w:p w14:paraId="65DF4E5A" w14:textId="532A95E8" w:rsidR="00BC1638" w:rsidRPr="00BC1638" w:rsidRDefault="00BC1638" w:rsidP="00BA6D90">
      <w:pPr>
        <w:pStyle w:val="ListParagraph"/>
        <w:numPr>
          <w:ilvl w:val="0"/>
          <w:numId w:val="31"/>
        </w:numPr>
        <w:spacing w:after="0" w:line="240" w:lineRule="auto"/>
        <w:jc w:val="both"/>
        <w:rPr>
          <w:rFonts w:ascii="Arial" w:hAnsi="Arial" w:cs="Arial"/>
          <w:sz w:val="20"/>
          <w:szCs w:val="20"/>
          <w:lang w:val="en-US"/>
        </w:rPr>
      </w:pPr>
      <w:r w:rsidRPr="00BC1EFA">
        <w:rPr>
          <w:rFonts w:ascii="Arial" w:hAnsi="Arial" w:cs="Arial"/>
          <w:sz w:val="20"/>
          <w:szCs w:val="20"/>
          <w:lang w:val="de-DE"/>
        </w:rPr>
        <w:t xml:space="preserve">Wu, A., March, L., Zheng, X., Huang, J., Wang, X., Zhao, J., et al. </w:t>
      </w:r>
      <w:r w:rsidRPr="00F32C02">
        <w:rPr>
          <w:rFonts w:ascii="Arial" w:hAnsi="Arial" w:cs="Arial"/>
          <w:sz w:val="20"/>
          <w:szCs w:val="20"/>
          <w:lang w:val="en-US"/>
        </w:rPr>
        <w:t xml:space="preserve">(2020). </w:t>
      </w:r>
      <w:r w:rsidRPr="00BC1638">
        <w:rPr>
          <w:rFonts w:ascii="Arial" w:hAnsi="Arial" w:cs="Arial"/>
          <w:sz w:val="20"/>
          <w:szCs w:val="20"/>
          <w:lang w:val="en-US"/>
        </w:rPr>
        <w:t xml:space="preserve">Global low back pain prevalence and years lived with disability from 1990 to 2017: estimates from the Global Burden of Disease Study 2017. Annals of translational medicine, 8(6), 299. </w:t>
      </w:r>
      <w:hyperlink r:id="rId58" w:history="1">
        <w:r w:rsidRPr="00973303">
          <w:rPr>
            <w:rStyle w:val="Hyperlink"/>
            <w:rFonts w:ascii="Arial" w:hAnsi="Arial" w:cs="Arial"/>
            <w:sz w:val="20"/>
            <w:szCs w:val="20"/>
            <w:lang w:val="en-US"/>
          </w:rPr>
          <w:t>https://doi.org/10.21037/atm.2020.02.175</w:t>
        </w:r>
      </w:hyperlink>
      <w:r>
        <w:rPr>
          <w:rFonts w:ascii="Arial" w:hAnsi="Arial" w:cs="Arial"/>
          <w:sz w:val="20"/>
          <w:szCs w:val="20"/>
          <w:lang w:val="en-US"/>
        </w:rPr>
        <w:t xml:space="preserve"> </w:t>
      </w:r>
    </w:p>
    <w:p w14:paraId="5F077748" w14:textId="5A3296DD" w:rsidR="006C6321" w:rsidRPr="006C6321" w:rsidRDefault="006C6321" w:rsidP="00B13895">
      <w:pPr>
        <w:pStyle w:val="ListParagraph"/>
        <w:numPr>
          <w:ilvl w:val="0"/>
          <w:numId w:val="31"/>
        </w:numPr>
        <w:rPr>
          <w:rFonts w:ascii="Arial" w:hAnsi="Arial" w:cs="Arial"/>
          <w:sz w:val="20"/>
          <w:szCs w:val="20"/>
          <w:lang w:val="en-US"/>
        </w:rPr>
      </w:pPr>
      <w:proofErr w:type="spellStart"/>
      <w:r w:rsidRPr="006C6321">
        <w:rPr>
          <w:rFonts w:ascii="Arial" w:hAnsi="Arial" w:cs="Arial"/>
          <w:sz w:val="20"/>
          <w:szCs w:val="20"/>
          <w:lang w:val="en-US"/>
        </w:rPr>
        <w:t>Yesavage</w:t>
      </w:r>
      <w:proofErr w:type="spellEnd"/>
      <w:r w:rsidRPr="006C6321">
        <w:rPr>
          <w:rFonts w:ascii="Arial" w:hAnsi="Arial" w:cs="Arial"/>
          <w:sz w:val="20"/>
          <w:szCs w:val="20"/>
          <w:lang w:val="en-US"/>
        </w:rPr>
        <w:t xml:space="preserve">, J. A., Brink, T. L., Rose, T. L., Lum, O., Huang, V., Adey, M., </w:t>
      </w:r>
      <w:r>
        <w:rPr>
          <w:rFonts w:ascii="Arial" w:hAnsi="Arial" w:cs="Arial"/>
          <w:sz w:val="20"/>
          <w:szCs w:val="20"/>
          <w:lang w:val="en-US"/>
        </w:rPr>
        <w:t>et al</w:t>
      </w:r>
      <w:r w:rsidRPr="006C6321">
        <w:rPr>
          <w:rFonts w:ascii="Arial" w:hAnsi="Arial" w:cs="Arial"/>
          <w:sz w:val="20"/>
          <w:szCs w:val="20"/>
          <w:lang w:val="en-US"/>
        </w:rPr>
        <w:t xml:space="preserve">. (1982). Development and validation of a geriatric depression screening scale: a preliminary report. Journal of psychiatric research, 17(1), 37–49. </w:t>
      </w:r>
      <w:hyperlink r:id="rId59" w:history="1">
        <w:r w:rsidRPr="006B53CE">
          <w:rPr>
            <w:rStyle w:val="Hyperlink"/>
            <w:rFonts w:ascii="Arial" w:hAnsi="Arial" w:cs="Arial"/>
            <w:sz w:val="20"/>
            <w:szCs w:val="20"/>
            <w:lang w:val="en-US"/>
          </w:rPr>
          <w:t>https://doi.org/10.1016/0022-3956(82)90033-4</w:t>
        </w:r>
      </w:hyperlink>
      <w:r>
        <w:rPr>
          <w:rFonts w:ascii="Arial" w:hAnsi="Arial" w:cs="Arial"/>
          <w:sz w:val="20"/>
          <w:szCs w:val="20"/>
          <w:lang w:val="en-US"/>
        </w:rPr>
        <w:t xml:space="preserve"> </w:t>
      </w:r>
    </w:p>
    <w:p w14:paraId="7E89959C" w14:textId="4C9DDBD6" w:rsidR="00B13895" w:rsidRPr="00B13895" w:rsidRDefault="00B13895" w:rsidP="00B13895">
      <w:pPr>
        <w:pStyle w:val="ListParagraph"/>
        <w:numPr>
          <w:ilvl w:val="0"/>
          <w:numId w:val="31"/>
        </w:numPr>
        <w:rPr>
          <w:rFonts w:ascii="Arial" w:hAnsi="Arial" w:cs="Arial"/>
          <w:sz w:val="20"/>
          <w:szCs w:val="20"/>
          <w:lang w:val="en-US"/>
        </w:rPr>
      </w:pPr>
      <w:r w:rsidRPr="00B13895">
        <w:rPr>
          <w:rFonts w:ascii="Arial" w:hAnsi="Arial" w:cs="Arial"/>
          <w:sz w:val="20"/>
          <w:szCs w:val="20"/>
          <w:lang w:val="nb-NO"/>
        </w:rPr>
        <w:t xml:space="preserve">Yu, E., Malik, V. S., &amp; Hu, F. B. (2018). </w:t>
      </w:r>
      <w:r w:rsidRPr="00B13895">
        <w:rPr>
          <w:rFonts w:ascii="Arial" w:hAnsi="Arial" w:cs="Arial"/>
          <w:sz w:val="20"/>
          <w:szCs w:val="20"/>
          <w:lang w:val="en-US"/>
        </w:rPr>
        <w:t xml:space="preserve">Cardiovascular Disease Prevention by Diet Modification: JACC Health Promotion Series. Journal of the American College of Cardiology, 72(8), 914–926. </w:t>
      </w:r>
      <w:hyperlink r:id="rId60" w:history="1">
        <w:r w:rsidRPr="00127D07">
          <w:rPr>
            <w:rStyle w:val="Hyperlink"/>
            <w:rFonts w:ascii="Arial" w:hAnsi="Arial" w:cs="Arial"/>
            <w:sz w:val="20"/>
            <w:szCs w:val="20"/>
            <w:lang w:val="en-US"/>
          </w:rPr>
          <w:t>https://doi.org/10.1016/j.jacc.2018.02.085</w:t>
        </w:r>
      </w:hyperlink>
      <w:r>
        <w:rPr>
          <w:rFonts w:ascii="Arial" w:hAnsi="Arial" w:cs="Arial"/>
          <w:sz w:val="20"/>
          <w:szCs w:val="20"/>
          <w:lang w:val="en-US"/>
        </w:rPr>
        <w:t xml:space="preserve"> </w:t>
      </w:r>
    </w:p>
    <w:p w14:paraId="07EF1754" w14:textId="5D3CBF73" w:rsidR="00AD3F96" w:rsidRDefault="0032138D" w:rsidP="00BA6D90">
      <w:pPr>
        <w:pStyle w:val="ListParagraph"/>
        <w:numPr>
          <w:ilvl w:val="0"/>
          <w:numId w:val="31"/>
        </w:numPr>
        <w:spacing w:after="0" w:line="240" w:lineRule="auto"/>
        <w:jc w:val="both"/>
        <w:rPr>
          <w:rFonts w:ascii="Arial" w:hAnsi="Arial" w:cs="Arial"/>
          <w:sz w:val="20"/>
          <w:szCs w:val="20"/>
          <w:lang w:val="en-US"/>
        </w:rPr>
      </w:pPr>
      <w:r w:rsidRPr="00BC1EFA">
        <w:rPr>
          <w:rFonts w:ascii="Arial" w:hAnsi="Arial" w:cs="Arial"/>
          <w:sz w:val="20"/>
          <w:szCs w:val="20"/>
          <w:lang w:val="en-US"/>
        </w:rPr>
        <w:t xml:space="preserve">Zhao, B., Liu, Z., Fu, Y., Zhang, H., Wu, J., Lai, C., </w:t>
      </w:r>
      <w:r w:rsidR="002007E8" w:rsidRPr="00BC1EFA">
        <w:rPr>
          <w:rFonts w:ascii="Arial" w:hAnsi="Arial" w:cs="Arial"/>
          <w:sz w:val="20"/>
          <w:szCs w:val="20"/>
          <w:lang w:val="en-US"/>
        </w:rPr>
        <w:t>et al.</w:t>
      </w:r>
      <w:r w:rsidRPr="00BC1EFA">
        <w:rPr>
          <w:rFonts w:ascii="Arial" w:hAnsi="Arial" w:cs="Arial"/>
          <w:sz w:val="20"/>
          <w:szCs w:val="20"/>
          <w:lang w:val="en-US"/>
        </w:rPr>
        <w:t xml:space="preserve"> </w:t>
      </w:r>
      <w:r w:rsidRPr="00D0126C">
        <w:rPr>
          <w:rFonts w:ascii="Arial" w:hAnsi="Arial" w:cs="Arial"/>
          <w:sz w:val="20"/>
          <w:szCs w:val="20"/>
          <w:lang w:val="en-US"/>
        </w:rPr>
        <w:t xml:space="preserve">(2024). </w:t>
      </w:r>
      <w:r w:rsidRPr="0032138D">
        <w:rPr>
          <w:rFonts w:ascii="Arial" w:hAnsi="Arial" w:cs="Arial"/>
          <w:sz w:val="20"/>
          <w:szCs w:val="20"/>
          <w:lang w:val="en-US"/>
        </w:rPr>
        <w:t xml:space="preserve">Social Determinants of Intrinsic Capacity: A National Cohort Study. American journal of preventive medicine, 66(3), 559–567. </w:t>
      </w:r>
      <w:hyperlink r:id="rId61" w:history="1">
        <w:r w:rsidRPr="008F4A7E">
          <w:rPr>
            <w:rStyle w:val="Hyperlink"/>
            <w:rFonts w:ascii="Arial" w:hAnsi="Arial" w:cs="Arial"/>
            <w:sz w:val="20"/>
            <w:szCs w:val="20"/>
            <w:lang w:val="en-US"/>
          </w:rPr>
          <w:t>https://doi.org/10.1016/j.amepre.2023.10.008</w:t>
        </w:r>
      </w:hyperlink>
      <w:r>
        <w:rPr>
          <w:rFonts w:ascii="Arial" w:hAnsi="Arial" w:cs="Arial"/>
          <w:sz w:val="20"/>
          <w:szCs w:val="20"/>
          <w:lang w:val="en-US"/>
        </w:rPr>
        <w:t xml:space="preserve"> </w:t>
      </w:r>
    </w:p>
    <w:p w14:paraId="417869E2" w14:textId="29798CBC" w:rsidR="0075739E" w:rsidRPr="0075739E" w:rsidRDefault="0075739E" w:rsidP="00BA6D90">
      <w:pPr>
        <w:pStyle w:val="ListParagraph"/>
        <w:numPr>
          <w:ilvl w:val="0"/>
          <w:numId w:val="31"/>
        </w:numPr>
        <w:spacing w:after="0" w:line="240" w:lineRule="auto"/>
        <w:jc w:val="both"/>
        <w:rPr>
          <w:rFonts w:ascii="Arial" w:hAnsi="Arial" w:cs="Arial"/>
          <w:sz w:val="20"/>
          <w:szCs w:val="20"/>
          <w:lang w:val="en-US"/>
        </w:rPr>
      </w:pPr>
      <w:r w:rsidRPr="0075739E">
        <w:rPr>
          <w:rFonts w:ascii="Arial" w:hAnsi="Arial" w:cs="Arial"/>
          <w:sz w:val="20"/>
          <w:szCs w:val="20"/>
          <w:lang w:val="en-US"/>
        </w:rPr>
        <w:t xml:space="preserve">Zhou, X., &amp; Wu, H. (2023). The impact of sensory impairments and eye diseases on cognitive function in elderly Chinese: The mediating effects of social participation. Journal of global health, 13, 04068. </w:t>
      </w:r>
      <w:hyperlink r:id="rId62" w:history="1">
        <w:r w:rsidRPr="00127D07">
          <w:rPr>
            <w:rStyle w:val="Hyperlink"/>
            <w:rFonts w:ascii="Arial" w:hAnsi="Arial" w:cs="Arial"/>
            <w:sz w:val="20"/>
            <w:szCs w:val="20"/>
            <w:lang w:val="en-US"/>
          </w:rPr>
          <w:t>https://doi.org/10.7189/jogh.13.04068</w:t>
        </w:r>
      </w:hyperlink>
      <w:r>
        <w:rPr>
          <w:rFonts w:ascii="Arial" w:hAnsi="Arial" w:cs="Arial"/>
          <w:sz w:val="20"/>
          <w:szCs w:val="20"/>
          <w:lang w:val="en-US"/>
        </w:rPr>
        <w:t xml:space="preserve"> </w:t>
      </w:r>
    </w:p>
    <w:p w14:paraId="2E1DD809" w14:textId="4C21A309" w:rsidR="00B13895" w:rsidRDefault="00B13895" w:rsidP="00BA6D90">
      <w:pPr>
        <w:pStyle w:val="ListParagraph"/>
        <w:numPr>
          <w:ilvl w:val="0"/>
          <w:numId w:val="31"/>
        </w:numPr>
        <w:spacing w:after="0" w:line="240" w:lineRule="auto"/>
        <w:jc w:val="both"/>
        <w:rPr>
          <w:rFonts w:ascii="Arial" w:hAnsi="Arial" w:cs="Arial"/>
          <w:sz w:val="20"/>
          <w:szCs w:val="20"/>
          <w:lang w:val="en-US"/>
        </w:rPr>
      </w:pPr>
      <w:r w:rsidRPr="00B13895">
        <w:rPr>
          <w:rFonts w:ascii="Arial" w:hAnsi="Arial" w:cs="Arial"/>
          <w:sz w:val="20"/>
          <w:szCs w:val="20"/>
          <w:lang w:val="nb-NO"/>
        </w:rPr>
        <w:t xml:space="preserve">Zimmet, P. Z., King, H. O., &amp; Björntorp, S. P. (1986). </w:t>
      </w:r>
      <w:r w:rsidRPr="00B13895">
        <w:rPr>
          <w:rFonts w:ascii="Arial" w:hAnsi="Arial" w:cs="Arial"/>
          <w:sz w:val="20"/>
          <w:szCs w:val="20"/>
          <w:lang w:val="en-US"/>
        </w:rPr>
        <w:t xml:space="preserve">Obesity, hypertension, carbohydrate disorders and the risk of chronic diseases. Is there any epidemiological </w:t>
      </w:r>
      <w:r w:rsidRPr="00B13895">
        <w:rPr>
          <w:rFonts w:ascii="Arial" w:hAnsi="Arial" w:cs="Arial"/>
          <w:sz w:val="20"/>
          <w:szCs w:val="20"/>
          <w:lang w:val="en-US"/>
        </w:rPr>
        <w:lastRenderedPageBreak/>
        <w:t xml:space="preserve">evidence for integrated prevention </w:t>
      </w:r>
      <w:proofErr w:type="spellStart"/>
      <w:proofErr w:type="gramStart"/>
      <w:r w:rsidRPr="00B13895">
        <w:rPr>
          <w:rFonts w:ascii="Arial" w:hAnsi="Arial" w:cs="Arial"/>
          <w:sz w:val="20"/>
          <w:szCs w:val="20"/>
          <w:lang w:val="en-US"/>
        </w:rPr>
        <w:t>programmes</w:t>
      </w:r>
      <w:proofErr w:type="spellEnd"/>
      <w:r w:rsidRPr="00B13895">
        <w:rPr>
          <w:rFonts w:ascii="Arial" w:hAnsi="Arial" w:cs="Arial"/>
          <w:sz w:val="20"/>
          <w:szCs w:val="20"/>
          <w:lang w:val="en-US"/>
        </w:rPr>
        <w:t>?.</w:t>
      </w:r>
      <w:proofErr w:type="gramEnd"/>
      <w:r w:rsidRPr="00B13895">
        <w:rPr>
          <w:rFonts w:ascii="Arial" w:hAnsi="Arial" w:cs="Arial"/>
          <w:sz w:val="20"/>
          <w:szCs w:val="20"/>
          <w:lang w:val="en-US"/>
        </w:rPr>
        <w:t xml:space="preserve"> The Medical journal of Australia, 145(6), 256–262. </w:t>
      </w:r>
      <w:hyperlink r:id="rId63" w:history="1">
        <w:r w:rsidRPr="00127D07">
          <w:rPr>
            <w:rStyle w:val="Hyperlink"/>
            <w:rFonts w:ascii="Arial" w:hAnsi="Arial" w:cs="Arial"/>
            <w:sz w:val="20"/>
            <w:szCs w:val="20"/>
            <w:lang w:val="en-US"/>
          </w:rPr>
          <w:t>https://doi.org/10.5694/j.1326-5377.1986.tb101119.x</w:t>
        </w:r>
      </w:hyperlink>
      <w:r>
        <w:rPr>
          <w:rFonts w:ascii="Arial" w:hAnsi="Arial" w:cs="Arial"/>
          <w:sz w:val="20"/>
          <w:szCs w:val="20"/>
          <w:lang w:val="en-US"/>
        </w:rPr>
        <w:t xml:space="preserve"> </w:t>
      </w:r>
    </w:p>
    <w:p w14:paraId="1913AE64" w14:textId="77777777" w:rsidR="0032138D" w:rsidRDefault="0032138D" w:rsidP="00473649">
      <w:pPr>
        <w:jc w:val="both"/>
        <w:rPr>
          <w:rFonts w:ascii="Arial" w:hAnsi="Arial" w:cs="Arial"/>
          <w:lang w:val="en-US"/>
        </w:rPr>
      </w:pPr>
    </w:p>
    <w:p w14:paraId="492A8B50" w14:textId="46F7BEEF" w:rsidR="00473649" w:rsidRDefault="00473649" w:rsidP="00473649">
      <w:pPr>
        <w:jc w:val="both"/>
        <w:rPr>
          <w:rFonts w:ascii="Arial" w:hAnsi="Arial" w:cs="Arial"/>
          <w:lang w:val="en-US"/>
        </w:rPr>
      </w:pPr>
    </w:p>
    <w:p w14:paraId="7337E483" w14:textId="284B1EDF" w:rsidR="00455515" w:rsidRPr="006C6321" w:rsidRDefault="00455515" w:rsidP="00441B6F">
      <w:pPr>
        <w:pStyle w:val="Appendix"/>
        <w:spacing w:after="0"/>
        <w:jc w:val="both"/>
        <w:rPr>
          <w:rFonts w:ascii="Arial" w:hAnsi="Arial" w:cs="Arial"/>
          <w:b w:val="0"/>
          <w:lang w:val="fr-FR"/>
        </w:rPr>
        <w:sectPr w:rsidR="00455515" w:rsidRPr="006C6321" w:rsidSect="006A7D6A">
          <w:headerReference w:type="even" r:id="rId64"/>
          <w:headerReference w:type="default" r:id="rId65"/>
          <w:footerReference w:type="default" r:id="rId66"/>
          <w:headerReference w:type="first" r:id="rId67"/>
          <w:type w:val="continuous"/>
          <w:pgSz w:w="12240" w:h="15840"/>
          <w:pgMar w:top="1440" w:right="2016" w:bottom="2016" w:left="2016" w:header="720" w:footer="1123" w:gutter="0"/>
          <w:cols w:space="720"/>
          <w:docGrid w:linePitch="272"/>
        </w:sectPr>
      </w:pPr>
    </w:p>
    <w:p w14:paraId="42466ED3" w14:textId="77777777" w:rsidR="00B01FCD" w:rsidRPr="006C6321" w:rsidRDefault="00B01FCD" w:rsidP="00441B6F">
      <w:pPr>
        <w:pStyle w:val="Appendix"/>
        <w:spacing w:after="0"/>
        <w:jc w:val="both"/>
        <w:rPr>
          <w:rFonts w:ascii="Arial" w:hAnsi="Arial" w:cs="Arial"/>
          <w:b w:val="0"/>
          <w:lang w:val="fr-FR"/>
        </w:rPr>
      </w:pPr>
    </w:p>
    <w:sectPr w:rsidR="00B01FCD" w:rsidRPr="006C6321" w:rsidSect="006A7D6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58F11" w14:textId="77777777" w:rsidR="003A63B6" w:rsidRPr="0054404D" w:rsidRDefault="003A63B6" w:rsidP="00C37E61">
      <w:r w:rsidRPr="0054404D">
        <w:separator/>
      </w:r>
    </w:p>
  </w:endnote>
  <w:endnote w:type="continuationSeparator" w:id="0">
    <w:p w14:paraId="37EAEA8B" w14:textId="77777777" w:rsidR="003A63B6" w:rsidRPr="0054404D" w:rsidRDefault="003A63B6" w:rsidP="00C37E61">
      <w:r w:rsidRPr="005440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77957" w14:textId="77777777" w:rsidR="00B1315D" w:rsidRDefault="00B13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F13F" w14:textId="77777777" w:rsidR="00B1315D" w:rsidRDefault="00B13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8F40" w14:textId="2642A72F" w:rsidR="00B1315D" w:rsidRPr="006A7D6A" w:rsidRDefault="00B1315D" w:rsidP="006A7D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74746" w14:textId="77777777" w:rsidR="00B1315D" w:rsidRPr="0054404D" w:rsidRDefault="00B1315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23038" w14:textId="77777777" w:rsidR="003A63B6" w:rsidRPr="0054404D" w:rsidRDefault="003A63B6" w:rsidP="00C37E61">
      <w:r w:rsidRPr="0054404D">
        <w:separator/>
      </w:r>
    </w:p>
  </w:footnote>
  <w:footnote w:type="continuationSeparator" w:id="0">
    <w:p w14:paraId="785F0ECB" w14:textId="77777777" w:rsidR="003A63B6" w:rsidRPr="0054404D" w:rsidRDefault="003A63B6" w:rsidP="00C37E61">
      <w:r w:rsidRPr="005440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00C2" w14:textId="07EDFB1C" w:rsidR="00B1315D" w:rsidRDefault="00000000">
    <w:pPr>
      <w:pStyle w:val="Header"/>
    </w:pPr>
    <w:r>
      <w:rPr>
        <w:noProof/>
      </w:rPr>
      <w:pict w14:anchorId="15375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60" o:spid="_x0000_s1030" type="#_x0000_t136" style="position:absolute;margin-left:0;margin-top:0;width:249.9pt;height:27.7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3F40" w14:textId="6314ECE4" w:rsidR="00B1315D" w:rsidRDefault="00000000">
    <w:pPr>
      <w:pStyle w:val="Header"/>
    </w:pPr>
    <w:r>
      <w:rPr>
        <w:noProof/>
      </w:rPr>
      <w:pict w14:anchorId="2530FA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61" o:spid="_x0000_s1029" type="#_x0000_t136" style="position:absolute;margin-left:0;margin-top:0;width:249.9pt;height:27.7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75BF" w14:textId="4A11F2F0" w:rsidR="00B1315D" w:rsidRPr="0054404D" w:rsidRDefault="00000000" w:rsidP="00296529">
    <w:pPr>
      <w:ind w:left="2160"/>
      <w:jc w:val="center"/>
      <w:rPr>
        <w:rFonts w:ascii="Times New Roman" w:eastAsia="Calibri" w:hAnsi="Times New Roman"/>
        <w:i/>
        <w:sz w:val="18"/>
        <w:szCs w:val="22"/>
      </w:rPr>
    </w:pPr>
    <w:r>
      <w:rPr>
        <w:noProof/>
      </w:rPr>
      <w:pict w14:anchorId="74505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59" o:spid="_x0000_s1028" type="#_x0000_t136" style="position:absolute;left:0;text-align:left;margin-left:0;margin-top:0;width:249.9pt;height:27.7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A82CDB9" w14:textId="77777777" w:rsidR="00B1315D" w:rsidRPr="0054404D" w:rsidRDefault="00B1315D" w:rsidP="00296529">
    <w:pPr>
      <w:ind w:left="4320"/>
      <w:rPr>
        <w:rFonts w:ascii="Times New Roman" w:eastAsia="Calibri" w:hAnsi="Times New Roman"/>
        <w:i/>
        <w:sz w:val="18"/>
        <w:szCs w:val="22"/>
      </w:rPr>
    </w:pPr>
    <w:r w:rsidRPr="0054404D">
      <w:rPr>
        <w:rFonts w:ascii="Times New Roman" w:eastAsia="Calibri" w:hAnsi="Times New Roman"/>
        <w:i/>
        <w:sz w:val="18"/>
        <w:szCs w:val="22"/>
      </w:rPr>
      <w:t xml:space="preserve">.     </w:t>
    </w:r>
  </w:p>
  <w:p w14:paraId="271AE190" w14:textId="77777777" w:rsidR="00B1315D" w:rsidRPr="0054404D" w:rsidRDefault="00B1315D" w:rsidP="00296529">
    <w:pPr>
      <w:jc w:val="center"/>
      <w:rPr>
        <w:rFonts w:ascii="Times New Roman" w:eastAsia="Calibri" w:hAnsi="Times New Roman"/>
        <w:i/>
        <w:sz w:val="18"/>
        <w:szCs w:val="22"/>
      </w:rPr>
    </w:pPr>
    <w:r w:rsidRPr="0054404D">
      <w:rPr>
        <w:rFonts w:ascii="Times New Roman" w:eastAsia="Calibri" w:hAnsi="Times New Roman"/>
        <w:i/>
        <w:sz w:val="18"/>
        <w:szCs w:val="22"/>
      </w:rPr>
      <w:t>.</w:t>
    </w:r>
  </w:p>
  <w:p w14:paraId="4D4C235C" w14:textId="77777777" w:rsidR="00B1315D" w:rsidRPr="0054404D" w:rsidRDefault="00B1315D" w:rsidP="00296529">
    <w:pPr>
      <w:spacing w:after="200"/>
      <w:jc w:val="center"/>
      <w:rPr>
        <w:rFonts w:ascii="Times New Roman" w:eastAsia="Calibri" w:hAnsi="Times New Roman"/>
        <w:b/>
        <w:i/>
        <w:sz w:val="32"/>
        <w:szCs w:val="22"/>
      </w:rPr>
    </w:pPr>
    <w:r w:rsidRPr="0054404D">
      <w:rPr>
        <w:rFonts w:ascii="Times New Roman" w:eastAsia="Calibri" w:hAnsi="Times New Roman"/>
        <w:b/>
        <w:i/>
        <w:sz w:val="32"/>
        <w:szCs w:val="22"/>
      </w:rPr>
      <w:t xml:space="preserve">              . </w:t>
    </w:r>
  </w:p>
  <w:p w14:paraId="7CF55649" w14:textId="77777777" w:rsidR="00B1315D" w:rsidRPr="0054404D" w:rsidRDefault="00B1315D" w:rsidP="00296529">
    <w:pPr>
      <w:jc w:val="center"/>
      <w:rPr>
        <w:rFonts w:ascii="Times New Roman" w:eastAsia="Calibri" w:hAnsi="Times New Roman"/>
        <w:i/>
        <w:sz w:val="18"/>
        <w:szCs w:val="22"/>
      </w:rPr>
    </w:pPr>
    <w:r w:rsidRPr="0054404D">
      <w:rPr>
        <w:rFonts w:ascii="Times New Roman" w:eastAsia="Calibri" w:hAnsi="Times New Roman"/>
        <w:i/>
        <w:sz w:val="18"/>
        <w:szCs w:val="22"/>
      </w:rPr>
      <w:t xml:space="preserve">                     </w:t>
    </w:r>
  </w:p>
  <w:p w14:paraId="6AFC34DD" w14:textId="77777777" w:rsidR="00B1315D" w:rsidRPr="0054404D" w:rsidRDefault="00B1315D" w:rsidP="00296529">
    <w:pPr>
      <w:tabs>
        <w:tab w:val="left" w:pos="2145"/>
      </w:tabs>
      <w:rPr>
        <w:rFonts w:ascii="Times New Roman" w:eastAsia="Calibri" w:hAnsi="Times New Roman"/>
        <w:i/>
        <w:sz w:val="18"/>
        <w:szCs w:val="22"/>
      </w:rPr>
    </w:pPr>
    <w:r w:rsidRPr="0054404D">
      <w:rPr>
        <w:rFonts w:ascii="Times New Roman" w:eastAsia="Calibri" w:hAnsi="Times New Roman"/>
        <w:i/>
        <w:sz w:val="18"/>
        <w:szCs w:val="22"/>
      </w:rPr>
      <w:tab/>
      <w:t>.</w:t>
    </w:r>
  </w:p>
  <w:p w14:paraId="6884F659" w14:textId="77777777" w:rsidR="00B1315D" w:rsidRPr="0054404D" w:rsidRDefault="00B1315D">
    <w:pPr>
      <w:pStyle w:val="Header"/>
    </w:pPr>
    <w:r w:rsidRPr="0054404D">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CDD90" w14:textId="43559A72" w:rsidR="00B1315D" w:rsidRDefault="00000000">
    <w:pPr>
      <w:pStyle w:val="Header"/>
    </w:pPr>
    <w:r>
      <w:rPr>
        <w:noProof/>
      </w:rPr>
      <w:pict w14:anchorId="557D4F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63" o:spid="_x0000_s1027" type="#_x0000_t136" style="position:absolute;margin-left:0;margin-top:0;width:249.9pt;height:27.7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04C8" w14:textId="1D6F6BBA" w:rsidR="00B1315D" w:rsidRDefault="00000000">
    <w:pPr>
      <w:pStyle w:val="Header"/>
    </w:pPr>
    <w:r>
      <w:rPr>
        <w:noProof/>
      </w:rPr>
      <w:pict w14:anchorId="526C3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64" o:spid="_x0000_s1026" type="#_x0000_t136" style="position:absolute;margin-left:0;margin-top:0;width:249.9pt;height:27.75pt;rotation:315;z-index:-25165209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CD44" w14:textId="2BB1CD31" w:rsidR="00B1315D" w:rsidRDefault="00000000">
    <w:pPr>
      <w:pStyle w:val="Header"/>
    </w:pPr>
    <w:r>
      <w:rPr>
        <w:noProof/>
      </w:rPr>
      <w:pict w14:anchorId="2C17E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62" o:spid="_x0000_s1025" type="#_x0000_t136" style="position:absolute;margin-left:0;margin-top:0;width:249.9pt;height:27.75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633682"/>
    <w:multiLevelType w:val="multilevel"/>
    <w:tmpl w:val="9D48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0642D2"/>
    <w:multiLevelType w:val="multilevel"/>
    <w:tmpl w:val="652E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7D4626E"/>
    <w:multiLevelType w:val="hybridMultilevel"/>
    <w:tmpl w:val="D9AAD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26F13"/>
    <w:multiLevelType w:val="hybridMultilevel"/>
    <w:tmpl w:val="FCE20A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619475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31827142">
    <w:abstractNumId w:val="18"/>
  </w:num>
  <w:num w:numId="3" w16cid:durableId="450248363">
    <w:abstractNumId w:val="27"/>
  </w:num>
  <w:num w:numId="4" w16cid:durableId="91239981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54500290">
    <w:abstractNumId w:val="9"/>
  </w:num>
  <w:num w:numId="6" w16cid:durableId="1624732169">
    <w:abstractNumId w:val="8"/>
  </w:num>
  <w:num w:numId="7" w16cid:durableId="545722481">
    <w:abstractNumId w:val="1"/>
  </w:num>
  <w:num w:numId="8" w16cid:durableId="875696901">
    <w:abstractNumId w:val="14"/>
  </w:num>
  <w:num w:numId="9" w16cid:durableId="426267592">
    <w:abstractNumId w:val="29"/>
  </w:num>
  <w:num w:numId="10" w16cid:durableId="1675186090">
    <w:abstractNumId w:val="2"/>
  </w:num>
  <w:num w:numId="11" w16cid:durableId="100148197">
    <w:abstractNumId w:val="22"/>
  </w:num>
  <w:num w:numId="12" w16cid:durableId="546065340">
    <w:abstractNumId w:val="4"/>
  </w:num>
  <w:num w:numId="13" w16cid:durableId="120421365">
    <w:abstractNumId w:val="21"/>
  </w:num>
  <w:num w:numId="14" w16cid:durableId="231359083">
    <w:abstractNumId w:val="10"/>
  </w:num>
  <w:num w:numId="15" w16cid:durableId="215706867">
    <w:abstractNumId w:val="25"/>
  </w:num>
  <w:num w:numId="16" w16cid:durableId="68114290">
    <w:abstractNumId w:val="6"/>
  </w:num>
  <w:num w:numId="17" w16cid:durableId="4132729">
    <w:abstractNumId w:val="26"/>
  </w:num>
  <w:num w:numId="18" w16cid:durableId="2143646583">
    <w:abstractNumId w:val="16"/>
  </w:num>
  <w:num w:numId="19" w16cid:durableId="1527476942">
    <w:abstractNumId w:val="32"/>
  </w:num>
  <w:num w:numId="20" w16cid:durableId="70397142">
    <w:abstractNumId w:val="13"/>
  </w:num>
  <w:num w:numId="21" w16cid:durableId="1229077776">
    <w:abstractNumId w:val="11"/>
  </w:num>
  <w:num w:numId="22" w16cid:durableId="2132362257">
    <w:abstractNumId w:val="15"/>
  </w:num>
  <w:num w:numId="23" w16cid:durableId="161892172">
    <w:abstractNumId w:val="23"/>
  </w:num>
  <w:num w:numId="24" w16cid:durableId="30885192">
    <w:abstractNumId w:val="30"/>
  </w:num>
  <w:num w:numId="25" w16cid:durableId="1791628805">
    <w:abstractNumId w:val="5"/>
  </w:num>
  <w:num w:numId="26" w16cid:durableId="189614743">
    <w:abstractNumId w:val="19"/>
  </w:num>
  <w:num w:numId="27" w16cid:durableId="455100515">
    <w:abstractNumId w:val="24"/>
  </w:num>
  <w:num w:numId="28" w16cid:durableId="174342975">
    <w:abstractNumId w:val="31"/>
  </w:num>
  <w:num w:numId="29" w16cid:durableId="330572805">
    <w:abstractNumId w:val="28"/>
  </w:num>
  <w:num w:numId="30" w16cid:durableId="1941256452">
    <w:abstractNumId w:val="12"/>
  </w:num>
  <w:num w:numId="31" w16cid:durableId="972950102">
    <w:abstractNumId w:val="17"/>
  </w:num>
  <w:num w:numId="32" w16cid:durableId="167183613">
    <w:abstractNumId w:val="3"/>
  </w:num>
  <w:num w:numId="33" w16cid:durableId="897939511">
    <w:abstractNumId w:val="7"/>
  </w:num>
  <w:num w:numId="34" w16cid:durableId="8063130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370"/>
    <w:rsid w:val="0000289E"/>
    <w:rsid w:val="000114E6"/>
    <w:rsid w:val="000132A4"/>
    <w:rsid w:val="0001502A"/>
    <w:rsid w:val="0002024C"/>
    <w:rsid w:val="00020DFD"/>
    <w:rsid w:val="00022946"/>
    <w:rsid w:val="000252CC"/>
    <w:rsid w:val="00025838"/>
    <w:rsid w:val="00027F5D"/>
    <w:rsid w:val="00030174"/>
    <w:rsid w:val="000302ED"/>
    <w:rsid w:val="000308A4"/>
    <w:rsid w:val="00034843"/>
    <w:rsid w:val="0003511C"/>
    <w:rsid w:val="000361A4"/>
    <w:rsid w:val="000375EE"/>
    <w:rsid w:val="0004050C"/>
    <w:rsid w:val="00041D0F"/>
    <w:rsid w:val="0004579C"/>
    <w:rsid w:val="000526E9"/>
    <w:rsid w:val="00054970"/>
    <w:rsid w:val="00054C46"/>
    <w:rsid w:val="00055060"/>
    <w:rsid w:val="000554BF"/>
    <w:rsid w:val="00056815"/>
    <w:rsid w:val="000632C6"/>
    <w:rsid w:val="00064F50"/>
    <w:rsid w:val="00070926"/>
    <w:rsid w:val="0007598E"/>
    <w:rsid w:val="0007780E"/>
    <w:rsid w:val="0008469C"/>
    <w:rsid w:val="00084A11"/>
    <w:rsid w:val="000858B9"/>
    <w:rsid w:val="00087168"/>
    <w:rsid w:val="00087F81"/>
    <w:rsid w:val="00094BC9"/>
    <w:rsid w:val="000A2143"/>
    <w:rsid w:val="000A21EE"/>
    <w:rsid w:val="000A239F"/>
    <w:rsid w:val="000A363D"/>
    <w:rsid w:val="000A47FA"/>
    <w:rsid w:val="000A4F33"/>
    <w:rsid w:val="000A65D3"/>
    <w:rsid w:val="000B1E33"/>
    <w:rsid w:val="000C190A"/>
    <w:rsid w:val="000C6330"/>
    <w:rsid w:val="000D38D3"/>
    <w:rsid w:val="000D689F"/>
    <w:rsid w:val="000E1B92"/>
    <w:rsid w:val="000E1FC0"/>
    <w:rsid w:val="000E687B"/>
    <w:rsid w:val="000E6FE3"/>
    <w:rsid w:val="000E774D"/>
    <w:rsid w:val="000E7B7B"/>
    <w:rsid w:val="000E7D62"/>
    <w:rsid w:val="000F3470"/>
    <w:rsid w:val="000F3CBF"/>
    <w:rsid w:val="000F7B09"/>
    <w:rsid w:val="001007F6"/>
    <w:rsid w:val="00102126"/>
    <w:rsid w:val="00102245"/>
    <w:rsid w:val="00102B74"/>
    <w:rsid w:val="00103357"/>
    <w:rsid w:val="00105E50"/>
    <w:rsid w:val="00107359"/>
    <w:rsid w:val="001126DA"/>
    <w:rsid w:val="001135E3"/>
    <w:rsid w:val="00113660"/>
    <w:rsid w:val="0011410F"/>
    <w:rsid w:val="00114906"/>
    <w:rsid w:val="0012309D"/>
    <w:rsid w:val="00123C9F"/>
    <w:rsid w:val="001246B8"/>
    <w:rsid w:val="00124DFD"/>
    <w:rsid w:val="0012524D"/>
    <w:rsid w:val="00126190"/>
    <w:rsid w:val="001267BD"/>
    <w:rsid w:val="001274FA"/>
    <w:rsid w:val="00130F17"/>
    <w:rsid w:val="001310CA"/>
    <w:rsid w:val="001320BF"/>
    <w:rsid w:val="00133E95"/>
    <w:rsid w:val="00140462"/>
    <w:rsid w:val="00141185"/>
    <w:rsid w:val="00147007"/>
    <w:rsid w:val="00150993"/>
    <w:rsid w:val="00150C62"/>
    <w:rsid w:val="0015186F"/>
    <w:rsid w:val="00151D8D"/>
    <w:rsid w:val="00152E32"/>
    <w:rsid w:val="00154391"/>
    <w:rsid w:val="00155A5A"/>
    <w:rsid w:val="00161432"/>
    <w:rsid w:val="00163BC4"/>
    <w:rsid w:val="00164FEC"/>
    <w:rsid w:val="00167606"/>
    <w:rsid w:val="001677D3"/>
    <w:rsid w:val="001700F7"/>
    <w:rsid w:val="00174AC1"/>
    <w:rsid w:val="00180638"/>
    <w:rsid w:val="00181945"/>
    <w:rsid w:val="00181D91"/>
    <w:rsid w:val="0018332E"/>
    <w:rsid w:val="0018432A"/>
    <w:rsid w:val="001859F3"/>
    <w:rsid w:val="00187234"/>
    <w:rsid w:val="001901ED"/>
    <w:rsid w:val="00191062"/>
    <w:rsid w:val="00192B72"/>
    <w:rsid w:val="00196DAA"/>
    <w:rsid w:val="001A29D8"/>
    <w:rsid w:val="001A2AEB"/>
    <w:rsid w:val="001A3FC1"/>
    <w:rsid w:val="001A4CC4"/>
    <w:rsid w:val="001A5CAA"/>
    <w:rsid w:val="001A7925"/>
    <w:rsid w:val="001B0427"/>
    <w:rsid w:val="001B1E3E"/>
    <w:rsid w:val="001B309C"/>
    <w:rsid w:val="001B7F21"/>
    <w:rsid w:val="001C3C28"/>
    <w:rsid w:val="001C59CA"/>
    <w:rsid w:val="001C5DE9"/>
    <w:rsid w:val="001D1C0A"/>
    <w:rsid w:val="001D22F8"/>
    <w:rsid w:val="001D2F33"/>
    <w:rsid w:val="001D3519"/>
    <w:rsid w:val="001D3A51"/>
    <w:rsid w:val="001D71B0"/>
    <w:rsid w:val="001E10D2"/>
    <w:rsid w:val="001E25B4"/>
    <w:rsid w:val="001E44FE"/>
    <w:rsid w:val="001F09D0"/>
    <w:rsid w:val="001F18FC"/>
    <w:rsid w:val="001F2314"/>
    <w:rsid w:val="001F2A7C"/>
    <w:rsid w:val="001F3823"/>
    <w:rsid w:val="001F57C5"/>
    <w:rsid w:val="00200391"/>
    <w:rsid w:val="00200595"/>
    <w:rsid w:val="002007E8"/>
    <w:rsid w:val="00200FD9"/>
    <w:rsid w:val="0020350E"/>
    <w:rsid w:val="00204835"/>
    <w:rsid w:val="00206DF6"/>
    <w:rsid w:val="0021345D"/>
    <w:rsid w:val="0021534C"/>
    <w:rsid w:val="0021706F"/>
    <w:rsid w:val="002239F5"/>
    <w:rsid w:val="00225D3C"/>
    <w:rsid w:val="00227B0B"/>
    <w:rsid w:val="00227DE4"/>
    <w:rsid w:val="00231920"/>
    <w:rsid w:val="0023195C"/>
    <w:rsid w:val="00232064"/>
    <w:rsid w:val="00233BE7"/>
    <w:rsid w:val="002346B5"/>
    <w:rsid w:val="00234856"/>
    <w:rsid w:val="00234C6B"/>
    <w:rsid w:val="00236B03"/>
    <w:rsid w:val="002370CA"/>
    <w:rsid w:val="00237968"/>
    <w:rsid w:val="0024281A"/>
    <w:rsid w:val="0024282C"/>
    <w:rsid w:val="002456DE"/>
    <w:rsid w:val="002460DC"/>
    <w:rsid w:val="00246461"/>
    <w:rsid w:val="00250985"/>
    <w:rsid w:val="002510E2"/>
    <w:rsid w:val="00251125"/>
    <w:rsid w:val="0025163C"/>
    <w:rsid w:val="00251FCB"/>
    <w:rsid w:val="002520DE"/>
    <w:rsid w:val="00252288"/>
    <w:rsid w:val="00253BC6"/>
    <w:rsid w:val="002556F6"/>
    <w:rsid w:val="002603DA"/>
    <w:rsid w:val="002630C9"/>
    <w:rsid w:val="00271BAB"/>
    <w:rsid w:val="00272A65"/>
    <w:rsid w:val="00273038"/>
    <w:rsid w:val="00277C41"/>
    <w:rsid w:val="0028066A"/>
    <w:rsid w:val="00283105"/>
    <w:rsid w:val="00283791"/>
    <w:rsid w:val="00284497"/>
    <w:rsid w:val="00284C4C"/>
    <w:rsid w:val="002873DA"/>
    <w:rsid w:val="00287E68"/>
    <w:rsid w:val="00290AF0"/>
    <w:rsid w:val="00291903"/>
    <w:rsid w:val="00294D06"/>
    <w:rsid w:val="002955E3"/>
    <w:rsid w:val="00295E48"/>
    <w:rsid w:val="00296529"/>
    <w:rsid w:val="002973AE"/>
    <w:rsid w:val="00297E5B"/>
    <w:rsid w:val="002A27C5"/>
    <w:rsid w:val="002A3B84"/>
    <w:rsid w:val="002A418B"/>
    <w:rsid w:val="002A67EA"/>
    <w:rsid w:val="002B02B2"/>
    <w:rsid w:val="002B0BEF"/>
    <w:rsid w:val="002B27FB"/>
    <w:rsid w:val="002B4AE1"/>
    <w:rsid w:val="002B685A"/>
    <w:rsid w:val="002B7C2B"/>
    <w:rsid w:val="002C3523"/>
    <w:rsid w:val="002C366A"/>
    <w:rsid w:val="002C57D2"/>
    <w:rsid w:val="002D0208"/>
    <w:rsid w:val="002D27EA"/>
    <w:rsid w:val="002D295A"/>
    <w:rsid w:val="002D383A"/>
    <w:rsid w:val="002D3907"/>
    <w:rsid w:val="002D5424"/>
    <w:rsid w:val="002D6B2B"/>
    <w:rsid w:val="002E0D56"/>
    <w:rsid w:val="002E0E43"/>
    <w:rsid w:val="002E0F31"/>
    <w:rsid w:val="002E2631"/>
    <w:rsid w:val="002E5A4F"/>
    <w:rsid w:val="002E5C8E"/>
    <w:rsid w:val="002E7DB0"/>
    <w:rsid w:val="002F039B"/>
    <w:rsid w:val="002F0814"/>
    <w:rsid w:val="002F1716"/>
    <w:rsid w:val="002F1E02"/>
    <w:rsid w:val="002F3313"/>
    <w:rsid w:val="002F5367"/>
    <w:rsid w:val="002F592D"/>
    <w:rsid w:val="002F644E"/>
    <w:rsid w:val="00300D65"/>
    <w:rsid w:val="003025D1"/>
    <w:rsid w:val="003049BF"/>
    <w:rsid w:val="00305A1B"/>
    <w:rsid w:val="00310013"/>
    <w:rsid w:val="00310BD1"/>
    <w:rsid w:val="00311EE5"/>
    <w:rsid w:val="00313B9C"/>
    <w:rsid w:val="00314E26"/>
    <w:rsid w:val="00314F4B"/>
    <w:rsid w:val="00315186"/>
    <w:rsid w:val="00316002"/>
    <w:rsid w:val="003170E1"/>
    <w:rsid w:val="00317273"/>
    <w:rsid w:val="00320175"/>
    <w:rsid w:val="0032138D"/>
    <w:rsid w:val="003213AA"/>
    <w:rsid w:val="00324B27"/>
    <w:rsid w:val="00325841"/>
    <w:rsid w:val="0032794D"/>
    <w:rsid w:val="0033005E"/>
    <w:rsid w:val="00330067"/>
    <w:rsid w:val="00331BE1"/>
    <w:rsid w:val="0033296F"/>
    <w:rsid w:val="00332B84"/>
    <w:rsid w:val="0033343E"/>
    <w:rsid w:val="0034359D"/>
    <w:rsid w:val="0034440F"/>
    <w:rsid w:val="003478E1"/>
    <w:rsid w:val="0034793D"/>
    <w:rsid w:val="003512C2"/>
    <w:rsid w:val="00351B1C"/>
    <w:rsid w:val="00355C58"/>
    <w:rsid w:val="003568E1"/>
    <w:rsid w:val="00356F8A"/>
    <w:rsid w:val="00360388"/>
    <w:rsid w:val="0036208B"/>
    <w:rsid w:val="0036578E"/>
    <w:rsid w:val="00367FF0"/>
    <w:rsid w:val="00371FB6"/>
    <w:rsid w:val="00374A82"/>
    <w:rsid w:val="003763C1"/>
    <w:rsid w:val="00376BBE"/>
    <w:rsid w:val="003829AB"/>
    <w:rsid w:val="00383B36"/>
    <w:rsid w:val="00383E0C"/>
    <w:rsid w:val="00384BF7"/>
    <w:rsid w:val="003872A1"/>
    <w:rsid w:val="0039207C"/>
    <w:rsid w:val="0039224F"/>
    <w:rsid w:val="003953A8"/>
    <w:rsid w:val="00396E29"/>
    <w:rsid w:val="003A43A4"/>
    <w:rsid w:val="003A5E45"/>
    <w:rsid w:val="003A63B6"/>
    <w:rsid w:val="003A7E18"/>
    <w:rsid w:val="003B142F"/>
    <w:rsid w:val="003B2AD4"/>
    <w:rsid w:val="003B370E"/>
    <w:rsid w:val="003B4484"/>
    <w:rsid w:val="003B5368"/>
    <w:rsid w:val="003C0655"/>
    <w:rsid w:val="003C098F"/>
    <w:rsid w:val="003C15C5"/>
    <w:rsid w:val="003C499B"/>
    <w:rsid w:val="003C4C86"/>
    <w:rsid w:val="003C4D5D"/>
    <w:rsid w:val="003C6258"/>
    <w:rsid w:val="003C67BB"/>
    <w:rsid w:val="003C7465"/>
    <w:rsid w:val="003D051F"/>
    <w:rsid w:val="003D19BA"/>
    <w:rsid w:val="003D224B"/>
    <w:rsid w:val="003D4420"/>
    <w:rsid w:val="003D495B"/>
    <w:rsid w:val="003E0BA8"/>
    <w:rsid w:val="003E2904"/>
    <w:rsid w:val="003E3775"/>
    <w:rsid w:val="003E3CA5"/>
    <w:rsid w:val="003E4483"/>
    <w:rsid w:val="003E5443"/>
    <w:rsid w:val="003E57BD"/>
    <w:rsid w:val="003E7BA8"/>
    <w:rsid w:val="003E7D4C"/>
    <w:rsid w:val="003F24A4"/>
    <w:rsid w:val="003F4927"/>
    <w:rsid w:val="003F5B8E"/>
    <w:rsid w:val="00400F85"/>
    <w:rsid w:val="00401927"/>
    <w:rsid w:val="0040278D"/>
    <w:rsid w:val="00405FC0"/>
    <w:rsid w:val="00405FD9"/>
    <w:rsid w:val="00407B5E"/>
    <w:rsid w:val="0041027F"/>
    <w:rsid w:val="00411BC4"/>
    <w:rsid w:val="00412475"/>
    <w:rsid w:val="00415D84"/>
    <w:rsid w:val="00415E51"/>
    <w:rsid w:val="004209B7"/>
    <w:rsid w:val="00423789"/>
    <w:rsid w:val="00423A2F"/>
    <w:rsid w:val="00423BF0"/>
    <w:rsid w:val="00425788"/>
    <w:rsid w:val="00425A91"/>
    <w:rsid w:val="00426317"/>
    <w:rsid w:val="00426610"/>
    <w:rsid w:val="0042796D"/>
    <w:rsid w:val="00430FD5"/>
    <w:rsid w:val="00431335"/>
    <w:rsid w:val="00432511"/>
    <w:rsid w:val="00435FE5"/>
    <w:rsid w:val="00440D9B"/>
    <w:rsid w:val="00440F43"/>
    <w:rsid w:val="00441278"/>
    <w:rsid w:val="00441323"/>
    <w:rsid w:val="00441B6F"/>
    <w:rsid w:val="00446221"/>
    <w:rsid w:val="00446636"/>
    <w:rsid w:val="00450E62"/>
    <w:rsid w:val="004539DB"/>
    <w:rsid w:val="00454703"/>
    <w:rsid w:val="00455515"/>
    <w:rsid w:val="00456291"/>
    <w:rsid w:val="004578E9"/>
    <w:rsid w:val="004614A6"/>
    <w:rsid w:val="004620A2"/>
    <w:rsid w:val="00462535"/>
    <w:rsid w:val="004675AD"/>
    <w:rsid w:val="00471A80"/>
    <w:rsid w:val="00473649"/>
    <w:rsid w:val="00474131"/>
    <w:rsid w:val="00474AD0"/>
    <w:rsid w:val="00480B29"/>
    <w:rsid w:val="00482687"/>
    <w:rsid w:val="004828FD"/>
    <w:rsid w:val="0048344C"/>
    <w:rsid w:val="00484845"/>
    <w:rsid w:val="0048507B"/>
    <w:rsid w:val="00491795"/>
    <w:rsid w:val="0049498C"/>
    <w:rsid w:val="0049684C"/>
    <w:rsid w:val="004978D8"/>
    <w:rsid w:val="004A5D11"/>
    <w:rsid w:val="004A695A"/>
    <w:rsid w:val="004B33C9"/>
    <w:rsid w:val="004B3A17"/>
    <w:rsid w:val="004B3B5A"/>
    <w:rsid w:val="004B3E3A"/>
    <w:rsid w:val="004B41CE"/>
    <w:rsid w:val="004B435E"/>
    <w:rsid w:val="004B5584"/>
    <w:rsid w:val="004C0900"/>
    <w:rsid w:val="004C2C99"/>
    <w:rsid w:val="004C36BD"/>
    <w:rsid w:val="004C3BD8"/>
    <w:rsid w:val="004C4070"/>
    <w:rsid w:val="004D2BEE"/>
    <w:rsid w:val="004D305E"/>
    <w:rsid w:val="004D357A"/>
    <w:rsid w:val="004D4277"/>
    <w:rsid w:val="004D452B"/>
    <w:rsid w:val="004D63F2"/>
    <w:rsid w:val="004E14BA"/>
    <w:rsid w:val="004E40E0"/>
    <w:rsid w:val="004F0081"/>
    <w:rsid w:val="004F0F0F"/>
    <w:rsid w:val="004F2964"/>
    <w:rsid w:val="004F66EB"/>
    <w:rsid w:val="004F68CA"/>
    <w:rsid w:val="004F6DC1"/>
    <w:rsid w:val="004F6F8D"/>
    <w:rsid w:val="00500FDB"/>
    <w:rsid w:val="00501747"/>
    <w:rsid w:val="00502516"/>
    <w:rsid w:val="00505F06"/>
    <w:rsid w:val="00506828"/>
    <w:rsid w:val="00506E06"/>
    <w:rsid w:val="0050774D"/>
    <w:rsid w:val="00515BFE"/>
    <w:rsid w:val="00516290"/>
    <w:rsid w:val="0052405E"/>
    <w:rsid w:val="0052425A"/>
    <w:rsid w:val="0053056E"/>
    <w:rsid w:val="00534088"/>
    <w:rsid w:val="00537310"/>
    <w:rsid w:val="00537EA5"/>
    <w:rsid w:val="005404BA"/>
    <w:rsid w:val="005424D1"/>
    <w:rsid w:val="00542CC2"/>
    <w:rsid w:val="0054404D"/>
    <w:rsid w:val="00545392"/>
    <w:rsid w:val="00545B92"/>
    <w:rsid w:val="00553831"/>
    <w:rsid w:val="00554FDA"/>
    <w:rsid w:val="00555112"/>
    <w:rsid w:val="005573BE"/>
    <w:rsid w:val="005575C5"/>
    <w:rsid w:val="00563143"/>
    <w:rsid w:val="00566584"/>
    <w:rsid w:val="00567338"/>
    <w:rsid w:val="00571D7A"/>
    <w:rsid w:val="0057376E"/>
    <w:rsid w:val="00574AD2"/>
    <w:rsid w:val="005813C7"/>
    <w:rsid w:val="00581E55"/>
    <w:rsid w:val="00585059"/>
    <w:rsid w:val="005854BB"/>
    <w:rsid w:val="0059323C"/>
    <w:rsid w:val="005A2470"/>
    <w:rsid w:val="005A313E"/>
    <w:rsid w:val="005A4602"/>
    <w:rsid w:val="005B1496"/>
    <w:rsid w:val="005B5919"/>
    <w:rsid w:val="005B5969"/>
    <w:rsid w:val="005B6384"/>
    <w:rsid w:val="005C1C3E"/>
    <w:rsid w:val="005C6F35"/>
    <w:rsid w:val="005C784C"/>
    <w:rsid w:val="005D136F"/>
    <w:rsid w:val="005D17F6"/>
    <w:rsid w:val="005D3AD2"/>
    <w:rsid w:val="005D6FD6"/>
    <w:rsid w:val="005D7291"/>
    <w:rsid w:val="005E2727"/>
    <w:rsid w:val="005E3C7B"/>
    <w:rsid w:val="005E50CF"/>
    <w:rsid w:val="005E5539"/>
    <w:rsid w:val="005E58C2"/>
    <w:rsid w:val="005E6C39"/>
    <w:rsid w:val="005F51C7"/>
    <w:rsid w:val="00602BF5"/>
    <w:rsid w:val="00605863"/>
    <w:rsid w:val="00606976"/>
    <w:rsid w:val="0061571A"/>
    <w:rsid w:val="00616A15"/>
    <w:rsid w:val="00617FDD"/>
    <w:rsid w:val="00622B44"/>
    <w:rsid w:val="0062345B"/>
    <w:rsid w:val="00623569"/>
    <w:rsid w:val="00623968"/>
    <w:rsid w:val="00623976"/>
    <w:rsid w:val="006248B7"/>
    <w:rsid w:val="00631645"/>
    <w:rsid w:val="00632ED4"/>
    <w:rsid w:val="00633614"/>
    <w:rsid w:val="00633F68"/>
    <w:rsid w:val="00636E56"/>
    <w:rsid w:val="00636EB2"/>
    <w:rsid w:val="006375B8"/>
    <w:rsid w:val="006419FE"/>
    <w:rsid w:val="0064399E"/>
    <w:rsid w:val="006455B4"/>
    <w:rsid w:val="00646ED3"/>
    <w:rsid w:val="00647ED9"/>
    <w:rsid w:val="00650880"/>
    <w:rsid w:val="006515F1"/>
    <w:rsid w:val="00652229"/>
    <w:rsid w:val="00653EF8"/>
    <w:rsid w:val="00653FFB"/>
    <w:rsid w:val="00656A8C"/>
    <w:rsid w:val="00662AD3"/>
    <w:rsid w:val="006633EF"/>
    <w:rsid w:val="00663E83"/>
    <w:rsid w:val="006647A1"/>
    <w:rsid w:val="006648AE"/>
    <w:rsid w:val="0066510A"/>
    <w:rsid w:val="006701D2"/>
    <w:rsid w:val="0067033C"/>
    <w:rsid w:val="00673D6E"/>
    <w:rsid w:val="00673F9F"/>
    <w:rsid w:val="0068020E"/>
    <w:rsid w:val="00680985"/>
    <w:rsid w:val="00682C9B"/>
    <w:rsid w:val="00683132"/>
    <w:rsid w:val="00686953"/>
    <w:rsid w:val="00687DEA"/>
    <w:rsid w:val="00687E67"/>
    <w:rsid w:val="00691119"/>
    <w:rsid w:val="00694166"/>
    <w:rsid w:val="006967F7"/>
    <w:rsid w:val="006A0556"/>
    <w:rsid w:val="006A250C"/>
    <w:rsid w:val="006A31C0"/>
    <w:rsid w:val="006A3AFE"/>
    <w:rsid w:val="006A5A83"/>
    <w:rsid w:val="006A647E"/>
    <w:rsid w:val="006A7299"/>
    <w:rsid w:val="006A7D6A"/>
    <w:rsid w:val="006B21D3"/>
    <w:rsid w:val="006B361B"/>
    <w:rsid w:val="006B3937"/>
    <w:rsid w:val="006B41E9"/>
    <w:rsid w:val="006B57D0"/>
    <w:rsid w:val="006B5904"/>
    <w:rsid w:val="006C4657"/>
    <w:rsid w:val="006C5188"/>
    <w:rsid w:val="006C6321"/>
    <w:rsid w:val="006C7BE1"/>
    <w:rsid w:val="006D2495"/>
    <w:rsid w:val="006D30FF"/>
    <w:rsid w:val="006D4594"/>
    <w:rsid w:val="006D6940"/>
    <w:rsid w:val="006D74DF"/>
    <w:rsid w:val="006E0968"/>
    <w:rsid w:val="006E38DD"/>
    <w:rsid w:val="006E3A1E"/>
    <w:rsid w:val="006E7273"/>
    <w:rsid w:val="006F11EC"/>
    <w:rsid w:val="006F4477"/>
    <w:rsid w:val="006F56B1"/>
    <w:rsid w:val="006F5A74"/>
    <w:rsid w:val="006F5B86"/>
    <w:rsid w:val="0070082C"/>
    <w:rsid w:val="00700D2C"/>
    <w:rsid w:val="00701BF9"/>
    <w:rsid w:val="007061FC"/>
    <w:rsid w:val="00706A6B"/>
    <w:rsid w:val="0070720D"/>
    <w:rsid w:val="0071003D"/>
    <w:rsid w:val="00712246"/>
    <w:rsid w:val="00713C50"/>
    <w:rsid w:val="007153CA"/>
    <w:rsid w:val="007210A9"/>
    <w:rsid w:val="007270EE"/>
    <w:rsid w:val="007329FE"/>
    <w:rsid w:val="007369E6"/>
    <w:rsid w:val="00742443"/>
    <w:rsid w:val="00746E59"/>
    <w:rsid w:val="00754B11"/>
    <w:rsid w:val="00754C9A"/>
    <w:rsid w:val="0075599A"/>
    <w:rsid w:val="0075739E"/>
    <w:rsid w:val="00760142"/>
    <w:rsid w:val="007615BF"/>
    <w:rsid w:val="00761816"/>
    <w:rsid w:val="0076181E"/>
    <w:rsid w:val="00761D52"/>
    <w:rsid w:val="007627CF"/>
    <w:rsid w:val="0076502E"/>
    <w:rsid w:val="007664AC"/>
    <w:rsid w:val="00766503"/>
    <w:rsid w:val="00770B46"/>
    <w:rsid w:val="007710AE"/>
    <w:rsid w:val="00772665"/>
    <w:rsid w:val="00773678"/>
    <w:rsid w:val="00776286"/>
    <w:rsid w:val="0077749E"/>
    <w:rsid w:val="007831D9"/>
    <w:rsid w:val="00790ADA"/>
    <w:rsid w:val="007939A6"/>
    <w:rsid w:val="00795B14"/>
    <w:rsid w:val="00796CF8"/>
    <w:rsid w:val="00796D46"/>
    <w:rsid w:val="007A721D"/>
    <w:rsid w:val="007B101D"/>
    <w:rsid w:val="007B396F"/>
    <w:rsid w:val="007B7932"/>
    <w:rsid w:val="007C009F"/>
    <w:rsid w:val="007C4DCF"/>
    <w:rsid w:val="007D2288"/>
    <w:rsid w:val="007D2F4C"/>
    <w:rsid w:val="007D30C0"/>
    <w:rsid w:val="007D78B1"/>
    <w:rsid w:val="007E03B8"/>
    <w:rsid w:val="007E088F"/>
    <w:rsid w:val="007E38FA"/>
    <w:rsid w:val="007E3A3A"/>
    <w:rsid w:val="007E4412"/>
    <w:rsid w:val="007E54C8"/>
    <w:rsid w:val="007F0787"/>
    <w:rsid w:val="007F1B0E"/>
    <w:rsid w:val="007F7B32"/>
    <w:rsid w:val="00800012"/>
    <w:rsid w:val="00804241"/>
    <w:rsid w:val="00804BC2"/>
    <w:rsid w:val="00806493"/>
    <w:rsid w:val="0081309B"/>
    <w:rsid w:val="0081431A"/>
    <w:rsid w:val="008162B5"/>
    <w:rsid w:val="00816B25"/>
    <w:rsid w:val="00822522"/>
    <w:rsid w:val="00824226"/>
    <w:rsid w:val="00824674"/>
    <w:rsid w:val="00827EC4"/>
    <w:rsid w:val="0083216F"/>
    <w:rsid w:val="00834052"/>
    <w:rsid w:val="008437B2"/>
    <w:rsid w:val="00846D11"/>
    <w:rsid w:val="00855FEC"/>
    <w:rsid w:val="00860000"/>
    <w:rsid w:val="008601DC"/>
    <w:rsid w:val="008609D7"/>
    <w:rsid w:val="00860B4B"/>
    <w:rsid w:val="00860C89"/>
    <w:rsid w:val="0086141A"/>
    <w:rsid w:val="00863BD3"/>
    <w:rsid w:val="008641ED"/>
    <w:rsid w:val="00866D66"/>
    <w:rsid w:val="008671C6"/>
    <w:rsid w:val="00870FC9"/>
    <w:rsid w:val="00874F7B"/>
    <w:rsid w:val="00875803"/>
    <w:rsid w:val="00876975"/>
    <w:rsid w:val="00881E22"/>
    <w:rsid w:val="008823F9"/>
    <w:rsid w:val="00883191"/>
    <w:rsid w:val="00893E8A"/>
    <w:rsid w:val="00896F28"/>
    <w:rsid w:val="00897FEC"/>
    <w:rsid w:val="00897FF0"/>
    <w:rsid w:val="008A06EF"/>
    <w:rsid w:val="008A259A"/>
    <w:rsid w:val="008A3058"/>
    <w:rsid w:val="008A3C68"/>
    <w:rsid w:val="008A55C4"/>
    <w:rsid w:val="008A755B"/>
    <w:rsid w:val="008B459E"/>
    <w:rsid w:val="008B5017"/>
    <w:rsid w:val="008B75FD"/>
    <w:rsid w:val="008C1F30"/>
    <w:rsid w:val="008C6C92"/>
    <w:rsid w:val="008D425E"/>
    <w:rsid w:val="008E00E1"/>
    <w:rsid w:val="008E13AE"/>
    <w:rsid w:val="008E1506"/>
    <w:rsid w:val="008E27B1"/>
    <w:rsid w:val="008E4170"/>
    <w:rsid w:val="008E51E8"/>
    <w:rsid w:val="008E5B53"/>
    <w:rsid w:val="008E710C"/>
    <w:rsid w:val="008F5B7F"/>
    <w:rsid w:val="008F69D6"/>
    <w:rsid w:val="00900C75"/>
    <w:rsid w:val="009019FA"/>
    <w:rsid w:val="00902277"/>
    <w:rsid w:val="00902823"/>
    <w:rsid w:val="009043AD"/>
    <w:rsid w:val="009129ED"/>
    <w:rsid w:val="00915CA6"/>
    <w:rsid w:val="00916604"/>
    <w:rsid w:val="009178B1"/>
    <w:rsid w:val="00920F35"/>
    <w:rsid w:val="0092647D"/>
    <w:rsid w:val="009268CE"/>
    <w:rsid w:val="00927834"/>
    <w:rsid w:val="0093050F"/>
    <w:rsid w:val="0093359B"/>
    <w:rsid w:val="00936B58"/>
    <w:rsid w:val="00941636"/>
    <w:rsid w:val="00943A37"/>
    <w:rsid w:val="009445E6"/>
    <w:rsid w:val="009475BD"/>
    <w:rsid w:val="009500A6"/>
    <w:rsid w:val="0095039D"/>
    <w:rsid w:val="009544C0"/>
    <w:rsid w:val="00956024"/>
    <w:rsid w:val="00956970"/>
    <w:rsid w:val="00956B7C"/>
    <w:rsid w:val="00957C18"/>
    <w:rsid w:val="00960A6A"/>
    <w:rsid w:val="00961DA2"/>
    <w:rsid w:val="0096397B"/>
    <w:rsid w:val="00965559"/>
    <w:rsid w:val="009659BA"/>
    <w:rsid w:val="00967B5C"/>
    <w:rsid w:val="00970D49"/>
    <w:rsid w:val="0097299C"/>
    <w:rsid w:val="00972FA3"/>
    <w:rsid w:val="009745F2"/>
    <w:rsid w:val="00982C01"/>
    <w:rsid w:val="00982E40"/>
    <w:rsid w:val="00983040"/>
    <w:rsid w:val="009836B4"/>
    <w:rsid w:val="009857F3"/>
    <w:rsid w:val="009915C5"/>
    <w:rsid w:val="00991CDC"/>
    <w:rsid w:val="00996363"/>
    <w:rsid w:val="00996569"/>
    <w:rsid w:val="009A05C5"/>
    <w:rsid w:val="009A28D2"/>
    <w:rsid w:val="009A3E4A"/>
    <w:rsid w:val="009B003A"/>
    <w:rsid w:val="009B1AE7"/>
    <w:rsid w:val="009B1C0A"/>
    <w:rsid w:val="009B20AE"/>
    <w:rsid w:val="009B3613"/>
    <w:rsid w:val="009B3FB9"/>
    <w:rsid w:val="009B427A"/>
    <w:rsid w:val="009B51E0"/>
    <w:rsid w:val="009B76DA"/>
    <w:rsid w:val="009B7793"/>
    <w:rsid w:val="009C2465"/>
    <w:rsid w:val="009C4EA5"/>
    <w:rsid w:val="009D042C"/>
    <w:rsid w:val="009D10F5"/>
    <w:rsid w:val="009D35A0"/>
    <w:rsid w:val="009D5063"/>
    <w:rsid w:val="009D60A3"/>
    <w:rsid w:val="009D6332"/>
    <w:rsid w:val="009D6997"/>
    <w:rsid w:val="009D7EB7"/>
    <w:rsid w:val="009E048A"/>
    <w:rsid w:val="009E08E9"/>
    <w:rsid w:val="009E10E5"/>
    <w:rsid w:val="009E1814"/>
    <w:rsid w:val="009E2081"/>
    <w:rsid w:val="009E2E36"/>
    <w:rsid w:val="009E32DB"/>
    <w:rsid w:val="009E3DB9"/>
    <w:rsid w:val="009E4487"/>
    <w:rsid w:val="009E6E35"/>
    <w:rsid w:val="009F0EDA"/>
    <w:rsid w:val="009F43DD"/>
    <w:rsid w:val="009F4D3B"/>
    <w:rsid w:val="009F65D6"/>
    <w:rsid w:val="00A03B96"/>
    <w:rsid w:val="00A05B19"/>
    <w:rsid w:val="00A1134E"/>
    <w:rsid w:val="00A11B9F"/>
    <w:rsid w:val="00A13056"/>
    <w:rsid w:val="00A14788"/>
    <w:rsid w:val="00A16BE1"/>
    <w:rsid w:val="00A22C84"/>
    <w:rsid w:val="00A24365"/>
    <w:rsid w:val="00A24E7E"/>
    <w:rsid w:val="00A258C3"/>
    <w:rsid w:val="00A27614"/>
    <w:rsid w:val="00A31430"/>
    <w:rsid w:val="00A31B6E"/>
    <w:rsid w:val="00A32B63"/>
    <w:rsid w:val="00A330EB"/>
    <w:rsid w:val="00A34137"/>
    <w:rsid w:val="00A347C0"/>
    <w:rsid w:val="00A34E54"/>
    <w:rsid w:val="00A37A46"/>
    <w:rsid w:val="00A41B15"/>
    <w:rsid w:val="00A44677"/>
    <w:rsid w:val="00A51431"/>
    <w:rsid w:val="00A539AD"/>
    <w:rsid w:val="00A54D68"/>
    <w:rsid w:val="00A566FF"/>
    <w:rsid w:val="00A56DAC"/>
    <w:rsid w:val="00A57AC9"/>
    <w:rsid w:val="00A57B20"/>
    <w:rsid w:val="00A6291A"/>
    <w:rsid w:val="00A64E76"/>
    <w:rsid w:val="00A6546E"/>
    <w:rsid w:val="00A74237"/>
    <w:rsid w:val="00A747D4"/>
    <w:rsid w:val="00A75DBF"/>
    <w:rsid w:val="00A774A6"/>
    <w:rsid w:val="00A80565"/>
    <w:rsid w:val="00A80E00"/>
    <w:rsid w:val="00A81295"/>
    <w:rsid w:val="00A813E9"/>
    <w:rsid w:val="00A86C67"/>
    <w:rsid w:val="00A94063"/>
    <w:rsid w:val="00AA2C14"/>
    <w:rsid w:val="00AA4694"/>
    <w:rsid w:val="00AA540F"/>
    <w:rsid w:val="00AA574D"/>
    <w:rsid w:val="00AA6219"/>
    <w:rsid w:val="00AA74E0"/>
    <w:rsid w:val="00AB0D32"/>
    <w:rsid w:val="00AB38CB"/>
    <w:rsid w:val="00AB5827"/>
    <w:rsid w:val="00AB703F"/>
    <w:rsid w:val="00AB7F00"/>
    <w:rsid w:val="00AC0683"/>
    <w:rsid w:val="00AC10BD"/>
    <w:rsid w:val="00AC1ABC"/>
    <w:rsid w:val="00AC2139"/>
    <w:rsid w:val="00AC6BB8"/>
    <w:rsid w:val="00AD0231"/>
    <w:rsid w:val="00AD1309"/>
    <w:rsid w:val="00AD3F96"/>
    <w:rsid w:val="00AD557F"/>
    <w:rsid w:val="00AE008F"/>
    <w:rsid w:val="00AF23D7"/>
    <w:rsid w:val="00AF6C32"/>
    <w:rsid w:val="00B00258"/>
    <w:rsid w:val="00B01FCD"/>
    <w:rsid w:val="00B0382C"/>
    <w:rsid w:val="00B04C47"/>
    <w:rsid w:val="00B05A75"/>
    <w:rsid w:val="00B127EA"/>
    <w:rsid w:val="00B1315D"/>
    <w:rsid w:val="00B13895"/>
    <w:rsid w:val="00B13AD2"/>
    <w:rsid w:val="00B15FF9"/>
    <w:rsid w:val="00B1776C"/>
    <w:rsid w:val="00B17CC2"/>
    <w:rsid w:val="00B209D8"/>
    <w:rsid w:val="00B21854"/>
    <w:rsid w:val="00B21F8A"/>
    <w:rsid w:val="00B24950"/>
    <w:rsid w:val="00B26192"/>
    <w:rsid w:val="00B32879"/>
    <w:rsid w:val="00B3318B"/>
    <w:rsid w:val="00B33374"/>
    <w:rsid w:val="00B362CF"/>
    <w:rsid w:val="00B42074"/>
    <w:rsid w:val="00B44D08"/>
    <w:rsid w:val="00B460F8"/>
    <w:rsid w:val="00B47614"/>
    <w:rsid w:val="00B52583"/>
    <w:rsid w:val="00B52896"/>
    <w:rsid w:val="00B5475D"/>
    <w:rsid w:val="00B56D3F"/>
    <w:rsid w:val="00B601E3"/>
    <w:rsid w:val="00B60C71"/>
    <w:rsid w:val="00B60ECD"/>
    <w:rsid w:val="00B62122"/>
    <w:rsid w:val="00B65923"/>
    <w:rsid w:val="00B65AF6"/>
    <w:rsid w:val="00B6629A"/>
    <w:rsid w:val="00B7224F"/>
    <w:rsid w:val="00B751BB"/>
    <w:rsid w:val="00B7668D"/>
    <w:rsid w:val="00B76AFE"/>
    <w:rsid w:val="00B80059"/>
    <w:rsid w:val="00B914C8"/>
    <w:rsid w:val="00B91C07"/>
    <w:rsid w:val="00B92685"/>
    <w:rsid w:val="00B93685"/>
    <w:rsid w:val="00B94584"/>
    <w:rsid w:val="00B950DB"/>
    <w:rsid w:val="00B95236"/>
    <w:rsid w:val="00B96BD9"/>
    <w:rsid w:val="00BA1B01"/>
    <w:rsid w:val="00BA220D"/>
    <w:rsid w:val="00BA2228"/>
    <w:rsid w:val="00BA2641"/>
    <w:rsid w:val="00BA6D90"/>
    <w:rsid w:val="00BB07E9"/>
    <w:rsid w:val="00BB0E00"/>
    <w:rsid w:val="00BB37AA"/>
    <w:rsid w:val="00BB6822"/>
    <w:rsid w:val="00BC14F3"/>
    <w:rsid w:val="00BC1638"/>
    <w:rsid w:val="00BC1EFA"/>
    <w:rsid w:val="00BC3FC9"/>
    <w:rsid w:val="00BC4492"/>
    <w:rsid w:val="00BC49FD"/>
    <w:rsid w:val="00BC53A0"/>
    <w:rsid w:val="00BC5BE1"/>
    <w:rsid w:val="00BC5E05"/>
    <w:rsid w:val="00BC6420"/>
    <w:rsid w:val="00BD1A31"/>
    <w:rsid w:val="00BD62D4"/>
    <w:rsid w:val="00BD6DE1"/>
    <w:rsid w:val="00BD7D54"/>
    <w:rsid w:val="00BD7D73"/>
    <w:rsid w:val="00BE1CB0"/>
    <w:rsid w:val="00BE3AFA"/>
    <w:rsid w:val="00BE5101"/>
    <w:rsid w:val="00BE62AD"/>
    <w:rsid w:val="00BF0DEF"/>
    <w:rsid w:val="00BF121F"/>
    <w:rsid w:val="00BF1F80"/>
    <w:rsid w:val="00BF3CE9"/>
    <w:rsid w:val="00BF5080"/>
    <w:rsid w:val="00BF5632"/>
    <w:rsid w:val="00BF6E5F"/>
    <w:rsid w:val="00BF7522"/>
    <w:rsid w:val="00C00602"/>
    <w:rsid w:val="00C01BF6"/>
    <w:rsid w:val="00C01FF7"/>
    <w:rsid w:val="00C02EAD"/>
    <w:rsid w:val="00C05086"/>
    <w:rsid w:val="00C07E47"/>
    <w:rsid w:val="00C101A5"/>
    <w:rsid w:val="00C11CF8"/>
    <w:rsid w:val="00C126A7"/>
    <w:rsid w:val="00C166EF"/>
    <w:rsid w:val="00C17EB0"/>
    <w:rsid w:val="00C21ABE"/>
    <w:rsid w:val="00C21E8E"/>
    <w:rsid w:val="00C25B57"/>
    <w:rsid w:val="00C27F5F"/>
    <w:rsid w:val="00C303FA"/>
    <w:rsid w:val="00C30A0F"/>
    <w:rsid w:val="00C31817"/>
    <w:rsid w:val="00C35CBC"/>
    <w:rsid w:val="00C37E61"/>
    <w:rsid w:val="00C40661"/>
    <w:rsid w:val="00C430FA"/>
    <w:rsid w:val="00C43436"/>
    <w:rsid w:val="00C4384B"/>
    <w:rsid w:val="00C504A4"/>
    <w:rsid w:val="00C50C87"/>
    <w:rsid w:val="00C554F1"/>
    <w:rsid w:val="00C567AC"/>
    <w:rsid w:val="00C57FAD"/>
    <w:rsid w:val="00C61FE7"/>
    <w:rsid w:val="00C6269A"/>
    <w:rsid w:val="00C640B9"/>
    <w:rsid w:val="00C70F1B"/>
    <w:rsid w:val="00C71249"/>
    <w:rsid w:val="00C71A47"/>
    <w:rsid w:val="00C73B52"/>
    <w:rsid w:val="00C7464C"/>
    <w:rsid w:val="00C751D3"/>
    <w:rsid w:val="00C7713B"/>
    <w:rsid w:val="00C77A46"/>
    <w:rsid w:val="00C83D23"/>
    <w:rsid w:val="00C85588"/>
    <w:rsid w:val="00C927FD"/>
    <w:rsid w:val="00C935E3"/>
    <w:rsid w:val="00C96F81"/>
    <w:rsid w:val="00CA1F20"/>
    <w:rsid w:val="00CA5989"/>
    <w:rsid w:val="00CA59B1"/>
    <w:rsid w:val="00CA6FAB"/>
    <w:rsid w:val="00CA754A"/>
    <w:rsid w:val="00CB0E93"/>
    <w:rsid w:val="00CB1605"/>
    <w:rsid w:val="00CB27FB"/>
    <w:rsid w:val="00CB3221"/>
    <w:rsid w:val="00CB42B7"/>
    <w:rsid w:val="00CB46CE"/>
    <w:rsid w:val="00CB60DE"/>
    <w:rsid w:val="00CB69C9"/>
    <w:rsid w:val="00CC0047"/>
    <w:rsid w:val="00CC4C1F"/>
    <w:rsid w:val="00CC53D5"/>
    <w:rsid w:val="00CC7335"/>
    <w:rsid w:val="00CC7737"/>
    <w:rsid w:val="00CC7C1D"/>
    <w:rsid w:val="00CD04B3"/>
    <w:rsid w:val="00CD2549"/>
    <w:rsid w:val="00CD25AE"/>
    <w:rsid w:val="00CD6755"/>
    <w:rsid w:val="00CD6856"/>
    <w:rsid w:val="00CD6C87"/>
    <w:rsid w:val="00CD6D9A"/>
    <w:rsid w:val="00CE0089"/>
    <w:rsid w:val="00CE22D5"/>
    <w:rsid w:val="00CE5705"/>
    <w:rsid w:val="00CE7693"/>
    <w:rsid w:val="00CE793C"/>
    <w:rsid w:val="00CF07AD"/>
    <w:rsid w:val="00CF193C"/>
    <w:rsid w:val="00CF1E0B"/>
    <w:rsid w:val="00CF288E"/>
    <w:rsid w:val="00CF4C98"/>
    <w:rsid w:val="00CF7FC4"/>
    <w:rsid w:val="00D0096E"/>
    <w:rsid w:val="00D00F0F"/>
    <w:rsid w:val="00D0126C"/>
    <w:rsid w:val="00D012C8"/>
    <w:rsid w:val="00D026D9"/>
    <w:rsid w:val="00D04F09"/>
    <w:rsid w:val="00D0566D"/>
    <w:rsid w:val="00D05CFC"/>
    <w:rsid w:val="00D060E4"/>
    <w:rsid w:val="00D077ED"/>
    <w:rsid w:val="00D1343F"/>
    <w:rsid w:val="00D13C83"/>
    <w:rsid w:val="00D159D0"/>
    <w:rsid w:val="00D173F1"/>
    <w:rsid w:val="00D20FE6"/>
    <w:rsid w:val="00D218AF"/>
    <w:rsid w:val="00D256B6"/>
    <w:rsid w:val="00D25DAB"/>
    <w:rsid w:val="00D26D16"/>
    <w:rsid w:val="00D275F6"/>
    <w:rsid w:val="00D35183"/>
    <w:rsid w:val="00D41ECD"/>
    <w:rsid w:val="00D42535"/>
    <w:rsid w:val="00D43034"/>
    <w:rsid w:val="00D43114"/>
    <w:rsid w:val="00D43BCF"/>
    <w:rsid w:val="00D4470F"/>
    <w:rsid w:val="00D44A4F"/>
    <w:rsid w:val="00D5085A"/>
    <w:rsid w:val="00D521AE"/>
    <w:rsid w:val="00D52256"/>
    <w:rsid w:val="00D555DF"/>
    <w:rsid w:val="00D5628C"/>
    <w:rsid w:val="00D6121A"/>
    <w:rsid w:val="00D61574"/>
    <w:rsid w:val="00D62287"/>
    <w:rsid w:val="00D62C91"/>
    <w:rsid w:val="00D6405B"/>
    <w:rsid w:val="00D70609"/>
    <w:rsid w:val="00D71B85"/>
    <w:rsid w:val="00D7387F"/>
    <w:rsid w:val="00D74C2D"/>
    <w:rsid w:val="00D74CB0"/>
    <w:rsid w:val="00D74D86"/>
    <w:rsid w:val="00D74DC2"/>
    <w:rsid w:val="00D802E7"/>
    <w:rsid w:val="00D81186"/>
    <w:rsid w:val="00D8295D"/>
    <w:rsid w:val="00D85A59"/>
    <w:rsid w:val="00D86E46"/>
    <w:rsid w:val="00D873F5"/>
    <w:rsid w:val="00D87463"/>
    <w:rsid w:val="00D93235"/>
    <w:rsid w:val="00D971CB"/>
    <w:rsid w:val="00DA03EC"/>
    <w:rsid w:val="00DA2986"/>
    <w:rsid w:val="00DA5537"/>
    <w:rsid w:val="00DA6CCA"/>
    <w:rsid w:val="00DA70A9"/>
    <w:rsid w:val="00DA76F5"/>
    <w:rsid w:val="00DA7ECE"/>
    <w:rsid w:val="00DB1A83"/>
    <w:rsid w:val="00DB58D8"/>
    <w:rsid w:val="00DB60CE"/>
    <w:rsid w:val="00DB654C"/>
    <w:rsid w:val="00DB6CA6"/>
    <w:rsid w:val="00DC1215"/>
    <w:rsid w:val="00DC13D1"/>
    <w:rsid w:val="00DC2A65"/>
    <w:rsid w:val="00DC54B2"/>
    <w:rsid w:val="00DC6B9A"/>
    <w:rsid w:val="00DC78AA"/>
    <w:rsid w:val="00DD1571"/>
    <w:rsid w:val="00DD399C"/>
    <w:rsid w:val="00DE0B36"/>
    <w:rsid w:val="00DE0C73"/>
    <w:rsid w:val="00DE15F0"/>
    <w:rsid w:val="00DE190C"/>
    <w:rsid w:val="00DE328D"/>
    <w:rsid w:val="00DE4FD7"/>
    <w:rsid w:val="00DE5663"/>
    <w:rsid w:val="00DE78AA"/>
    <w:rsid w:val="00DF1A7F"/>
    <w:rsid w:val="00DF1C04"/>
    <w:rsid w:val="00DF2964"/>
    <w:rsid w:val="00DF472A"/>
    <w:rsid w:val="00E00935"/>
    <w:rsid w:val="00E020A4"/>
    <w:rsid w:val="00E022C7"/>
    <w:rsid w:val="00E0528E"/>
    <w:rsid w:val="00E053D0"/>
    <w:rsid w:val="00E069DE"/>
    <w:rsid w:val="00E131A7"/>
    <w:rsid w:val="00E135DB"/>
    <w:rsid w:val="00E14264"/>
    <w:rsid w:val="00E15994"/>
    <w:rsid w:val="00E31065"/>
    <w:rsid w:val="00E3114E"/>
    <w:rsid w:val="00E31258"/>
    <w:rsid w:val="00E31A70"/>
    <w:rsid w:val="00E333C9"/>
    <w:rsid w:val="00E334CB"/>
    <w:rsid w:val="00E353C6"/>
    <w:rsid w:val="00E35B02"/>
    <w:rsid w:val="00E4071D"/>
    <w:rsid w:val="00E41774"/>
    <w:rsid w:val="00E4187C"/>
    <w:rsid w:val="00E443E0"/>
    <w:rsid w:val="00E460A2"/>
    <w:rsid w:val="00E46270"/>
    <w:rsid w:val="00E46607"/>
    <w:rsid w:val="00E4753A"/>
    <w:rsid w:val="00E507E8"/>
    <w:rsid w:val="00E513C6"/>
    <w:rsid w:val="00E5289C"/>
    <w:rsid w:val="00E5367B"/>
    <w:rsid w:val="00E560CD"/>
    <w:rsid w:val="00E66496"/>
    <w:rsid w:val="00E665EE"/>
    <w:rsid w:val="00E66B35"/>
    <w:rsid w:val="00E66B8B"/>
    <w:rsid w:val="00E66E10"/>
    <w:rsid w:val="00E70431"/>
    <w:rsid w:val="00E71AE8"/>
    <w:rsid w:val="00E74C99"/>
    <w:rsid w:val="00E75F19"/>
    <w:rsid w:val="00E769F6"/>
    <w:rsid w:val="00E8010C"/>
    <w:rsid w:val="00E806A2"/>
    <w:rsid w:val="00E82427"/>
    <w:rsid w:val="00E82C17"/>
    <w:rsid w:val="00E83D71"/>
    <w:rsid w:val="00E8407C"/>
    <w:rsid w:val="00E84F3C"/>
    <w:rsid w:val="00E84F61"/>
    <w:rsid w:val="00E86B07"/>
    <w:rsid w:val="00EA012C"/>
    <w:rsid w:val="00EA2878"/>
    <w:rsid w:val="00EA2B03"/>
    <w:rsid w:val="00EA361C"/>
    <w:rsid w:val="00EA472E"/>
    <w:rsid w:val="00EA4B35"/>
    <w:rsid w:val="00EB7E4D"/>
    <w:rsid w:val="00EC1664"/>
    <w:rsid w:val="00EC485D"/>
    <w:rsid w:val="00EC6A55"/>
    <w:rsid w:val="00EC7194"/>
    <w:rsid w:val="00ED0288"/>
    <w:rsid w:val="00ED0F8B"/>
    <w:rsid w:val="00ED191E"/>
    <w:rsid w:val="00ED45B4"/>
    <w:rsid w:val="00ED62AD"/>
    <w:rsid w:val="00EE0AD7"/>
    <w:rsid w:val="00EE2DEB"/>
    <w:rsid w:val="00EE4F65"/>
    <w:rsid w:val="00EE52CB"/>
    <w:rsid w:val="00EE5DCF"/>
    <w:rsid w:val="00EF18C2"/>
    <w:rsid w:val="00EF2A9F"/>
    <w:rsid w:val="00EF3F6F"/>
    <w:rsid w:val="00EF581D"/>
    <w:rsid w:val="00EF6E23"/>
    <w:rsid w:val="00EF7FD8"/>
    <w:rsid w:val="00EF7FE4"/>
    <w:rsid w:val="00F012CB"/>
    <w:rsid w:val="00F01BA3"/>
    <w:rsid w:val="00F040B4"/>
    <w:rsid w:val="00F06F59"/>
    <w:rsid w:val="00F07E54"/>
    <w:rsid w:val="00F17988"/>
    <w:rsid w:val="00F21667"/>
    <w:rsid w:val="00F22EF7"/>
    <w:rsid w:val="00F273E4"/>
    <w:rsid w:val="00F27FE5"/>
    <w:rsid w:val="00F30D73"/>
    <w:rsid w:val="00F30F21"/>
    <w:rsid w:val="00F32C02"/>
    <w:rsid w:val="00F36DF6"/>
    <w:rsid w:val="00F37141"/>
    <w:rsid w:val="00F375D8"/>
    <w:rsid w:val="00F4013A"/>
    <w:rsid w:val="00F4041F"/>
    <w:rsid w:val="00F40C8E"/>
    <w:rsid w:val="00F465E3"/>
    <w:rsid w:val="00F468E0"/>
    <w:rsid w:val="00F469F0"/>
    <w:rsid w:val="00F47FA4"/>
    <w:rsid w:val="00F53273"/>
    <w:rsid w:val="00F56272"/>
    <w:rsid w:val="00F56EB8"/>
    <w:rsid w:val="00F60C92"/>
    <w:rsid w:val="00F643B8"/>
    <w:rsid w:val="00F706EE"/>
    <w:rsid w:val="00F70EFC"/>
    <w:rsid w:val="00F722DB"/>
    <w:rsid w:val="00F73EE5"/>
    <w:rsid w:val="00F755E4"/>
    <w:rsid w:val="00F76C64"/>
    <w:rsid w:val="00F77D02"/>
    <w:rsid w:val="00F81991"/>
    <w:rsid w:val="00F81EB2"/>
    <w:rsid w:val="00F90D55"/>
    <w:rsid w:val="00F916AB"/>
    <w:rsid w:val="00F935E2"/>
    <w:rsid w:val="00FA2FF3"/>
    <w:rsid w:val="00FA74F8"/>
    <w:rsid w:val="00FB1998"/>
    <w:rsid w:val="00FB1E3E"/>
    <w:rsid w:val="00FB3A86"/>
    <w:rsid w:val="00FB3EA3"/>
    <w:rsid w:val="00FB46E0"/>
    <w:rsid w:val="00FC218E"/>
    <w:rsid w:val="00FC226A"/>
    <w:rsid w:val="00FC2D93"/>
    <w:rsid w:val="00FC4031"/>
    <w:rsid w:val="00FC5A6B"/>
    <w:rsid w:val="00FC5B05"/>
    <w:rsid w:val="00FD11A4"/>
    <w:rsid w:val="00FD3472"/>
    <w:rsid w:val="00FD3484"/>
    <w:rsid w:val="00FD36C8"/>
    <w:rsid w:val="00FD52F6"/>
    <w:rsid w:val="00FD6CFD"/>
    <w:rsid w:val="00FD6EF7"/>
    <w:rsid w:val="00FE2AF0"/>
    <w:rsid w:val="00FE5AD3"/>
    <w:rsid w:val="00FE5DCB"/>
    <w:rsid w:val="00FE7C5E"/>
    <w:rsid w:val="00FF0095"/>
    <w:rsid w:val="00FF127D"/>
    <w:rsid w:val="00FF1810"/>
    <w:rsid w:val="00FF2171"/>
    <w:rsid w:val="00FF2520"/>
    <w:rsid w:val="00FF2631"/>
    <w:rsid w:val="00FF46BF"/>
    <w:rsid w:val="00FF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30A07"/>
  <w15:docId w15:val="{C59A91D5-2CFD-4C9A-A6CD-DFB43723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cinsinresolver1">
    <w:name w:val="Mención sin resolver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C6B9A"/>
    <w:pPr>
      <w:spacing w:after="160" w:line="259" w:lineRule="auto"/>
      <w:ind w:left="720"/>
      <w:contextualSpacing/>
    </w:pPr>
    <w:rPr>
      <w:rFonts w:asciiTheme="minorHAnsi" w:eastAsiaTheme="minorHAnsi" w:hAnsiTheme="minorHAnsi" w:cstheme="minorBidi"/>
      <w:kern w:val="2"/>
      <w:sz w:val="22"/>
      <w:szCs w:val="22"/>
      <w:lang w:val="es-MX"/>
    </w:rPr>
  </w:style>
  <w:style w:type="character" w:customStyle="1" w:styleId="Mencinsinresolver2">
    <w:name w:val="Mención sin resolver2"/>
    <w:basedOn w:val="DefaultParagraphFont"/>
    <w:uiPriority w:val="99"/>
    <w:semiHidden/>
    <w:unhideWhenUsed/>
    <w:rsid w:val="009B1C0A"/>
    <w:rPr>
      <w:color w:val="605E5C"/>
      <w:shd w:val="clear" w:color="auto" w:fill="E1DFDD"/>
    </w:rPr>
  </w:style>
  <w:style w:type="character" w:customStyle="1" w:styleId="Mencinsinresolver3">
    <w:name w:val="Mención sin resolver3"/>
    <w:basedOn w:val="DefaultParagraphFont"/>
    <w:uiPriority w:val="99"/>
    <w:semiHidden/>
    <w:unhideWhenUsed/>
    <w:rsid w:val="00CD6C87"/>
    <w:rPr>
      <w:color w:val="605E5C"/>
      <w:shd w:val="clear" w:color="auto" w:fill="E1DFDD"/>
    </w:rPr>
  </w:style>
  <w:style w:type="paragraph" w:styleId="NormalWeb">
    <w:name w:val="Normal (Web)"/>
    <w:basedOn w:val="Normal"/>
    <w:uiPriority w:val="99"/>
    <w:semiHidden/>
    <w:unhideWhenUsed/>
    <w:rsid w:val="009B51E0"/>
    <w:pPr>
      <w:spacing w:before="100" w:beforeAutospacing="1" w:after="100" w:afterAutospacing="1"/>
    </w:pPr>
    <w:rPr>
      <w:rFonts w:ascii="Times New Roman" w:hAnsi="Times New Roman"/>
      <w:sz w:val="24"/>
      <w:szCs w:val="24"/>
      <w:lang w:val="es-MX" w:eastAsia="es-MX"/>
    </w:rPr>
  </w:style>
  <w:style w:type="character" w:customStyle="1" w:styleId="katex-mathml">
    <w:name w:val="katex-mathml"/>
    <w:basedOn w:val="DefaultParagraphFont"/>
    <w:rsid w:val="009B51E0"/>
  </w:style>
  <w:style w:type="character" w:customStyle="1" w:styleId="mord">
    <w:name w:val="mord"/>
    <w:basedOn w:val="DefaultParagraphFont"/>
    <w:rsid w:val="009B51E0"/>
  </w:style>
  <w:style w:type="character" w:customStyle="1" w:styleId="mrel">
    <w:name w:val="mrel"/>
    <w:basedOn w:val="DefaultParagraphFont"/>
    <w:rsid w:val="009B51E0"/>
  </w:style>
  <w:style w:type="character" w:customStyle="1" w:styleId="mbin">
    <w:name w:val="mbin"/>
    <w:basedOn w:val="DefaultParagraphFont"/>
    <w:rsid w:val="009B51E0"/>
  </w:style>
  <w:style w:type="character" w:customStyle="1" w:styleId="delimsizing">
    <w:name w:val="delimsizing"/>
    <w:basedOn w:val="DefaultParagraphFont"/>
    <w:rsid w:val="009B51E0"/>
  </w:style>
  <w:style w:type="character" w:customStyle="1" w:styleId="vlist-s">
    <w:name w:val="vlist-s"/>
    <w:basedOn w:val="DefaultParagraphFont"/>
    <w:rsid w:val="009B51E0"/>
  </w:style>
  <w:style w:type="character" w:customStyle="1" w:styleId="mpunct">
    <w:name w:val="mpunct"/>
    <w:basedOn w:val="DefaultParagraphFont"/>
    <w:rsid w:val="009B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5152094">
      <w:bodyDiv w:val="1"/>
      <w:marLeft w:val="0"/>
      <w:marRight w:val="0"/>
      <w:marTop w:val="0"/>
      <w:marBottom w:val="0"/>
      <w:divBdr>
        <w:top w:val="none" w:sz="0" w:space="0" w:color="auto"/>
        <w:left w:val="none" w:sz="0" w:space="0" w:color="auto"/>
        <w:bottom w:val="none" w:sz="0" w:space="0" w:color="auto"/>
        <w:right w:val="none" w:sz="0" w:space="0" w:color="auto"/>
      </w:divBdr>
    </w:div>
    <w:div w:id="10369545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2072398">
      <w:bodyDiv w:val="1"/>
      <w:marLeft w:val="0"/>
      <w:marRight w:val="0"/>
      <w:marTop w:val="0"/>
      <w:marBottom w:val="0"/>
      <w:divBdr>
        <w:top w:val="none" w:sz="0" w:space="0" w:color="auto"/>
        <w:left w:val="none" w:sz="0" w:space="0" w:color="auto"/>
        <w:bottom w:val="none" w:sz="0" w:space="0" w:color="auto"/>
        <w:right w:val="none" w:sz="0" w:space="0" w:color="auto"/>
      </w:divBdr>
    </w:div>
    <w:div w:id="53026532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001394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1812545">
      <w:bodyDiv w:val="1"/>
      <w:marLeft w:val="0"/>
      <w:marRight w:val="0"/>
      <w:marTop w:val="0"/>
      <w:marBottom w:val="0"/>
      <w:divBdr>
        <w:top w:val="none" w:sz="0" w:space="0" w:color="auto"/>
        <w:left w:val="none" w:sz="0" w:space="0" w:color="auto"/>
        <w:bottom w:val="none" w:sz="0" w:space="0" w:color="auto"/>
        <w:right w:val="none" w:sz="0" w:space="0" w:color="auto"/>
      </w:divBdr>
    </w:div>
    <w:div w:id="135017801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9465893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118289">
      <w:bodyDiv w:val="1"/>
      <w:marLeft w:val="0"/>
      <w:marRight w:val="0"/>
      <w:marTop w:val="0"/>
      <w:marBottom w:val="0"/>
      <w:divBdr>
        <w:top w:val="none" w:sz="0" w:space="0" w:color="auto"/>
        <w:left w:val="none" w:sz="0" w:space="0" w:color="auto"/>
        <w:bottom w:val="none" w:sz="0" w:space="0" w:color="auto"/>
        <w:right w:val="none" w:sz="0" w:space="0" w:color="auto"/>
      </w:divBdr>
      <w:divsChild>
        <w:div w:id="1384327668">
          <w:marLeft w:val="0"/>
          <w:marRight w:val="0"/>
          <w:marTop w:val="0"/>
          <w:marBottom w:val="0"/>
          <w:divBdr>
            <w:top w:val="none" w:sz="0" w:space="0" w:color="auto"/>
            <w:left w:val="none" w:sz="0" w:space="0" w:color="auto"/>
            <w:bottom w:val="none" w:sz="0" w:space="0" w:color="auto"/>
            <w:right w:val="none" w:sz="0" w:space="0" w:color="auto"/>
          </w:divBdr>
          <w:divsChild>
            <w:div w:id="1104575732">
              <w:marLeft w:val="0"/>
              <w:marRight w:val="0"/>
              <w:marTop w:val="0"/>
              <w:marBottom w:val="0"/>
              <w:divBdr>
                <w:top w:val="none" w:sz="0" w:space="0" w:color="auto"/>
                <w:left w:val="none" w:sz="0" w:space="0" w:color="auto"/>
                <w:bottom w:val="none" w:sz="0" w:space="0" w:color="auto"/>
                <w:right w:val="none" w:sz="0" w:space="0" w:color="auto"/>
              </w:divBdr>
              <w:divsChild>
                <w:div w:id="249388254">
                  <w:marLeft w:val="0"/>
                  <w:marRight w:val="0"/>
                  <w:marTop w:val="0"/>
                  <w:marBottom w:val="0"/>
                  <w:divBdr>
                    <w:top w:val="none" w:sz="0" w:space="0" w:color="auto"/>
                    <w:left w:val="none" w:sz="0" w:space="0" w:color="auto"/>
                    <w:bottom w:val="none" w:sz="0" w:space="0" w:color="auto"/>
                    <w:right w:val="none" w:sz="0" w:space="0" w:color="auto"/>
                  </w:divBdr>
                  <w:divsChild>
                    <w:div w:id="1830708605">
                      <w:marLeft w:val="0"/>
                      <w:marRight w:val="0"/>
                      <w:marTop w:val="0"/>
                      <w:marBottom w:val="0"/>
                      <w:divBdr>
                        <w:top w:val="none" w:sz="0" w:space="0" w:color="auto"/>
                        <w:left w:val="none" w:sz="0" w:space="0" w:color="auto"/>
                        <w:bottom w:val="none" w:sz="0" w:space="0" w:color="auto"/>
                        <w:right w:val="none" w:sz="0" w:space="0" w:color="auto"/>
                      </w:divBdr>
                      <w:divsChild>
                        <w:div w:id="84765633">
                          <w:marLeft w:val="0"/>
                          <w:marRight w:val="0"/>
                          <w:marTop w:val="0"/>
                          <w:marBottom w:val="0"/>
                          <w:divBdr>
                            <w:top w:val="none" w:sz="0" w:space="0" w:color="auto"/>
                            <w:left w:val="none" w:sz="0" w:space="0" w:color="auto"/>
                            <w:bottom w:val="none" w:sz="0" w:space="0" w:color="auto"/>
                            <w:right w:val="none" w:sz="0" w:space="0" w:color="auto"/>
                          </w:divBdr>
                          <w:divsChild>
                            <w:div w:id="1633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86/s12877-019-1348-z" TargetMode="External"/><Relationship Id="rId21" Type="http://schemas.openxmlformats.org/officeDocument/2006/relationships/hyperlink" Target="https://doi.org/10.3109/09638288809164103" TargetMode="External"/><Relationship Id="rId42" Type="http://schemas.openxmlformats.org/officeDocument/2006/relationships/hyperlink" Target="https://doi.org/10.3390/healthcare12080810" TargetMode="External"/><Relationship Id="rId47" Type="http://schemas.openxmlformats.org/officeDocument/2006/relationships/hyperlink" Target="https://doi.org/10.1002/wps.20996" TargetMode="External"/><Relationship Id="rId63" Type="http://schemas.openxmlformats.org/officeDocument/2006/relationships/hyperlink" Target="https://doi.org/10.5694/j.1326-5377.1986.tb101119.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86/s13690-020-00497-w" TargetMode="External"/><Relationship Id="rId29" Type="http://schemas.openxmlformats.org/officeDocument/2006/relationships/hyperlink" Target="https://doi.org/10.3389/fmed.2022.1092775" TargetMode="External"/><Relationship Id="rId11" Type="http://schemas.openxmlformats.org/officeDocument/2006/relationships/footer" Target="footer2.xml"/><Relationship Id="rId24" Type="http://schemas.openxmlformats.org/officeDocument/2006/relationships/hyperlink" Target="https://doi.org/10.1177/0046958020971184" TargetMode="External"/><Relationship Id="rId32" Type="http://schemas.openxmlformats.org/officeDocument/2006/relationships/hyperlink" Target="https://doi.org/10.1016/j.ssmph.2020.100642" TargetMode="External"/><Relationship Id="rId37" Type="http://schemas.openxmlformats.org/officeDocument/2006/relationships/hyperlink" Target="https://doi.org/10.9734/cjast/2024/v43i84423" TargetMode="External"/><Relationship Id="rId40" Type="http://schemas.openxmlformats.org/officeDocument/2006/relationships/hyperlink" Target="https://doi.org/10.1186/s12877-023-04106-7" TargetMode="External"/><Relationship Id="rId45" Type="http://schemas.openxmlformats.org/officeDocument/2006/relationships/hyperlink" Target="https://doi.org/10.1016/j.dialog.2023.100134" TargetMode="External"/><Relationship Id="rId53" Type="http://schemas.openxmlformats.org/officeDocument/2006/relationships/hyperlink" Target="https://doi.org/10.1016/j.pmrj.2015.01.018" TargetMode="External"/><Relationship Id="rId58" Type="http://schemas.openxmlformats.org/officeDocument/2006/relationships/hyperlink" Target="https://doi.org/10.21037/atm.2020.02.175" TargetMode="External"/><Relationship Id="rId66"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doi.org/10.1016/j.amepre.2023.10.008" TargetMode="External"/><Relationship Id="rId19" Type="http://schemas.openxmlformats.org/officeDocument/2006/relationships/hyperlink" Target="https://doi.org/10.7705/biomedica.5380" TargetMode="External"/><Relationship Id="rId14" Type="http://schemas.openxmlformats.org/officeDocument/2006/relationships/hyperlink" Target="https://doi.org/10.1111/jgs.18369" TargetMode="External"/><Relationship Id="rId22" Type="http://schemas.openxmlformats.org/officeDocument/2006/relationships/hyperlink" Target="https://www.ncbi.nlm.nih.gov/books/NBK396398/" TargetMode="External"/><Relationship Id="rId27" Type="http://schemas.openxmlformats.org/officeDocument/2006/relationships/hyperlink" Target="https://www.ncbi.nlm.nih.gov/books/NBK553126/" TargetMode="External"/><Relationship Id="rId30" Type="http://schemas.openxmlformats.org/officeDocument/2006/relationships/hyperlink" Target="https://doi.org/10.1002/pnp.665" TargetMode="External"/><Relationship Id="rId35" Type="http://schemas.openxmlformats.org/officeDocument/2006/relationships/hyperlink" Target="https://doi.org/10.1093/geronb/55.1.s41" TargetMode="External"/><Relationship Id="rId43" Type="http://schemas.openxmlformats.org/officeDocument/2006/relationships/hyperlink" Target="https://doi.org/10.1007/BF01364202" TargetMode="External"/><Relationship Id="rId48" Type="http://schemas.openxmlformats.org/officeDocument/2006/relationships/hyperlink" Target="https://doi.org/10.9734/cjast/2024/v43i94426" TargetMode="External"/><Relationship Id="rId56" Type="http://schemas.openxmlformats.org/officeDocument/2006/relationships/hyperlink" Target="https://doi.org/10.21149/9075" TargetMode="External"/><Relationship Id="rId64" Type="http://schemas.openxmlformats.org/officeDocument/2006/relationships/header" Target="header4.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doi.org/10.1097/01.NAJ.0000336406.45248.4c"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3390/ijerph18020661" TargetMode="External"/><Relationship Id="rId25" Type="http://schemas.openxmlformats.org/officeDocument/2006/relationships/hyperlink" Target="https://doi.org/10.1186/s12877-022-03466-w" TargetMode="External"/><Relationship Id="rId33" Type="http://schemas.openxmlformats.org/officeDocument/2006/relationships/hyperlink" Target="https://doi.org/10.1016/S2468-2667(20)30185-7" TargetMode="External"/><Relationship Id="rId38" Type="http://schemas.openxmlformats.org/officeDocument/2006/relationships/hyperlink" Target="https://doi.org/10.1016/j.clinthera.2021.05.005" TargetMode="External"/><Relationship Id="rId46" Type="http://schemas.openxmlformats.org/officeDocument/2006/relationships/hyperlink" Target="https://doi.org/10.1177/08982643231203755" TargetMode="External"/><Relationship Id="rId59" Type="http://schemas.openxmlformats.org/officeDocument/2006/relationships/hyperlink" Target="https://doi.org/10.1016/0022-3956(82)90033-4" TargetMode="External"/><Relationship Id="rId67" Type="http://schemas.openxmlformats.org/officeDocument/2006/relationships/header" Target="header6.xml"/><Relationship Id="rId20" Type="http://schemas.openxmlformats.org/officeDocument/2006/relationships/hyperlink" Target="https://doi.org/10.12865/CHSJ.50.02.02" TargetMode="External"/><Relationship Id="rId41" Type="http://schemas.openxmlformats.org/officeDocument/2006/relationships/hyperlink" Target="https://doi.org/10.1093/gerona/57.9.m569" TargetMode="External"/><Relationship Id="rId54" Type="http://schemas.openxmlformats.org/officeDocument/2006/relationships/hyperlink" Target="https://doi.org/10.1186/s12889-024-18110-y" TargetMode="External"/><Relationship Id="rId62" Type="http://schemas.openxmlformats.org/officeDocument/2006/relationships/hyperlink" Target="https://doi.org/10.7189/jogh.13.0406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archger.2015.08.019" TargetMode="External"/><Relationship Id="rId23" Type="http://schemas.openxmlformats.org/officeDocument/2006/relationships/hyperlink" Target="https://doi.org/10.1016/j.arr.2023.102001" TargetMode="External"/><Relationship Id="rId28" Type="http://schemas.openxmlformats.org/officeDocument/2006/relationships/hyperlink" Target="https://doi.org/10.1007/s12603-016-0771-5" TargetMode="External"/><Relationship Id="rId36" Type="http://schemas.openxmlformats.org/officeDocument/2006/relationships/hyperlink" Target="https://doi.org/10.9734/cjast/2024/v43i124455" TargetMode="External"/><Relationship Id="rId49" Type="http://schemas.openxmlformats.org/officeDocument/2006/relationships/hyperlink" Target="https://doi.org/10.3390/medicina59101711" TargetMode="External"/><Relationship Id="rId57" Type="http://schemas.openxmlformats.org/officeDocument/2006/relationships/hyperlink" Target="https://doi.org/10.1016/j.jphys.2022.06.007" TargetMode="External"/><Relationship Id="rId10" Type="http://schemas.openxmlformats.org/officeDocument/2006/relationships/footer" Target="footer1.xml"/><Relationship Id="rId31" Type="http://schemas.openxmlformats.org/officeDocument/2006/relationships/hyperlink" Target="https://doi.org/10.3390/ijerph20032554" TargetMode="External"/><Relationship Id="rId44" Type="http://schemas.openxmlformats.org/officeDocument/2006/relationships/hyperlink" Target="https://doi.org/10.1016/j.socscimed.2009.12.005" TargetMode="External"/><Relationship Id="rId52" Type="http://schemas.openxmlformats.org/officeDocument/2006/relationships/hyperlink" Target="https://doi.org/10.1016/j.puhe.2021.09.006" TargetMode="External"/><Relationship Id="rId60" Type="http://schemas.openxmlformats.org/officeDocument/2006/relationships/hyperlink" Target="https://doi.org/10.1016/j.jacc.2018.02.085" TargetMode="External"/><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016/j.jamda.2018.09.033" TargetMode="External"/><Relationship Id="rId39" Type="http://schemas.openxmlformats.org/officeDocument/2006/relationships/hyperlink" Target="https://doi.org/10.3402/gha.v7.23189" TargetMode="External"/><Relationship Id="rId34" Type="http://schemas.openxmlformats.org/officeDocument/2006/relationships/hyperlink" Target="https://doi.org/10.1093/geront/10.1_part_1.20" TargetMode="External"/><Relationship Id="rId50" Type="http://schemas.openxmlformats.org/officeDocument/2006/relationships/hyperlink" Target="https://doi.org/10.1186/s12955-015-0355-9" TargetMode="External"/><Relationship Id="rId55" Type="http://schemas.openxmlformats.org/officeDocument/2006/relationships/hyperlink" Target="https://doi.org/10.1371/journal.pone.02772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3DB3-9D9F-48AD-91DE-86E0B98C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18</Pages>
  <Words>9376</Words>
  <Characters>53446</Characters>
  <Application>Microsoft Office Word</Application>
  <DocSecurity>0</DocSecurity>
  <Lines>445</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62697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Editor-11</cp:lastModifiedBy>
  <cp:revision>3</cp:revision>
  <cp:lastPrinted>1999-07-06T11:00:00Z</cp:lastPrinted>
  <dcterms:created xsi:type="dcterms:W3CDTF">2025-02-22T20:12:00Z</dcterms:created>
  <dcterms:modified xsi:type="dcterms:W3CDTF">2025-02-24T07:49:00Z</dcterms:modified>
</cp:coreProperties>
</file>