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0D16" w14:textId="62614DC2" w:rsidR="00DF6E4E" w:rsidRPr="004A4381" w:rsidRDefault="007A75B5" w:rsidP="00DF6E4E">
      <w:pPr>
        <w:snapToGrid w:val="0"/>
        <w:spacing w:after="100" w:afterAutospacing="1"/>
        <w:jc w:val="right"/>
        <w:rPr>
          <w:rFonts w:ascii="Arial" w:eastAsia="Calibri" w:hAnsi="Arial" w:cs="Arial"/>
          <w:b/>
          <w:color w:val="000000" w:themeColor="text1"/>
          <w:sz w:val="36"/>
          <w:szCs w:val="36"/>
        </w:rPr>
      </w:pPr>
      <w:bookmarkStart w:id="0" w:name="_Hlk189475318"/>
      <w:r w:rsidRPr="004A4381">
        <w:rPr>
          <w:rFonts w:ascii="Arial" w:eastAsia="Calibri" w:hAnsi="Arial" w:cs="Arial"/>
          <w:b/>
          <w:sz w:val="36"/>
          <w:szCs w:val="36"/>
        </w:rPr>
        <w:t xml:space="preserve">Influence of </w:t>
      </w:r>
      <w:r w:rsidRPr="004A4381">
        <w:rPr>
          <w:rFonts w:ascii="Arial" w:eastAsia="Calibri" w:hAnsi="Arial" w:cs="Arial"/>
          <w:b/>
          <w:i/>
          <w:sz w:val="36"/>
          <w:szCs w:val="36"/>
        </w:rPr>
        <w:t xml:space="preserve">Acacia </w:t>
      </w:r>
      <w:proofErr w:type="spellStart"/>
      <w:r w:rsidRPr="004A4381">
        <w:rPr>
          <w:rFonts w:ascii="Arial" w:eastAsia="Calibri" w:hAnsi="Arial" w:cs="Arial"/>
          <w:b/>
          <w:i/>
          <w:sz w:val="36"/>
          <w:szCs w:val="36"/>
        </w:rPr>
        <w:t>senegal</w:t>
      </w:r>
      <w:proofErr w:type="spellEnd"/>
      <w:r w:rsidRPr="004A4381">
        <w:rPr>
          <w:rFonts w:ascii="Arial" w:eastAsia="Calibri" w:hAnsi="Arial" w:cs="Arial"/>
          <w:b/>
          <w:i/>
          <w:sz w:val="36"/>
          <w:szCs w:val="36"/>
        </w:rPr>
        <w:t xml:space="preserve"> </w:t>
      </w:r>
      <w:r w:rsidRPr="004A4381">
        <w:rPr>
          <w:rFonts w:ascii="Arial" w:eastAsia="Calibri" w:hAnsi="Arial" w:cs="Arial"/>
          <w:b/>
          <w:sz w:val="36"/>
          <w:szCs w:val="36"/>
        </w:rPr>
        <w:t>density on soil fertility in the western Sahel of Mali (</w:t>
      </w:r>
      <w:proofErr w:type="spellStart"/>
      <w:r w:rsidRPr="004A4381">
        <w:rPr>
          <w:rFonts w:ascii="Arial" w:eastAsia="Calibri" w:hAnsi="Arial" w:cs="Arial"/>
          <w:b/>
          <w:sz w:val="36"/>
          <w:szCs w:val="36"/>
        </w:rPr>
        <w:t>Nioro</w:t>
      </w:r>
      <w:proofErr w:type="spellEnd"/>
      <w:r w:rsidRPr="004A4381">
        <w:rPr>
          <w:rFonts w:ascii="Arial" w:eastAsia="Calibri" w:hAnsi="Arial" w:cs="Arial"/>
          <w:b/>
          <w:sz w:val="36"/>
          <w:szCs w:val="36"/>
        </w:rPr>
        <w:t>)</w:t>
      </w:r>
    </w:p>
    <w:bookmarkEnd w:id="0"/>
    <w:p w14:paraId="1BF69F8B" w14:textId="54B3A713" w:rsidR="00F305B8" w:rsidRPr="004A4381" w:rsidRDefault="00F305B8" w:rsidP="00DF6E4E">
      <w:pPr>
        <w:spacing w:line="480" w:lineRule="auto"/>
        <w:rPr>
          <w:rFonts w:ascii="Arial" w:eastAsia="Calibri" w:hAnsi="Arial" w:cs="Arial"/>
          <w:b/>
          <w:color w:val="000000" w:themeColor="text1"/>
          <w:sz w:val="22"/>
          <w:szCs w:val="22"/>
        </w:rPr>
      </w:pPr>
    </w:p>
    <w:p w14:paraId="0B1D5FFE" w14:textId="00F84FD2" w:rsidR="00A53A42" w:rsidRPr="004A4381" w:rsidRDefault="00A53A42" w:rsidP="00DF6E4E">
      <w:pPr>
        <w:spacing w:line="480" w:lineRule="auto"/>
        <w:rPr>
          <w:rFonts w:ascii="Arial" w:eastAsia="Calibri" w:hAnsi="Arial" w:cs="Arial"/>
          <w:sz w:val="18"/>
          <w:szCs w:val="18"/>
        </w:rPr>
      </w:pPr>
    </w:p>
    <w:p w14:paraId="511AD5C6" w14:textId="0D87E666" w:rsidR="00A53A42" w:rsidRPr="004A4381" w:rsidRDefault="00A53A42" w:rsidP="00DF6E4E">
      <w:pPr>
        <w:spacing w:line="480" w:lineRule="auto"/>
        <w:rPr>
          <w:rFonts w:ascii="Arial" w:eastAsia="Calibri" w:hAnsi="Arial" w:cs="Arial"/>
          <w:sz w:val="18"/>
          <w:szCs w:val="18"/>
        </w:rPr>
      </w:pPr>
    </w:p>
    <w:p w14:paraId="319E915A" w14:textId="2B3AE950" w:rsidR="00A53A42" w:rsidRPr="004A4381" w:rsidRDefault="00A53A42" w:rsidP="00DF6E4E">
      <w:pPr>
        <w:spacing w:line="480" w:lineRule="auto"/>
        <w:rPr>
          <w:rFonts w:ascii="Arial" w:eastAsia="Calibri" w:hAnsi="Arial" w:cs="Arial"/>
          <w:sz w:val="18"/>
          <w:szCs w:val="18"/>
        </w:rPr>
      </w:pPr>
    </w:p>
    <w:p w14:paraId="0E155DB5" w14:textId="77777777" w:rsidR="00A53A42" w:rsidRPr="004A4381" w:rsidRDefault="00A53A42" w:rsidP="00DF6E4E">
      <w:pPr>
        <w:spacing w:line="480" w:lineRule="auto"/>
        <w:rPr>
          <w:rFonts w:ascii="Arial" w:eastAsia="Calibri" w:hAnsi="Arial" w:cs="Arial"/>
          <w:sz w:val="18"/>
          <w:szCs w:val="18"/>
        </w:rPr>
      </w:pPr>
    </w:p>
    <w:p w14:paraId="387A1A38" w14:textId="77777777" w:rsidR="00DF6E4E" w:rsidRPr="004A4381" w:rsidRDefault="007A75B5" w:rsidP="00DF6E4E">
      <w:pPr>
        <w:snapToGrid w:val="0"/>
        <w:spacing w:after="240"/>
        <w:rPr>
          <w:rFonts w:ascii="Arial" w:hAnsi="Arial" w:cs="Arial"/>
          <w:sz w:val="20"/>
          <w:szCs w:val="20"/>
          <w:lang w:val="fr-FR"/>
        </w:rPr>
      </w:pPr>
      <w:r w:rsidRPr="004A4381">
        <w:rPr>
          <w:rFonts w:ascii="Arial" w:eastAsia="Calibri" w:hAnsi="Arial" w:cs="Arial"/>
          <w:b/>
          <w:color w:val="000000" w:themeColor="text1"/>
          <w:sz w:val="20"/>
          <w:szCs w:val="20"/>
          <w:lang w:val="fr-FR"/>
        </w:rPr>
        <w:t>ABSTRACT</w:t>
      </w:r>
    </w:p>
    <w:p w14:paraId="219BE039" w14:textId="7E2E71F8" w:rsidR="00DF6E4E" w:rsidRPr="004A4381" w:rsidRDefault="007A75B5" w:rsidP="00D80B9F">
      <w:pPr>
        <w:tabs>
          <w:tab w:val="left" w:pos="1450"/>
        </w:tabs>
        <w:spacing w:after="240"/>
        <w:rPr>
          <w:rFonts w:ascii="Arial" w:hAnsi="Arial" w:cs="Arial"/>
          <w:sz w:val="20"/>
          <w:szCs w:val="20"/>
        </w:rPr>
      </w:pP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colonizes the Western Sahel of Mali. This agroforestry species plays an important role in the socio-economic life of local populations. The density of this species has declined sharply recently because of climate change and anthropogenic factors. However, the influence of this density on soil fertility has been </w:t>
      </w:r>
      <w:r w:rsidR="00780BDF" w:rsidRPr="004A4381">
        <w:rPr>
          <w:rFonts w:ascii="Arial" w:hAnsi="Arial" w:cs="Arial"/>
          <w:sz w:val="20"/>
          <w:szCs w:val="20"/>
        </w:rPr>
        <w:t xml:space="preserve">documented </w:t>
      </w:r>
      <w:r w:rsidRPr="004A4381">
        <w:rPr>
          <w:rFonts w:ascii="Arial" w:hAnsi="Arial" w:cs="Arial"/>
          <w:sz w:val="20"/>
          <w:szCs w:val="20"/>
        </w:rPr>
        <w:t>in very</w:t>
      </w:r>
      <w:r w:rsidR="00D80B9F" w:rsidRPr="004A4381">
        <w:rPr>
          <w:rFonts w:ascii="Arial" w:hAnsi="Arial" w:cs="Arial"/>
          <w:sz w:val="20"/>
          <w:szCs w:val="20"/>
        </w:rPr>
        <w:t xml:space="preserve"> few studies in Mali. </w:t>
      </w:r>
      <w:r w:rsidRPr="004A4381">
        <w:rPr>
          <w:rFonts w:ascii="Arial" w:hAnsi="Arial" w:cs="Arial"/>
          <w:sz w:val="20"/>
          <w:szCs w:val="20"/>
        </w:rPr>
        <w:t xml:space="preserve">This study reports the influence of the density of natural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on soil fertility. Three municipalities of the region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and </w:t>
      </w:r>
      <w:proofErr w:type="spellStart"/>
      <w:r w:rsidR="00A47AA3" w:rsidRPr="004A4381">
        <w:rPr>
          <w:rFonts w:ascii="Arial" w:hAnsi="Arial" w:cs="Arial"/>
          <w:sz w:val="20"/>
          <w:szCs w:val="20"/>
        </w:rPr>
        <w:t>Korokodjo</w:t>
      </w:r>
      <w:proofErr w:type="spellEnd"/>
      <w:r w:rsidRPr="004A4381">
        <w:rPr>
          <w:rFonts w:ascii="Arial" w:hAnsi="Arial" w:cs="Arial"/>
          <w:sz w:val="20"/>
          <w:szCs w:val="20"/>
        </w:rPr>
        <w:t xml:space="preserve">) were selected for the study. At each site, three plots of </w:t>
      </w:r>
      <w:r w:rsidR="002F1293">
        <w:rPr>
          <w:rFonts w:ascii="Arial" w:hAnsi="Arial" w:cs="Arial"/>
          <w:sz w:val="20"/>
          <w:szCs w:val="20"/>
        </w:rPr>
        <w:t>25</w:t>
      </w:r>
      <w:r w:rsidRPr="004A4381">
        <w:rPr>
          <w:rFonts w:ascii="Arial" w:hAnsi="Arial" w:cs="Arial"/>
          <w:sz w:val="20"/>
          <w:szCs w:val="20"/>
        </w:rPr>
        <w:t>00 m</w:t>
      </w:r>
      <w:r w:rsidRPr="004A4381">
        <w:rPr>
          <w:rFonts w:ascii="Arial" w:hAnsi="Arial" w:cs="Arial"/>
          <w:sz w:val="20"/>
          <w:szCs w:val="20"/>
          <w:vertAlign w:val="superscript"/>
        </w:rPr>
        <w:t>2</w:t>
      </w:r>
      <w:r w:rsidRPr="004A4381">
        <w:rPr>
          <w:rFonts w:ascii="Arial" w:hAnsi="Arial" w:cs="Arial"/>
          <w:sz w:val="20"/>
          <w:szCs w:val="20"/>
        </w:rPr>
        <w:t xml:space="preserve"> each were marked out. The </w:t>
      </w:r>
      <w:r w:rsidRPr="004A4381">
        <w:rPr>
          <w:rFonts w:ascii="Arial" w:hAnsi="Arial" w:cs="Arial"/>
          <w:i/>
          <w:sz w:val="20"/>
          <w:szCs w:val="20"/>
        </w:rPr>
        <w:t>Acacia</w:t>
      </w:r>
      <w:r w:rsidRPr="004A4381">
        <w:rPr>
          <w:rFonts w:ascii="Arial" w:hAnsi="Arial" w:cs="Arial"/>
          <w:sz w:val="20"/>
          <w:szCs w:val="20"/>
        </w:rPr>
        <w:t xml:space="preserve"> woody stand within each </w:t>
      </w:r>
      <w:r w:rsidR="00857E04" w:rsidRPr="004A4381">
        <w:rPr>
          <w:rFonts w:ascii="Arial" w:hAnsi="Arial" w:cs="Arial"/>
          <w:sz w:val="20"/>
          <w:szCs w:val="20"/>
        </w:rPr>
        <w:t xml:space="preserve">plot </w:t>
      </w:r>
      <w:r w:rsidRPr="004A4381">
        <w:rPr>
          <w:rFonts w:ascii="Arial" w:hAnsi="Arial" w:cs="Arial"/>
          <w:sz w:val="20"/>
          <w:szCs w:val="20"/>
        </w:rPr>
        <w:t>was measured (basal circumference, total height, and circumference total height and circumference at 1.30</w:t>
      </w:r>
      <w:r w:rsidR="00F26C2B" w:rsidRPr="004A4381">
        <w:rPr>
          <w:rFonts w:ascii="Arial" w:hAnsi="Arial" w:cs="Arial"/>
          <w:sz w:val="20"/>
          <w:szCs w:val="20"/>
        </w:rPr>
        <w:t xml:space="preserve"> </w:t>
      </w:r>
      <w:r w:rsidRPr="004A4381">
        <w:rPr>
          <w:rFonts w:ascii="Arial" w:hAnsi="Arial" w:cs="Arial"/>
          <w:sz w:val="20"/>
          <w:szCs w:val="20"/>
        </w:rPr>
        <w:t>m). These measurements were preceded by an exhaustive inventory of the plants. Juvenile trees with a circumference of 10 cm were systematically counted and considered as regeneration.</w:t>
      </w:r>
      <w:r w:rsidR="00896937" w:rsidRPr="004A4381">
        <w:rPr>
          <w:rFonts w:ascii="Arial" w:hAnsi="Arial" w:cs="Arial"/>
          <w:sz w:val="20"/>
          <w:szCs w:val="20"/>
        </w:rPr>
        <w:t xml:space="preserve"> </w:t>
      </w:r>
      <w:r w:rsidRPr="004A4381">
        <w:rPr>
          <w:rFonts w:ascii="Arial" w:hAnsi="Arial" w:cs="Arial"/>
          <w:sz w:val="20"/>
          <w:szCs w:val="20"/>
        </w:rPr>
        <w:t>In parallel with these measurements, soil samples were taken from the tops and undersides of four-foot trees at the ends and centers of the meshes. A</w:t>
      </w:r>
      <w:r w:rsidR="00FA6BE8" w:rsidRPr="004A4381">
        <w:rPr>
          <w:rFonts w:ascii="Arial" w:hAnsi="Arial" w:cs="Arial"/>
          <w:sz w:val="20"/>
          <w:szCs w:val="20"/>
        </w:rPr>
        <w:t xml:space="preserve"> </w:t>
      </w:r>
      <w:r w:rsidRPr="004A4381">
        <w:rPr>
          <w:rFonts w:ascii="Arial" w:hAnsi="Arial" w:cs="Arial"/>
          <w:sz w:val="20"/>
          <w:szCs w:val="20"/>
        </w:rPr>
        <w:t xml:space="preserve">500 g composite sample was taken from these samples. These samples were sent to the </w:t>
      </w:r>
      <w:proofErr w:type="spellStart"/>
      <w:r w:rsidRPr="004A4381">
        <w:rPr>
          <w:rFonts w:ascii="Arial" w:hAnsi="Arial" w:cs="Arial"/>
          <w:sz w:val="20"/>
          <w:szCs w:val="20"/>
        </w:rPr>
        <w:t>Sotuba</w:t>
      </w:r>
      <w:proofErr w:type="spellEnd"/>
      <w:r w:rsidRPr="004A4381">
        <w:rPr>
          <w:rFonts w:ascii="Arial" w:hAnsi="Arial" w:cs="Arial"/>
          <w:sz w:val="20"/>
          <w:szCs w:val="20"/>
        </w:rPr>
        <w:t xml:space="preserve"> soil-water-plant laboratory for particle size</w:t>
      </w:r>
      <w:r w:rsidR="00501685" w:rsidRPr="004A4381">
        <w:rPr>
          <w:rFonts w:ascii="Arial" w:hAnsi="Arial" w:cs="Arial"/>
          <w:sz w:val="20"/>
          <w:szCs w:val="20"/>
        </w:rPr>
        <w:t xml:space="preserve"> and chemical</w:t>
      </w:r>
      <w:r w:rsidRPr="004A4381">
        <w:rPr>
          <w:rFonts w:ascii="Arial" w:hAnsi="Arial" w:cs="Arial"/>
          <w:sz w:val="20"/>
          <w:szCs w:val="20"/>
        </w:rPr>
        <w:t xml:space="preserve"> analysis. Natural stands are very dense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with an average of 690 </w:t>
      </w:r>
      <w:r w:rsidR="00E705EA" w:rsidRPr="004A4381">
        <w:rPr>
          <w:rFonts w:ascii="Arial" w:hAnsi="Arial" w:cs="Arial"/>
          <w:sz w:val="20"/>
          <w:szCs w:val="20"/>
        </w:rPr>
        <w:t>plants</w:t>
      </w:r>
      <w:r w:rsidRPr="004A4381">
        <w:rPr>
          <w:rFonts w:ascii="Arial" w:hAnsi="Arial" w:cs="Arial"/>
          <w:sz w:val="20"/>
          <w:szCs w:val="20"/>
        </w:rPr>
        <w:t xml:space="preserve">/ha, medium density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with 430 </w:t>
      </w:r>
      <w:r w:rsidR="00E705EA" w:rsidRPr="004A4381">
        <w:rPr>
          <w:rFonts w:ascii="Arial" w:hAnsi="Arial" w:cs="Arial"/>
          <w:sz w:val="20"/>
          <w:szCs w:val="20"/>
        </w:rPr>
        <w:t>plants</w:t>
      </w:r>
      <w:r w:rsidRPr="004A4381">
        <w:rPr>
          <w:rFonts w:ascii="Arial" w:hAnsi="Arial" w:cs="Arial"/>
          <w:sz w:val="20"/>
          <w:szCs w:val="20"/>
        </w:rPr>
        <w:t xml:space="preserve">/ha, and very low density in </w:t>
      </w:r>
      <w:proofErr w:type="spellStart"/>
      <w:r w:rsidR="00DF5206" w:rsidRPr="004A4381">
        <w:rPr>
          <w:rFonts w:ascii="Arial" w:hAnsi="Arial" w:cs="Arial"/>
          <w:sz w:val="20"/>
          <w:szCs w:val="20"/>
        </w:rPr>
        <w:t>Korokodjo</w:t>
      </w:r>
      <w:proofErr w:type="spellEnd"/>
      <w:r w:rsidRPr="004A4381">
        <w:rPr>
          <w:rFonts w:ascii="Arial" w:hAnsi="Arial" w:cs="Arial"/>
          <w:sz w:val="20"/>
          <w:szCs w:val="20"/>
        </w:rPr>
        <w:t xml:space="preserve">, with 120 </w:t>
      </w:r>
      <w:r w:rsidR="00E705EA" w:rsidRPr="004A4381">
        <w:rPr>
          <w:rFonts w:ascii="Arial" w:hAnsi="Arial" w:cs="Arial"/>
          <w:sz w:val="20"/>
          <w:szCs w:val="20"/>
        </w:rPr>
        <w:t>plants</w:t>
      </w:r>
      <w:r w:rsidRPr="004A4381">
        <w:rPr>
          <w:rFonts w:ascii="Arial" w:hAnsi="Arial" w:cs="Arial"/>
          <w:sz w:val="20"/>
          <w:szCs w:val="20"/>
        </w:rPr>
        <w:t>/ha. Circumferences show that these natural stands are very old. With a critical threshold of 0.6%, the soils in the study area were all deficient in organic carbon. The pH was very low at all three sites</w:t>
      </w:r>
      <w:r w:rsidR="006A5A14" w:rsidRPr="004A4381">
        <w:rPr>
          <w:rFonts w:ascii="Arial" w:hAnsi="Arial" w:cs="Arial"/>
          <w:sz w:val="20"/>
          <w:szCs w:val="20"/>
        </w:rPr>
        <w:t xml:space="preserve"> (</w:t>
      </w:r>
      <w:r w:rsidR="006A1631" w:rsidRPr="004A4381">
        <w:rPr>
          <w:rFonts w:ascii="Arial" w:hAnsi="Arial" w:cs="Arial"/>
          <w:sz w:val="20"/>
          <w:szCs w:val="20"/>
        </w:rPr>
        <w:t xml:space="preserve">6.36 </w:t>
      </w:r>
      <w:r w:rsidR="006A5A14" w:rsidRPr="004A4381">
        <w:rPr>
          <w:rFonts w:ascii="Arial" w:hAnsi="Arial" w:cs="Arial"/>
          <w:sz w:val="20"/>
          <w:szCs w:val="20"/>
        </w:rPr>
        <w:t>an average)</w:t>
      </w:r>
      <w:r w:rsidRPr="004A4381">
        <w:rPr>
          <w:rFonts w:ascii="Arial" w:hAnsi="Arial" w:cs="Arial"/>
          <w:sz w:val="20"/>
          <w:szCs w:val="20"/>
        </w:rPr>
        <w:t xml:space="preserve">. 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6FFCB690" w14:textId="77777777" w:rsidR="00DF6E4E" w:rsidRPr="004A4381" w:rsidRDefault="00DF6E4E" w:rsidP="00DF6E4E">
      <w:pPr>
        <w:tabs>
          <w:tab w:val="left" w:pos="1450"/>
        </w:tabs>
        <w:spacing w:after="240"/>
        <w:rPr>
          <w:rFonts w:ascii="Arial" w:hAnsi="Arial" w:cs="Arial"/>
          <w:sz w:val="20"/>
          <w:szCs w:val="20"/>
        </w:rPr>
        <w:sectPr w:rsidR="00DF6E4E" w:rsidRPr="004A4381" w:rsidSect="00DF6E4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720"/>
          <w:docGrid w:linePitch="360"/>
        </w:sectPr>
      </w:pPr>
    </w:p>
    <w:p w14:paraId="4CF4B06B" w14:textId="77777777" w:rsidR="00DF6E4E" w:rsidRPr="004A4381" w:rsidRDefault="007A75B5" w:rsidP="00D80B9F">
      <w:pPr>
        <w:widowControl/>
        <w:spacing w:before="240"/>
        <w:rPr>
          <w:rFonts w:ascii="Arial" w:hAnsi="Arial" w:cs="Arial"/>
          <w:sz w:val="20"/>
          <w:szCs w:val="20"/>
        </w:rPr>
        <w:sectPr w:rsidR="00DF6E4E" w:rsidRPr="004A4381" w:rsidSect="00C2752B">
          <w:type w:val="continuous"/>
          <w:pgSz w:w="11907" w:h="16840" w:code="9"/>
          <w:pgMar w:top="1418" w:right="1418" w:bottom="1418" w:left="1418" w:header="851" w:footer="992" w:gutter="0"/>
          <w:cols w:space="609"/>
          <w:docGrid w:linePitch="360"/>
        </w:sectPr>
      </w:pPr>
      <w:r w:rsidRPr="004A4381">
        <w:rPr>
          <w:rFonts w:ascii="Arial" w:hAnsi="Arial" w:cs="Arial"/>
          <w:b/>
          <w:sz w:val="20"/>
          <w:szCs w:val="20"/>
        </w:rPr>
        <w:t xml:space="preserve">Keywords: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soil fertility, density, Sahel, Mali</w:t>
      </w:r>
    </w:p>
    <w:p w14:paraId="6220C752" w14:textId="77777777" w:rsidR="00DF6E4E" w:rsidRPr="004A4381" w:rsidRDefault="00DF6E4E" w:rsidP="00DF6E4E">
      <w:pPr>
        <w:widowControl/>
        <w:spacing w:line="480" w:lineRule="auto"/>
        <w:jc w:val="left"/>
        <w:rPr>
          <w:rFonts w:ascii="Arial" w:hAnsi="Arial" w:cs="Arial"/>
          <w:b/>
          <w:sz w:val="20"/>
          <w:szCs w:val="20"/>
        </w:rPr>
        <w:sectPr w:rsidR="00DF6E4E" w:rsidRPr="004A4381" w:rsidSect="009225CA">
          <w:type w:val="continuous"/>
          <w:pgSz w:w="11907" w:h="16840" w:code="9"/>
          <w:pgMar w:top="1418" w:right="1418" w:bottom="1418" w:left="1418" w:header="851" w:footer="992" w:gutter="0"/>
          <w:cols w:num="2" w:space="609"/>
          <w:docGrid w:linePitch="360"/>
        </w:sectPr>
      </w:pPr>
    </w:p>
    <w:p w14:paraId="1E8B7573" w14:textId="77777777" w:rsidR="00DF6E4E" w:rsidRPr="004A4381" w:rsidRDefault="007A75B5" w:rsidP="00DF6E4E">
      <w:pPr>
        <w:widowControl/>
        <w:spacing w:line="480" w:lineRule="auto"/>
        <w:jc w:val="left"/>
        <w:rPr>
          <w:rStyle w:val="ShortAbstract"/>
          <w:rFonts w:ascii="Arial" w:eastAsia="MS Mincho" w:hAnsi="Arial" w:cs="Arial"/>
          <w:b/>
          <w:szCs w:val="20"/>
        </w:rPr>
      </w:pPr>
      <w:r w:rsidRPr="004A4381">
        <w:rPr>
          <w:rFonts w:ascii="Arial" w:hAnsi="Arial" w:cs="Arial"/>
          <w:b/>
          <w:sz w:val="20"/>
          <w:szCs w:val="20"/>
        </w:rPr>
        <w:t>INTRODUCTION</w:t>
      </w:r>
    </w:p>
    <w:p w14:paraId="2421EA56" w14:textId="11A410AF" w:rsidR="00DF6E4E" w:rsidRPr="004A4381" w:rsidRDefault="007A75B5" w:rsidP="00A706D3">
      <w:pPr>
        <w:tabs>
          <w:tab w:val="left" w:pos="1450"/>
        </w:tabs>
        <w:rPr>
          <w:rFonts w:ascii="Arial" w:hAnsi="Arial" w:cs="Arial"/>
          <w:sz w:val="20"/>
          <w:szCs w:val="20"/>
        </w:rPr>
      </w:pP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(gum tree) is a leguminous member of the Mimosaceae family and therefore has the property of fixing atmospheric nitrogen. It thus can replenish soils both through the abundance of their biomass and their ability to mobilize atmospheric nitrogen (Diallo </w:t>
      </w:r>
      <w:r w:rsidRPr="004A4381">
        <w:rPr>
          <w:rFonts w:ascii="Arial" w:hAnsi="Arial" w:cs="Arial"/>
          <w:i/>
          <w:sz w:val="20"/>
          <w:szCs w:val="20"/>
        </w:rPr>
        <w:t>et al.</w:t>
      </w:r>
      <w:r w:rsidRPr="004A4381">
        <w:rPr>
          <w:rFonts w:ascii="Arial" w:hAnsi="Arial" w:cs="Arial"/>
          <w:sz w:val="20"/>
          <w:szCs w:val="20"/>
        </w:rPr>
        <w:t xml:space="preserve">, 2012; </w:t>
      </w:r>
      <w:proofErr w:type="spellStart"/>
      <w:r w:rsidRPr="004A4381">
        <w:rPr>
          <w:rFonts w:ascii="Arial" w:hAnsi="Arial" w:cs="Arial"/>
          <w:sz w:val="20"/>
          <w:szCs w:val="20"/>
        </w:rPr>
        <w:t>Mbayngone</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2017). A cyclical process of decomposition of organic matter, production, and absorption of mineral elements enriches the soil near the tree, thus promoting good crop development when </w:t>
      </w:r>
      <w:r w:rsidR="00F26C2B" w:rsidRPr="004A4381">
        <w:rPr>
          <w:rFonts w:ascii="Arial" w:hAnsi="Arial" w:cs="Arial"/>
          <w:i/>
          <w:sz w:val="20"/>
          <w:szCs w:val="20"/>
        </w:rPr>
        <w:t>A</w:t>
      </w:r>
      <w:r w:rsidRPr="004A4381">
        <w:rPr>
          <w:rFonts w:ascii="Arial" w:hAnsi="Arial" w:cs="Arial"/>
          <w:i/>
          <w:sz w:val="20"/>
          <w:szCs w:val="20"/>
        </w:rPr>
        <w:t>cacia</w:t>
      </w:r>
      <w:r w:rsidRPr="004A4381">
        <w:rPr>
          <w:rFonts w:ascii="Arial" w:hAnsi="Arial" w:cs="Arial"/>
          <w:sz w:val="20"/>
          <w:szCs w:val="20"/>
        </w:rPr>
        <w:t xml:space="preserve"> is associated with rain-fed crops (</w:t>
      </w:r>
      <w:proofErr w:type="spellStart"/>
      <w:r w:rsidRPr="004A4381">
        <w:rPr>
          <w:rFonts w:ascii="Arial" w:hAnsi="Arial" w:cs="Arial"/>
          <w:sz w:val="20"/>
          <w:szCs w:val="20"/>
        </w:rPr>
        <w:t>Harmand</w:t>
      </w:r>
      <w:proofErr w:type="spellEnd"/>
      <w:r w:rsidRPr="004A4381">
        <w:rPr>
          <w:rFonts w:ascii="Arial" w:hAnsi="Arial" w:cs="Arial"/>
          <w:sz w:val="20"/>
          <w:szCs w:val="20"/>
        </w:rPr>
        <w:t xml:space="preserve"> et al., 1998). </w:t>
      </w:r>
      <w:r w:rsidR="00A706D3" w:rsidRPr="004A4381">
        <w:rPr>
          <w:rFonts w:ascii="Arial" w:hAnsi="Arial" w:cs="Arial"/>
          <w:sz w:val="20"/>
          <w:szCs w:val="20"/>
          <w:lang w:val="fr-FR"/>
        </w:rPr>
        <w:t xml:space="preserve">The </w:t>
      </w:r>
      <w:proofErr w:type="spellStart"/>
      <w:r w:rsidR="003A3D59" w:rsidRPr="004A4381">
        <w:rPr>
          <w:rFonts w:ascii="Arial" w:hAnsi="Arial" w:cs="Arial"/>
          <w:sz w:val="20"/>
          <w:szCs w:val="20"/>
          <w:lang w:val="fr-FR"/>
        </w:rPr>
        <w:t>region</w:t>
      </w:r>
      <w:proofErr w:type="spellEnd"/>
      <w:r w:rsidR="00A706D3" w:rsidRPr="004A4381">
        <w:rPr>
          <w:rFonts w:ascii="Arial" w:hAnsi="Arial" w:cs="Arial"/>
          <w:sz w:val="20"/>
          <w:szCs w:val="20"/>
          <w:lang w:val="fr-FR"/>
        </w:rPr>
        <w:t xml:space="preserve"> </w:t>
      </w:r>
      <w:r w:rsidR="003A3D59" w:rsidRPr="004A4381">
        <w:rPr>
          <w:rFonts w:ascii="Arial" w:hAnsi="Arial" w:cs="Arial"/>
          <w:sz w:val="20"/>
          <w:szCs w:val="20"/>
          <w:lang w:val="fr-FR"/>
        </w:rPr>
        <w:t>of</w:t>
      </w:r>
      <w:r w:rsidR="00A706D3" w:rsidRPr="004A4381">
        <w:rPr>
          <w:rFonts w:ascii="Arial" w:hAnsi="Arial" w:cs="Arial"/>
          <w:sz w:val="20"/>
          <w:szCs w:val="20"/>
          <w:lang w:val="fr-FR"/>
        </w:rPr>
        <w:t xml:space="preserve"> Nioro du Sahel </w:t>
      </w:r>
      <w:proofErr w:type="spellStart"/>
      <w:r w:rsidR="00A706D3" w:rsidRPr="004A4381">
        <w:rPr>
          <w:rFonts w:ascii="Arial" w:hAnsi="Arial" w:cs="Arial"/>
          <w:sz w:val="20"/>
          <w:szCs w:val="20"/>
          <w:lang w:val="fr-FR"/>
        </w:rPr>
        <w:t>is</w:t>
      </w:r>
      <w:proofErr w:type="spellEnd"/>
      <w:r w:rsidR="00A706D3" w:rsidRPr="004A4381">
        <w:rPr>
          <w:rFonts w:ascii="Arial" w:hAnsi="Arial" w:cs="Arial"/>
          <w:sz w:val="20"/>
          <w:szCs w:val="20"/>
          <w:lang w:val="fr-FR"/>
        </w:rPr>
        <w:t xml:space="preserve"> a </w:t>
      </w:r>
      <w:proofErr w:type="spellStart"/>
      <w:r w:rsidR="00A706D3" w:rsidRPr="004A4381">
        <w:rPr>
          <w:rFonts w:ascii="Arial" w:hAnsi="Arial" w:cs="Arial"/>
          <w:sz w:val="20"/>
          <w:szCs w:val="20"/>
          <w:lang w:val="fr-FR"/>
        </w:rPr>
        <w:t>preferred</w:t>
      </w:r>
      <w:proofErr w:type="spellEnd"/>
      <w:r w:rsidR="00A706D3" w:rsidRPr="004A4381">
        <w:rPr>
          <w:rFonts w:ascii="Arial" w:hAnsi="Arial" w:cs="Arial"/>
          <w:sz w:val="20"/>
          <w:szCs w:val="20"/>
          <w:lang w:val="fr-FR"/>
        </w:rPr>
        <w:t xml:space="preserve"> area for </w:t>
      </w:r>
      <w:proofErr w:type="spellStart"/>
      <w:r w:rsidR="00A706D3" w:rsidRPr="004A4381">
        <w:rPr>
          <w:rFonts w:ascii="Arial" w:hAnsi="Arial" w:cs="Arial"/>
          <w:sz w:val="20"/>
          <w:szCs w:val="20"/>
          <w:lang w:val="fr-FR"/>
        </w:rPr>
        <w:t>gum</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trees</w:t>
      </w:r>
      <w:proofErr w:type="spellEnd"/>
      <w:r w:rsidR="00A706D3" w:rsidRPr="004A4381">
        <w:rPr>
          <w:rFonts w:ascii="Arial" w:hAnsi="Arial" w:cs="Arial"/>
          <w:sz w:val="20"/>
          <w:szCs w:val="20"/>
          <w:lang w:val="fr-FR"/>
        </w:rPr>
        <w:t xml:space="preserve">, due to </w:t>
      </w:r>
      <w:proofErr w:type="spellStart"/>
      <w:r w:rsidR="00A706D3" w:rsidRPr="004A4381">
        <w:rPr>
          <w:rFonts w:ascii="Arial" w:hAnsi="Arial" w:cs="Arial"/>
          <w:sz w:val="20"/>
          <w:szCs w:val="20"/>
          <w:lang w:val="fr-FR"/>
        </w:rPr>
        <w:t>their</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resistance</w:t>
      </w:r>
      <w:proofErr w:type="spellEnd"/>
      <w:r w:rsidR="00A706D3" w:rsidRPr="004A4381">
        <w:rPr>
          <w:rFonts w:ascii="Arial" w:hAnsi="Arial" w:cs="Arial"/>
          <w:sz w:val="20"/>
          <w:szCs w:val="20"/>
          <w:lang w:val="fr-FR"/>
        </w:rPr>
        <w:t xml:space="preserve"> to </w:t>
      </w:r>
      <w:proofErr w:type="spellStart"/>
      <w:r w:rsidR="00A706D3" w:rsidRPr="004A4381">
        <w:rPr>
          <w:rFonts w:ascii="Arial" w:hAnsi="Arial" w:cs="Arial"/>
          <w:sz w:val="20"/>
          <w:szCs w:val="20"/>
          <w:lang w:val="fr-FR"/>
        </w:rPr>
        <w:t>climatic</w:t>
      </w:r>
      <w:proofErr w:type="spellEnd"/>
      <w:r w:rsidR="00A706D3" w:rsidRPr="004A4381">
        <w:rPr>
          <w:rFonts w:ascii="Arial" w:hAnsi="Arial" w:cs="Arial"/>
          <w:sz w:val="20"/>
          <w:szCs w:val="20"/>
          <w:lang w:val="fr-FR"/>
        </w:rPr>
        <w:t xml:space="preserve"> </w:t>
      </w:r>
      <w:proofErr w:type="spellStart"/>
      <w:r w:rsidR="00A706D3" w:rsidRPr="004A4381">
        <w:rPr>
          <w:rFonts w:ascii="Arial" w:hAnsi="Arial" w:cs="Arial"/>
          <w:sz w:val="20"/>
          <w:szCs w:val="20"/>
          <w:lang w:val="fr-FR"/>
        </w:rPr>
        <w:t>variability</w:t>
      </w:r>
      <w:proofErr w:type="spellEnd"/>
      <w:r w:rsidR="00A706D3" w:rsidRPr="004A4381">
        <w:rPr>
          <w:rFonts w:ascii="Arial" w:hAnsi="Arial" w:cs="Arial"/>
          <w:sz w:val="20"/>
          <w:szCs w:val="20"/>
          <w:lang w:val="fr-FR"/>
        </w:rPr>
        <w:t xml:space="preserve"> (Traoré et al., 2022).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is enjoying considerable growth, recognized not only for the environmental benefits of natural plantations but also for protecting soils against erosion, improving soil fertility through its branched root system, stabilizing dunes and shifting sands (</w:t>
      </w:r>
      <w:proofErr w:type="spellStart"/>
      <w:r w:rsidRPr="004A4381">
        <w:rPr>
          <w:rFonts w:ascii="Arial" w:hAnsi="Arial" w:cs="Arial"/>
          <w:sz w:val="20"/>
          <w:szCs w:val="20"/>
        </w:rPr>
        <w:t>Dommergues</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1994; </w:t>
      </w:r>
      <w:proofErr w:type="spellStart"/>
      <w:r w:rsidRPr="004A4381">
        <w:rPr>
          <w:rFonts w:ascii="Arial" w:hAnsi="Arial" w:cs="Arial"/>
          <w:sz w:val="20"/>
          <w:szCs w:val="20"/>
        </w:rPr>
        <w:t>Abaker</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2018) and reducing the rate of deforestation. The plant is also of economic interest for its gum production (</w:t>
      </w:r>
      <w:proofErr w:type="spellStart"/>
      <w:r w:rsidRPr="004A4381">
        <w:rPr>
          <w:rFonts w:ascii="Arial" w:hAnsi="Arial" w:cs="Arial"/>
          <w:sz w:val="20"/>
          <w:szCs w:val="20"/>
        </w:rPr>
        <w:t>Sall</w:t>
      </w:r>
      <w:proofErr w:type="spellEnd"/>
      <w:r w:rsidRPr="004A4381">
        <w:rPr>
          <w:rFonts w:ascii="Arial" w:hAnsi="Arial" w:cs="Arial"/>
          <w:sz w:val="20"/>
          <w:szCs w:val="20"/>
        </w:rPr>
        <w:t xml:space="preserve">, 1997; </w:t>
      </w:r>
      <w:proofErr w:type="spellStart"/>
      <w:r w:rsidRPr="004A4381">
        <w:rPr>
          <w:rFonts w:ascii="Arial" w:hAnsi="Arial" w:cs="Arial"/>
          <w:sz w:val="20"/>
          <w:szCs w:val="20"/>
        </w:rPr>
        <w:t>Sarr</w:t>
      </w:r>
      <w:proofErr w:type="spellEnd"/>
      <w:r w:rsidRPr="004A4381">
        <w:rPr>
          <w:rFonts w:ascii="Arial" w:hAnsi="Arial" w:cs="Arial"/>
          <w:sz w:val="20"/>
          <w:szCs w:val="20"/>
        </w:rPr>
        <w:t xml:space="preserve"> et </w:t>
      </w:r>
      <w:r w:rsidRPr="004A4381">
        <w:rPr>
          <w:rFonts w:ascii="Arial" w:hAnsi="Arial" w:cs="Arial"/>
          <w:i/>
          <w:sz w:val="20"/>
          <w:szCs w:val="20"/>
        </w:rPr>
        <w:t>al.</w:t>
      </w:r>
      <w:r w:rsidRPr="004A4381">
        <w:rPr>
          <w:rFonts w:ascii="Arial" w:hAnsi="Arial" w:cs="Arial"/>
          <w:sz w:val="20"/>
          <w:szCs w:val="20"/>
        </w:rPr>
        <w:t>, 2005). Under its crown, an abundant herbaceous carpet thrives, benefiting from its contribution of nitrogen and organic matter, which reinforces the anti-erosion effect of the tree’s roots. Details of the quantification of the species’ nitrogen supply and its contribution to the recycling of chemical elements (nitrification) have been extensively studied by (</w:t>
      </w:r>
      <w:proofErr w:type="spellStart"/>
      <w:r w:rsidRPr="004A4381">
        <w:rPr>
          <w:rFonts w:ascii="Arial" w:hAnsi="Arial" w:cs="Arial"/>
          <w:sz w:val="20"/>
          <w:szCs w:val="20"/>
        </w:rPr>
        <w:t>Dommergues</w:t>
      </w:r>
      <w:proofErr w:type="spellEnd"/>
      <w:r w:rsidRPr="004A4381">
        <w:rPr>
          <w:rFonts w:ascii="Arial" w:hAnsi="Arial" w:cs="Arial"/>
          <w:sz w:val="20"/>
          <w:szCs w:val="20"/>
        </w:rPr>
        <w:t>, 1993; Mallet et al., 2002), and studies are underway in North Cameroon and Senegal on the rhizobium symbiosis that enables this species to fix atmospheric nitrogen symbiotically.</w:t>
      </w:r>
    </w:p>
    <w:p w14:paraId="4427AF32" w14:textId="5E20CB96" w:rsidR="00DF6E4E" w:rsidRPr="004A4381" w:rsidRDefault="007A75B5" w:rsidP="00DF6E4E">
      <w:pPr>
        <w:tabs>
          <w:tab w:val="left" w:pos="1450"/>
        </w:tabs>
        <w:spacing w:before="240"/>
        <w:rPr>
          <w:rFonts w:ascii="Arial" w:hAnsi="Arial" w:cs="Arial"/>
          <w:sz w:val="20"/>
          <w:szCs w:val="20"/>
        </w:rPr>
      </w:pPr>
      <w:r w:rsidRPr="004A4381">
        <w:rPr>
          <w:rFonts w:ascii="Arial" w:hAnsi="Arial" w:cs="Arial"/>
          <w:sz w:val="20"/>
          <w:szCs w:val="20"/>
        </w:rPr>
        <w:lastRenderedPageBreak/>
        <w:t xml:space="preserve">Similar work has also been </w:t>
      </w:r>
      <w:r w:rsidR="00F26C2B" w:rsidRPr="004A4381">
        <w:rPr>
          <w:rFonts w:ascii="Arial" w:hAnsi="Arial" w:cs="Arial"/>
          <w:sz w:val="20"/>
          <w:szCs w:val="20"/>
        </w:rPr>
        <w:t>conducted</w:t>
      </w:r>
      <w:r w:rsidRPr="004A4381">
        <w:rPr>
          <w:rFonts w:ascii="Arial" w:hAnsi="Arial" w:cs="Arial"/>
          <w:sz w:val="20"/>
          <w:szCs w:val="20"/>
        </w:rPr>
        <w:t xml:space="preserve"> in the </w:t>
      </w:r>
      <w:proofErr w:type="spellStart"/>
      <w:r w:rsidRPr="004A4381">
        <w:rPr>
          <w:rFonts w:ascii="Arial" w:hAnsi="Arial" w:cs="Arial"/>
          <w:sz w:val="20"/>
          <w:szCs w:val="20"/>
        </w:rPr>
        <w:t>Ferlo</w:t>
      </w:r>
      <w:proofErr w:type="spellEnd"/>
      <w:r w:rsidRPr="004A4381">
        <w:rPr>
          <w:rFonts w:ascii="Arial" w:hAnsi="Arial" w:cs="Arial"/>
          <w:sz w:val="20"/>
          <w:szCs w:val="20"/>
        </w:rPr>
        <w:t xml:space="preserve"> in Senegal (Dione, 1996), in the </w:t>
      </w:r>
      <w:proofErr w:type="spellStart"/>
      <w:r w:rsidRPr="004A4381">
        <w:rPr>
          <w:rFonts w:ascii="Arial" w:hAnsi="Arial" w:cs="Arial"/>
          <w:sz w:val="20"/>
          <w:szCs w:val="20"/>
        </w:rPr>
        <w:t>Guéra</w:t>
      </w:r>
      <w:proofErr w:type="spellEnd"/>
      <w:r w:rsidRPr="004A4381">
        <w:rPr>
          <w:rFonts w:ascii="Arial" w:hAnsi="Arial" w:cs="Arial"/>
          <w:sz w:val="20"/>
          <w:szCs w:val="20"/>
        </w:rPr>
        <w:t xml:space="preserve"> region for the characterization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woody plants (</w:t>
      </w:r>
      <w:proofErr w:type="spellStart"/>
      <w:r w:rsidRPr="004A4381">
        <w:rPr>
          <w:rFonts w:ascii="Arial" w:hAnsi="Arial" w:cs="Arial"/>
          <w:sz w:val="20"/>
          <w:szCs w:val="20"/>
        </w:rPr>
        <w:t>Ngaryo</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2017). This work highlighted increases in the carbon (C) content ranging from 0.</w:t>
      </w:r>
      <w:r w:rsidR="00FF2AC3" w:rsidRPr="004A4381">
        <w:rPr>
          <w:rFonts w:ascii="Arial" w:hAnsi="Arial" w:cs="Arial"/>
          <w:sz w:val="20"/>
          <w:szCs w:val="20"/>
        </w:rPr>
        <w:t xml:space="preserve">11 </w:t>
      </w:r>
      <w:r w:rsidRPr="004A4381">
        <w:rPr>
          <w:rFonts w:ascii="Arial" w:hAnsi="Arial" w:cs="Arial"/>
          <w:sz w:val="20"/>
          <w:szCs w:val="20"/>
        </w:rPr>
        <w:t>to 0.</w:t>
      </w:r>
      <w:r w:rsidR="00FF2AC3" w:rsidRPr="004A4381">
        <w:rPr>
          <w:rFonts w:ascii="Arial" w:hAnsi="Arial" w:cs="Arial"/>
          <w:sz w:val="20"/>
          <w:szCs w:val="20"/>
        </w:rPr>
        <w:t xml:space="preserve">43 </w:t>
      </w:r>
      <w:r w:rsidRPr="004A4381">
        <w:rPr>
          <w:rFonts w:ascii="Arial" w:hAnsi="Arial" w:cs="Arial"/>
          <w:sz w:val="20"/>
          <w:szCs w:val="20"/>
        </w:rPr>
        <w:t>in the area and the assimilable soil nitrogen (N), cations, and phosphorus (P) under the crowns and outside the trees, creating islands of fertility. It also demonstrated that the transfer of nutrients by the roots to the surrounding land, although low, can restore the soil's mineral elements. Woody vegetation is sparse due to the nature of the soil (</w:t>
      </w:r>
      <w:proofErr w:type="spellStart"/>
      <w:r w:rsidRPr="004A4381">
        <w:rPr>
          <w:rFonts w:ascii="Arial" w:hAnsi="Arial" w:cs="Arial"/>
          <w:sz w:val="20"/>
          <w:szCs w:val="20"/>
        </w:rPr>
        <w:t>Soumaré</w:t>
      </w:r>
      <w:proofErr w:type="spellEnd"/>
      <w:r w:rsidRPr="004A4381">
        <w:rPr>
          <w:rFonts w:ascii="Arial" w:hAnsi="Arial" w:cs="Arial"/>
          <w:sz w:val="20"/>
          <w:szCs w:val="20"/>
        </w:rPr>
        <w:t xml:space="preserve"> et al., 2004). This species contributes to soil fertilization and poverty alleviation among the most vulnerable segments of the population in the Sahel, and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in particular, due to climatic deterioration (</w:t>
      </w:r>
      <w:proofErr w:type="spellStart"/>
      <w:r w:rsidRPr="004A4381">
        <w:rPr>
          <w:rFonts w:ascii="Arial" w:hAnsi="Arial" w:cs="Arial"/>
          <w:sz w:val="20"/>
          <w:szCs w:val="20"/>
        </w:rPr>
        <w:t>Mbayngone</w:t>
      </w:r>
      <w:proofErr w:type="spellEnd"/>
      <w:r w:rsidRPr="004A4381">
        <w:rPr>
          <w:rFonts w:ascii="Arial" w:hAnsi="Arial" w:cs="Arial"/>
          <w:sz w:val="20"/>
          <w:szCs w:val="20"/>
        </w:rPr>
        <w:t xml:space="preserve"> et al., 2017; </w:t>
      </w:r>
      <w:proofErr w:type="spellStart"/>
      <w:r w:rsidRPr="004A4381">
        <w:rPr>
          <w:rFonts w:ascii="Arial" w:hAnsi="Arial" w:cs="Arial"/>
          <w:sz w:val="20"/>
          <w:szCs w:val="20"/>
        </w:rPr>
        <w:t>Abaker</w:t>
      </w:r>
      <w:proofErr w:type="spellEnd"/>
      <w:r w:rsidRPr="004A4381">
        <w:rPr>
          <w:rFonts w:ascii="Arial" w:hAnsi="Arial" w:cs="Arial"/>
          <w:sz w:val="20"/>
          <w:szCs w:val="20"/>
        </w:rPr>
        <w:t xml:space="preserve"> et al., 2018). However, very few studies have been conducted in Mali on the determinism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density on soil fertility. This study aimed to determine the influence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 density on soil fertility in Mali’s western Sahel.</w:t>
      </w:r>
    </w:p>
    <w:p w14:paraId="4178F5B8" w14:textId="77777777" w:rsidR="00DF6E4E" w:rsidRPr="004A4381" w:rsidRDefault="007A75B5" w:rsidP="00DF6E4E">
      <w:pPr>
        <w:widowControl/>
        <w:spacing w:before="240" w:after="160"/>
        <w:rPr>
          <w:rFonts w:ascii="Arial" w:eastAsia="Calibri" w:hAnsi="Arial" w:cs="Arial"/>
          <w:b/>
          <w:sz w:val="20"/>
          <w:szCs w:val="20"/>
        </w:rPr>
      </w:pPr>
      <w:r w:rsidRPr="004A4381">
        <w:rPr>
          <w:rFonts w:ascii="Arial" w:eastAsia="Calibri" w:hAnsi="Arial" w:cs="Arial"/>
          <w:b/>
          <w:sz w:val="20"/>
          <w:szCs w:val="20"/>
        </w:rPr>
        <w:t xml:space="preserve">MATERIALS AND METHODS </w:t>
      </w:r>
    </w:p>
    <w:p w14:paraId="5877648A" w14:textId="77777777" w:rsidR="00DF6E4E" w:rsidRPr="004A4381" w:rsidRDefault="007A75B5" w:rsidP="00DF6E4E">
      <w:pPr>
        <w:spacing w:before="240" w:after="160"/>
        <w:rPr>
          <w:rFonts w:ascii="Arial" w:eastAsia="Times New Roman" w:hAnsi="Arial" w:cs="Arial"/>
          <w:b/>
          <w:sz w:val="20"/>
          <w:szCs w:val="20"/>
        </w:rPr>
      </w:pPr>
      <w:r w:rsidRPr="004A4381">
        <w:rPr>
          <w:rFonts w:ascii="Arial" w:eastAsia="Times New Roman" w:hAnsi="Arial" w:cs="Arial"/>
          <w:b/>
          <w:sz w:val="20"/>
          <w:szCs w:val="20"/>
        </w:rPr>
        <w:t>Material</w:t>
      </w:r>
    </w:p>
    <w:p w14:paraId="7758F405" w14:textId="2F2B425D"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plant used in this study was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L. </w:t>
      </w:r>
      <w:proofErr w:type="spellStart"/>
      <w:r w:rsidRPr="004A4381">
        <w:rPr>
          <w:rFonts w:ascii="Arial" w:hAnsi="Arial" w:cs="Arial"/>
          <w:sz w:val="20"/>
          <w:szCs w:val="20"/>
        </w:rPr>
        <w:t>Willd</w:t>
      </w:r>
      <w:proofErr w:type="spellEnd"/>
      <w:r w:rsidRPr="004A4381">
        <w:rPr>
          <w:rFonts w:ascii="Arial" w:hAnsi="Arial" w:cs="Arial"/>
          <w:sz w:val="20"/>
          <w:szCs w:val="20"/>
        </w:rPr>
        <w:t xml:space="preserve"> found on site.</w:t>
      </w:r>
    </w:p>
    <w:p w14:paraId="2A96679E" w14:textId="77777777" w:rsidR="00DF6E4E" w:rsidRPr="004A4381" w:rsidRDefault="007A75B5" w:rsidP="00DF6E4E">
      <w:pPr>
        <w:autoSpaceDE w:val="0"/>
        <w:autoSpaceDN w:val="0"/>
        <w:adjustRightInd w:val="0"/>
        <w:spacing w:before="240"/>
        <w:rPr>
          <w:rFonts w:ascii="Arial" w:eastAsia="Times New Roman" w:hAnsi="Arial" w:cs="Arial"/>
          <w:b/>
          <w:sz w:val="20"/>
          <w:szCs w:val="20"/>
        </w:rPr>
      </w:pPr>
      <w:r w:rsidRPr="004A4381">
        <w:rPr>
          <w:rFonts w:ascii="Arial" w:eastAsia="Times New Roman" w:hAnsi="Arial" w:cs="Arial"/>
          <w:b/>
          <w:sz w:val="20"/>
          <w:szCs w:val="20"/>
        </w:rPr>
        <w:t>Study area</w:t>
      </w:r>
    </w:p>
    <w:p w14:paraId="6711DF5A" w14:textId="44B63708" w:rsidR="00DF6E4E" w:rsidRPr="004A4381" w:rsidRDefault="007A75B5" w:rsidP="00DF6E4E">
      <w:pPr>
        <w:tabs>
          <w:tab w:val="left" w:pos="1450"/>
        </w:tabs>
        <w:spacing w:before="240"/>
        <w:rPr>
          <w:rFonts w:ascii="Arial" w:hAnsi="Arial" w:cs="Arial"/>
          <w:sz w:val="20"/>
          <w:szCs w:val="20"/>
        </w:rPr>
      </w:pPr>
      <w:r w:rsidRPr="004A4381">
        <w:rPr>
          <w:rFonts w:ascii="Arial" w:hAnsi="Arial" w:cs="Arial"/>
          <w:sz w:val="20"/>
          <w:szCs w:val="20"/>
        </w:rPr>
        <w:t>The study was conducted in the western Sahel region of Mali (</w:t>
      </w:r>
      <w:r w:rsidR="00CB7A7E" w:rsidRPr="004A4381">
        <w:rPr>
          <w:rFonts w:ascii="Arial" w:hAnsi="Arial" w:cs="Arial"/>
          <w:sz w:val="20"/>
          <w:szCs w:val="20"/>
        </w:rPr>
        <w:t>region of</w:t>
      </w:r>
      <w:r w:rsidRPr="004A4381">
        <w:rPr>
          <w:rFonts w:ascii="Arial" w:hAnsi="Arial" w:cs="Arial"/>
          <w:sz w:val="20"/>
          <w:szCs w:val="20"/>
        </w:rPr>
        <w:t xml:space="preserv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Figure 1 shows the location of the study sites.</w:t>
      </w:r>
    </w:p>
    <w:p w14:paraId="0C9DB474" w14:textId="63DC4CC2" w:rsidR="00F12DE0" w:rsidRPr="004A4381" w:rsidRDefault="007A75B5" w:rsidP="00F12DE0">
      <w:pPr>
        <w:tabs>
          <w:tab w:val="left" w:pos="1450"/>
        </w:tabs>
        <w:spacing w:before="240"/>
        <w:jc w:val="center"/>
        <w:rPr>
          <w:rFonts w:ascii="Arial" w:hAnsi="Arial" w:cs="Arial"/>
          <w:sz w:val="20"/>
          <w:szCs w:val="20"/>
        </w:rPr>
      </w:pPr>
      <w:r w:rsidRPr="004A4381">
        <w:rPr>
          <w:rFonts w:ascii="Arial" w:hAnsi="Arial" w:cs="Arial"/>
          <w:noProof/>
          <w:sz w:val="20"/>
          <w:szCs w:val="20"/>
          <w:lang w:val="fr-FR" w:eastAsia="fr-FR"/>
        </w:rPr>
        <w:drawing>
          <wp:inline distT="0" distB="0" distL="0" distR="0">
            <wp:extent cx="5327650" cy="3524250"/>
            <wp:effectExtent l="0" t="0" r="6350" b="0"/>
            <wp:docPr id="1" name="Image 1" descr="C:\Users\LENOVO\Desktop\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C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27650" cy="3524250"/>
                    </a:xfrm>
                    <a:prstGeom prst="rect">
                      <a:avLst/>
                    </a:prstGeom>
                    <a:noFill/>
                    <a:ln>
                      <a:noFill/>
                    </a:ln>
                  </pic:spPr>
                </pic:pic>
              </a:graphicData>
            </a:graphic>
          </wp:inline>
        </w:drawing>
      </w:r>
    </w:p>
    <w:p w14:paraId="7C327BE9" w14:textId="4E241B74" w:rsidR="00DD0131" w:rsidRPr="004A4381" w:rsidRDefault="00DD0131" w:rsidP="00DD0131">
      <w:pPr>
        <w:spacing w:after="160" w:line="480" w:lineRule="auto"/>
        <w:jc w:val="center"/>
        <w:rPr>
          <w:rFonts w:ascii="Arial" w:eastAsia="Times New Roman" w:hAnsi="Arial" w:cs="Arial"/>
          <w:color w:val="2E74B5"/>
          <w:sz w:val="24"/>
        </w:rPr>
      </w:pPr>
    </w:p>
    <w:p w14:paraId="0CB44E74" w14:textId="09CFD6A7" w:rsidR="00DD0131" w:rsidRPr="004A4381" w:rsidRDefault="007A75B5" w:rsidP="00DD0131">
      <w:pPr>
        <w:pStyle w:val="HTMLPreformatted"/>
        <w:rPr>
          <w:rFonts w:ascii="Arial" w:hAnsi="Arial" w:cs="Arial"/>
          <w:lang w:val="en-US"/>
        </w:rPr>
      </w:pPr>
      <w:r w:rsidRPr="004A4381">
        <w:rPr>
          <w:rFonts w:ascii="Arial" w:eastAsia="Calibri" w:hAnsi="Arial" w:cs="Arial"/>
          <w:b/>
          <w:bCs/>
          <w:lang w:val="en-US"/>
        </w:rPr>
        <w:t xml:space="preserve">Figure 1: </w:t>
      </w:r>
      <w:r w:rsidRPr="004A4381">
        <w:rPr>
          <w:rStyle w:val="y2iqfc"/>
          <w:rFonts w:ascii="Arial" w:hAnsi="Arial" w:cs="Arial"/>
          <w:lang w:val="en"/>
        </w:rPr>
        <w:t>Location of the study area in Mali</w:t>
      </w:r>
    </w:p>
    <w:p w14:paraId="33B2806C" w14:textId="7028B3B6" w:rsidR="00DF6E4E" w:rsidRPr="004A4381" w:rsidRDefault="007A75B5" w:rsidP="00DF6E4E">
      <w:pPr>
        <w:autoSpaceDE w:val="0"/>
        <w:autoSpaceDN w:val="0"/>
        <w:adjustRightInd w:val="0"/>
        <w:spacing w:before="240"/>
        <w:rPr>
          <w:rFonts w:ascii="Arial" w:eastAsia="Calibri" w:hAnsi="Arial" w:cs="Arial"/>
          <w:b/>
          <w:sz w:val="20"/>
          <w:szCs w:val="20"/>
        </w:rPr>
      </w:pPr>
      <w:r w:rsidRPr="004A4381">
        <w:rPr>
          <w:rFonts w:ascii="Arial" w:eastAsia="Calibri" w:hAnsi="Arial" w:cs="Arial"/>
          <w:b/>
          <w:sz w:val="20"/>
          <w:szCs w:val="20"/>
        </w:rPr>
        <w:t xml:space="preserve">Characterization of the natural stands of </w:t>
      </w:r>
      <w:r w:rsidR="007B5624" w:rsidRPr="004A4381">
        <w:rPr>
          <w:rFonts w:ascii="Arial" w:eastAsia="Calibri" w:hAnsi="Arial" w:cs="Arial"/>
          <w:b/>
          <w:i/>
          <w:sz w:val="20"/>
          <w:szCs w:val="20"/>
        </w:rPr>
        <w:t xml:space="preserve">Acacia </w:t>
      </w:r>
      <w:proofErr w:type="spellStart"/>
      <w:r w:rsidR="007B5624" w:rsidRPr="004A4381">
        <w:rPr>
          <w:rFonts w:ascii="Arial" w:eastAsia="Calibri" w:hAnsi="Arial" w:cs="Arial"/>
          <w:b/>
          <w:i/>
          <w:sz w:val="20"/>
          <w:szCs w:val="20"/>
        </w:rPr>
        <w:t>s</w:t>
      </w:r>
      <w:r w:rsidRPr="004A4381">
        <w:rPr>
          <w:rFonts w:ascii="Arial" w:eastAsia="Calibri" w:hAnsi="Arial" w:cs="Arial"/>
          <w:b/>
          <w:i/>
          <w:sz w:val="20"/>
          <w:szCs w:val="20"/>
        </w:rPr>
        <w:t>enegal</w:t>
      </w:r>
      <w:proofErr w:type="spellEnd"/>
    </w:p>
    <w:p w14:paraId="61F58B52" w14:textId="78BA9EC7" w:rsidR="00DF6E4E" w:rsidRPr="004A4381" w:rsidRDefault="007A75B5" w:rsidP="00DF6E4E">
      <w:pPr>
        <w:tabs>
          <w:tab w:val="left" w:pos="1450"/>
        </w:tabs>
        <w:spacing w:before="240" w:after="240"/>
        <w:rPr>
          <w:rFonts w:ascii="Arial" w:hAnsi="Arial" w:cs="Arial"/>
          <w:sz w:val="20"/>
          <w:szCs w:val="20"/>
        </w:rPr>
      </w:pPr>
      <w:r w:rsidRPr="004A4381">
        <w:rPr>
          <w:rFonts w:ascii="Arial" w:hAnsi="Arial" w:cs="Arial"/>
          <w:sz w:val="20"/>
          <w:szCs w:val="20"/>
        </w:rPr>
        <w:t xml:space="preserve">The inventory was </w:t>
      </w:r>
      <w:r w:rsidR="00233341" w:rsidRPr="004A4381">
        <w:rPr>
          <w:rFonts w:ascii="Arial" w:hAnsi="Arial" w:cs="Arial"/>
          <w:sz w:val="20"/>
          <w:szCs w:val="20"/>
        </w:rPr>
        <w:t>conducted</w:t>
      </w:r>
      <w:r w:rsidRPr="004A4381">
        <w:rPr>
          <w:rFonts w:ascii="Arial" w:hAnsi="Arial" w:cs="Arial"/>
          <w:sz w:val="20"/>
          <w:szCs w:val="20"/>
        </w:rPr>
        <w:t xml:space="preserve"> in </w:t>
      </w:r>
      <w:r w:rsidR="00233341" w:rsidRPr="004A4381">
        <w:rPr>
          <w:rFonts w:ascii="Arial" w:hAnsi="Arial" w:cs="Arial"/>
          <w:sz w:val="20"/>
          <w:szCs w:val="20"/>
        </w:rPr>
        <w:t xml:space="preserve">2500 </w:t>
      </w:r>
      <w:r w:rsidRPr="004A4381">
        <w:rPr>
          <w:rFonts w:ascii="Arial" w:hAnsi="Arial" w:cs="Arial"/>
          <w:sz w:val="20"/>
          <w:szCs w:val="20"/>
        </w:rPr>
        <w:t>m</w:t>
      </w:r>
      <w:r w:rsidRPr="004A4381">
        <w:rPr>
          <w:rFonts w:ascii="Arial" w:hAnsi="Arial" w:cs="Arial"/>
          <w:sz w:val="20"/>
          <w:szCs w:val="20"/>
          <w:vertAlign w:val="superscript"/>
        </w:rPr>
        <w:t>2</w:t>
      </w:r>
      <w:r w:rsidRPr="004A4381">
        <w:rPr>
          <w:rFonts w:ascii="Arial" w:hAnsi="Arial" w:cs="Arial"/>
          <w:sz w:val="20"/>
          <w:szCs w:val="20"/>
        </w:rPr>
        <w:t xml:space="preserve"> plots (</w:t>
      </w:r>
      <w:r w:rsidR="00683693" w:rsidRPr="004A4381">
        <w:rPr>
          <w:rFonts w:ascii="Arial" w:hAnsi="Arial" w:cs="Arial"/>
          <w:sz w:val="20"/>
          <w:szCs w:val="20"/>
        </w:rPr>
        <w:t>25</w:t>
      </w:r>
      <w:r w:rsidRPr="004A4381">
        <w:rPr>
          <w:rFonts w:ascii="Arial" w:hAnsi="Arial" w:cs="Arial"/>
          <w:sz w:val="20"/>
          <w:szCs w:val="20"/>
        </w:rPr>
        <w:t xml:space="preserve"> x </w:t>
      </w:r>
      <w:r w:rsidR="00683693" w:rsidRPr="004A4381">
        <w:rPr>
          <w:rFonts w:ascii="Arial" w:hAnsi="Arial" w:cs="Arial"/>
          <w:sz w:val="20"/>
          <w:szCs w:val="20"/>
        </w:rPr>
        <w:t xml:space="preserve">25 </w:t>
      </w:r>
      <w:r w:rsidRPr="004A4381">
        <w:rPr>
          <w:rFonts w:ascii="Arial" w:hAnsi="Arial" w:cs="Arial"/>
          <w:sz w:val="20"/>
          <w:szCs w:val="20"/>
        </w:rPr>
        <w:t xml:space="preserve">m) delimited in each site. In each plot, the number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trees was counted, and </w:t>
      </w:r>
      <w:proofErr w:type="spellStart"/>
      <w:r w:rsidRPr="004A4381">
        <w:rPr>
          <w:rFonts w:ascii="Arial" w:hAnsi="Arial" w:cs="Arial"/>
          <w:sz w:val="20"/>
          <w:szCs w:val="20"/>
        </w:rPr>
        <w:t>dendrometric</w:t>
      </w:r>
      <w:proofErr w:type="spellEnd"/>
      <w:r w:rsidRPr="004A4381">
        <w:rPr>
          <w:rFonts w:ascii="Arial" w:hAnsi="Arial" w:cs="Arial"/>
          <w:sz w:val="20"/>
          <w:szCs w:val="20"/>
        </w:rPr>
        <w:t xml:space="preserve"> measurements were taken (basal circumference, total height, and circumference at 1.30 m). The average stem density (N) of juvenile and adult individuals was determined per hectare in each biotope. It is determined by the number of stems per hectare and is eva</w:t>
      </w:r>
      <w:r w:rsidR="00D86687" w:rsidRPr="004A4381">
        <w:rPr>
          <w:rFonts w:ascii="Arial" w:hAnsi="Arial" w:cs="Arial"/>
          <w:sz w:val="20"/>
          <w:szCs w:val="20"/>
        </w:rPr>
        <w:t>luated according to the formula</w:t>
      </w:r>
      <w:r w:rsidRPr="004A4381">
        <w:rPr>
          <w:rFonts w:ascii="Arial" w:hAnsi="Arial" w:cs="Arial"/>
          <w:sz w:val="20"/>
          <w:szCs w:val="20"/>
        </w:rPr>
        <w:t>:</w:t>
      </w:r>
    </w:p>
    <w:p w14:paraId="23EEABB2" w14:textId="77777777" w:rsidR="00DF6E4E" w:rsidRPr="004A4381" w:rsidRDefault="007A75B5" w:rsidP="00DF6E4E">
      <w:pPr>
        <w:spacing w:after="160"/>
        <w:jc w:val="center"/>
        <w:rPr>
          <w:rFonts w:ascii="Arial" w:eastAsia="Calibri" w:hAnsi="Arial" w:cs="Arial"/>
          <w:b/>
          <w:sz w:val="20"/>
          <w:szCs w:val="20"/>
          <w:lang w:val="fr-CM"/>
        </w:rPr>
      </w:pPr>
      <w:r w:rsidRPr="004A4381">
        <w:rPr>
          <w:rFonts w:ascii="Arial" w:eastAsia="Calibri" w:hAnsi="Arial" w:cs="Arial"/>
          <w:b/>
          <w:sz w:val="20"/>
          <w:szCs w:val="20"/>
          <w:lang w:val="fr-CM"/>
        </w:rPr>
        <w:lastRenderedPageBreak/>
        <w:t>N = n/S</w:t>
      </w:r>
    </w:p>
    <w:p w14:paraId="163D9C84" w14:textId="3A72E061" w:rsidR="00DF6E4E" w:rsidRPr="004A4381" w:rsidRDefault="007A75B5" w:rsidP="00DF6E4E">
      <w:pPr>
        <w:autoSpaceDE w:val="0"/>
        <w:autoSpaceDN w:val="0"/>
        <w:adjustRightInd w:val="0"/>
        <w:spacing w:line="480" w:lineRule="auto"/>
        <w:rPr>
          <w:rFonts w:ascii="Arial" w:eastAsia="Calibri" w:hAnsi="Arial" w:cs="Arial"/>
          <w:b/>
          <w:sz w:val="20"/>
          <w:szCs w:val="20"/>
        </w:rPr>
      </w:pPr>
      <w:r w:rsidRPr="004A4381">
        <w:rPr>
          <w:rFonts w:ascii="Arial" w:eastAsia="Calibri" w:hAnsi="Arial" w:cs="Arial"/>
          <w:sz w:val="20"/>
          <w:szCs w:val="20"/>
        </w:rPr>
        <w:t xml:space="preserve">where </w:t>
      </w:r>
      <w:r w:rsidRPr="004A4381">
        <w:rPr>
          <w:rFonts w:ascii="Arial" w:eastAsia="Calibri" w:hAnsi="Arial" w:cs="Arial"/>
          <w:b/>
          <w:sz w:val="20"/>
          <w:szCs w:val="20"/>
        </w:rPr>
        <w:t xml:space="preserve">n </w:t>
      </w:r>
      <w:r w:rsidRPr="004A4381">
        <w:rPr>
          <w:rFonts w:ascii="Arial" w:eastAsia="Calibri" w:hAnsi="Arial" w:cs="Arial"/>
          <w:sz w:val="20"/>
          <w:szCs w:val="20"/>
        </w:rPr>
        <w:t>is the total number inventoried in the biotope and S is the total area sampled.</w:t>
      </w:r>
    </w:p>
    <w:p w14:paraId="54AA270E" w14:textId="6416C83F" w:rsidR="00DF6E4E" w:rsidRPr="004A4381" w:rsidRDefault="007A75B5" w:rsidP="00DF6E4E">
      <w:pPr>
        <w:autoSpaceDE w:val="0"/>
        <w:autoSpaceDN w:val="0"/>
        <w:adjustRightInd w:val="0"/>
        <w:rPr>
          <w:rFonts w:ascii="Arial" w:hAnsi="Arial" w:cs="Arial"/>
          <w:b/>
          <w:sz w:val="20"/>
          <w:szCs w:val="20"/>
        </w:rPr>
      </w:pPr>
      <w:r w:rsidRPr="004A4381">
        <w:rPr>
          <w:rFonts w:ascii="Arial" w:hAnsi="Arial" w:cs="Arial"/>
          <w:b/>
          <w:sz w:val="20"/>
          <w:szCs w:val="20"/>
        </w:rPr>
        <w:t>Determination of the soil physicochemical parameters</w:t>
      </w:r>
    </w:p>
    <w:p w14:paraId="58B846D6" w14:textId="11FBBE99" w:rsidR="00F242C0" w:rsidRPr="004A4381" w:rsidRDefault="007A75B5" w:rsidP="00F242C0">
      <w:pPr>
        <w:tabs>
          <w:tab w:val="left" w:pos="1450"/>
        </w:tabs>
        <w:spacing w:before="240"/>
        <w:rPr>
          <w:rFonts w:ascii="Arial" w:hAnsi="Arial" w:cs="Arial"/>
          <w:sz w:val="20"/>
          <w:szCs w:val="20"/>
        </w:rPr>
      </w:pPr>
      <w:r w:rsidRPr="004A4381">
        <w:rPr>
          <w:rFonts w:ascii="Arial" w:hAnsi="Arial" w:cs="Arial"/>
          <w:sz w:val="20"/>
          <w:szCs w:val="20"/>
        </w:rPr>
        <w:t xml:space="preserve">Soil samples were taken at the ends and centers of the meshes, both outside and under the four-foot tree crowns. Three 500 g composite samples were taken from each commune. These samples were sent to the </w:t>
      </w:r>
      <w:proofErr w:type="spellStart"/>
      <w:r w:rsidRPr="004A4381">
        <w:rPr>
          <w:rFonts w:ascii="Arial" w:hAnsi="Arial" w:cs="Arial"/>
          <w:sz w:val="20"/>
          <w:szCs w:val="20"/>
        </w:rPr>
        <w:t>Sotuba</w:t>
      </w:r>
      <w:proofErr w:type="spellEnd"/>
      <w:r w:rsidRPr="004A4381">
        <w:rPr>
          <w:rFonts w:ascii="Arial" w:hAnsi="Arial" w:cs="Arial"/>
          <w:sz w:val="20"/>
          <w:szCs w:val="20"/>
        </w:rPr>
        <w:t xml:space="preserve"> soil-water-plant laboratory for granulometric analysis.</w:t>
      </w:r>
      <w:r w:rsidR="00434540" w:rsidRPr="004A4381">
        <w:t xml:space="preserve"> </w:t>
      </w:r>
      <w:r w:rsidRPr="004A4381">
        <w:rPr>
          <w:rFonts w:ascii="Arial" w:hAnsi="Arial" w:cs="Arial"/>
          <w:sz w:val="20"/>
          <w:szCs w:val="20"/>
        </w:rPr>
        <w:t>pH was determined by the potentiometric method in a 1/:2 ratio, Thomas (1996). Soil organic C content was determined by the Walkley and Black method (Nelson and Sommers, 1982), assimilable phosphorus-</w:t>
      </w:r>
      <w:proofErr w:type="spellStart"/>
      <w:r w:rsidRPr="004A4381">
        <w:rPr>
          <w:rFonts w:ascii="Arial" w:hAnsi="Arial" w:cs="Arial"/>
          <w:sz w:val="20"/>
          <w:szCs w:val="20"/>
        </w:rPr>
        <w:t>BrayII</w:t>
      </w:r>
      <w:proofErr w:type="spellEnd"/>
      <w:r w:rsidRPr="004A4381">
        <w:rPr>
          <w:rFonts w:ascii="Arial" w:hAnsi="Arial" w:cs="Arial"/>
          <w:sz w:val="20"/>
          <w:szCs w:val="20"/>
        </w:rPr>
        <w:t xml:space="preserve"> as described in Olsen and Sommers (1982). Exchangeable bases (Ca, Mg, and K) were determined by extraction with ammonium acetate buffered at pH 7.0 before atomic absorption spectrometer reading for Ca and Mg, and flame spectrometer reading for K. Total nitrogen (total N) was determined by the </w:t>
      </w:r>
      <w:proofErr w:type="spellStart"/>
      <w:r w:rsidRPr="004A4381">
        <w:rPr>
          <w:rFonts w:ascii="Arial" w:hAnsi="Arial" w:cs="Arial"/>
          <w:sz w:val="20"/>
          <w:szCs w:val="20"/>
        </w:rPr>
        <w:t>Kjeldahl</w:t>
      </w:r>
      <w:proofErr w:type="spellEnd"/>
      <w:r w:rsidRPr="004A4381">
        <w:rPr>
          <w:rFonts w:ascii="Arial" w:hAnsi="Arial" w:cs="Arial"/>
          <w:sz w:val="20"/>
          <w:szCs w:val="20"/>
        </w:rPr>
        <w:t xml:space="preserve"> method (</w:t>
      </w:r>
      <w:proofErr w:type="spellStart"/>
      <w:r w:rsidRPr="004A4381">
        <w:rPr>
          <w:rFonts w:ascii="Arial" w:hAnsi="Arial" w:cs="Arial"/>
          <w:sz w:val="20"/>
          <w:szCs w:val="20"/>
        </w:rPr>
        <w:t>Bremner</w:t>
      </w:r>
      <w:proofErr w:type="spellEnd"/>
      <w:r w:rsidRPr="004A4381">
        <w:rPr>
          <w:rFonts w:ascii="Arial" w:hAnsi="Arial" w:cs="Arial"/>
          <w:sz w:val="20"/>
          <w:szCs w:val="20"/>
        </w:rPr>
        <w:t xml:space="preserve"> and Mulvaney, 1982).</w:t>
      </w:r>
    </w:p>
    <w:p w14:paraId="583BA6C9" w14:textId="77777777" w:rsidR="00DF6E4E" w:rsidRPr="004A4381" w:rsidRDefault="007A75B5" w:rsidP="00DF6E4E">
      <w:pPr>
        <w:snapToGrid w:val="0"/>
        <w:spacing w:before="240" w:line="480" w:lineRule="auto"/>
        <w:rPr>
          <w:rFonts w:ascii="Arial" w:eastAsia="Calibri" w:hAnsi="Arial" w:cs="Arial"/>
          <w:b/>
          <w:sz w:val="20"/>
          <w:szCs w:val="20"/>
        </w:rPr>
      </w:pPr>
      <w:r w:rsidRPr="004A4381">
        <w:rPr>
          <w:rFonts w:ascii="Arial" w:eastAsia="Calibri" w:hAnsi="Arial" w:cs="Arial"/>
          <w:b/>
          <w:sz w:val="20"/>
          <w:szCs w:val="20"/>
        </w:rPr>
        <w:t xml:space="preserve">Data analysis </w:t>
      </w:r>
    </w:p>
    <w:p w14:paraId="037A5FBD" w14:textId="77777777" w:rsidR="00DF6E4E" w:rsidRPr="004A4381" w:rsidRDefault="007A75B5" w:rsidP="00DF6E4E">
      <w:pPr>
        <w:tabs>
          <w:tab w:val="left" w:pos="1450"/>
        </w:tabs>
        <w:rPr>
          <w:rFonts w:ascii="Arial" w:hAnsi="Arial" w:cs="Arial"/>
        </w:rPr>
      </w:pPr>
      <w:r w:rsidRPr="004A4381">
        <w:rPr>
          <w:rFonts w:ascii="Arial" w:hAnsi="Arial" w:cs="Arial"/>
          <w:sz w:val="20"/>
          <w:szCs w:val="20"/>
        </w:rPr>
        <w:t xml:space="preserve">Excel spreadsheet and R software (R version 4.4.2, </w:t>
      </w:r>
      <w:hyperlink r:id="rId14" w:history="1">
        <w:r w:rsidRPr="004A4381">
          <w:rPr>
            <w:rStyle w:val="Hyperlink"/>
            <w:rFonts w:ascii="Arial" w:hAnsi="Arial" w:cs="Arial"/>
            <w:sz w:val="20"/>
            <w:szCs w:val="20"/>
          </w:rPr>
          <w:t>http://www.r-project.org</w:t>
        </w:r>
      </w:hyperlink>
      <w:r w:rsidRPr="004A4381">
        <w:rPr>
          <w:rFonts w:ascii="Arial" w:hAnsi="Arial" w:cs="Arial"/>
          <w:sz w:val="20"/>
          <w:szCs w:val="20"/>
        </w:rPr>
        <w:t>) were used for the analysis of variance (ANOVA) and statistical processing of the data.</w:t>
      </w:r>
    </w:p>
    <w:p w14:paraId="08B78CA9" w14:textId="77777777" w:rsidR="00DF6E4E" w:rsidRPr="004A4381" w:rsidRDefault="007A75B5" w:rsidP="00DF6E4E">
      <w:pPr>
        <w:spacing w:before="240" w:after="160"/>
        <w:rPr>
          <w:rFonts w:ascii="Arial" w:hAnsi="Arial" w:cs="Arial"/>
          <w:b/>
          <w:sz w:val="20"/>
          <w:szCs w:val="20"/>
        </w:rPr>
      </w:pPr>
      <w:r w:rsidRPr="004A4381">
        <w:rPr>
          <w:rFonts w:ascii="Arial" w:hAnsi="Arial" w:cs="Arial"/>
          <w:b/>
          <w:sz w:val="20"/>
          <w:szCs w:val="20"/>
        </w:rPr>
        <w:t>RESULTS</w:t>
      </w:r>
    </w:p>
    <w:p w14:paraId="049BEF50" w14:textId="3C74E7DF" w:rsidR="00DF6E4E" w:rsidRPr="004A4381" w:rsidRDefault="007A75B5" w:rsidP="00DF6E4E">
      <w:pPr>
        <w:spacing w:line="480" w:lineRule="auto"/>
        <w:rPr>
          <w:rFonts w:ascii="Arial" w:hAnsi="Arial" w:cs="Arial"/>
          <w:b/>
          <w:sz w:val="20"/>
          <w:szCs w:val="20"/>
        </w:rPr>
      </w:pPr>
      <w:r w:rsidRPr="004A4381">
        <w:rPr>
          <w:rFonts w:ascii="Arial" w:hAnsi="Arial" w:cs="Arial"/>
          <w:b/>
          <w:sz w:val="20"/>
          <w:szCs w:val="20"/>
        </w:rPr>
        <w:t xml:space="preserve">The structure of natural </w:t>
      </w:r>
      <w:r w:rsidRPr="004A4381">
        <w:rPr>
          <w:rFonts w:ascii="Arial" w:hAnsi="Arial" w:cs="Arial"/>
          <w:b/>
          <w:i/>
          <w:sz w:val="20"/>
          <w:szCs w:val="20"/>
        </w:rPr>
        <w:t xml:space="preserve">Acacia </w:t>
      </w:r>
      <w:proofErr w:type="spellStart"/>
      <w:r w:rsidRPr="004A4381">
        <w:rPr>
          <w:rFonts w:ascii="Arial" w:hAnsi="Arial" w:cs="Arial"/>
          <w:b/>
          <w:i/>
          <w:sz w:val="20"/>
          <w:szCs w:val="20"/>
        </w:rPr>
        <w:t>senegal</w:t>
      </w:r>
      <w:proofErr w:type="spellEnd"/>
      <w:r w:rsidRPr="004A4381">
        <w:rPr>
          <w:rFonts w:ascii="Arial" w:hAnsi="Arial" w:cs="Arial"/>
          <w:b/>
          <w:sz w:val="20"/>
          <w:szCs w:val="20"/>
        </w:rPr>
        <w:t xml:space="preserve"> stands in the study area </w:t>
      </w:r>
    </w:p>
    <w:p w14:paraId="7B7B79D3" w14:textId="4B259F5D" w:rsidR="0071272D"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Natural stands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are relatively dense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with an average of 690 plants/ha. The average density was 430 plants/ha in the </w:t>
      </w:r>
      <w:r w:rsidR="00E95F7C" w:rsidRPr="004A4381">
        <w:rPr>
          <w:rFonts w:ascii="Arial" w:hAnsi="Arial" w:cs="Arial"/>
          <w:sz w:val="20"/>
          <w:szCs w:val="20"/>
        </w:rPr>
        <w:t>municipality</w:t>
      </w:r>
      <w:r w:rsidRPr="004A4381">
        <w:rPr>
          <w:rFonts w:ascii="Arial" w:hAnsi="Arial" w:cs="Arial"/>
          <w:sz w:val="20"/>
          <w:szCs w:val="20"/>
        </w:rPr>
        <w:t xml:space="preserve"> of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The </w:t>
      </w:r>
      <w:proofErr w:type="spellStart"/>
      <w:r w:rsidR="00E95F7C" w:rsidRPr="004A4381">
        <w:rPr>
          <w:rFonts w:ascii="Arial" w:hAnsi="Arial" w:cs="Arial"/>
          <w:sz w:val="20"/>
          <w:szCs w:val="20"/>
        </w:rPr>
        <w:t>Korokodjo</w:t>
      </w:r>
      <w:proofErr w:type="spellEnd"/>
      <w:r w:rsidR="00E95F7C" w:rsidRPr="004A4381">
        <w:rPr>
          <w:rFonts w:ascii="Arial" w:hAnsi="Arial" w:cs="Arial"/>
          <w:sz w:val="20"/>
          <w:szCs w:val="20"/>
        </w:rPr>
        <w:t xml:space="preserve"> </w:t>
      </w:r>
      <w:r w:rsidRPr="004A4381">
        <w:rPr>
          <w:rFonts w:ascii="Arial" w:hAnsi="Arial" w:cs="Arial"/>
          <w:sz w:val="20"/>
          <w:szCs w:val="20"/>
        </w:rPr>
        <w:t xml:space="preserve">site recorded the lowest density, with 120 plants/ha. These densities are predominantly in the 50-70, 70-90, and 90-110 cm circumference classes at all three sites (Figure 2). </w:t>
      </w:r>
    </w:p>
    <w:p w14:paraId="7A1BACF6" w14:textId="593FC956" w:rsidR="0071272D" w:rsidRPr="004A4381" w:rsidRDefault="007A75B5" w:rsidP="0071272D">
      <w:pPr>
        <w:tabs>
          <w:tab w:val="left" w:pos="1450"/>
        </w:tabs>
        <w:jc w:val="center"/>
        <w:rPr>
          <w:rFonts w:ascii="Arial" w:hAnsi="Arial" w:cs="Arial"/>
          <w:sz w:val="20"/>
          <w:szCs w:val="20"/>
        </w:rPr>
      </w:pPr>
      <w:r w:rsidRPr="004A4381">
        <w:rPr>
          <w:rFonts w:ascii="Arial" w:hAnsi="Arial" w:cs="Arial"/>
          <w:noProof/>
          <w:sz w:val="20"/>
          <w:szCs w:val="20"/>
          <w:lang w:val="fr-FR" w:eastAsia="fr-FR"/>
        </w:rPr>
        <w:drawing>
          <wp:inline distT="0" distB="0" distL="0" distR="0">
            <wp:extent cx="4140000" cy="4140000"/>
            <wp:effectExtent l="0" t="0" r="0" b="0"/>
            <wp:docPr id="5" name="Image 5" descr="C:\Users\LENOVO\Desktop\FIG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LENOVO\Desktop\FIG2b.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140000" cy="4140000"/>
                    </a:xfrm>
                    <a:prstGeom prst="rect">
                      <a:avLst/>
                    </a:prstGeom>
                    <a:noFill/>
                    <a:ln>
                      <a:noFill/>
                    </a:ln>
                  </pic:spPr>
                </pic:pic>
              </a:graphicData>
            </a:graphic>
          </wp:inline>
        </w:drawing>
      </w:r>
    </w:p>
    <w:p w14:paraId="420471D6" w14:textId="1D6A0414" w:rsidR="0071272D" w:rsidRPr="004A4381" w:rsidRDefault="007A75B5" w:rsidP="0071272D">
      <w:pPr>
        <w:pStyle w:val="HTMLPreformatted"/>
        <w:spacing w:before="240"/>
        <w:rPr>
          <w:lang w:val="en-US"/>
        </w:rPr>
      </w:pPr>
      <w:r w:rsidRPr="004A4381">
        <w:rPr>
          <w:rFonts w:ascii="Arial" w:eastAsia="Calibri" w:hAnsi="Arial" w:cs="Arial"/>
          <w:b/>
          <w:lang w:val="en-US"/>
        </w:rPr>
        <w:t xml:space="preserve">Figure 2: </w:t>
      </w:r>
      <w:r w:rsidRPr="004A4381">
        <w:rPr>
          <w:rStyle w:val="y2iqfc"/>
          <w:rFonts w:ascii="Arial" w:hAnsi="Arial" w:cs="Arial"/>
          <w:lang w:val="en"/>
        </w:rPr>
        <w:t xml:space="preserve">Density of </w:t>
      </w:r>
      <w:r w:rsidRPr="004A4381">
        <w:rPr>
          <w:rStyle w:val="y2iqfc"/>
          <w:rFonts w:ascii="Arial" w:hAnsi="Arial" w:cs="Arial"/>
          <w:i/>
          <w:lang w:val="en"/>
        </w:rPr>
        <w:t xml:space="preserve">Acacia </w:t>
      </w:r>
      <w:proofErr w:type="spellStart"/>
      <w:r w:rsidRPr="004A4381">
        <w:rPr>
          <w:rStyle w:val="y2iqfc"/>
          <w:rFonts w:ascii="Arial" w:hAnsi="Arial" w:cs="Arial"/>
          <w:i/>
          <w:lang w:val="en"/>
        </w:rPr>
        <w:t>senegal</w:t>
      </w:r>
      <w:proofErr w:type="spellEnd"/>
      <w:r w:rsidRPr="004A4381">
        <w:rPr>
          <w:rStyle w:val="y2iqfc"/>
          <w:rFonts w:ascii="Arial" w:hAnsi="Arial" w:cs="Arial"/>
          <w:lang w:val="en"/>
        </w:rPr>
        <w:t xml:space="preserve"> according to the circumference classes</w:t>
      </w:r>
    </w:p>
    <w:p w14:paraId="7A7DE7CF" w14:textId="77777777" w:rsidR="0071272D" w:rsidRPr="004A4381" w:rsidRDefault="0071272D" w:rsidP="0071272D">
      <w:pPr>
        <w:tabs>
          <w:tab w:val="left" w:pos="1450"/>
        </w:tabs>
        <w:jc w:val="center"/>
        <w:rPr>
          <w:rFonts w:ascii="Arial" w:hAnsi="Arial" w:cs="Arial"/>
          <w:sz w:val="20"/>
          <w:szCs w:val="20"/>
        </w:rPr>
      </w:pPr>
    </w:p>
    <w:p w14:paraId="6D388137" w14:textId="42C737C8" w:rsidR="00DF6E4E" w:rsidRPr="004A4381" w:rsidRDefault="007A75B5" w:rsidP="00DF6E4E">
      <w:pPr>
        <w:tabs>
          <w:tab w:val="left" w:pos="1450"/>
        </w:tabs>
        <w:rPr>
          <w:rFonts w:ascii="Arial" w:hAnsi="Arial" w:cs="Arial"/>
          <w:sz w:val="20"/>
          <w:szCs w:val="20"/>
        </w:rPr>
      </w:pPr>
      <w:r w:rsidRPr="004A4381">
        <w:rPr>
          <w:rFonts w:ascii="Arial" w:hAnsi="Arial" w:cs="Arial"/>
          <w:i/>
          <w:sz w:val="20"/>
          <w:szCs w:val="20"/>
        </w:rPr>
        <w:lastRenderedPageBreak/>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are dominated by trees with circumferences of </w:t>
      </w:r>
      <w:r w:rsidR="00ED2451" w:rsidRPr="004A4381">
        <w:rPr>
          <w:rFonts w:ascii="Arial" w:hAnsi="Arial" w:cs="Arial"/>
          <w:sz w:val="20"/>
          <w:szCs w:val="20"/>
        </w:rPr>
        <w:t>7</w:t>
      </w:r>
      <w:r w:rsidRPr="004A4381">
        <w:rPr>
          <w:rFonts w:ascii="Arial" w:hAnsi="Arial" w:cs="Arial"/>
          <w:sz w:val="20"/>
          <w:szCs w:val="20"/>
        </w:rPr>
        <w:t>0-</w:t>
      </w:r>
      <w:r w:rsidR="00ED2451" w:rsidRPr="004A4381">
        <w:rPr>
          <w:rFonts w:ascii="Arial" w:hAnsi="Arial" w:cs="Arial"/>
          <w:sz w:val="20"/>
          <w:szCs w:val="20"/>
        </w:rPr>
        <w:t>9</w:t>
      </w:r>
      <w:r w:rsidRPr="004A4381">
        <w:rPr>
          <w:rFonts w:ascii="Arial" w:hAnsi="Arial" w:cs="Arial"/>
          <w:sz w:val="20"/>
          <w:szCs w:val="20"/>
        </w:rPr>
        <w:t xml:space="preserve">0 cm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w:t>
      </w:r>
      <w:r w:rsidR="00ED2451" w:rsidRPr="004A4381">
        <w:rPr>
          <w:rFonts w:ascii="Arial" w:hAnsi="Arial" w:cs="Arial"/>
          <w:sz w:val="20"/>
          <w:szCs w:val="20"/>
        </w:rPr>
        <w:t>(224</w:t>
      </w:r>
      <w:r w:rsidR="00B22333" w:rsidRPr="004A4381">
        <w:rPr>
          <w:rFonts w:ascii="Arial" w:hAnsi="Arial" w:cs="Arial"/>
          <w:sz w:val="20"/>
          <w:szCs w:val="20"/>
        </w:rPr>
        <w:t xml:space="preserve"> plants</w:t>
      </w:r>
      <w:r w:rsidR="00ED2451" w:rsidRPr="004A4381">
        <w:rPr>
          <w:rFonts w:ascii="Arial" w:hAnsi="Arial" w:cs="Arial"/>
          <w:sz w:val="20"/>
          <w:szCs w:val="20"/>
        </w:rPr>
        <w:t xml:space="preserve">/ha) </w:t>
      </w:r>
      <w:r w:rsidRPr="004A4381">
        <w:rPr>
          <w:rFonts w:ascii="Arial" w:hAnsi="Arial" w:cs="Arial"/>
          <w:sz w:val="20"/>
          <w:szCs w:val="20"/>
        </w:rPr>
        <w:t xml:space="preserve">and </w:t>
      </w:r>
      <w:proofErr w:type="spellStart"/>
      <w:r w:rsidR="00ED2451" w:rsidRPr="004A4381">
        <w:rPr>
          <w:rFonts w:ascii="Arial" w:hAnsi="Arial" w:cs="Arial"/>
          <w:sz w:val="20"/>
          <w:szCs w:val="20"/>
        </w:rPr>
        <w:t>Korokodjo</w:t>
      </w:r>
      <w:proofErr w:type="spellEnd"/>
      <w:r w:rsidR="00ED2451" w:rsidRPr="004A4381">
        <w:rPr>
          <w:rFonts w:ascii="Arial" w:hAnsi="Arial" w:cs="Arial"/>
          <w:sz w:val="20"/>
          <w:szCs w:val="20"/>
        </w:rPr>
        <w:t xml:space="preserve"> (80</w:t>
      </w:r>
      <w:r w:rsidR="00B22333" w:rsidRPr="004A4381">
        <w:rPr>
          <w:rFonts w:ascii="Arial" w:hAnsi="Arial" w:cs="Arial"/>
          <w:sz w:val="20"/>
          <w:szCs w:val="20"/>
        </w:rPr>
        <w:t xml:space="preserve"> plants</w:t>
      </w:r>
      <w:r w:rsidR="00ED2451" w:rsidRPr="004A4381">
        <w:rPr>
          <w:rFonts w:ascii="Arial" w:hAnsi="Arial" w:cs="Arial"/>
          <w:sz w:val="20"/>
          <w:szCs w:val="20"/>
        </w:rPr>
        <w:t>/ha)</w:t>
      </w:r>
      <w:r w:rsidRPr="004A4381">
        <w:rPr>
          <w:rFonts w:ascii="Arial" w:hAnsi="Arial" w:cs="Arial"/>
          <w:sz w:val="20"/>
          <w:szCs w:val="20"/>
        </w:rPr>
        <w:t xml:space="preserve">.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individuals with circumferences of </w:t>
      </w:r>
      <w:r w:rsidR="00B22333" w:rsidRPr="004A4381">
        <w:rPr>
          <w:rFonts w:ascii="Arial" w:hAnsi="Arial" w:cs="Arial"/>
          <w:sz w:val="20"/>
          <w:szCs w:val="20"/>
        </w:rPr>
        <w:t>5</w:t>
      </w:r>
      <w:r w:rsidRPr="004A4381">
        <w:rPr>
          <w:rFonts w:ascii="Arial" w:hAnsi="Arial" w:cs="Arial"/>
          <w:sz w:val="20"/>
          <w:szCs w:val="20"/>
        </w:rPr>
        <w:t>0-</w:t>
      </w:r>
      <w:r w:rsidR="00B22333" w:rsidRPr="004A4381">
        <w:rPr>
          <w:rFonts w:ascii="Arial" w:hAnsi="Arial" w:cs="Arial"/>
          <w:sz w:val="20"/>
          <w:szCs w:val="20"/>
        </w:rPr>
        <w:t>7</w:t>
      </w:r>
      <w:r w:rsidRPr="004A4381">
        <w:rPr>
          <w:rFonts w:ascii="Arial" w:hAnsi="Arial" w:cs="Arial"/>
          <w:sz w:val="20"/>
          <w:szCs w:val="20"/>
        </w:rPr>
        <w:t>0 cm dominate</w:t>
      </w:r>
      <w:r w:rsidR="00B22333" w:rsidRPr="004A4381">
        <w:rPr>
          <w:rFonts w:ascii="Arial" w:hAnsi="Arial" w:cs="Arial"/>
          <w:sz w:val="20"/>
          <w:szCs w:val="20"/>
        </w:rPr>
        <w:t xml:space="preserve"> (240 plants/ha)</w:t>
      </w:r>
      <w:r w:rsidRPr="004A4381">
        <w:rPr>
          <w:rFonts w:ascii="Arial" w:hAnsi="Arial" w:cs="Arial"/>
          <w:sz w:val="20"/>
          <w:szCs w:val="20"/>
        </w:rPr>
        <w:t xml:space="preserve">. Stratification shows that natural stands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are concentrated mainly in the 2-5 m height class (Figure 3).</w:t>
      </w:r>
    </w:p>
    <w:p w14:paraId="06233239" w14:textId="6C2D0583" w:rsidR="00EA0056" w:rsidRPr="004A4381" w:rsidRDefault="007A75B5" w:rsidP="00EA0056">
      <w:pPr>
        <w:tabs>
          <w:tab w:val="left" w:pos="1450"/>
        </w:tabs>
        <w:jc w:val="center"/>
        <w:rPr>
          <w:rFonts w:ascii="Arial" w:hAnsi="Arial" w:cs="Arial"/>
          <w:sz w:val="20"/>
          <w:szCs w:val="20"/>
        </w:rPr>
      </w:pPr>
      <w:r w:rsidRPr="004A4381">
        <w:rPr>
          <w:rFonts w:ascii="Arial" w:hAnsi="Arial" w:cs="Arial"/>
          <w:noProof/>
          <w:sz w:val="20"/>
          <w:szCs w:val="20"/>
          <w:lang w:val="fr-FR" w:eastAsia="fr-FR"/>
        </w:rPr>
        <w:drawing>
          <wp:inline distT="0" distB="0" distL="0" distR="0">
            <wp:extent cx="4140000" cy="4140000"/>
            <wp:effectExtent l="0" t="0" r="0" b="0"/>
            <wp:docPr id="2" name="Image 2" descr="C:\Users\LENOVO\Desktop\FIG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LENOVO\Desktop\FIG3b.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40000" cy="4140000"/>
                    </a:xfrm>
                    <a:prstGeom prst="rect">
                      <a:avLst/>
                    </a:prstGeom>
                    <a:noFill/>
                    <a:ln>
                      <a:noFill/>
                    </a:ln>
                  </pic:spPr>
                </pic:pic>
              </a:graphicData>
            </a:graphic>
          </wp:inline>
        </w:drawing>
      </w:r>
    </w:p>
    <w:p w14:paraId="5CD4A69A" w14:textId="09F86807" w:rsidR="004C6268" w:rsidRPr="004A4381" w:rsidRDefault="007A75B5" w:rsidP="004C6268">
      <w:pPr>
        <w:pStyle w:val="HTMLPreformatted"/>
        <w:spacing w:before="240" w:after="240"/>
        <w:rPr>
          <w:lang w:val="en-US"/>
        </w:rPr>
      </w:pPr>
      <w:r w:rsidRPr="004A4381">
        <w:rPr>
          <w:rFonts w:ascii="Arial" w:eastAsia="Calibri" w:hAnsi="Arial" w:cs="Arial"/>
          <w:b/>
          <w:lang w:val="en-US"/>
        </w:rPr>
        <w:t>Figure 3</w:t>
      </w:r>
      <w:r w:rsidRPr="004A4381">
        <w:rPr>
          <w:rFonts w:ascii="Arial" w:eastAsia="Calibri" w:hAnsi="Arial" w:cs="Arial"/>
          <w:lang w:val="en-US"/>
        </w:rPr>
        <w:t xml:space="preserve">: </w:t>
      </w:r>
      <w:r w:rsidRPr="004A4381">
        <w:rPr>
          <w:rStyle w:val="y2iqfc"/>
          <w:rFonts w:ascii="Arial" w:hAnsi="Arial" w:cs="Arial"/>
          <w:lang w:val="en"/>
        </w:rPr>
        <w:t xml:space="preserve">Density of the </w:t>
      </w:r>
      <w:r w:rsidRPr="004A4381">
        <w:rPr>
          <w:rStyle w:val="y2iqfc"/>
          <w:rFonts w:ascii="Arial" w:hAnsi="Arial" w:cs="Arial"/>
          <w:i/>
          <w:lang w:val="en"/>
        </w:rPr>
        <w:t>Acacia Senegal</w:t>
      </w:r>
      <w:r w:rsidRPr="004A4381">
        <w:rPr>
          <w:rStyle w:val="y2iqfc"/>
          <w:rFonts w:ascii="Arial" w:hAnsi="Arial" w:cs="Arial"/>
          <w:lang w:val="en"/>
        </w:rPr>
        <w:t xml:space="preserve"> population according to the height classes</w:t>
      </w:r>
    </w:p>
    <w:p w14:paraId="2BC1FAD1" w14:textId="75F261AD"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With 159 plants/ha, the 2-5 m height class represents the stratum with the highest density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contributing 80%. The &lt; 2 m height class contributed 17%, with a density of 33 plants/ha on the same site. The 5–8 m class is sparsely populated (only 8 plants/ha), with a contribution of 4% on the same site. The density of the woody stratum at the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site was dominated by the 2–5 m height class, with 108 feet/ha for a specific contribution of 84%, compared with 21 feet/ha for the &lt;2 m height class, with a contribution of 16%. No plants were recorded in the 5-8 m height class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At </w:t>
      </w:r>
      <w:proofErr w:type="spellStart"/>
      <w:r w:rsidR="00E95F7C" w:rsidRPr="004A4381">
        <w:rPr>
          <w:rFonts w:ascii="Arial" w:hAnsi="Arial" w:cs="Arial"/>
          <w:sz w:val="20"/>
          <w:szCs w:val="20"/>
        </w:rPr>
        <w:t>Korokodjo</w:t>
      </w:r>
      <w:proofErr w:type="spellEnd"/>
      <w:r w:rsidRPr="004A4381">
        <w:rPr>
          <w:rFonts w:ascii="Arial" w:hAnsi="Arial" w:cs="Arial"/>
          <w:sz w:val="20"/>
          <w:szCs w:val="20"/>
        </w:rPr>
        <w:t xml:space="preserve">, the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 is also dominated by </w:t>
      </w:r>
      <w:r w:rsidR="00E95F7C" w:rsidRPr="004A4381">
        <w:rPr>
          <w:rFonts w:ascii="Arial" w:hAnsi="Arial" w:cs="Arial"/>
          <w:sz w:val="20"/>
          <w:szCs w:val="20"/>
        </w:rPr>
        <w:t xml:space="preserve">plants </w:t>
      </w:r>
      <w:r w:rsidRPr="004A4381">
        <w:rPr>
          <w:rFonts w:ascii="Arial" w:hAnsi="Arial" w:cs="Arial"/>
          <w:sz w:val="20"/>
          <w:szCs w:val="20"/>
        </w:rPr>
        <w:t xml:space="preserve">in the 2-5 m height class, with 28 plants/ha and a contribution of 64%. The other two classes, &lt;2 m and 5-8 m, accounted for 7% and 30%, respectively.  </w:t>
      </w:r>
    </w:p>
    <w:p w14:paraId="4BBFE3B0" w14:textId="158A0355" w:rsidR="00DF6E4E" w:rsidRPr="004A4381" w:rsidRDefault="007A75B5" w:rsidP="00DF6E4E">
      <w:pPr>
        <w:spacing w:before="240" w:after="160"/>
        <w:rPr>
          <w:rFonts w:ascii="Arial" w:eastAsia="Calibri" w:hAnsi="Arial" w:cs="Arial"/>
          <w:b/>
          <w:sz w:val="20"/>
          <w:szCs w:val="20"/>
        </w:rPr>
      </w:pPr>
      <w:r w:rsidRPr="004A4381">
        <w:rPr>
          <w:rFonts w:ascii="Arial" w:eastAsia="Calibri" w:hAnsi="Arial" w:cs="Arial"/>
          <w:b/>
          <w:sz w:val="20"/>
          <w:szCs w:val="20"/>
        </w:rPr>
        <w:t xml:space="preserve">Physicochemical composition of the site soils </w:t>
      </w:r>
    </w:p>
    <w:p w14:paraId="6037326B" w14:textId="7D6D5D7E" w:rsidR="004A4381" w:rsidRPr="00780BDF" w:rsidRDefault="007A75B5" w:rsidP="004A4381">
      <w:pPr>
        <w:tabs>
          <w:tab w:val="left" w:pos="1450"/>
        </w:tabs>
        <w:rPr>
          <w:rFonts w:ascii="Arial" w:hAnsi="Arial" w:cs="Arial"/>
          <w:sz w:val="20"/>
          <w:szCs w:val="20"/>
        </w:rPr>
      </w:pPr>
      <w:r w:rsidRPr="004A4381">
        <w:rPr>
          <w:rFonts w:ascii="Arial" w:hAnsi="Arial" w:cs="Arial"/>
          <w:sz w:val="20"/>
          <w:szCs w:val="20"/>
        </w:rPr>
        <w:t xml:space="preserve">Analysis of the variance of the physicochemical and granulometric parameters of the soil samples showed that there were three homogeneous groups at the 5% threshold (Table 1). Comparison of the magnesium content, sand, and silt proportions between the sites studied showed highly significant differences (p ˂ 0.001).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the soil is sandy-loamy, while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and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the proportion of sand dominates at over 90%. In contrast, the C/N ratios and phosphorus levels were not significantly different between the three sites. The C/N ratio is 4.55%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5.95% at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3.36% at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Phosphorus levels were 3.79% in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1.73% in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only 0.21% in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For other mineral elements and pH, however, the differences are significant at the critical threshold of 5%. The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site has the richest soil in mineral elements, while the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du Sahel site has the poorest soil. Soils at the study sites were acidic overall with an average pH value of 6.36%. They are richer in Carbone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avec 0.42%, moderately rich at </w:t>
      </w:r>
      <w:proofErr w:type="spellStart"/>
      <w:r w:rsidRPr="004A4381">
        <w:rPr>
          <w:rFonts w:ascii="Arial" w:hAnsi="Arial" w:cs="Arial"/>
          <w:sz w:val="20"/>
          <w:szCs w:val="20"/>
        </w:rPr>
        <w:t>Korokodjo</w:t>
      </w:r>
      <w:proofErr w:type="spellEnd"/>
      <w:r w:rsidRPr="004A4381">
        <w:rPr>
          <w:rFonts w:ascii="Arial" w:hAnsi="Arial" w:cs="Arial"/>
          <w:sz w:val="20"/>
          <w:szCs w:val="20"/>
        </w:rPr>
        <w:t xml:space="preserve">, and relatively poor at </w:t>
      </w:r>
      <w:proofErr w:type="spellStart"/>
      <w:r w:rsidRPr="004A4381">
        <w:rPr>
          <w:rFonts w:ascii="Arial" w:hAnsi="Arial" w:cs="Arial"/>
          <w:sz w:val="20"/>
          <w:szCs w:val="20"/>
        </w:rPr>
        <w:t>Nioro</w:t>
      </w:r>
      <w:proofErr w:type="spellEnd"/>
      <w:r w:rsidRPr="004A4381">
        <w:rPr>
          <w:rFonts w:ascii="Arial" w:hAnsi="Arial" w:cs="Arial"/>
          <w:sz w:val="20"/>
          <w:szCs w:val="20"/>
        </w:rPr>
        <w:t>.</w:t>
      </w:r>
      <w:r w:rsidRPr="00780BDF">
        <w:rPr>
          <w:rFonts w:ascii="Arial" w:hAnsi="Arial" w:cs="Arial"/>
          <w:sz w:val="20"/>
          <w:szCs w:val="20"/>
        </w:rPr>
        <w:t xml:space="preserve"> </w:t>
      </w:r>
    </w:p>
    <w:p w14:paraId="409613E7" w14:textId="77777777" w:rsidR="004A4381" w:rsidRPr="00F723D4" w:rsidRDefault="004A4381" w:rsidP="004A4381">
      <w:pPr>
        <w:widowControl/>
        <w:spacing w:line="480" w:lineRule="auto"/>
        <w:jc w:val="left"/>
        <w:rPr>
          <w:rFonts w:ascii="Arial" w:eastAsia="Calibri" w:hAnsi="Arial" w:cs="Arial"/>
          <w:sz w:val="20"/>
          <w:szCs w:val="20"/>
          <w:lang w:val="fr-CM"/>
        </w:rPr>
        <w:sectPr w:rsidR="004A4381" w:rsidRPr="00F723D4" w:rsidSect="004A4381">
          <w:type w:val="continuous"/>
          <w:pgSz w:w="11907" w:h="16840" w:code="9"/>
          <w:pgMar w:top="1418" w:right="1418" w:bottom="1418" w:left="1418" w:header="851" w:footer="992" w:gutter="0"/>
          <w:cols w:space="609"/>
          <w:docGrid w:linePitch="360"/>
        </w:sectPr>
      </w:pPr>
    </w:p>
    <w:p w14:paraId="09362670" w14:textId="77777777" w:rsidR="004A4381" w:rsidRDefault="004A4381" w:rsidP="00DF6E4E">
      <w:pPr>
        <w:spacing w:before="240" w:after="160"/>
        <w:rPr>
          <w:rFonts w:ascii="Arial" w:eastAsia="Calibri" w:hAnsi="Arial" w:cs="Arial"/>
          <w:b/>
          <w:sz w:val="20"/>
          <w:szCs w:val="20"/>
          <w:lang w:eastAsia="fr-FR"/>
        </w:rPr>
      </w:pPr>
    </w:p>
    <w:p w14:paraId="4F708DD0" w14:textId="77777777" w:rsidR="00DF6E4E" w:rsidRPr="004A4381" w:rsidRDefault="007A75B5" w:rsidP="00DF6E4E">
      <w:pPr>
        <w:spacing w:before="240" w:after="160"/>
        <w:rPr>
          <w:rFonts w:ascii="Arial" w:eastAsia="Calibri" w:hAnsi="Arial" w:cs="Arial"/>
          <w:b/>
          <w:sz w:val="20"/>
          <w:szCs w:val="20"/>
          <w:lang w:eastAsia="fr-FR"/>
        </w:rPr>
      </w:pPr>
      <w:r w:rsidRPr="004A4381">
        <w:rPr>
          <w:rFonts w:ascii="Arial" w:eastAsia="Calibri" w:hAnsi="Arial" w:cs="Arial"/>
          <w:b/>
          <w:sz w:val="20"/>
          <w:szCs w:val="20"/>
          <w:lang w:eastAsia="fr-FR"/>
        </w:rPr>
        <w:lastRenderedPageBreak/>
        <w:t>DISCUSSIO</w:t>
      </w:r>
      <w:r w:rsidRPr="004A4381">
        <w:rPr>
          <w:rFonts w:ascii="Arial" w:hAnsi="Arial" w:cs="Arial"/>
          <w:b/>
          <w:sz w:val="20"/>
          <w:szCs w:val="20"/>
        </w:rPr>
        <w:t>N</w:t>
      </w:r>
    </w:p>
    <w:p w14:paraId="2BFD49DE" w14:textId="4E95277B"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woody stand densities obtained at </w:t>
      </w:r>
      <w:proofErr w:type="spellStart"/>
      <w:r w:rsidRPr="004A4381">
        <w:rPr>
          <w:rFonts w:ascii="Arial" w:hAnsi="Arial" w:cs="Arial"/>
          <w:sz w:val="20"/>
          <w:szCs w:val="20"/>
        </w:rPr>
        <w:t>Gadiaba</w:t>
      </w:r>
      <w:proofErr w:type="spellEnd"/>
      <w:r w:rsidRPr="004A4381">
        <w:rPr>
          <w:rFonts w:ascii="Arial" w:hAnsi="Arial" w:cs="Arial"/>
          <w:sz w:val="20"/>
          <w:szCs w:val="20"/>
        </w:rPr>
        <w:t xml:space="preserve"> and </w:t>
      </w:r>
      <w:proofErr w:type="spellStart"/>
      <w:r w:rsidRPr="004A4381">
        <w:rPr>
          <w:rFonts w:ascii="Arial" w:hAnsi="Arial" w:cs="Arial"/>
          <w:sz w:val="20"/>
          <w:szCs w:val="20"/>
        </w:rPr>
        <w:t>Nioro</w:t>
      </w:r>
      <w:proofErr w:type="spellEnd"/>
      <w:r w:rsidRPr="004A4381">
        <w:rPr>
          <w:rFonts w:ascii="Arial" w:hAnsi="Arial" w:cs="Arial"/>
          <w:sz w:val="20"/>
          <w:szCs w:val="20"/>
        </w:rPr>
        <w:t xml:space="preserve"> of 690 and 430 feet/ha, respectively, are higher than the 376 feet/ha obtained by </w:t>
      </w:r>
      <w:proofErr w:type="spellStart"/>
      <w:r w:rsidRPr="004A4381">
        <w:rPr>
          <w:rFonts w:ascii="Arial" w:hAnsi="Arial" w:cs="Arial"/>
          <w:sz w:val="20"/>
          <w:szCs w:val="20"/>
        </w:rPr>
        <w:t>N'Diaye</w:t>
      </w:r>
      <w:proofErr w:type="spellEnd"/>
      <w:r w:rsidRPr="004A4381">
        <w:rPr>
          <w:rFonts w:ascii="Arial" w:hAnsi="Arial" w:cs="Arial"/>
          <w:sz w:val="20"/>
          <w:szCs w:val="20"/>
        </w:rPr>
        <w:t xml:space="preserve"> (2018) in the </w:t>
      </w:r>
      <w:proofErr w:type="spellStart"/>
      <w:r w:rsidRPr="004A4381">
        <w:rPr>
          <w:rFonts w:ascii="Arial" w:hAnsi="Arial" w:cs="Arial"/>
          <w:sz w:val="20"/>
          <w:szCs w:val="20"/>
        </w:rPr>
        <w:t>Ferlo</w:t>
      </w:r>
      <w:proofErr w:type="spellEnd"/>
      <w:r w:rsidRPr="004A4381">
        <w:rPr>
          <w:rFonts w:ascii="Arial" w:hAnsi="Arial" w:cs="Arial"/>
          <w:sz w:val="20"/>
          <w:szCs w:val="20"/>
        </w:rPr>
        <w:t xml:space="preserve"> region of Senegal. The density recorded at the </w:t>
      </w:r>
      <w:proofErr w:type="spellStart"/>
      <w:r w:rsidRPr="004A4381">
        <w:rPr>
          <w:rFonts w:ascii="Arial" w:hAnsi="Arial" w:cs="Arial"/>
          <w:sz w:val="20"/>
          <w:szCs w:val="20"/>
        </w:rPr>
        <w:t>Yèrèrè</w:t>
      </w:r>
      <w:proofErr w:type="spellEnd"/>
      <w:r w:rsidRPr="004A4381">
        <w:rPr>
          <w:rFonts w:ascii="Arial" w:hAnsi="Arial" w:cs="Arial"/>
          <w:sz w:val="20"/>
          <w:szCs w:val="20"/>
        </w:rPr>
        <w:t xml:space="preserve"> site is lower than that of </w:t>
      </w:r>
      <w:proofErr w:type="spellStart"/>
      <w:r w:rsidRPr="004A4381">
        <w:rPr>
          <w:rFonts w:ascii="Arial" w:hAnsi="Arial" w:cs="Arial"/>
          <w:sz w:val="20"/>
          <w:szCs w:val="20"/>
        </w:rPr>
        <w:t>N'Diaye</w:t>
      </w:r>
      <w:proofErr w:type="spellEnd"/>
      <w:r w:rsidRPr="004A4381">
        <w:rPr>
          <w:rFonts w:ascii="Arial" w:hAnsi="Arial" w:cs="Arial"/>
          <w:sz w:val="20"/>
          <w:szCs w:val="20"/>
        </w:rPr>
        <w:t xml:space="preserve"> (2018), but also than that obtained by </w:t>
      </w:r>
      <w:proofErr w:type="spellStart"/>
      <w:r w:rsidRPr="004A4381">
        <w:rPr>
          <w:rFonts w:ascii="Arial" w:hAnsi="Arial" w:cs="Arial"/>
          <w:sz w:val="20"/>
          <w:szCs w:val="20"/>
        </w:rPr>
        <w:t>Koné</w:t>
      </w:r>
      <w:proofErr w:type="spellEnd"/>
      <w:r w:rsidRPr="004A4381">
        <w:rPr>
          <w:rFonts w:ascii="Arial" w:hAnsi="Arial" w:cs="Arial"/>
          <w:sz w:val="20"/>
          <w:szCs w:val="20"/>
        </w:rPr>
        <w:t xml:space="preserve"> (2017), who reported 22784 feet/ha on a course at </w:t>
      </w:r>
      <w:proofErr w:type="spellStart"/>
      <w:r w:rsidRPr="004A4381">
        <w:rPr>
          <w:rFonts w:ascii="Arial" w:hAnsi="Arial" w:cs="Arial"/>
          <w:sz w:val="20"/>
          <w:szCs w:val="20"/>
        </w:rPr>
        <w:t>Ziguéna</w:t>
      </w:r>
      <w:proofErr w:type="spellEnd"/>
      <w:r w:rsidRPr="004A4381">
        <w:rPr>
          <w:rFonts w:ascii="Arial" w:hAnsi="Arial" w:cs="Arial"/>
          <w:sz w:val="20"/>
          <w:szCs w:val="20"/>
        </w:rPr>
        <w:t xml:space="preserve"> in the </w:t>
      </w:r>
      <w:proofErr w:type="spellStart"/>
      <w:r w:rsidRPr="004A4381">
        <w:rPr>
          <w:rFonts w:ascii="Arial" w:hAnsi="Arial" w:cs="Arial"/>
          <w:sz w:val="20"/>
          <w:szCs w:val="20"/>
        </w:rPr>
        <w:t>Sudanian</w:t>
      </w:r>
      <w:proofErr w:type="spellEnd"/>
      <w:r w:rsidRPr="004A4381">
        <w:rPr>
          <w:rFonts w:ascii="Arial" w:hAnsi="Arial" w:cs="Arial"/>
          <w:sz w:val="20"/>
          <w:szCs w:val="20"/>
        </w:rPr>
        <w:t xml:space="preserve"> bioclimatic. </w:t>
      </w:r>
    </w:p>
    <w:p w14:paraId="2F07934E" w14:textId="4BF6E1C1"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circumference and height class distributions of the </w:t>
      </w:r>
      <w:r w:rsidR="00B8236B" w:rsidRPr="004A4381">
        <w:rPr>
          <w:rFonts w:ascii="Arial" w:hAnsi="Arial" w:cs="Arial"/>
          <w:sz w:val="20"/>
          <w:szCs w:val="20"/>
        </w:rPr>
        <w:t xml:space="preserve">plants </w:t>
      </w:r>
      <w:r w:rsidRPr="004A4381">
        <w:rPr>
          <w:rFonts w:ascii="Arial" w:hAnsi="Arial" w:cs="Arial"/>
          <w:sz w:val="20"/>
          <w:szCs w:val="20"/>
        </w:rPr>
        <w:t xml:space="preserve">at our site are characteristic of natural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stands observed elsewhere in the Sahel, with small, medium-diameter individuals (</w:t>
      </w:r>
      <w:proofErr w:type="spellStart"/>
      <w:r w:rsidRPr="004A4381">
        <w:rPr>
          <w:rFonts w:ascii="Arial" w:hAnsi="Arial" w:cs="Arial"/>
          <w:sz w:val="20"/>
          <w:szCs w:val="20"/>
        </w:rPr>
        <w:t>Dembélé</w:t>
      </w:r>
      <w:proofErr w:type="spellEnd"/>
      <w:r w:rsidRPr="004A4381">
        <w:rPr>
          <w:rFonts w:ascii="Arial" w:hAnsi="Arial" w:cs="Arial"/>
          <w:sz w:val="20"/>
          <w:szCs w:val="20"/>
        </w:rPr>
        <w:t xml:space="preserve">, 2009; </w:t>
      </w:r>
      <w:proofErr w:type="spellStart"/>
      <w:r w:rsidRPr="004A4381">
        <w:rPr>
          <w:rFonts w:ascii="Arial" w:hAnsi="Arial" w:cs="Arial"/>
          <w:sz w:val="20"/>
          <w:szCs w:val="20"/>
        </w:rPr>
        <w:t>Karembé</w:t>
      </w:r>
      <w:proofErr w:type="spellEnd"/>
      <w:r w:rsidRPr="004A4381">
        <w:rPr>
          <w:rFonts w:ascii="Arial" w:hAnsi="Arial" w:cs="Arial"/>
          <w:sz w:val="20"/>
          <w:szCs w:val="20"/>
        </w:rPr>
        <w:t xml:space="preserve">, 2009; </w:t>
      </w:r>
      <w:proofErr w:type="spellStart"/>
      <w:r w:rsidRPr="004A4381">
        <w:rPr>
          <w:rFonts w:ascii="Arial" w:hAnsi="Arial" w:cs="Arial"/>
          <w:sz w:val="20"/>
          <w:szCs w:val="20"/>
        </w:rPr>
        <w:t>Traoré</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2022).</w:t>
      </w:r>
    </w:p>
    <w:p w14:paraId="50AAE004" w14:textId="075367FB"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 xml:space="preserve">The pH of the study sites was between 5.9 and 6.5, considered optimal for soil nutrient availability. These figures are close to those found by </w:t>
      </w:r>
      <w:proofErr w:type="spellStart"/>
      <w:r w:rsidRPr="004A4381">
        <w:rPr>
          <w:rFonts w:ascii="Arial" w:hAnsi="Arial" w:cs="Arial"/>
          <w:sz w:val="20"/>
          <w:szCs w:val="20"/>
        </w:rPr>
        <w:t>Hiernaux</w:t>
      </w:r>
      <w:proofErr w:type="spellEnd"/>
      <w:r w:rsidRPr="004A4381">
        <w:rPr>
          <w:rFonts w:ascii="Arial" w:hAnsi="Arial" w:cs="Arial"/>
          <w:sz w:val="20"/>
          <w:szCs w:val="20"/>
        </w:rPr>
        <w:t xml:space="preserve"> and Le </w:t>
      </w:r>
      <w:proofErr w:type="spellStart"/>
      <w:r w:rsidRPr="004A4381">
        <w:rPr>
          <w:rFonts w:ascii="Arial" w:hAnsi="Arial" w:cs="Arial"/>
          <w:sz w:val="20"/>
          <w:szCs w:val="20"/>
        </w:rPr>
        <w:t>Houérou</w:t>
      </w:r>
      <w:proofErr w:type="spellEnd"/>
      <w:r w:rsidRPr="004A4381">
        <w:rPr>
          <w:rFonts w:ascii="Arial" w:hAnsi="Arial" w:cs="Arial"/>
          <w:sz w:val="20"/>
          <w:szCs w:val="20"/>
        </w:rPr>
        <w:t xml:space="preserve"> (2006) and </w:t>
      </w:r>
      <w:proofErr w:type="spellStart"/>
      <w:r w:rsidRPr="004A4381">
        <w:rPr>
          <w:rFonts w:ascii="Arial" w:hAnsi="Arial" w:cs="Arial"/>
          <w:sz w:val="20"/>
          <w:szCs w:val="20"/>
        </w:rPr>
        <w:t>Traoré</w:t>
      </w:r>
      <w:proofErr w:type="spellEnd"/>
      <w:r w:rsidRPr="004A4381">
        <w:rPr>
          <w:rFonts w:ascii="Arial" w:hAnsi="Arial" w:cs="Arial"/>
          <w:sz w:val="20"/>
          <w:szCs w:val="20"/>
        </w:rPr>
        <w:t xml:space="preserve"> (2012) in the eastern Sahel region of Mali.</w:t>
      </w:r>
    </w:p>
    <w:p w14:paraId="4660DAA3" w14:textId="2080B7D2" w:rsidR="00DF6E4E" w:rsidRPr="004A4381" w:rsidRDefault="007A75B5" w:rsidP="00DF6E4E">
      <w:pPr>
        <w:tabs>
          <w:tab w:val="left" w:pos="1450"/>
        </w:tabs>
        <w:spacing w:before="240"/>
        <w:rPr>
          <w:rFonts w:ascii="Arial" w:hAnsi="Arial" w:cs="Arial"/>
          <w:sz w:val="20"/>
          <w:szCs w:val="20"/>
        </w:rPr>
      </w:pPr>
      <w:r w:rsidRPr="004A4381">
        <w:rPr>
          <w:rFonts w:ascii="Arial" w:hAnsi="Arial" w:cs="Arial"/>
          <w:sz w:val="20"/>
          <w:szCs w:val="20"/>
        </w:rPr>
        <w:t xml:space="preserve">Significant differences in the organic matter content linked to wood density were observed between the three sites studied. These results are comparable to those obtained by </w:t>
      </w:r>
      <w:proofErr w:type="spellStart"/>
      <w:r w:rsidRPr="004A4381">
        <w:rPr>
          <w:rFonts w:ascii="Arial" w:hAnsi="Arial" w:cs="Arial"/>
          <w:sz w:val="20"/>
          <w:szCs w:val="20"/>
        </w:rPr>
        <w:t>Samb</w:t>
      </w:r>
      <w:proofErr w:type="spellEnd"/>
      <w:r w:rsidRPr="004A4381">
        <w:rPr>
          <w:rFonts w:ascii="Arial" w:hAnsi="Arial" w:cs="Arial"/>
          <w:sz w:val="20"/>
          <w:szCs w:val="20"/>
        </w:rPr>
        <w:t xml:space="preserve"> (2010); and Abdou </w:t>
      </w:r>
      <w:r w:rsidRPr="004A4381">
        <w:rPr>
          <w:rFonts w:ascii="Arial" w:hAnsi="Arial" w:cs="Arial"/>
          <w:i/>
          <w:sz w:val="20"/>
          <w:szCs w:val="20"/>
        </w:rPr>
        <w:t>et al.</w:t>
      </w:r>
      <w:r w:rsidRPr="004A4381">
        <w:rPr>
          <w:rFonts w:ascii="Arial" w:hAnsi="Arial" w:cs="Arial"/>
          <w:sz w:val="20"/>
          <w:szCs w:val="20"/>
        </w:rPr>
        <w:t xml:space="preserve"> (2013) in the villages of </w:t>
      </w:r>
      <w:proofErr w:type="spellStart"/>
      <w:r w:rsidRPr="004A4381">
        <w:rPr>
          <w:rFonts w:ascii="Arial" w:hAnsi="Arial" w:cs="Arial"/>
          <w:sz w:val="20"/>
          <w:szCs w:val="20"/>
        </w:rPr>
        <w:t>Aité</w:t>
      </w:r>
      <w:proofErr w:type="spellEnd"/>
      <w:r w:rsidRPr="004A4381">
        <w:rPr>
          <w:rFonts w:ascii="Arial" w:hAnsi="Arial" w:cs="Arial"/>
          <w:sz w:val="20"/>
          <w:szCs w:val="20"/>
        </w:rPr>
        <w:t xml:space="preserve"> and </w:t>
      </w:r>
      <w:proofErr w:type="spellStart"/>
      <w:r w:rsidRPr="004A4381">
        <w:rPr>
          <w:rFonts w:ascii="Arial" w:hAnsi="Arial" w:cs="Arial"/>
          <w:sz w:val="20"/>
          <w:szCs w:val="20"/>
        </w:rPr>
        <w:t>Somo</w:t>
      </w:r>
      <w:proofErr w:type="spellEnd"/>
      <w:r w:rsidRPr="004A4381">
        <w:rPr>
          <w:rFonts w:ascii="Arial" w:hAnsi="Arial" w:cs="Arial"/>
          <w:sz w:val="20"/>
          <w:szCs w:val="20"/>
        </w:rPr>
        <w:t xml:space="preserve"> in Mali. </w:t>
      </w:r>
    </w:p>
    <w:p w14:paraId="0CB0693F" w14:textId="1B7FA2DA"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With a critical threshold of 0.6%, the soils in the study area were all deficient in organic carbon. Total nitrogen, ranging from 0.03% to 0.1%, is also low in the study area (</w:t>
      </w:r>
      <w:proofErr w:type="spellStart"/>
      <w:r w:rsidRPr="004A4381">
        <w:rPr>
          <w:rFonts w:ascii="Arial" w:hAnsi="Arial" w:cs="Arial"/>
          <w:sz w:val="20"/>
          <w:szCs w:val="20"/>
        </w:rPr>
        <w:t>Sarr</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2005). However, the difference was not significant between the three sites. The assimilable phosphorous content in the soil samples ranged from 0 to 4.45 ppm. Referring to the critical threshold of 7 ppm, all soil samples have a proven deficiency in assimilable phosphorus (</w:t>
      </w:r>
      <w:proofErr w:type="spellStart"/>
      <w:r w:rsidRPr="004A4381">
        <w:rPr>
          <w:rFonts w:ascii="Arial" w:hAnsi="Arial" w:cs="Arial"/>
          <w:sz w:val="20"/>
          <w:szCs w:val="20"/>
        </w:rPr>
        <w:t>Ngaryo</w:t>
      </w:r>
      <w:proofErr w:type="spellEnd"/>
      <w:r w:rsidRPr="004A4381">
        <w:rPr>
          <w:rFonts w:ascii="Arial" w:hAnsi="Arial" w:cs="Arial"/>
          <w:sz w:val="20"/>
          <w:szCs w:val="20"/>
        </w:rPr>
        <w:t xml:space="preserve"> </w:t>
      </w:r>
      <w:r w:rsidRPr="004A4381">
        <w:rPr>
          <w:rFonts w:ascii="Arial" w:hAnsi="Arial" w:cs="Arial"/>
          <w:i/>
          <w:sz w:val="20"/>
          <w:szCs w:val="20"/>
        </w:rPr>
        <w:t>et al.</w:t>
      </w:r>
      <w:r w:rsidRPr="004A4381">
        <w:rPr>
          <w:rFonts w:ascii="Arial" w:hAnsi="Arial" w:cs="Arial"/>
          <w:sz w:val="20"/>
          <w:szCs w:val="20"/>
        </w:rPr>
        <w:t xml:space="preserve">, 2017). These results </w:t>
      </w:r>
      <w:proofErr w:type="gramStart"/>
      <w:r w:rsidRPr="004A4381">
        <w:rPr>
          <w:rFonts w:ascii="Arial" w:hAnsi="Arial" w:cs="Arial"/>
          <w:sz w:val="20"/>
          <w:szCs w:val="20"/>
        </w:rPr>
        <w:t>are in agreement</w:t>
      </w:r>
      <w:proofErr w:type="gramEnd"/>
      <w:r w:rsidRPr="004A4381">
        <w:rPr>
          <w:rFonts w:ascii="Arial" w:hAnsi="Arial" w:cs="Arial"/>
          <w:sz w:val="20"/>
          <w:szCs w:val="20"/>
        </w:rPr>
        <w:t xml:space="preserve"> with those of Abdou </w:t>
      </w:r>
      <w:r w:rsidRPr="004A4381">
        <w:rPr>
          <w:rFonts w:ascii="Arial" w:hAnsi="Arial" w:cs="Arial"/>
          <w:i/>
          <w:sz w:val="20"/>
          <w:szCs w:val="20"/>
        </w:rPr>
        <w:t>et al.</w:t>
      </w:r>
      <w:r w:rsidRPr="004A4381">
        <w:rPr>
          <w:rFonts w:ascii="Arial" w:hAnsi="Arial" w:cs="Arial"/>
          <w:sz w:val="20"/>
          <w:szCs w:val="20"/>
        </w:rPr>
        <w:t xml:space="preserve"> (2013) in the six gum tree basins of Niger, with variations in pH, C, and N under and out of the crown, and these variations are significant between all gum trees (P&lt;0.05). These parameters are in most cases higher under the tree crown and in other cases higher out of the crown (Abdou </w:t>
      </w:r>
      <w:r w:rsidRPr="004A4381">
        <w:rPr>
          <w:rFonts w:ascii="Arial" w:hAnsi="Arial" w:cs="Arial"/>
          <w:i/>
          <w:sz w:val="20"/>
          <w:szCs w:val="20"/>
        </w:rPr>
        <w:t>et al.</w:t>
      </w:r>
      <w:r w:rsidRPr="004A4381">
        <w:rPr>
          <w:rFonts w:ascii="Arial" w:hAnsi="Arial" w:cs="Arial"/>
          <w:sz w:val="20"/>
          <w:szCs w:val="20"/>
        </w:rPr>
        <w:t>, 2013).</w:t>
      </w:r>
    </w:p>
    <w:p w14:paraId="66C25B0B" w14:textId="77777777" w:rsidR="00DF6E4E" w:rsidRPr="004A4381" w:rsidRDefault="007A75B5" w:rsidP="00DF6E4E">
      <w:pPr>
        <w:snapToGrid w:val="0"/>
        <w:spacing w:before="240" w:after="240"/>
        <w:rPr>
          <w:rStyle w:val="ShortAbstract"/>
          <w:rFonts w:ascii="Arial" w:eastAsia="MS Mincho" w:hAnsi="Arial" w:cs="Arial"/>
          <w:b/>
          <w:szCs w:val="20"/>
        </w:rPr>
      </w:pPr>
      <w:r w:rsidRPr="004A4381">
        <w:rPr>
          <w:rStyle w:val="ShortAbstract"/>
          <w:rFonts w:ascii="Arial" w:eastAsia="MS Mincho" w:hAnsi="Arial" w:cs="Arial"/>
          <w:b/>
          <w:szCs w:val="20"/>
        </w:rPr>
        <w:t>CO</w:t>
      </w:r>
      <w:r w:rsidRPr="004A4381">
        <w:rPr>
          <w:rFonts w:ascii="Arial" w:hAnsi="Arial" w:cs="Arial"/>
          <w:b/>
          <w:sz w:val="20"/>
          <w:szCs w:val="20"/>
        </w:rPr>
        <w:t>NCLUSION</w:t>
      </w:r>
    </w:p>
    <w:p w14:paraId="492BA7F0" w14:textId="44C83B12" w:rsidR="00DF6E4E" w:rsidRPr="004A4381" w:rsidRDefault="007A75B5" w:rsidP="00DF6E4E">
      <w:pPr>
        <w:tabs>
          <w:tab w:val="left" w:pos="1450"/>
        </w:tabs>
        <w:spacing w:after="240"/>
        <w:rPr>
          <w:rFonts w:ascii="Arial" w:hAnsi="Arial" w:cs="Arial"/>
          <w:sz w:val="20"/>
          <w:szCs w:val="20"/>
        </w:rPr>
      </w:pPr>
      <w:r w:rsidRPr="004A4381">
        <w:rPr>
          <w:rFonts w:ascii="Arial" w:hAnsi="Arial" w:cs="Arial"/>
          <w:sz w:val="20"/>
          <w:szCs w:val="20"/>
        </w:rPr>
        <w:t xml:space="preserve">In the current context of climate change, the density of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an agroforestry species, is declining sharply in the Sahel. This study aimed to determine the influence of the density of natural stands of </w:t>
      </w:r>
      <w:r w:rsidRPr="004A4381">
        <w:rPr>
          <w:rFonts w:ascii="Arial" w:hAnsi="Arial" w:cs="Arial"/>
          <w:i/>
          <w:sz w:val="20"/>
          <w:szCs w:val="20"/>
        </w:rPr>
        <w:t>Acacia Senegal</w:t>
      </w:r>
      <w:r w:rsidRPr="004A4381">
        <w:rPr>
          <w:rFonts w:ascii="Arial" w:hAnsi="Arial" w:cs="Arial"/>
          <w:sz w:val="20"/>
          <w:szCs w:val="20"/>
        </w:rPr>
        <w:t xml:space="preserve"> on soil fertility in the western Sahel of Mali. 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2AD66E17" w14:textId="77777777" w:rsidR="00DF6E4E" w:rsidRPr="004A4381" w:rsidRDefault="007A75B5" w:rsidP="00DF6E4E">
      <w:pPr>
        <w:ind w:left="266" w:hanging="266"/>
        <w:rPr>
          <w:rFonts w:ascii="Arial" w:eastAsia="Calibri" w:hAnsi="Arial" w:cs="Arial"/>
          <w:b/>
          <w:sz w:val="20"/>
          <w:szCs w:val="20"/>
        </w:rPr>
      </w:pPr>
      <w:r w:rsidRPr="004A4381">
        <w:rPr>
          <w:rFonts w:ascii="Arial" w:eastAsia="Calibri" w:hAnsi="Arial" w:cs="Arial"/>
          <w:b/>
          <w:sz w:val="20"/>
          <w:szCs w:val="20"/>
        </w:rPr>
        <w:t>DISCLAIMER (ARTIFICIAL INTELLIGENCE)</w:t>
      </w:r>
    </w:p>
    <w:p w14:paraId="7F4A4244" w14:textId="77777777" w:rsidR="00DF6E4E" w:rsidRPr="004A4381" w:rsidRDefault="00DF6E4E" w:rsidP="00DF6E4E">
      <w:pPr>
        <w:rPr>
          <w:rFonts w:ascii="Arial" w:eastAsia="Times New Roman" w:hAnsi="Arial" w:cs="Arial"/>
          <w:sz w:val="20"/>
          <w:szCs w:val="20"/>
        </w:rPr>
      </w:pPr>
    </w:p>
    <w:p w14:paraId="5EDD29B4" w14:textId="508EFCF3"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Author(s) hereby declare that NO generative AI technologies such as Large Language Models (</w:t>
      </w:r>
      <w:proofErr w:type="spellStart"/>
      <w:r w:rsidRPr="004A4381">
        <w:rPr>
          <w:rFonts w:ascii="Arial" w:hAnsi="Arial" w:cs="Arial"/>
          <w:sz w:val="20"/>
          <w:szCs w:val="20"/>
        </w:rPr>
        <w:t>ChatGPT</w:t>
      </w:r>
      <w:proofErr w:type="spellEnd"/>
      <w:r w:rsidRPr="004A4381">
        <w:rPr>
          <w:rFonts w:ascii="Arial" w:hAnsi="Arial" w:cs="Arial"/>
          <w:sz w:val="20"/>
          <w:szCs w:val="20"/>
        </w:rPr>
        <w:t xml:space="preserve">, COPILOT, etc.) and text-to-image generators were used during the writing or editing of this manuscript. </w:t>
      </w:r>
    </w:p>
    <w:p w14:paraId="6595DA18" w14:textId="77777777" w:rsidR="00DF6E4E" w:rsidRPr="004A4381" w:rsidRDefault="00DF6E4E" w:rsidP="00DF6E4E">
      <w:pPr>
        <w:rPr>
          <w:rFonts w:ascii="Arial" w:eastAsia="Times New Roman" w:hAnsi="Arial" w:cs="Arial"/>
          <w:sz w:val="20"/>
          <w:szCs w:val="20"/>
        </w:rPr>
      </w:pPr>
    </w:p>
    <w:p w14:paraId="40DCC6A7" w14:textId="77777777" w:rsidR="00DF6E4E" w:rsidRPr="004A4381" w:rsidRDefault="007A75B5" w:rsidP="00DF6E4E">
      <w:pPr>
        <w:pStyle w:val="Heading2"/>
        <w:rPr>
          <w:rFonts w:eastAsia="Calibri" w:cs="Arial"/>
          <w:sz w:val="20"/>
          <w:szCs w:val="20"/>
        </w:rPr>
      </w:pPr>
      <w:r w:rsidRPr="004A4381">
        <w:rPr>
          <w:rFonts w:eastAsia="Calibri" w:cs="Arial"/>
          <w:sz w:val="20"/>
          <w:szCs w:val="20"/>
        </w:rPr>
        <w:t xml:space="preserve">CONSENT AND ETHICAL APPROVAL  </w:t>
      </w:r>
    </w:p>
    <w:p w14:paraId="70BDB8C6" w14:textId="77777777" w:rsidR="00DF6E4E" w:rsidRPr="004A4381" w:rsidRDefault="00DF6E4E" w:rsidP="00DF6E4E">
      <w:pPr>
        <w:rPr>
          <w:rFonts w:ascii="Arial" w:eastAsia="Calibri" w:hAnsi="Arial" w:cs="Arial"/>
          <w:sz w:val="20"/>
          <w:szCs w:val="20"/>
        </w:rPr>
      </w:pPr>
    </w:p>
    <w:p w14:paraId="39668867" w14:textId="77777777" w:rsidR="00DF6E4E" w:rsidRPr="004A4381" w:rsidRDefault="007A75B5" w:rsidP="00DF6E4E">
      <w:pPr>
        <w:tabs>
          <w:tab w:val="left" w:pos="1450"/>
        </w:tabs>
        <w:rPr>
          <w:rFonts w:ascii="Arial" w:hAnsi="Arial" w:cs="Arial"/>
          <w:sz w:val="20"/>
          <w:szCs w:val="20"/>
        </w:rPr>
      </w:pPr>
      <w:r w:rsidRPr="004A4381">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486C3BD2" w14:textId="6DE55D94" w:rsidR="00DF6E4E" w:rsidRPr="004A4381" w:rsidRDefault="00DF6E4E" w:rsidP="00DF6E4E">
      <w:pPr>
        <w:widowControl/>
        <w:jc w:val="left"/>
        <w:rPr>
          <w:rStyle w:val="ShortAbstract"/>
          <w:rFonts w:ascii="Arial" w:eastAsia="MS Mincho" w:hAnsi="Arial" w:cs="Arial"/>
          <w:b/>
          <w:szCs w:val="20"/>
        </w:rPr>
      </w:pPr>
    </w:p>
    <w:p w14:paraId="1343FA91" w14:textId="77777777" w:rsidR="00A53A42" w:rsidRPr="004A4381" w:rsidRDefault="00A53A42" w:rsidP="00DF6E4E">
      <w:pPr>
        <w:widowControl/>
        <w:jc w:val="left"/>
        <w:rPr>
          <w:rStyle w:val="ShortAbstract"/>
          <w:rFonts w:ascii="Arial" w:eastAsia="MS Mincho" w:hAnsi="Arial" w:cs="Arial"/>
          <w:b/>
          <w:szCs w:val="20"/>
        </w:rPr>
      </w:pPr>
    </w:p>
    <w:p w14:paraId="7B3FD07C" w14:textId="77777777" w:rsidR="00DF6E4E" w:rsidRPr="004A4381" w:rsidRDefault="007A75B5" w:rsidP="00DF6E4E">
      <w:pPr>
        <w:snapToGrid w:val="0"/>
        <w:rPr>
          <w:rStyle w:val="ShortAbstract"/>
          <w:rFonts w:ascii="Arial" w:eastAsia="MS Mincho" w:hAnsi="Arial" w:cs="Arial"/>
          <w:b/>
          <w:szCs w:val="20"/>
        </w:rPr>
      </w:pPr>
      <w:r w:rsidRPr="004A4381">
        <w:rPr>
          <w:rStyle w:val="ShortAbstract"/>
          <w:rFonts w:ascii="Arial" w:eastAsia="MS Mincho" w:hAnsi="Arial" w:cs="Arial"/>
          <w:b/>
          <w:szCs w:val="20"/>
        </w:rPr>
        <w:t>REFERENCES</w:t>
      </w:r>
    </w:p>
    <w:p w14:paraId="5A2E2626" w14:textId="7706EABF" w:rsidR="00DF6E4E" w:rsidRPr="004A4381" w:rsidRDefault="007A75B5" w:rsidP="00DF6E4E">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Abaker</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Wafa</w:t>
      </w:r>
      <w:proofErr w:type="spellEnd"/>
      <w:r w:rsidRPr="004A4381">
        <w:rPr>
          <w:rFonts w:ascii="Arial" w:eastAsiaTheme="minorHAnsi" w:hAnsi="Arial" w:cs="Arial"/>
          <w:kern w:val="0"/>
          <w:sz w:val="20"/>
          <w:szCs w:val="20"/>
          <w:lang w:eastAsia="en-US"/>
        </w:rPr>
        <w:t xml:space="preserve">, E., </w:t>
      </w:r>
      <w:r w:rsidRPr="004A4381">
        <w:rPr>
          <w:rFonts w:ascii="Arial" w:hAnsi="Arial" w:cs="Arial"/>
          <w:sz w:val="20"/>
          <w:szCs w:val="20"/>
        </w:rPr>
        <w:t xml:space="preserve">Berninger, F., </w:t>
      </w:r>
      <w:proofErr w:type="spellStart"/>
      <w:r w:rsidRPr="004A4381">
        <w:rPr>
          <w:rFonts w:ascii="Arial" w:hAnsi="Arial" w:cs="Arial"/>
          <w:sz w:val="20"/>
          <w:szCs w:val="20"/>
        </w:rPr>
        <w:t>Saiz</w:t>
      </w:r>
      <w:proofErr w:type="spellEnd"/>
      <w:r w:rsidRPr="004A4381">
        <w:rPr>
          <w:rFonts w:ascii="Arial" w:hAnsi="Arial" w:cs="Arial"/>
          <w:sz w:val="20"/>
          <w:szCs w:val="20"/>
        </w:rPr>
        <w:t xml:space="preserve">, G., </w:t>
      </w:r>
      <w:proofErr w:type="spellStart"/>
      <w:r w:rsidRPr="004A4381">
        <w:rPr>
          <w:rFonts w:ascii="Arial" w:hAnsi="Arial" w:cs="Arial"/>
          <w:sz w:val="20"/>
          <w:szCs w:val="20"/>
        </w:rPr>
        <w:t>Pumpanen</w:t>
      </w:r>
      <w:proofErr w:type="spellEnd"/>
      <w:r w:rsidRPr="004A4381">
        <w:rPr>
          <w:rFonts w:ascii="Arial" w:hAnsi="Arial" w:cs="Arial"/>
          <w:sz w:val="20"/>
          <w:szCs w:val="20"/>
        </w:rPr>
        <w:t xml:space="preserve">, J. and Starr, M. (2018). Linkages between soil carbon, soil fertility and nitrogen fixation </w:t>
      </w:r>
      <w:r w:rsidRPr="004A4381">
        <w:rPr>
          <w:rFonts w:ascii="Arial" w:hAnsi="Arial" w:cs="Arial"/>
          <w:i/>
          <w:sz w:val="20"/>
          <w:szCs w:val="20"/>
        </w:rPr>
        <w:t xml:space="preserve">Acacia </w:t>
      </w:r>
      <w:proofErr w:type="spellStart"/>
      <w:r w:rsidRPr="004A4381">
        <w:rPr>
          <w:rFonts w:ascii="Arial" w:hAnsi="Arial" w:cs="Arial"/>
          <w:i/>
          <w:sz w:val="20"/>
          <w:szCs w:val="20"/>
        </w:rPr>
        <w:t>senegal</w:t>
      </w:r>
      <w:proofErr w:type="spellEnd"/>
      <w:r w:rsidRPr="004A4381">
        <w:rPr>
          <w:rFonts w:ascii="Arial" w:hAnsi="Arial" w:cs="Arial"/>
          <w:sz w:val="20"/>
          <w:szCs w:val="20"/>
        </w:rPr>
        <w:t xml:space="preserve"> plantations of varying age in Sudan Peer J, DOI 10.7717/peerj.5232.</w:t>
      </w:r>
    </w:p>
    <w:p w14:paraId="032A046F"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val="fr-FR" w:eastAsia="en-US"/>
        </w:rPr>
        <w:t xml:space="preserve">Abdou, M.M., </w:t>
      </w:r>
      <w:proofErr w:type="spellStart"/>
      <w:r w:rsidRPr="004A4381">
        <w:rPr>
          <w:rFonts w:ascii="Arial" w:eastAsiaTheme="minorHAnsi" w:hAnsi="Arial" w:cs="Arial"/>
          <w:kern w:val="0"/>
          <w:sz w:val="20"/>
          <w:szCs w:val="20"/>
          <w:lang w:val="fr-FR" w:eastAsia="en-US"/>
        </w:rPr>
        <w:t>Zoubeirou</w:t>
      </w:r>
      <w:proofErr w:type="spellEnd"/>
      <w:r w:rsidRPr="004A4381">
        <w:rPr>
          <w:rFonts w:ascii="Arial" w:eastAsiaTheme="minorHAnsi" w:hAnsi="Arial" w:cs="Arial"/>
          <w:kern w:val="0"/>
          <w:sz w:val="20"/>
          <w:szCs w:val="20"/>
          <w:lang w:val="fr-FR" w:eastAsia="en-US"/>
        </w:rPr>
        <w:t xml:space="preserve">, A.M., Kadri, A., </w:t>
      </w:r>
      <w:proofErr w:type="spellStart"/>
      <w:r w:rsidRPr="004A4381">
        <w:rPr>
          <w:rFonts w:ascii="Arial" w:eastAsiaTheme="minorHAnsi" w:hAnsi="Arial" w:cs="Arial"/>
          <w:kern w:val="0"/>
          <w:sz w:val="20"/>
          <w:szCs w:val="20"/>
          <w:lang w:val="fr-FR" w:eastAsia="en-US"/>
        </w:rPr>
        <w:t>Ambouta</w:t>
      </w:r>
      <w:proofErr w:type="spellEnd"/>
      <w:r w:rsidRPr="004A4381">
        <w:rPr>
          <w:rFonts w:ascii="Arial" w:eastAsiaTheme="minorHAnsi" w:hAnsi="Arial" w:cs="Arial"/>
          <w:kern w:val="0"/>
          <w:sz w:val="20"/>
          <w:szCs w:val="20"/>
          <w:lang w:val="fr-FR" w:eastAsia="en-US"/>
        </w:rPr>
        <w:t xml:space="preserve">, J.M.K., Dan </w:t>
      </w:r>
      <w:proofErr w:type="spellStart"/>
      <w:r w:rsidRPr="004A4381">
        <w:rPr>
          <w:rFonts w:ascii="Arial" w:eastAsiaTheme="minorHAnsi" w:hAnsi="Arial" w:cs="Arial"/>
          <w:kern w:val="0"/>
          <w:sz w:val="20"/>
          <w:szCs w:val="20"/>
          <w:lang w:val="fr-FR" w:eastAsia="en-US"/>
        </w:rPr>
        <w:t>Lamso</w:t>
      </w:r>
      <w:proofErr w:type="spellEnd"/>
      <w:r w:rsidRPr="004A4381">
        <w:rPr>
          <w:rFonts w:ascii="Arial" w:eastAsiaTheme="minorHAnsi" w:hAnsi="Arial" w:cs="Arial"/>
          <w:kern w:val="0"/>
          <w:sz w:val="20"/>
          <w:szCs w:val="20"/>
          <w:lang w:val="fr-FR" w:eastAsia="en-US"/>
        </w:rPr>
        <w:t xml:space="preserve">, N. (2013). </w:t>
      </w:r>
      <w:r w:rsidRPr="004A4381">
        <w:rPr>
          <w:rFonts w:ascii="Arial" w:eastAsiaTheme="minorHAnsi" w:hAnsi="Arial" w:cs="Arial"/>
          <w:kern w:val="0"/>
          <w:sz w:val="20"/>
          <w:szCs w:val="20"/>
          <w:lang w:eastAsia="en-US"/>
        </w:rPr>
        <w:t xml:space="preserve">Effect of the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tree on the fertility of gum plantation soils in Niger. </w:t>
      </w:r>
      <w:r w:rsidRPr="004A4381">
        <w:rPr>
          <w:rFonts w:ascii="Arial" w:eastAsiaTheme="minorHAnsi" w:hAnsi="Arial" w:cs="Arial"/>
          <w:kern w:val="0"/>
          <w:sz w:val="20"/>
          <w:szCs w:val="20"/>
          <w:lang w:val="fr-FR" w:eastAsia="en-US"/>
        </w:rPr>
        <w:t xml:space="preserve">Int. J. Biol. </w:t>
      </w:r>
      <w:proofErr w:type="spellStart"/>
      <w:r w:rsidRPr="004A4381">
        <w:rPr>
          <w:rFonts w:ascii="Arial" w:eastAsiaTheme="minorHAnsi" w:hAnsi="Arial" w:cs="Arial"/>
          <w:kern w:val="0"/>
          <w:sz w:val="20"/>
          <w:szCs w:val="20"/>
          <w:lang w:val="fr-FR" w:eastAsia="en-US"/>
        </w:rPr>
        <w:t>Chem</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Sci</w:t>
      </w:r>
      <w:proofErr w:type="spellEnd"/>
      <w:r w:rsidRPr="004A4381">
        <w:rPr>
          <w:rFonts w:ascii="Arial" w:eastAsiaTheme="minorHAnsi" w:hAnsi="Arial" w:cs="Arial"/>
          <w:kern w:val="0"/>
          <w:sz w:val="20"/>
          <w:szCs w:val="20"/>
          <w:lang w:val="fr-FR" w:eastAsia="en-US"/>
        </w:rPr>
        <w:t>., 7(6</w:t>
      </w:r>
      <w:proofErr w:type="gramStart"/>
      <w:r w:rsidRPr="004A4381">
        <w:rPr>
          <w:rFonts w:ascii="Arial" w:eastAsiaTheme="minorHAnsi" w:hAnsi="Arial" w:cs="Arial"/>
          <w:kern w:val="0"/>
          <w:sz w:val="20"/>
          <w:szCs w:val="20"/>
          <w:lang w:val="fr-FR" w:eastAsia="en-US"/>
        </w:rPr>
        <w:t>):</w:t>
      </w:r>
      <w:proofErr w:type="gramEnd"/>
      <w:r w:rsidRPr="004A4381">
        <w:rPr>
          <w:rFonts w:ascii="Arial" w:eastAsiaTheme="minorHAnsi" w:hAnsi="Arial" w:cs="Arial"/>
          <w:kern w:val="0"/>
          <w:sz w:val="20"/>
          <w:szCs w:val="20"/>
          <w:lang w:val="fr-FR" w:eastAsia="en-US"/>
        </w:rPr>
        <w:t xml:space="preserve"> 2328-2337.</w:t>
      </w:r>
    </w:p>
    <w:p w14:paraId="4EC87DE4" w14:textId="3DBF0146" w:rsidR="00994A63" w:rsidRPr="004A4381" w:rsidRDefault="007A75B5" w:rsidP="00994A63">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val="fr-FR" w:eastAsia="en-US"/>
        </w:rPr>
        <w:lastRenderedPageBreak/>
        <w:t>Bremner</w:t>
      </w:r>
      <w:proofErr w:type="spellEnd"/>
      <w:r w:rsidRPr="004A4381">
        <w:rPr>
          <w:rFonts w:ascii="Arial" w:eastAsiaTheme="minorHAnsi" w:hAnsi="Arial" w:cs="Arial"/>
          <w:kern w:val="0"/>
          <w:sz w:val="20"/>
          <w:szCs w:val="20"/>
          <w:lang w:val="fr-FR" w:eastAsia="en-US"/>
        </w:rPr>
        <w:t xml:space="preserve">, J.M., </w:t>
      </w:r>
      <w:proofErr w:type="spellStart"/>
      <w:r w:rsidRPr="004A4381">
        <w:rPr>
          <w:rFonts w:ascii="Arial" w:eastAsiaTheme="minorHAnsi" w:hAnsi="Arial" w:cs="Arial"/>
          <w:kern w:val="0"/>
          <w:sz w:val="20"/>
          <w:szCs w:val="20"/>
          <w:lang w:val="fr-FR" w:eastAsia="en-US"/>
        </w:rPr>
        <w:t>Mulvaney</w:t>
      </w:r>
      <w:proofErr w:type="spellEnd"/>
      <w:r w:rsidRPr="004A4381">
        <w:rPr>
          <w:rFonts w:ascii="Arial" w:eastAsiaTheme="minorHAnsi" w:hAnsi="Arial" w:cs="Arial"/>
          <w:kern w:val="0"/>
          <w:sz w:val="20"/>
          <w:szCs w:val="20"/>
          <w:lang w:val="fr-FR" w:eastAsia="en-US"/>
        </w:rPr>
        <w:t xml:space="preserve">, C.S. (1982). Total N. </w:t>
      </w:r>
      <w:proofErr w:type="gramStart"/>
      <w:r w:rsidRPr="004A4381">
        <w:rPr>
          <w:rFonts w:ascii="Arial" w:eastAsiaTheme="minorHAnsi" w:hAnsi="Arial" w:cs="Arial"/>
          <w:kern w:val="0"/>
          <w:sz w:val="20"/>
          <w:szCs w:val="20"/>
          <w:lang w:val="fr-FR" w:eastAsia="en-US"/>
        </w:rPr>
        <w:t>In:</w:t>
      </w:r>
      <w:proofErr w:type="gramEnd"/>
      <w:r w:rsidRPr="004A4381">
        <w:rPr>
          <w:rFonts w:ascii="Arial" w:eastAsiaTheme="minorHAnsi" w:hAnsi="Arial" w:cs="Arial"/>
          <w:kern w:val="0"/>
          <w:sz w:val="20"/>
          <w:szCs w:val="20"/>
          <w:lang w:val="fr-FR" w:eastAsia="en-US"/>
        </w:rPr>
        <w:t xml:space="preserve"> Methods of </w:t>
      </w:r>
      <w:proofErr w:type="spellStart"/>
      <w:r w:rsidRPr="004A4381">
        <w:rPr>
          <w:rFonts w:ascii="Arial" w:eastAsiaTheme="minorHAnsi" w:hAnsi="Arial" w:cs="Arial"/>
          <w:kern w:val="0"/>
          <w:sz w:val="20"/>
          <w:szCs w:val="20"/>
          <w:lang w:val="fr-FR" w:eastAsia="en-US"/>
        </w:rPr>
        <w:t>soil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analysis</w:t>
      </w:r>
      <w:proofErr w:type="spellEnd"/>
      <w:r w:rsidRPr="004A4381">
        <w:rPr>
          <w:rFonts w:ascii="Arial" w:eastAsiaTheme="minorHAnsi" w:hAnsi="Arial" w:cs="Arial"/>
          <w:kern w:val="0"/>
          <w:sz w:val="20"/>
          <w:szCs w:val="20"/>
          <w:lang w:val="fr-FR" w:eastAsia="en-US"/>
        </w:rPr>
        <w:t xml:space="preserve"> part 2. Chemical and </w:t>
      </w:r>
      <w:proofErr w:type="spellStart"/>
      <w:r w:rsidRPr="004A4381">
        <w:rPr>
          <w:rFonts w:ascii="Arial" w:eastAsiaTheme="minorHAnsi" w:hAnsi="Arial" w:cs="Arial"/>
          <w:kern w:val="0"/>
          <w:sz w:val="20"/>
          <w:szCs w:val="20"/>
          <w:lang w:val="fr-FR" w:eastAsia="en-US"/>
        </w:rPr>
        <w:t>mineralogical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properties</w:t>
      </w:r>
      <w:proofErr w:type="spellEnd"/>
      <w:r w:rsidRPr="004A4381">
        <w:rPr>
          <w:rFonts w:ascii="Arial" w:eastAsiaTheme="minorHAnsi" w:hAnsi="Arial" w:cs="Arial"/>
          <w:kern w:val="0"/>
          <w:sz w:val="20"/>
          <w:szCs w:val="20"/>
          <w:lang w:val="fr-FR" w:eastAsia="en-US"/>
        </w:rPr>
        <w:t xml:space="preserve">, 2nd </w:t>
      </w:r>
      <w:proofErr w:type="spellStart"/>
      <w:r w:rsidRPr="004A4381">
        <w:rPr>
          <w:rFonts w:ascii="Arial" w:eastAsiaTheme="minorHAnsi" w:hAnsi="Arial" w:cs="Arial"/>
          <w:kern w:val="0"/>
          <w:sz w:val="20"/>
          <w:szCs w:val="20"/>
          <w:lang w:val="fr-FR" w:eastAsia="en-US"/>
        </w:rPr>
        <w:t>ed</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Agronomy</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Monograph</w:t>
      </w:r>
      <w:proofErr w:type="spellEnd"/>
      <w:r w:rsidRPr="004A4381">
        <w:rPr>
          <w:rFonts w:ascii="Arial" w:eastAsiaTheme="minorHAnsi" w:hAnsi="Arial" w:cs="Arial"/>
          <w:kern w:val="0"/>
          <w:sz w:val="20"/>
          <w:szCs w:val="20"/>
          <w:lang w:val="fr-FR" w:eastAsia="en-US"/>
        </w:rPr>
        <w:t xml:space="preserve"> vol.9. A. L. Page, Ed. Madison Wisconsin, USA 1982, p. 595-622.</w:t>
      </w:r>
    </w:p>
    <w:p w14:paraId="7DF8C4DA"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val="fr-FR" w:eastAsia="en-US"/>
        </w:rPr>
        <w:t xml:space="preserve">Dembélé, F., </w:t>
      </w:r>
      <w:proofErr w:type="spellStart"/>
      <w:r w:rsidRPr="004A4381">
        <w:rPr>
          <w:rFonts w:ascii="Arial" w:eastAsiaTheme="minorHAnsi" w:hAnsi="Arial" w:cs="Arial"/>
          <w:kern w:val="0"/>
          <w:sz w:val="20"/>
          <w:szCs w:val="20"/>
          <w:lang w:val="fr-FR" w:eastAsia="en-US"/>
        </w:rPr>
        <w:t>Karembé</w:t>
      </w:r>
      <w:proofErr w:type="spellEnd"/>
      <w:r w:rsidRPr="004A4381">
        <w:rPr>
          <w:rFonts w:ascii="Arial" w:eastAsiaTheme="minorHAnsi" w:hAnsi="Arial" w:cs="Arial"/>
          <w:kern w:val="0"/>
          <w:sz w:val="20"/>
          <w:szCs w:val="20"/>
          <w:lang w:val="fr-FR" w:eastAsia="en-US"/>
        </w:rPr>
        <w:t xml:space="preserve">, M., Diallo, D. (2009). </w:t>
      </w:r>
      <w:r w:rsidRPr="004A4381">
        <w:rPr>
          <w:rFonts w:ascii="Arial" w:eastAsiaTheme="minorHAnsi" w:hAnsi="Arial" w:cs="Arial"/>
          <w:kern w:val="0"/>
          <w:sz w:val="20"/>
          <w:szCs w:val="20"/>
          <w:lang w:eastAsia="en-US"/>
        </w:rPr>
        <w:t>Influence of climate and soil on woody vegetation in the Senegal River Basin in Mali. 3rd International Conference on Multidisciplinary Analysis of the African Monsoon. Ouagadougou 2009, pp. 184p.</w:t>
      </w:r>
    </w:p>
    <w:p w14:paraId="4BA4D7AF" w14:textId="18E8A852"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 xml:space="preserve">Diallo, A., </w:t>
      </w:r>
      <w:proofErr w:type="spellStart"/>
      <w:r w:rsidRPr="004A4381">
        <w:rPr>
          <w:rFonts w:ascii="Arial" w:eastAsiaTheme="minorHAnsi" w:hAnsi="Arial" w:cs="Arial"/>
          <w:kern w:val="0"/>
          <w:sz w:val="20"/>
          <w:szCs w:val="20"/>
          <w:lang w:eastAsia="en-US"/>
        </w:rPr>
        <w:t>Agbangba</w:t>
      </w:r>
      <w:proofErr w:type="spellEnd"/>
      <w:r w:rsidRPr="004A4381">
        <w:rPr>
          <w:rFonts w:ascii="Arial" w:eastAsiaTheme="minorHAnsi" w:hAnsi="Arial" w:cs="Arial"/>
          <w:kern w:val="0"/>
          <w:sz w:val="20"/>
          <w:szCs w:val="20"/>
          <w:lang w:eastAsia="en-US"/>
        </w:rPr>
        <w:t xml:space="preserve">, E.C., </w:t>
      </w:r>
      <w:proofErr w:type="spellStart"/>
      <w:r w:rsidRPr="004A4381">
        <w:rPr>
          <w:rFonts w:ascii="Arial" w:eastAsiaTheme="minorHAnsi" w:hAnsi="Arial" w:cs="Arial"/>
          <w:kern w:val="0"/>
          <w:sz w:val="20"/>
          <w:szCs w:val="20"/>
          <w:lang w:eastAsia="en-US"/>
        </w:rPr>
        <w:t>Thiaw</w:t>
      </w:r>
      <w:proofErr w:type="spellEnd"/>
      <w:r w:rsidRPr="004A4381">
        <w:rPr>
          <w:rFonts w:ascii="Arial" w:eastAsiaTheme="minorHAnsi" w:hAnsi="Arial" w:cs="Arial"/>
          <w:kern w:val="0"/>
          <w:sz w:val="20"/>
          <w:szCs w:val="20"/>
          <w:lang w:eastAsia="en-US"/>
        </w:rPr>
        <w:t xml:space="preserve">, A., </w:t>
      </w:r>
      <w:proofErr w:type="spellStart"/>
      <w:r w:rsidRPr="004A4381">
        <w:rPr>
          <w:rFonts w:ascii="Arial" w:eastAsiaTheme="minorHAnsi" w:hAnsi="Arial" w:cs="Arial"/>
          <w:kern w:val="0"/>
          <w:sz w:val="20"/>
          <w:szCs w:val="20"/>
          <w:lang w:eastAsia="en-US"/>
        </w:rPr>
        <w:t>Guissé</w:t>
      </w:r>
      <w:proofErr w:type="spellEnd"/>
      <w:r w:rsidRPr="004A4381">
        <w:rPr>
          <w:rFonts w:ascii="Arial" w:eastAsiaTheme="minorHAnsi" w:hAnsi="Arial" w:cs="Arial"/>
          <w:kern w:val="0"/>
          <w:sz w:val="20"/>
          <w:szCs w:val="20"/>
          <w:lang w:eastAsia="en-US"/>
        </w:rPr>
        <w:t xml:space="preserve">, A. (2012). Structure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populations in the </w:t>
      </w:r>
      <w:proofErr w:type="spellStart"/>
      <w:r w:rsidRPr="004A4381">
        <w:rPr>
          <w:rFonts w:ascii="Arial" w:eastAsiaTheme="minorHAnsi" w:hAnsi="Arial" w:cs="Arial"/>
          <w:kern w:val="0"/>
          <w:sz w:val="20"/>
          <w:szCs w:val="20"/>
          <w:lang w:eastAsia="en-US"/>
        </w:rPr>
        <w:t>Tessékéré</w:t>
      </w:r>
      <w:proofErr w:type="spellEnd"/>
      <w:r w:rsidRPr="004A4381">
        <w:rPr>
          <w:rFonts w:ascii="Arial" w:eastAsiaTheme="minorHAnsi" w:hAnsi="Arial" w:cs="Arial"/>
          <w:kern w:val="0"/>
          <w:sz w:val="20"/>
          <w:szCs w:val="20"/>
          <w:lang w:eastAsia="en-US"/>
        </w:rPr>
        <w:t xml:space="preserve"> area (northern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Senegal. Journal of Applied Biosciences</w:t>
      </w:r>
      <w:r w:rsidR="00470117" w:rsidRPr="004A4381">
        <w:rPr>
          <w:rFonts w:ascii="Arial" w:eastAsiaTheme="minorHAnsi" w:hAnsi="Arial" w:cs="Arial"/>
          <w:kern w:val="0"/>
          <w:sz w:val="20"/>
          <w:szCs w:val="20"/>
          <w:lang w:eastAsia="en-US"/>
        </w:rPr>
        <w:t xml:space="preserve"> 59: 4297– 4306</w:t>
      </w:r>
      <w:r w:rsidRPr="004A4381">
        <w:rPr>
          <w:rFonts w:ascii="Arial" w:eastAsiaTheme="minorHAnsi" w:hAnsi="Arial" w:cs="Arial"/>
          <w:kern w:val="0"/>
          <w:sz w:val="20"/>
          <w:szCs w:val="20"/>
          <w:lang w:eastAsia="en-US"/>
        </w:rPr>
        <w:t>.</w:t>
      </w:r>
      <w:r w:rsidR="00470117" w:rsidRPr="004A4381">
        <w:rPr>
          <w:rFonts w:ascii="Arial" w:eastAsiaTheme="minorHAnsi" w:hAnsi="Arial" w:cs="Arial"/>
          <w:kern w:val="0"/>
          <w:sz w:val="20"/>
          <w:szCs w:val="20"/>
          <w:lang w:eastAsia="en-US"/>
        </w:rPr>
        <w:t xml:space="preserve"> </w:t>
      </w:r>
      <w:hyperlink r:id="rId17" w:history="1">
        <w:r w:rsidR="00896EE7" w:rsidRPr="004A4381">
          <w:rPr>
            <w:rStyle w:val="Hyperlink"/>
            <w:rFonts w:ascii="Arial" w:eastAsiaTheme="minorHAnsi" w:hAnsi="Arial" w:cs="Arial"/>
            <w:kern w:val="0"/>
            <w:sz w:val="20"/>
            <w:szCs w:val="20"/>
            <w:lang w:eastAsia="en-US"/>
          </w:rPr>
          <w:t>https://hal.science/hal-01722558/document</w:t>
        </w:r>
      </w:hyperlink>
      <w:r w:rsidR="00896EE7" w:rsidRPr="004A4381">
        <w:rPr>
          <w:rFonts w:ascii="Arial" w:eastAsiaTheme="minorHAnsi" w:hAnsi="Arial" w:cs="Arial"/>
          <w:kern w:val="0"/>
          <w:sz w:val="20"/>
          <w:szCs w:val="20"/>
          <w:lang w:eastAsia="en-US"/>
        </w:rPr>
        <w:t xml:space="preserve"> </w:t>
      </w:r>
    </w:p>
    <w:p w14:paraId="0DF32221"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eastAsia="en-US"/>
        </w:rPr>
        <w:t xml:space="preserve">Dione, M. (1996). Experimental research on the gum tree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in the Senegalese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xml:space="preserve">. </w:t>
      </w:r>
      <w:r w:rsidRPr="004A4381">
        <w:rPr>
          <w:rFonts w:ascii="Arial" w:eastAsiaTheme="minorHAnsi" w:hAnsi="Arial" w:cs="Arial"/>
          <w:kern w:val="0"/>
          <w:sz w:val="20"/>
          <w:szCs w:val="20"/>
          <w:lang w:val="fr-FR" w:eastAsia="en-US"/>
        </w:rPr>
        <w:t xml:space="preserve">Doctoral </w:t>
      </w:r>
      <w:proofErr w:type="spellStart"/>
      <w:r w:rsidRPr="004A4381">
        <w:rPr>
          <w:rFonts w:ascii="Arial" w:eastAsiaTheme="minorHAnsi" w:hAnsi="Arial" w:cs="Arial"/>
          <w:kern w:val="0"/>
          <w:sz w:val="20"/>
          <w:szCs w:val="20"/>
          <w:lang w:val="fr-FR" w:eastAsia="en-US"/>
        </w:rPr>
        <w:t>thesis</w:t>
      </w:r>
      <w:proofErr w:type="spellEnd"/>
      <w:r w:rsidRPr="004A4381">
        <w:rPr>
          <w:rFonts w:ascii="Arial" w:eastAsiaTheme="minorHAnsi" w:hAnsi="Arial" w:cs="Arial"/>
          <w:kern w:val="0"/>
          <w:sz w:val="20"/>
          <w:szCs w:val="20"/>
          <w:lang w:val="fr-FR" w:eastAsia="en-US"/>
        </w:rPr>
        <w:t xml:space="preserve">, Paul Sabatier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xml:space="preserve"> of Toulouse, 150p.</w:t>
      </w:r>
    </w:p>
    <w:p w14:paraId="4370FF64"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Dommergues</w:t>
      </w:r>
      <w:proofErr w:type="spellEnd"/>
      <w:r w:rsidRPr="004A4381">
        <w:rPr>
          <w:rFonts w:ascii="Arial" w:eastAsiaTheme="minorHAnsi" w:hAnsi="Arial" w:cs="Arial"/>
          <w:kern w:val="0"/>
          <w:sz w:val="20"/>
          <w:szCs w:val="20"/>
          <w:lang w:eastAsia="en-US"/>
        </w:rPr>
        <w:t>, Y. (1993). The workshop on Acacia symbioses. Wood and Forests of the Tropics, 238: 21-34.</w:t>
      </w:r>
    </w:p>
    <w:p w14:paraId="61026A08"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Harmand</w:t>
      </w:r>
      <w:proofErr w:type="spellEnd"/>
      <w:r w:rsidRPr="004A4381">
        <w:rPr>
          <w:rFonts w:ascii="Arial" w:eastAsiaTheme="minorHAnsi" w:hAnsi="Arial" w:cs="Arial"/>
          <w:kern w:val="0"/>
          <w:sz w:val="20"/>
          <w:szCs w:val="20"/>
          <w:lang w:eastAsia="en-US"/>
        </w:rPr>
        <w:t xml:space="preserve">, J-M., Mathieu, B., </w:t>
      </w:r>
      <w:proofErr w:type="spellStart"/>
      <w:r w:rsidRPr="004A4381">
        <w:rPr>
          <w:rFonts w:ascii="Arial" w:eastAsiaTheme="minorHAnsi" w:hAnsi="Arial" w:cs="Arial"/>
          <w:kern w:val="0"/>
          <w:sz w:val="20"/>
          <w:szCs w:val="20"/>
          <w:lang w:eastAsia="en-US"/>
        </w:rPr>
        <w:t>Njiti</w:t>
      </w:r>
      <w:proofErr w:type="spellEnd"/>
      <w:r w:rsidRPr="004A4381">
        <w:rPr>
          <w:rFonts w:ascii="Arial" w:eastAsiaTheme="minorHAnsi" w:hAnsi="Arial" w:cs="Arial"/>
          <w:kern w:val="0"/>
          <w:sz w:val="20"/>
          <w:szCs w:val="20"/>
          <w:lang w:eastAsia="en-US"/>
        </w:rPr>
        <w:t xml:space="preserve">, C.F. and </w:t>
      </w:r>
      <w:proofErr w:type="spellStart"/>
      <w:r w:rsidRPr="004A4381">
        <w:rPr>
          <w:rFonts w:ascii="Arial" w:eastAsiaTheme="minorHAnsi" w:hAnsi="Arial" w:cs="Arial"/>
          <w:kern w:val="0"/>
          <w:sz w:val="20"/>
          <w:szCs w:val="20"/>
          <w:lang w:eastAsia="en-US"/>
        </w:rPr>
        <w:t>Ntoupka</w:t>
      </w:r>
      <w:proofErr w:type="spellEnd"/>
      <w:r w:rsidRPr="004A4381">
        <w:rPr>
          <w:rFonts w:ascii="Arial" w:eastAsiaTheme="minorHAnsi" w:hAnsi="Arial" w:cs="Arial"/>
          <w:kern w:val="0"/>
          <w:sz w:val="20"/>
          <w:szCs w:val="20"/>
          <w:lang w:eastAsia="en-US"/>
        </w:rPr>
        <w:t xml:space="preserve">, M. (1998). Research on the possibilities of gum Arabic production by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(Linn.)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in different pedoclimatic situations of northern Cameroon. IRAD, Agricultural Export Diversification Project in Cameroon, 21 p.</w:t>
      </w:r>
    </w:p>
    <w:p w14:paraId="34AA926B"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val="fr-FR" w:eastAsia="en-US"/>
        </w:rPr>
        <w:t>Hiernaux</w:t>
      </w:r>
      <w:proofErr w:type="spellEnd"/>
      <w:r w:rsidRPr="004A4381">
        <w:rPr>
          <w:rFonts w:ascii="Arial" w:eastAsiaTheme="minorHAnsi" w:hAnsi="Arial" w:cs="Arial"/>
          <w:kern w:val="0"/>
          <w:sz w:val="20"/>
          <w:szCs w:val="20"/>
          <w:lang w:val="fr-FR" w:eastAsia="en-US"/>
        </w:rPr>
        <w:t xml:space="preserve">, P. &amp; Le </w:t>
      </w:r>
      <w:proofErr w:type="spellStart"/>
      <w:r w:rsidRPr="004A4381">
        <w:rPr>
          <w:rFonts w:ascii="Arial" w:eastAsiaTheme="minorHAnsi" w:hAnsi="Arial" w:cs="Arial"/>
          <w:kern w:val="0"/>
          <w:sz w:val="20"/>
          <w:szCs w:val="20"/>
          <w:lang w:val="fr-FR" w:eastAsia="en-US"/>
        </w:rPr>
        <w:t>Houérou</w:t>
      </w:r>
      <w:proofErr w:type="spellEnd"/>
      <w:r w:rsidRPr="004A4381">
        <w:rPr>
          <w:rFonts w:ascii="Arial" w:eastAsiaTheme="minorHAnsi" w:hAnsi="Arial" w:cs="Arial"/>
          <w:kern w:val="0"/>
          <w:sz w:val="20"/>
          <w:szCs w:val="20"/>
          <w:lang w:val="fr-FR" w:eastAsia="en-US"/>
        </w:rPr>
        <w:t xml:space="preserve">, H.N. (2006). </w:t>
      </w:r>
      <w:r w:rsidRPr="004A4381">
        <w:rPr>
          <w:rFonts w:ascii="Arial" w:eastAsiaTheme="minorHAnsi" w:hAnsi="Arial" w:cs="Arial"/>
          <w:kern w:val="0"/>
          <w:sz w:val="20"/>
          <w:szCs w:val="20"/>
          <w:lang w:eastAsia="en-US"/>
        </w:rPr>
        <w:t>Sahel Rangelands. Drought. 17: 51–71.</w:t>
      </w:r>
    </w:p>
    <w:p w14:paraId="0EBFE0BA"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Karembé</w:t>
      </w:r>
      <w:proofErr w:type="spellEnd"/>
      <w:r w:rsidRPr="004A4381">
        <w:rPr>
          <w:rFonts w:ascii="Arial" w:eastAsiaTheme="minorHAnsi" w:hAnsi="Arial" w:cs="Arial"/>
          <w:kern w:val="0"/>
          <w:sz w:val="20"/>
          <w:szCs w:val="20"/>
          <w:lang w:eastAsia="en-US"/>
        </w:rPr>
        <w:t xml:space="preserve">, M., </w:t>
      </w:r>
      <w:proofErr w:type="spellStart"/>
      <w:r w:rsidRPr="004A4381">
        <w:rPr>
          <w:rFonts w:ascii="Arial" w:eastAsiaTheme="minorHAnsi" w:hAnsi="Arial" w:cs="Arial"/>
          <w:kern w:val="0"/>
          <w:sz w:val="20"/>
          <w:szCs w:val="20"/>
          <w:lang w:eastAsia="en-US"/>
        </w:rPr>
        <w:t>Dembélé</w:t>
      </w:r>
      <w:proofErr w:type="spellEnd"/>
      <w:r w:rsidRPr="004A4381">
        <w:rPr>
          <w:rFonts w:ascii="Arial" w:eastAsiaTheme="minorHAnsi" w:hAnsi="Arial" w:cs="Arial"/>
          <w:kern w:val="0"/>
          <w:sz w:val="20"/>
          <w:szCs w:val="20"/>
          <w:lang w:eastAsia="en-US"/>
        </w:rPr>
        <w:t xml:space="preserve">, F., </w:t>
      </w:r>
      <w:proofErr w:type="spellStart"/>
      <w:r w:rsidRPr="004A4381">
        <w:rPr>
          <w:rFonts w:ascii="Arial" w:eastAsiaTheme="minorHAnsi" w:hAnsi="Arial" w:cs="Arial"/>
          <w:kern w:val="0"/>
          <w:sz w:val="20"/>
          <w:szCs w:val="20"/>
          <w:lang w:eastAsia="en-US"/>
        </w:rPr>
        <w:t>Maïga</w:t>
      </w:r>
      <w:proofErr w:type="spellEnd"/>
      <w:r w:rsidRPr="004A4381">
        <w:rPr>
          <w:rFonts w:ascii="Arial" w:eastAsiaTheme="minorHAnsi" w:hAnsi="Arial" w:cs="Arial"/>
          <w:kern w:val="0"/>
          <w:sz w:val="20"/>
          <w:szCs w:val="20"/>
          <w:lang w:eastAsia="en-US"/>
        </w:rPr>
        <w:t xml:space="preserve">, M. and </w:t>
      </w:r>
      <w:proofErr w:type="spellStart"/>
      <w:r w:rsidRPr="004A4381">
        <w:rPr>
          <w:rFonts w:ascii="Arial" w:eastAsiaTheme="minorHAnsi" w:hAnsi="Arial" w:cs="Arial"/>
          <w:kern w:val="0"/>
          <w:sz w:val="20"/>
          <w:szCs w:val="20"/>
          <w:lang w:eastAsia="en-US"/>
        </w:rPr>
        <w:t>Lahbib</w:t>
      </w:r>
      <w:proofErr w:type="spellEnd"/>
      <w:r w:rsidRPr="004A4381">
        <w:rPr>
          <w:rFonts w:ascii="Arial" w:eastAsiaTheme="minorHAnsi" w:hAnsi="Arial" w:cs="Arial"/>
          <w:kern w:val="0"/>
          <w:sz w:val="20"/>
          <w:szCs w:val="20"/>
          <w:lang w:eastAsia="en-US"/>
        </w:rPr>
        <w:t>, M. (2009). Study of the dynamics of desertification in the Timbuktu-Gao section (Mali). Technical Report UNESCO Chair for the Environment. ISFRA/UB, Mali, 39p.</w:t>
      </w:r>
    </w:p>
    <w:p w14:paraId="721CE87A"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 xml:space="preserve">Kone, A.K. (2017). Assessment of pastoral potential in the cotton-growing area of ​​Mali: The case of the village lands of </w:t>
      </w:r>
      <w:proofErr w:type="spellStart"/>
      <w:r w:rsidRPr="004A4381">
        <w:rPr>
          <w:rFonts w:ascii="Arial" w:eastAsiaTheme="minorHAnsi" w:hAnsi="Arial" w:cs="Arial"/>
          <w:kern w:val="0"/>
          <w:sz w:val="20"/>
          <w:szCs w:val="20"/>
          <w:lang w:eastAsia="en-US"/>
        </w:rPr>
        <w:t>Benguéné</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Ziguéna</w:t>
      </w:r>
      <w:proofErr w:type="spellEnd"/>
      <w:r w:rsidRPr="004A4381">
        <w:rPr>
          <w:rFonts w:ascii="Arial" w:eastAsiaTheme="minorHAnsi" w:hAnsi="Arial" w:cs="Arial"/>
          <w:kern w:val="0"/>
          <w:sz w:val="20"/>
          <w:szCs w:val="20"/>
          <w:lang w:eastAsia="en-US"/>
        </w:rPr>
        <w:t xml:space="preserve"> and </w:t>
      </w:r>
      <w:proofErr w:type="spellStart"/>
      <w:r w:rsidRPr="004A4381">
        <w:rPr>
          <w:rFonts w:ascii="Arial" w:eastAsiaTheme="minorHAnsi" w:hAnsi="Arial" w:cs="Arial"/>
          <w:kern w:val="0"/>
          <w:sz w:val="20"/>
          <w:szCs w:val="20"/>
          <w:lang w:eastAsia="en-US"/>
        </w:rPr>
        <w:t>Nafégué</w:t>
      </w:r>
      <w:proofErr w:type="spellEnd"/>
      <w:r w:rsidRPr="004A4381">
        <w:rPr>
          <w:rFonts w:ascii="Arial" w:eastAsiaTheme="minorHAnsi" w:hAnsi="Arial" w:cs="Arial"/>
          <w:kern w:val="0"/>
          <w:sz w:val="20"/>
          <w:szCs w:val="20"/>
          <w:lang w:eastAsia="en-US"/>
        </w:rPr>
        <w:t>. Master’s thesis, Higher Institute of Training and Applied Research, Bamako, Mali. p. 105.</w:t>
      </w:r>
    </w:p>
    <w:p w14:paraId="5A0F9744" w14:textId="1F9F179D"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eastAsia="en-US"/>
        </w:rPr>
        <w:t xml:space="preserve">Mallet, B., </w:t>
      </w:r>
      <w:proofErr w:type="spellStart"/>
      <w:r w:rsidRPr="004A4381">
        <w:rPr>
          <w:rFonts w:ascii="Arial" w:eastAsiaTheme="minorHAnsi" w:hAnsi="Arial" w:cs="Arial"/>
          <w:kern w:val="0"/>
          <w:sz w:val="20"/>
          <w:szCs w:val="20"/>
          <w:lang w:eastAsia="en-US"/>
        </w:rPr>
        <w:t>Besse</w:t>
      </w:r>
      <w:proofErr w:type="spellEnd"/>
      <w:r w:rsidRPr="004A4381">
        <w:rPr>
          <w:rFonts w:ascii="Arial" w:eastAsiaTheme="minorHAnsi" w:hAnsi="Arial" w:cs="Arial"/>
          <w:kern w:val="0"/>
          <w:sz w:val="20"/>
          <w:szCs w:val="20"/>
          <w:lang w:eastAsia="en-US"/>
        </w:rPr>
        <w:t xml:space="preserve">, F., Gautier, D., Muller, D., </w:t>
      </w:r>
      <w:proofErr w:type="spellStart"/>
      <w:r w:rsidRPr="004A4381">
        <w:rPr>
          <w:rFonts w:ascii="Arial" w:eastAsiaTheme="minorHAnsi" w:hAnsi="Arial" w:cs="Arial"/>
          <w:kern w:val="0"/>
          <w:sz w:val="20"/>
          <w:szCs w:val="20"/>
          <w:lang w:eastAsia="en-US"/>
        </w:rPr>
        <w:t>Bouba</w:t>
      </w:r>
      <w:proofErr w:type="spellEnd"/>
      <w:r w:rsidRPr="004A4381">
        <w:rPr>
          <w:rFonts w:ascii="Arial" w:eastAsiaTheme="minorHAnsi" w:hAnsi="Arial" w:cs="Arial"/>
          <w:kern w:val="0"/>
          <w:sz w:val="20"/>
          <w:szCs w:val="20"/>
          <w:lang w:eastAsia="en-US"/>
        </w:rPr>
        <w:t xml:space="preserve">, N. </w:t>
      </w:r>
      <w:proofErr w:type="spellStart"/>
      <w:r w:rsidRPr="004A4381">
        <w:rPr>
          <w:rFonts w:ascii="Arial" w:eastAsiaTheme="minorHAnsi" w:hAnsi="Arial" w:cs="Arial"/>
          <w:kern w:val="0"/>
          <w:sz w:val="20"/>
          <w:szCs w:val="20"/>
          <w:lang w:eastAsia="en-US"/>
        </w:rPr>
        <w:t>Njiti</w:t>
      </w:r>
      <w:proofErr w:type="spellEnd"/>
      <w:r w:rsidRPr="004A4381">
        <w:rPr>
          <w:rFonts w:ascii="Arial" w:eastAsiaTheme="minorHAnsi" w:hAnsi="Arial" w:cs="Arial"/>
          <w:kern w:val="0"/>
          <w:sz w:val="20"/>
          <w:szCs w:val="20"/>
          <w:lang w:eastAsia="en-US"/>
        </w:rPr>
        <w:t xml:space="preserve">, C. (2002). What are the prospects for gum trees in the savannah zone of Central Africa? </w:t>
      </w:r>
      <w:proofErr w:type="spellStart"/>
      <w:r w:rsidRPr="004A4381">
        <w:rPr>
          <w:rFonts w:ascii="Arial" w:eastAsiaTheme="minorHAnsi" w:hAnsi="Arial" w:cs="Arial"/>
          <w:kern w:val="0"/>
          <w:sz w:val="20"/>
          <w:szCs w:val="20"/>
          <w:lang w:val="fr-FR" w:eastAsia="en-US"/>
        </w:rPr>
        <w:t>Proceedings</w:t>
      </w:r>
      <w:proofErr w:type="spellEnd"/>
      <w:r w:rsidRPr="004A4381">
        <w:rPr>
          <w:rFonts w:ascii="Arial" w:eastAsiaTheme="minorHAnsi" w:hAnsi="Arial" w:cs="Arial"/>
          <w:kern w:val="0"/>
          <w:sz w:val="20"/>
          <w:szCs w:val="20"/>
          <w:lang w:val="fr-FR" w:eastAsia="en-US"/>
        </w:rPr>
        <w:t xml:space="preserve"> of the </w:t>
      </w:r>
      <w:proofErr w:type="spellStart"/>
      <w:r w:rsidRPr="004A4381">
        <w:rPr>
          <w:rFonts w:ascii="Arial" w:eastAsiaTheme="minorHAnsi" w:hAnsi="Arial" w:cs="Arial"/>
          <w:kern w:val="0"/>
          <w:sz w:val="20"/>
          <w:szCs w:val="20"/>
          <w:lang w:val="fr-FR" w:eastAsia="en-US"/>
        </w:rPr>
        <w:t>conference</w:t>
      </w:r>
      <w:proofErr w:type="spellEnd"/>
      <w:r w:rsidRPr="004A4381">
        <w:rPr>
          <w:rFonts w:ascii="Arial" w:eastAsiaTheme="minorHAnsi" w:hAnsi="Arial" w:cs="Arial"/>
          <w:kern w:val="0"/>
          <w:sz w:val="20"/>
          <w:szCs w:val="20"/>
          <w:lang w:val="fr-FR" w:eastAsia="en-US"/>
        </w:rPr>
        <w:t xml:space="preserve">, May 2002, Maroua, </w:t>
      </w:r>
      <w:proofErr w:type="spellStart"/>
      <w:r w:rsidRPr="004A4381">
        <w:rPr>
          <w:rFonts w:ascii="Arial" w:eastAsiaTheme="minorHAnsi" w:hAnsi="Arial" w:cs="Arial"/>
          <w:kern w:val="0"/>
          <w:sz w:val="20"/>
          <w:szCs w:val="20"/>
          <w:lang w:val="fr-FR" w:eastAsia="en-US"/>
        </w:rPr>
        <w:t>Cameroon</w:t>
      </w:r>
      <w:proofErr w:type="spellEnd"/>
      <w:r w:rsidRPr="004A4381">
        <w:rPr>
          <w:rFonts w:ascii="Arial" w:eastAsiaTheme="minorHAnsi" w:hAnsi="Arial" w:cs="Arial"/>
          <w:kern w:val="0"/>
          <w:sz w:val="20"/>
          <w:szCs w:val="20"/>
          <w:lang w:val="fr-FR" w:eastAsia="en-US"/>
        </w:rPr>
        <w:t>.</w:t>
      </w:r>
      <w:r w:rsidR="00470117" w:rsidRPr="004A4381">
        <w:rPr>
          <w:rFonts w:ascii="Arial" w:eastAsiaTheme="minorHAnsi" w:hAnsi="Arial" w:cs="Arial"/>
          <w:kern w:val="0"/>
          <w:sz w:val="20"/>
          <w:szCs w:val="20"/>
          <w:lang w:val="fr-FR" w:eastAsia="en-US"/>
        </w:rPr>
        <w:t xml:space="preserve"> 249p.</w:t>
      </w:r>
    </w:p>
    <w:p w14:paraId="232AEACA" w14:textId="77777777"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Mbayngone</w:t>
      </w:r>
      <w:proofErr w:type="spellEnd"/>
      <w:r w:rsidRPr="004A4381">
        <w:rPr>
          <w:rFonts w:ascii="Arial" w:eastAsiaTheme="minorHAnsi" w:hAnsi="Arial" w:cs="Arial"/>
          <w:kern w:val="0"/>
          <w:sz w:val="20"/>
          <w:szCs w:val="20"/>
          <w:lang w:eastAsia="en-US"/>
        </w:rPr>
        <w:t xml:space="preserve">, E., </w:t>
      </w:r>
      <w:proofErr w:type="spellStart"/>
      <w:r w:rsidRPr="004A4381">
        <w:rPr>
          <w:rFonts w:ascii="Arial" w:eastAsiaTheme="minorHAnsi" w:hAnsi="Arial" w:cs="Arial"/>
          <w:kern w:val="0"/>
          <w:sz w:val="20"/>
          <w:szCs w:val="20"/>
          <w:lang w:eastAsia="en-US"/>
        </w:rPr>
        <w:t>Mélom</w:t>
      </w:r>
      <w:proofErr w:type="spellEnd"/>
      <w:r w:rsidRPr="004A4381">
        <w:rPr>
          <w:rFonts w:ascii="Arial" w:eastAsiaTheme="minorHAnsi" w:hAnsi="Arial" w:cs="Arial"/>
          <w:kern w:val="0"/>
          <w:sz w:val="20"/>
          <w:szCs w:val="20"/>
          <w:lang w:eastAsia="en-US"/>
        </w:rPr>
        <w:t xml:space="preserve">, S., </w:t>
      </w:r>
      <w:proofErr w:type="spellStart"/>
      <w:r w:rsidRPr="004A4381">
        <w:rPr>
          <w:rFonts w:ascii="Arial" w:eastAsiaTheme="minorHAnsi" w:hAnsi="Arial" w:cs="Arial"/>
          <w:kern w:val="0"/>
          <w:sz w:val="20"/>
          <w:szCs w:val="20"/>
          <w:lang w:eastAsia="en-US"/>
        </w:rPr>
        <w:t>Béchir</w:t>
      </w:r>
      <w:proofErr w:type="spellEnd"/>
      <w:r w:rsidRPr="004A4381">
        <w:rPr>
          <w:rFonts w:ascii="Arial" w:eastAsiaTheme="minorHAnsi" w:hAnsi="Arial" w:cs="Arial"/>
          <w:kern w:val="0"/>
          <w:sz w:val="20"/>
          <w:szCs w:val="20"/>
          <w:lang w:eastAsia="en-US"/>
        </w:rPr>
        <w:t xml:space="preserve">, A.B. and </w:t>
      </w:r>
      <w:proofErr w:type="spellStart"/>
      <w:r w:rsidRPr="004A4381">
        <w:rPr>
          <w:rFonts w:ascii="Arial" w:eastAsiaTheme="minorHAnsi" w:hAnsi="Arial" w:cs="Arial"/>
          <w:kern w:val="0"/>
          <w:sz w:val="20"/>
          <w:szCs w:val="20"/>
          <w:lang w:eastAsia="en-US"/>
        </w:rPr>
        <w:t>Mapongmetsem</w:t>
      </w:r>
      <w:proofErr w:type="spellEnd"/>
      <w:r w:rsidRPr="004A4381">
        <w:rPr>
          <w:rFonts w:ascii="Arial" w:eastAsiaTheme="minorHAnsi" w:hAnsi="Arial" w:cs="Arial"/>
          <w:kern w:val="0"/>
          <w:sz w:val="20"/>
          <w:szCs w:val="20"/>
          <w:lang w:eastAsia="en-US"/>
        </w:rPr>
        <w:t xml:space="preserve">, P.M. (2017). Structure and gum productivity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And Acacia </w:t>
      </w:r>
      <w:proofErr w:type="spellStart"/>
      <w:r w:rsidRPr="004A4381">
        <w:rPr>
          <w:rFonts w:ascii="Arial" w:eastAsiaTheme="minorHAnsi" w:hAnsi="Arial" w:cs="Arial"/>
          <w:kern w:val="0"/>
          <w:sz w:val="20"/>
          <w:szCs w:val="20"/>
          <w:lang w:eastAsia="en-US"/>
        </w:rPr>
        <w:t>seyal</w:t>
      </w:r>
      <w:proofErr w:type="spellEnd"/>
      <w:r w:rsidRPr="004A4381">
        <w:rPr>
          <w:rFonts w:ascii="Arial" w:eastAsiaTheme="minorHAnsi" w:hAnsi="Arial" w:cs="Arial"/>
          <w:kern w:val="0"/>
          <w:sz w:val="20"/>
          <w:szCs w:val="20"/>
          <w:lang w:eastAsia="en-US"/>
        </w:rPr>
        <w:t xml:space="preserve"> Del. stands for </w:t>
      </w:r>
      <w:proofErr w:type="spellStart"/>
      <w:r w:rsidRPr="004A4381">
        <w:rPr>
          <w:rFonts w:ascii="Arial" w:eastAsiaTheme="minorHAnsi" w:hAnsi="Arial" w:cs="Arial"/>
          <w:kern w:val="0"/>
          <w:sz w:val="20"/>
          <w:szCs w:val="20"/>
          <w:lang w:eastAsia="en-US"/>
        </w:rPr>
        <w:t>Massenya</w:t>
      </w:r>
      <w:proofErr w:type="spellEnd"/>
      <w:r w:rsidRPr="004A4381">
        <w:rPr>
          <w:rFonts w:ascii="Arial" w:eastAsiaTheme="minorHAnsi" w:hAnsi="Arial" w:cs="Arial"/>
          <w:kern w:val="0"/>
          <w:sz w:val="20"/>
          <w:szCs w:val="20"/>
          <w:lang w:eastAsia="en-US"/>
        </w:rPr>
        <w:t xml:space="preserve"> in Chad. </w:t>
      </w:r>
      <w:r w:rsidRPr="004A4381">
        <w:rPr>
          <w:rFonts w:ascii="Arial" w:eastAsiaTheme="minorHAnsi" w:hAnsi="Arial" w:cs="Arial"/>
          <w:kern w:val="0"/>
          <w:sz w:val="20"/>
          <w:szCs w:val="20"/>
          <w:lang w:val="fr-FR" w:eastAsia="en-US"/>
        </w:rPr>
        <w:t xml:space="preserve">Flora et </w:t>
      </w:r>
      <w:proofErr w:type="spellStart"/>
      <w:r w:rsidRPr="004A4381">
        <w:rPr>
          <w:rFonts w:ascii="Arial" w:eastAsiaTheme="minorHAnsi" w:hAnsi="Arial" w:cs="Arial"/>
          <w:kern w:val="0"/>
          <w:sz w:val="20"/>
          <w:szCs w:val="20"/>
          <w:lang w:val="fr-FR" w:eastAsia="en-US"/>
        </w:rPr>
        <w:t>Vegetatio</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Sudano-Sambesica</w:t>
      </w:r>
      <w:proofErr w:type="spellEnd"/>
      <w:r w:rsidRPr="004A4381">
        <w:rPr>
          <w:rFonts w:ascii="Arial" w:eastAsiaTheme="minorHAnsi" w:hAnsi="Arial" w:cs="Arial"/>
          <w:kern w:val="0"/>
          <w:sz w:val="20"/>
          <w:szCs w:val="20"/>
          <w:lang w:val="fr-FR" w:eastAsia="en-US"/>
        </w:rPr>
        <w:t xml:space="preserve"> 20, 3-11.</w:t>
      </w:r>
    </w:p>
    <w:p w14:paraId="5C7534DA" w14:textId="0C22ADF7" w:rsidR="004867E0" w:rsidRPr="004A4381" w:rsidRDefault="007A75B5" w:rsidP="00413662">
      <w:pPr>
        <w:widowControl/>
        <w:spacing w:before="240"/>
        <w:ind w:left="709" w:hanging="709"/>
        <w:rPr>
          <w:rFonts w:ascii="Arial" w:eastAsiaTheme="minorHAnsi" w:hAnsi="Arial" w:cs="Arial"/>
          <w:kern w:val="0"/>
          <w:sz w:val="20"/>
          <w:szCs w:val="20"/>
          <w:lang w:val="fr-FR" w:eastAsia="en-US"/>
        </w:rPr>
      </w:pPr>
      <w:r w:rsidRPr="004A4381">
        <w:rPr>
          <w:rFonts w:ascii="Arial" w:eastAsiaTheme="minorHAnsi" w:hAnsi="Arial" w:cs="Arial"/>
          <w:kern w:val="0"/>
          <w:sz w:val="20"/>
          <w:szCs w:val="20"/>
          <w:lang w:val="fr-FR" w:eastAsia="en-US"/>
        </w:rPr>
        <w:t>Nelson</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 xml:space="preserve"> D.W. and Sommers</w:t>
      </w:r>
      <w:r w:rsidR="00413662" w:rsidRPr="004A4381">
        <w:rPr>
          <w:rFonts w:ascii="Arial" w:eastAsiaTheme="minorHAnsi" w:hAnsi="Arial" w:cs="Arial"/>
          <w:kern w:val="0"/>
          <w:sz w:val="20"/>
          <w:szCs w:val="20"/>
          <w:lang w:val="fr-FR" w:eastAsia="en-US"/>
        </w:rPr>
        <w:t>, L.E.</w:t>
      </w:r>
      <w:r w:rsidRPr="004A4381">
        <w:rPr>
          <w:rFonts w:ascii="Arial" w:eastAsiaTheme="minorHAnsi" w:hAnsi="Arial" w:cs="Arial"/>
          <w:kern w:val="0"/>
          <w:sz w:val="20"/>
          <w:szCs w:val="20"/>
          <w:lang w:val="fr-FR" w:eastAsia="en-US"/>
        </w:rPr>
        <w:t xml:space="preserve"> </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1996</w:t>
      </w:r>
      <w:r w:rsidR="00413662" w:rsidRPr="004A4381">
        <w:rPr>
          <w:rFonts w:ascii="Arial" w:eastAsiaTheme="minorHAnsi" w:hAnsi="Arial" w:cs="Arial"/>
          <w:kern w:val="0"/>
          <w:sz w:val="20"/>
          <w:szCs w:val="20"/>
          <w:lang w:val="fr-FR" w:eastAsia="en-US"/>
        </w:rPr>
        <w:t>)</w:t>
      </w:r>
      <w:r w:rsidRPr="004A4381">
        <w:rPr>
          <w:rFonts w:ascii="Arial" w:eastAsiaTheme="minorHAnsi" w:hAnsi="Arial" w:cs="Arial"/>
          <w:kern w:val="0"/>
          <w:sz w:val="20"/>
          <w:szCs w:val="20"/>
          <w:lang w:val="fr-FR" w:eastAsia="en-US"/>
        </w:rPr>
        <w:t xml:space="preserve">. Total </w:t>
      </w:r>
      <w:proofErr w:type="spellStart"/>
      <w:r w:rsidRPr="004A4381">
        <w:rPr>
          <w:rFonts w:ascii="Arial" w:eastAsiaTheme="minorHAnsi" w:hAnsi="Arial" w:cs="Arial"/>
          <w:kern w:val="0"/>
          <w:sz w:val="20"/>
          <w:szCs w:val="20"/>
          <w:lang w:val="fr-FR" w:eastAsia="en-US"/>
        </w:rPr>
        <w:t>carbon</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organic</w:t>
      </w:r>
      <w:proofErr w:type="spellEnd"/>
      <w:r w:rsidR="00413662" w:rsidRPr="004A4381">
        <w:rPr>
          <w:rFonts w:ascii="Arial" w:eastAsiaTheme="minorHAnsi" w:hAnsi="Arial" w:cs="Arial"/>
          <w:kern w:val="0"/>
          <w:sz w:val="20"/>
          <w:szCs w:val="20"/>
          <w:lang w:val="fr-FR" w:eastAsia="en-US"/>
        </w:rPr>
        <w:t xml:space="preserve"> </w:t>
      </w:r>
      <w:proofErr w:type="spellStart"/>
      <w:r w:rsidR="00413662" w:rsidRPr="004A4381">
        <w:rPr>
          <w:rFonts w:ascii="Arial" w:eastAsiaTheme="minorHAnsi" w:hAnsi="Arial" w:cs="Arial"/>
          <w:kern w:val="0"/>
          <w:sz w:val="20"/>
          <w:szCs w:val="20"/>
          <w:lang w:val="fr-FR" w:eastAsia="en-US"/>
        </w:rPr>
        <w:t>carbon</w:t>
      </w:r>
      <w:proofErr w:type="spellEnd"/>
      <w:r w:rsidR="00413662" w:rsidRPr="004A4381">
        <w:rPr>
          <w:rFonts w:ascii="Arial" w:eastAsiaTheme="minorHAnsi" w:hAnsi="Arial" w:cs="Arial"/>
          <w:kern w:val="0"/>
          <w:sz w:val="20"/>
          <w:szCs w:val="20"/>
          <w:lang w:val="fr-FR" w:eastAsia="en-US"/>
        </w:rPr>
        <w:t xml:space="preserve">, and </w:t>
      </w:r>
      <w:proofErr w:type="spellStart"/>
      <w:r w:rsidR="00413662" w:rsidRPr="004A4381">
        <w:rPr>
          <w:rFonts w:ascii="Arial" w:eastAsiaTheme="minorHAnsi" w:hAnsi="Arial" w:cs="Arial"/>
          <w:kern w:val="0"/>
          <w:sz w:val="20"/>
          <w:szCs w:val="20"/>
          <w:lang w:val="fr-FR" w:eastAsia="en-US"/>
        </w:rPr>
        <w:t>organic</w:t>
      </w:r>
      <w:proofErr w:type="spellEnd"/>
      <w:r w:rsidR="00413662" w:rsidRPr="004A4381">
        <w:rPr>
          <w:rFonts w:ascii="Arial" w:eastAsiaTheme="minorHAnsi" w:hAnsi="Arial" w:cs="Arial"/>
          <w:kern w:val="0"/>
          <w:sz w:val="20"/>
          <w:szCs w:val="20"/>
          <w:lang w:val="fr-FR" w:eastAsia="en-US"/>
        </w:rPr>
        <w:t xml:space="preserve"> </w:t>
      </w:r>
      <w:proofErr w:type="spellStart"/>
      <w:r w:rsidR="00413662" w:rsidRPr="004A4381">
        <w:rPr>
          <w:rFonts w:ascii="Arial" w:eastAsiaTheme="minorHAnsi" w:hAnsi="Arial" w:cs="Arial"/>
          <w:kern w:val="0"/>
          <w:sz w:val="20"/>
          <w:szCs w:val="20"/>
          <w:lang w:val="fr-FR" w:eastAsia="en-US"/>
        </w:rPr>
        <w:t>matter</w:t>
      </w:r>
      <w:proofErr w:type="spellEnd"/>
      <w:r w:rsidR="00413662" w:rsidRPr="004A4381">
        <w:rPr>
          <w:rFonts w:ascii="Arial" w:eastAsiaTheme="minorHAnsi" w:hAnsi="Arial" w:cs="Arial"/>
          <w:kern w:val="0"/>
          <w:sz w:val="20"/>
          <w:szCs w:val="20"/>
          <w:lang w:val="fr-FR" w:eastAsia="en-US"/>
        </w:rPr>
        <w:t xml:space="preserve">. In </w:t>
      </w:r>
      <w:r w:rsidRPr="004A4381">
        <w:rPr>
          <w:rFonts w:ascii="Arial" w:eastAsiaTheme="minorHAnsi" w:hAnsi="Arial" w:cs="Arial"/>
          <w:kern w:val="0"/>
          <w:sz w:val="20"/>
          <w:szCs w:val="20"/>
          <w:lang w:val="fr-FR" w:eastAsia="en-US"/>
        </w:rPr>
        <w:t xml:space="preserve">Methods of </w:t>
      </w:r>
      <w:proofErr w:type="spellStart"/>
      <w:r w:rsidRPr="004A4381">
        <w:rPr>
          <w:rFonts w:ascii="Arial" w:eastAsiaTheme="minorHAnsi" w:hAnsi="Arial" w:cs="Arial"/>
          <w:kern w:val="0"/>
          <w:sz w:val="20"/>
          <w:szCs w:val="20"/>
          <w:lang w:val="fr-FR" w:eastAsia="en-US"/>
        </w:rPr>
        <w:t>soil</w:t>
      </w:r>
      <w:proofErr w:type="spellEnd"/>
      <w:r w:rsidRPr="004A4381">
        <w:rPr>
          <w:rFonts w:ascii="Arial" w:eastAsiaTheme="minorHAnsi" w:hAnsi="Arial" w:cs="Arial"/>
          <w:kern w:val="0"/>
          <w:sz w:val="20"/>
          <w:szCs w:val="20"/>
          <w:lang w:val="fr-FR" w:eastAsia="en-US"/>
        </w:rPr>
        <w:t xml:space="preserve"> </w:t>
      </w:r>
      <w:proofErr w:type="spellStart"/>
      <w:r w:rsidRPr="004A4381">
        <w:rPr>
          <w:rFonts w:ascii="Arial" w:eastAsiaTheme="minorHAnsi" w:hAnsi="Arial" w:cs="Arial"/>
          <w:kern w:val="0"/>
          <w:sz w:val="20"/>
          <w:szCs w:val="20"/>
          <w:lang w:val="fr-FR" w:eastAsia="en-US"/>
        </w:rPr>
        <w:t>analysis</w:t>
      </w:r>
      <w:proofErr w:type="spellEnd"/>
      <w:r w:rsidRPr="004A4381">
        <w:rPr>
          <w:rFonts w:ascii="Arial" w:eastAsiaTheme="minorHAnsi" w:hAnsi="Arial" w:cs="Arial"/>
          <w:kern w:val="0"/>
          <w:sz w:val="20"/>
          <w:szCs w:val="20"/>
          <w:lang w:val="fr-FR" w:eastAsia="en-US"/>
        </w:rPr>
        <w:t>. Part 3 – Chemical Methods. Spar</w:t>
      </w:r>
      <w:r w:rsidR="00413662" w:rsidRPr="004A4381">
        <w:rPr>
          <w:rFonts w:ascii="Arial" w:eastAsiaTheme="minorHAnsi" w:hAnsi="Arial" w:cs="Arial"/>
          <w:kern w:val="0"/>
          <w:sz w:val="20"/>
          <w:szCs w:val="20"/>
          <w:lang w:val="fr-FR" w:eastAsia="en-US"/>
        </w:rPr>
        <w:t xml:space="preserve">ks D.L., Page A.L., </w:t>
      </w:r>
      <w:proofErr w:type="spellStart"/>
      <w:r w:rsidR="00413662" w:rsidRPr="004A4381">
        <w:rPr>
          <w:rFonts w:ascii="Arial" w:eastAsiaTheme="minorHAnsi" w:hAnsi="Arial" w:cs="Arial"/>
          <w:kern w:val="0"/>
          <w:sz w:val="20"/>
          <w:szCs w:val="20"/>
          <w:lang w:val="fr-FR" w:eastAsia="en-US"/>
        </w:rPr>
        <w:t>Helmke</w:t>
      </w:r>
      <w:proofErr w:type="spellEnd"/>
      <w:r w:rsidR="00413662" w:rsidRPr="004A4381">
        <w:rPr>
          <w:rFonts w:ascii="Arial" w:eastAsiaTheme="minorHAnsi" w:hAnsi="Arial" w:cs="Arial"/>
          <w:kern w:val="0"/>
          <w:sz w:val="20"/>
          <w:szCs w:val="20"/>
          <w:lang w:val="fr-FR" w:eastAsia="en-US"/>
        </w:rPr>
        <w:t xml:space="preserve"> P.A. </w:t>
      </w:r>
      <w:r w:rsidRPr="004A4381">
        <w:rPr>
          <w:rFonts w:ascii="Arial" w:eastAsiaTheme="minorHAnsi" w:hAnsi="Arial" w:cs="Arial"/>
          <w:kern w:val="0"/>
          <w:sz w:val="20"/>
          <w:szCs w:val="20"/>
          <w:lang w:val="fr-FR" w:eastAsia="en-US"/>
        </w:rPr>
        <w:t xml:space="preserve">and </w:t>
      </w:r>
      <w:proofErr w:type="spellStart"/>
      <w:r w:rsidRPr="004A4381">
        <w:rPr>
          <w:rFonts w:ascii="Arial" w:eastAsiaTheme="minorHAnsi" w:hAnsi="Arial" w:cs="Arial"/>
          <w:kern w:val="0"/>
          <w:sz w:val="20"/>
          <w:szCs w:val="20"/>
          <w:lang w:val="fr-FR" w:eastAsia="en-US"/>
        </w:rPr>
        <w:t>Loeppert</w:t>
      </w:r>
      <w:proofErr w:type="spellEnd"/>
      <w:r w:rsidRPr="004A4381">
        <w:rPr>
          <w:rFonts w:ascii="Arial" w:eastAsiaTheme="minorHAnsi" w:hAnsi="Arial" w:cs="Arial"/>
          <w:kern w:val="0"/>
          <w:sz w:val="20"/>
          <w:szCs w:val="20"/>
          <w:lang w:val="fr-FR" w:eastAsia="en-US"/>
        </w:rPr>
        <w:t xml:space="preserve"> R.H. (Ed.). American Society of </w:t>
      </w:r>
      <w:proofErr w:type="spellStart"/>
      <w:r w:rsidRPr="004A4381">
        <w:rPr>
          <w:rFonts w:ascii="Arial" w:eastAsiaTheme="minorHAnsi" w:hAnsi="Arial" w:cs="Arial"/>
          <w:kern w:val="0"/>
          <w:sz w:val="20"/>
          <w:szCs w:val="20"/>
          <w:lang w:val="fr-FR" w:eastAsia="en-US"/>
        </w:rPr>
        <w:t>Ag</w:t>
      </w:r>
      <w:r w:rsidR="00413662" w:rsidRPr="004A4381">
        <w:rPr>
          <w:rFonts w:ascii="Arial" w:eastAsiaTheme="minorHAnsi" w:hAnsi="Arial" w:cs="Arial"/>
          <w:kern w:val="0"/>
          <w:sz w:val="20"/>
          <w:szCs w:val="20"/>
          <w:lang w:val="fr-FR" w:eastAsia="en-US"/>
        </w:rPr>
        <w:t>ronomy</w:t>
      </w:r>
      <w:proofErr w:type="spellEnd"/>
      <w:r w:rsidR="00413662" w:rsidRPr="004A4381">
        <w:rPr>
          <w:rFonts w:ascii="Arial" w:eastAsiaTheme="minorHAnsi" w:hAnsi="Arial" w:cs="Arial"/>
          <w:kern w:val="0"/>
          <w:sz w:val="20"/>
          <w:szCs w:val="20"/>
          <w:lang w:val="fr-FR" w:eastAsia="en-US"/>
        </w:rPr>
        <w:t xml:space="preserve">, Madison, USA. SSSA Book </w:t>
      </w:r>
      <w:proofErr w:type="spellStart"/>
      <w:r w:rsidRPr="004A4381">
        <w:rPr>
          <w:rFonts w:ascii="Arial" w:eastAsiaTheme="minorHAnsi" w:hAnsi="Arial" w:cs="Arial"/>
          <w:kern w:val="0"/>
          <w:sz w:val="20"/>
          <w:szCs w:val="20"/>
          <w:lang w:val="fr-FR" w:eastAsia="en-US"/>
        </w:rPr>
        <w:t>Series</w:t>
      </w:r>
      <w:proofErr w:type="spellEnd"/>
      <w:r w:rsidRPr="004A4381">
        <w:rPr>
          <w:rFonts w:ascii="Arial" w:eastAsiaTheme="minorHAnsi" w:hAnsi="Arial" w:cs="Arial"/>
          <w:kern w:val="0"/>
          <w:sz w:val="20"/>
          <w:szCs w:val="20"/>
          <w:lang w:val="fr-FR" w:eastAsia="en-US"/>
        </w:rPr>
        <w:t xml:space="preserve"> 5 : 961-1010.</w:t>
      </w:r>
    </w:p>
    <w:p w14:paraId="407E0E1E"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Ngaryo</w:t>
      </w:r>
      <w:proofErr w:type="spellEnd"/>
      <w:r w:rsidRPr="004A4381">
        <w:rPr>
          <w:rFonts w:ascii="Arial" w:eastAsiaTheme="minorHAnsi" w:hAnsi="Arial" w:cs="Arial"/>
          <w:kern w:val="0"/>
          <w:sz w:val="20"/>
          <w:szCs w:val="20"/>
          <w:lang w:eastAsia="en-US"/>
        </w:rPr>
        <w:t xml:space="preserve">, F.T., </w:t>
      </w:r>
      <w:proofErr w:type="spellStart"/>
      <w:r w:rsidRPr="004A4381">
        <w:rPr>
          <w:rFonts w:ascii="Arial" w:eastAsiaTheme="minorHAnsi" w:hAnsi="Arial" w:cs="Arial"/>
          <w:kern w:val="0"/>
          <w:sz w:val="20"/>
          <w:szCs w:val="20"/>
          <w:lang w:eastAsia="en-US"/>
        </w:rPr>
        <w:t>Ngarnougber</w:t>
      </w:r>
      <w:proofErr w:type="spellEnd"/>
      <w:r w:rsidRPr="004A4381">
        <w:rPr>
          <w:rFonts w:ascii="Arial" w:eastAsiaTheme="minorHAnsi" w:hAnsi="Arial" w:cs="Arial"/>
          <w:kern w:val="0"/>
          <w:sz w:val="20"/>
          <w:szCs w:val="20"/>
          <w:lang w:eastAsia="en-US"/>
        </w:rPr>
        <w:t xml:space="preserve">, C. Adamou, I. (2017). Characterization of woody plants in the Sahelian savannah with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in the </w:t>
      </w:r>
      <w:proofErr w:type="spellStart"/>
      <w:r w:rsidRPr="004A4381">
        <w:rPr>
          <w:rFonts w:ascii="Arial" w:eastAsiaTheme="minorHAnsi" w:hAnsi="Arial" w:cs="Arial"/>
          <w:kern w:val="0"/>
          <w:sz w:val="20"/>
          <w:szCs w:val="20"/>
          <w:lang w:eastAsia="en-US"/>
        </w:rPr>
        <w:t>Guéra</w:t>
      </w:r>
      <w:proofErr w:type="spellEnd"/>
      <w:r w:rsidRPr="004A4381">
        <w:rPr>
          <w:rFonts w:ascii="Arial" w:eastAsiaTheme="minorHAnsi" w:hAnsi="Arial" w:cs="Arial"/>
          <w:kern w:val="0"/>
          <w:sz w:val="20"/>
          <w:szCs w:val="20"/>
          <w:lang w:eastAsia="en-US"/>
        </w:rPr>
        <w:t xml:space="preserve"> region, Chad. Int J Appl Research 3: 600-606.</w:t>
      </w:r>
    </w:p>
    <w:p w14:paraId="3EF05A5B" w14:textId="4F35BABC"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N’Diaye</w:t>
      </w:r>
      <w:proofErr w:type="spellEnd"/>
      <w:r w:rsidRPr="004A4381">
        <w:rPr>
          <w:rFonts w:ascii="Arial" w:eastAsiaTheme="minorHAnsi" w:hAnsi="Arial" w:cs="Arial"/>
          <w:kern w:val="0"/>
          <w:sz w:val="20"/>
          <w:szCs w:val="20"/>
          <w:lang w:eastAsia="en-US"/>
        </w:rPr>
        <w:t xml:space="preserve">, S. (2018). Impact of the adoption of climate change adaptation strategies on food security and income of pastoral households in the </w:t>
      </w:r>
      <w:proofErr w:type="spellStart"/>
      <w:r w:rsidRPr="004A4381">
        <w:rPr>
          <w:rFonts w:ascii="Arial" w:eastAsiaTheme="minorHAnsi" w:hAnsi="Arial" w:cs="Arial"/>
          <w:kern w:val="0"/>
          <w:sz w:val="20"/>
          <w:szCs w:val="20"/>
          <w:lang w:eastAsia="en-US"/>
        </w:rPr>
        <w:t>Ferlo</w:t>
      </w:r>
      <w:proofErr w:type="spellEnd"/>
      <w:r w:rsidRPr="004A4381">
        <w:rPr>
          <w:rFonts w:ascii="Arial" w:eastAsiaTheme="minorHAnsi" w:hAnsi="Arial" w:cs="Arial"/>
          <w:kern w:val="0"/>
          <w:sz w:val="20"/>
          <w:szCs w:val="20"/>
          <w:lang w:eastAsia="en-US"/>
        </w:rPr>
        <w:t xml:space="preserve"> area of ​​Senegal. </w:t>
      </w:r>
      <w:r w:rsidR="00447807" w:rsidRPr="004A4381">
        <w:rPr>
          <w:rFonts w:ascii="Arial" w:eastAsiaTheme="minorHAnsi" w:hAnsi="Arial" w:cs="Arial"/>
          <w:kern w:val="0"/>
          <w:sz w:val="20"/>
          <w:szCs w:val="20"/>
          <w:lang w:eastAsia="en-US"/>
        </w:rPr>
        <w:t xml:space="preserve">PhD thesis,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xml:space="preserve"> of </w:t>
      </w:r>
      <w:proofErr w:type="spellStart"/>
      <w:r w:rsidRPr="004A4381">
        <w:rPr>
          <w:rFonts w:ascii="Arial" w:eastAsiaTheme="minorHAnsi" w:hAnsi="Arial" w:cs="Arial"/>
          <w:kern w:val="0"/>
          <w:sz w:val="20"/>
          <w:szCs w:val="20"/>
          <w:lang w:val="fr-FR" w:eastAsia="en-US"/>
        </w:rPr>
        <w:t>Thies</w:t>
      </w:r>
      <w:proofErr w:type="spellEnd"/>
      <w:r w:rsidRPr="004A4381">
        <w:rPr>
          <w:rFonts w:ascii="Arial" w:eastAsiaTheme="minorHAnsi" w:hAnsi="Arial" w:cs="Arial"/>
          <w:kern w:val="0"/>
          <w:sz w:val="20"/>
          <w:szCs w:val="20"/>
          <w:lang w:val="fr-FR" w:eastAsia="en-US"/>
        </w:rPr>
        <w:t>.</w:t>
      </w:r>
      <w:r w:rsidR="00447807" w:rsidRPr="004A4381">
        <w:rPr>
          <w:rFonts w:ascii="Arial" w:eastAsiaTheme="minorHAnsi" w:hAnsi="Arial" w:cs="Arial"/>
          <w:kern w:val="0"/>
          <w:sz w:val="20"/>
          <w:szCs w:val="20"/>
          <w:lang w:val="fr-FR" w:eastAsia="en-US"/>
        </w:rPr>
        <w:t xml:space="preserve"> </w:t>
      </w:r>
      <w:hyperlink r:id="rId18" w:history="1">
        <w:r w:rsidR="00447807" w:rsidRPr="004A4381">
          <w:rPr>
            <w:rStyle w:val="Hyperlink"/>
            <w:rFonts w:ascii="Arial" w:eastAsiaTheme="minorHAnsi" w:hAnsi="Arial" w:cs="Arial"/>
            <w:kern w:val="0"/>
            <w:sz w:val="20"/>
            <w:szCs w:val="20"/>
            <w:lang w:val="fr-FR" w:eastAsia="en-US"/>
          </w:rPr>
          <w:t>https://www.inter-reseaux.org/wp-content/uploads/these_saboury_version_finale_2019.pdf</w:t>
        </w:r>
      </w:hyperlink>
      <w:r w:rsidR="001A4BA2" w:rsidRPr="004A4381">
        <w:rPr>
          <w:rFonts w:ascii="Arial" w:eastAsiaTheme="minorHAnsi" w:hAnsi="Arial" w:cs="Arial"/>
          <w:kern w:val="0"/>
          <w:sz w:val="20"/>
          <w:szCs w:val="20"/>
          <w:lang w:val="fr-FR" w:eastAsia="en-US"/>
        </w:rPr>
        <w:t xml:space="preserve"> </w:t>
      </w:r>
      <w:r w:rsidR="00447807" w:rsidRPr="004A4381">
        <w:rPr>
          <w:rFonts w:ascii="Arial" w:eastAsiaTheme="minorHAnsi" w:hAnsi="Arial" w:cs="Arial"/>
          <w:kern w:val="0"/>
          <w:sz w:val="20"/>
          <w:szCs w:val="20"/>
          <w:lang w:val="fr-FR" w:eastAsia="en-US"/>
        </w:rPr>
        <w:t xml:space="preserve"> </w:t>
      </w:r>
    </w:p>
    <w:p w14:paraId="39CE6782" w14:textId="5548FE67" w:rsidR="00530382" w:rsidRPr="004A4381" w:rsidRDefault="007A75B5" w:rsidP="00413662">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Olsen</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xml:space="preserve"> S.R., &amp; Sommers</w:t>
      </w:r>
      <w:r w:rsidR="00413662" w:rsidRPr="004A4381">
        <w:rPr>
          <w:rFonts w:ascii="Arial" w:eastAsiaTheme="minorHAnsi" w:hAnsi="Arial" w:cs="Arial"/>
          <w:kern w:val="0"/>
          <w:sz w:val="20"/>
          <w:szCs w:val="20"/>
          <w:lang w:eastAsia="en-US"/>
        </w:rPr>
        <w:t>, L.E.</w:t>
      </w:r>
      <w:r w:rsidRPr="004A4381">
        <w:rPr>
          <w:rFonts w:ascii="Arial" w:eastAsiaTheme="minorHAnsi" w:hAnsi="Arial" w:cs="Arial"/>
          <w:kern w:val="0"/>
          <w:sz w:val="20"/>
          <w:szCs w:val="20"/>
          <w:lang w:eastAsia="en-US"/>
        </w:rPr>
        <w:t xml:space="preserve"> </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1982</w:t>
      </w:r>
      <w:r w:rsidR="00413662"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Phosphorus. In Methods of</w:t>
      </w:r>
      <w:r w:rsidR="00413662" w:rsidRPr="004A4381">
        <w:rPr>
          <w:rFonts w:ascii="Arial" w:eastAsiaTheme="minorHAnsi" w:hAnsi="Arial" w:cs="Arial"/>
          <w:kern w:val="0"/>
          <w:sz w:val="20"/>
          <w:szCs w:val="20"/>
          <w:lang w:eastAsia="en-US"/>
        </w:rPr>
        <w:t xml:space="preserve"> Soil Analysis, 2nd ed. Part 2, </w:t>
      </w:r>
      <w:r w:rsidRPr="004A4381">
        <w:rPr>
          <w:rFonts w:ascii="Arial" w:eastAsiaTheme="minorHAnsi" w:hAnsi="Arial" w:cs="Arial"/>
          <w:kern w:val="0"/>
          <w:sz w:val="20"/>
          <w:szCs w:val="20"/>
          <w:lang w:eastAsia="en-US"/>
        </w:rPr>
        <w:t>Page A.L. et al. (Eds.), Madison, WI, USA, Agronomy No 9</w:t>
      </w:r>
      <w:r w:rsidR="00413662" w:rsidRPr="004A4381">
        <w:rPr>
          <w:rFonts w:ascii="Arial" w:eastAsiaTheme="minorHAnsi" w:hAnsi="Arial" w:cs="Arial"/>
          <w:kern w:val="0"/>
          <w:sz w:val="20"/>
          <w:szCs w:val="20"/>
          <w:lang w:eastAsia="en-US"/>
        </w:rPr>
        <w:t xml:space="preserve">, American Society of Agronomy, </w:t>
      </w:r>
      <w:r w:rsidRPr="004A4381">
        <w:rPr>
          <w:rFonts w:ascii="Arial" w:eastAsiaTheme="minorHAnsi" w:hAnsi="Arial" w:cs="Arial"/>
          <w:kern w:val="0"/>
          <w:sz w:val="20"/>
          <w:szCs w:val="20"/>
          <w:lang w:eastAsia="en-US"/>
        </w:rPr>
        <w:t>p. 403-430.</w:t>
      </w:r>
    </w:p>
    <w:p w14:paraId="25C73D83"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R Core Team (2021). R: A language and environment for statistical computing. R Foundation for Statistical Computing, Vienna, Austria.URL https://www.R-project.org/.</w:t>
      </w:r>
    </w:p>
    <w:p w14:paraId="678F8602" w14:textId="36166F55"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lastRenderedPageBreak/>
        <w:t>Sall</w:t>
      </w:r>
      <w:proofErr w:type="spellEnd"/>
      <w:r w:rsidRPr="004A4381">
        <w:rPr>
          <w:rFonts w:ascii="Arial" w:eastAsiaTheme="minorHAnsi" w:hAnsi="Arial" w:cs="Arial"/>
          <w:kern w:val="0"/>
          <w:sz w:val="20"/>
          <w:szCs w:val="20"/>
          <w:lang w:eastAsia="en-US"/>
        </w:rPr>
        <w:t>, P. N. (1997). The gum tree and gum Arabic. Technical note of the RCS-Sahel-1 project 507/RAF/43.</w:t>
      </w:r>
      <w:r w:rsidR="001F49BA" w:rsidRPr="004A4381">
        <w:rPr>
          <w:rFonts w:ascii="Arial" w:eastAsiaTheme="minorHAnsi" w:hAnsi="Arial" w:cs="Arial"/>
          <w:kern w:val="0"/>
          <w:sz w:val="20"/>
          <w:szCs w:val="20"/>
          <w:lang w:eastAsia="en-US"/>
        </w:rPr>
        <w:t xml:space="preserve"> </w:t>
      </w:r>
      <w:r w:rsidR="00470117" w:rsidRPr="004A4381">
        <w:rPr>
          <w:rFonts w:ascii="Arial" w:eastAsiaTheme="minorHAnsi" w:hAnsi="Arial" w:cs="Arial"/>
          <w:kern w:val="0"/>
          <w:sz w:val="20"/>
          <w:szCs w:val="20"/>
          <w:lang w:eastAsia="en-US"/>
        </w:rPr>
        <w:t>30</w:t>
      </w:r>
      <w:r w:rsidR="001F49BA" w:rsidRPr="004A4381">
        <w:rPr>
          <w:rFonts w:ascii="Arial" w:eastAsiaTheme="minorHAnsi" w:hAnsi="Arial" w:cs="Arial"/>
          <w:kern w:val="0"/>
          <w:sz w:val="20"/>
          <w:szCs w:val="20"/>
          <w:lang w:eastAsia="en-US"/>
        </w:rPr>
        <w:t>p.</w:t>
      </w:r>
    </w:p>
    <w:p w14:paraId="0814D625"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val="fr-FR" w:eastAsia="en-US"/>
        </w:rPr>
        <w:t>Samb</w:t>
      </w:r>
      <w:proofErr w:type="spellEnd"/>
      <w:r w:rsidRPr="004A4381">
        <w:rPr>
          <w:rFonts w:ascii="Arial" w:eastAsiaTheme="minorHAnsi" w:hAnsi="Arial" w:cs="Arial"/>
          <w:kern w:val="0"/>
          <w:sz w:val="20"/>
          <w:szCs w:val="20"/>
          <w:lang w:val="fr-FR" w:eastAsia="en-US"/>
        </w:rPr>
        <w:t xml:space="preserve">, C.O., Touré, M.A., Faye, E., (2018). </w:t>
      </w:r>
      <w:r w:rsidRPr="004A4381">
        <w:rPr>
          <w:rFonts w:ascii="Arial" w:eastAsiaTheme="minorHAnsi" w:hAnsi="Arial" w:cs="Arial"/>
          <w:kern w:val="0"/>
          <w:sz w:val="20"/>
          <w:szCs w:val="20"/>
          <w:lang w:eastAsia="en-US"/>
        </w:rPr>
        <w:t>Sociodemographic, structural, and agronomic characteristics of cashew plantations (</w:t>
      </w:r>
      <w:proofErr w:type="spellStart"/>
      <w:r w:rsidRPr="004A4381">
        <w:rPr>
          <w:rFonts w:ascii="Arial" w:eastAsiaTheme="minorHAnsi" w:hAnsi="Arial" w:cs="Arial"/>
          <w:kern w:val="0"/>
          <w:sz w:val="20"/>
          <w:szCs w:val="20"/>
          <w:lang w:eastAsia="en-US"/>
        </w:rPr>
        <w:t>Anacardium</w:t>
      </w:r>
      <w:proofErr w:type="spellEnd"/>
      <w:r w:rsidRPr="004A4381">
        <w:rPr>
          <w:rFonts w:ascii="Arial" w:eastAsiaTheme="minorHAnsi" w:hAnsi="Arial" w:cs="Arial"/>
          <w:kern w:val="0"/>
          <w:sz w:val="20"/>
          <w:szCs w:val="20"/>
          <w:lang w:eastAsia="en-US"/>
        </w:rPr>
        <w:t xml:space="preserve"> </w:t>
      </w:r>
      <w:proofErr w:type="spellStart"/>
      <w:r w:rsidRPr="004A4381">
        <w:rPr>
          <w:rFonts w:ascii="Arial" w:eastAsiaTheme="minorHAnsi" w:hAnsi="Arial" w:cs="Arial"/>
          <w:kern w:val="0"/>
          <w:sz w:val="20"/>
          <w:szCs w:val="20"/>
          <w:lang w:eastAsia="en-US"/>
        </w:rPr>
        <w:t>occidentale</w:t>
      </w:r>
      <w:proofErr w:type="spellEnd"/>
      <w:r w:rsidRPr="004A4381">
        <w:rPr>
          <w:rFonts w:ascii="Arial" w:eastAsiaTheme="minorHAnsi" w:hAnsi="Arial" w:cs="Arial"/>
          <w:kern w:val="0"/>
          <w:sz w:val="20"/>
          <w:szCs w:val="20"/>
          <w:lang w:eastAsia="en-US"/>
        </w:rPr>
        <w:t xml:space="preserve"> L.) in the Peanut Basin and Casamance/Senegal. Journal of Animal &amp; Plant Sciences 38, 6307–6325.</w:t>
      </w:r>
    </w:p>
    <w:p w14:paraId="2267EDA2" w14:textId="122E2F65"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Samb</w:t>
      </w:r>
      <w:proofErr w:type="spellEnd"/>
      <w:r w:rsidRPr="004A4381">
        <w:rPr>
          <w:rFonts w:ascii="Arial" w:eastAsiaTheme="minorHAnsi" w:hAnsi="Arial" w:cs="Arial"/>
          <w:kern w:val="0"/>
          <w:sz w:val="20"/>
          <w:szCs w:val="20"/>
          <w:lang w:eastAsia="en-US"/>
        </w:rPr>
        <w:t xml:space="preserve">, N., (2010). Influence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on the physical, chemical, and biological properties of soils. DEA thesis in Plant Biology, </w:t>
      </w:r>
      <w:proofErr w:type="spellStart"/>
      <w:r w:rsidRPr="004A4381">
        <w:rPr>
          <w:rFonts w:ascii="Arial" w:eastAsiaTheme="minorHAnsi" w:hAnsi="Arial" w:cs="Arial"/>
          <w:kern w:val="0"/>
          <w:sz w:val="20"/>
          <w:szCs w:val="20"/>
          <w:lang w:eastAsia="en-US"/>
        </w:rPr>
        <w:t>Cheikh</w:t>
      </w:r>
      <w:proofErr w:type="spellEnd"/>
      <w:r w:rsidRPr="004A4381">
        <w:rPr>
          <w:rFonts w:ascii="Arial" w:eastAsiaTheme="minorHAnsi" w:hAnsi="Arial" w:cs="Arial"/>
          <w:kern w:val="0"/>
          <w:sz w:val="20"/>
          <w:szCs w:val="20"/>
          <w:lang w:eastAsia="en-US"/>
        </w:rPr>
        <w:t xml:space="preserve"> Anta </w:t>
      </w:r>
      <w:proofErr w:type="spellStart"/>
      <w:r w:rsidRPr="004A4381">
        <w:rPr>
          <w:rFonts w:ascii="Arial" w:eastAsiaTheme="minorHAnsi" w:hAnsi="Arial" w:cs="Arial"/>
          <w:kern w:val="0"/>
          <w:sz w:val="20"/>
          <w:szCs w:val="20"/>
          <w:lang w:eastAsia="en-US"/>
        </w:rPr>
        <w:t>Diop</w:t>
      </w:r>
      <w:proofErr w:type="spellEnd"/>
      <w:r w:rsidRPr="004A4381">
        <w:rPr>
          <w:rFonts w:ascii="Arial" w:eastAsiaTheme="minorHAnsi" w:hAnsi="Arial" w:cs="Arial"/>
          <w:kern w:val="0"/>
          <w:sz w:val="20"/>
          <w:szCs w:val="20"/>
          <w:lang w:eastAsia="en-US"/>
        </w:rPr>
        <w:t xml:space="preserve"> University, Dakar, 60p.</w:t>
      </w:r>
      <w:r w:rsidR="00470117" w:rsidRPr="004A4381">
        <w:rPr>
          <w:rFonts w:ascii="Arial" w:eastAsiaTheme="minorHAnsi" w:hAnsi="Arial" w:cs="Arial"/>
          <w:kern w:val="0"/>
          <w:sz w:val="20"/>
          <w:szCs w:val="20"/>
          <w:lang w:eastAsia="en-US"/>
        </w:rPr>
        <w:t xml:space="preserve"> </w:t>
      </w:r>
      <w:hyperlink r:id="rId19" w:history="1">
        <w:r w:rsidR="00547307" w:rsidRPr="004A4381">
          <w:rPr>
            <w:rStyle w:val="Hyperlink"/>
            <w:rFonts w:ascii="Arial" w:eastAsiaTheme="minorHAnsi" w:hAnsi="Arial" w:cs="Arial"/>
            <w:kern w:val="0"/>
            <w:sz w:val="20"/>
            <w:szCs w:val="20"/>
            <w:lang w:eastAsia="en-US"/>
          </w:rPr>
          <w:t>https://horizon.documentation.ird.fr/exl-doc/pleins_textes/divers13-06/010058503.pdf</w:t>
        </w:r>
      </w:hyperlink>
      <w:r w:rsidR="00547307" w:rsidRPr="004A4381">
        <w:rPr>
          <w:rFonts w:ascii="Arial" w:eastAsiaTheme="minorHAnsi" w:hAnsi="Arial" w:cs="Arial"/>
          <w:kern w:val="0"/>
          <w:sz w:val="20"/>
          <w:szCs w:val="20"/>
          <w:lang w:eastAsia="en-US"/>
        </w:rPr>
        <w:t xml:space="preserve"> </w:t>
      </w:r>
    </w:p>
    <w:p w14:paraId="08142F6E" w14:textId="641583AE"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Sarr</w:t>
      </w:r>
      <w:proofErr w:type="spellEnd"/>
      <w:r w:rsidRPr="004A4381">
        <w:rPr>
          <w:rFonts w:ascii="Arial" w:eastAsiaTheme="minorHAnsi" w:hAnsi="Arial" w:cs="Arial"/>
          <w:kern w:val="0"/>
          <w:sz w:val="20"/>
          <w:szCs w:val="20"/>
          <w:lang w:eastAsia="en-US"/>
        </w:rPr>
        <w:t xml:space="preserve">, A., Faye, A., </w:t>
      </w:r>
      <w:proofErr w:type="spellStart"/>
      <w:r w:rsidRPr="004A4381">
        <w:rPr>
          <w:rFonts w:ascii="Arial" w:eastAsiaTheme="minorHAnsi" w:hAnsi="Arial" w:cs="Arial"/>
          <w:kern w:val="0"/>
          <w:sz w:val="20"/>
          <w:szCs w:val="20"/>
          <w:lang w:eastAsia="en-US"/>
        </w:rPr>
        <w:t>Oihabi</w:t>
      </w:r>
      <w:proofErr w:type="spellEnd"/>
      <w:r w:rsidRPr="004A4381">
        <w:rPr>
          <w:rFonts w:ascii="Arial" w:eastAsiaTheme="minorHAnsi" w:hAnsi="Arial" w:cs="Arial"/>
          <w:kern w:val="0"/>
          <w:sz w:val="20"/>
          <w:szCs w:val="20"/>
          <w:lang w:eastAsia="en-US"/>
        </w:rPr>
        <w:t xml:space="preserve">, A., </w:t>
      </w:r>
      <w:proofErr w:type="spellStart"/>
      <w:r w:rsidRPr="004A4381">
        <w:rPr>
          <w:rFonts w:ascii="Arial" w:eastAsiaTheme="minorHAnsi" w:hAnsi="Arial" w:cs="Arial"/>
          <w:kern w:val="0"/>
          <w:sz w:val="20"/>
          <w:szCs w:val="20"/>
          <w:lang w:eastAsia="en-US"/>
        </w:rPr>
        <w:t>Houeibib</w:t>
      </w:r>
      <w:proofErr w:type="spellEnd"/>
      <w:r w:rsidRPr="004A4381">
        <w:rPr>
          <w:rFonts w:ascii="Arial" w:eastAsiaTheme="minorHAnsi" w:hAnsi="Arial" w:cs="Arial"/>
          <w:kern w:val="0"/>
          <w:sz w:val="20"/>
          <w:szCs w:val="20"/>
          <w:lang w:eastAsia="en-US"/>
        </w:rPr>
        <w:t xml:space="preserve">, MAJO, </w:t>
      </w:r>
      <w:proofErr w:type="spellStart"/>
      <w:r w:rsidRPr="004A4381">
        <w:rPr>
          <w:rFonts w:ascii="Arial" w:eastAsiaTheme="minorHAnsi" w:hAnsi="Arial" w:cs="Arial"/>
          <w:kern w:val="0"/>
          <w:sz w:val="20"/>
          <w:szCs w:val="20"/>
          <w:lang w:eastAsia="en-US"/>
        </w:rPr>
        <w:t>Neyra</w:t>
      </w:r>
      <w:proofErr w:type="spellEnd"/>
      <w:r w:rsidRPr="004A4381">
        <w:rPr>
          <w:rFonts w:ascii="Arial" w:eastAsiaTheme="minorHAnsi" w:hAnsi="Arial" w:cs="Arial"/>
          <w:kern w:val="0"/>
          <w:sz w:val="20"/>
          <w:szCs w:val="20"/>
          <w:lang w:eastAsia="en-US"/>
        </w:rPr>
        <w:t xml:space="preserve">, M. </w:t>
      </w:r>
      <w:proofErr w:type="spellStart"/>
      <w:r w:rsidRPr="004A4381">
        <w:rPr>
          <w:rFonts w:ascii="Arial" w:eastAsiaTheme="minorHAnsi" w:hAnsi="Arial" w:cs="Arial"/>
          <w:kern w:val="0"/>
          <w:sz w:val="20"/>
          <w:szCs w:val="20"/>
          <w:lang w:eastAsia="en-US"/>
        </w:rPr>
        <w:t>Lesueur</w:t>
      </w:r>
      <w:proofErr w:type="spellEnd"/>
      <w:r w:rsidRPr="004A4381">
        <w:rPr>
          <w:rFonts w:ascii="Arial" w:eastAsiaTheme="minorHAnsi" w:hAnsi="Arial" w:cs="Arial"/>
          <w:kern w:val="0"/>
          <w:sz w:val="20"/>
          <w:szCs w:val="20"/>
          <w:lang w:eastAsia="en-US"/>
        </w:rPr>
        <w:t xml:space="preserve">, D. (2005). Inoculation in the station and the field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with selected strains of Rhizobium. Wood and forest of the tropics, No. 283(1).</w:t>
      </w:r>
      <w:r w:rsidR="0052625B" w:rsidRPr="004A4381">
        <w:rPr>
          <w:rFonts w:ascii="Arial" w:eastAsiaTheme="minorHAnsi" w:hAnsi="Arial" w:cs="Arial"/>
          <w:kern w:val="0"/>
          <w:sz w:val="20"/>
          <w:szCs w:val="20"/>
          <w:lang w:eastAsia="en-US"/>
        </w:rPr>
        <w:t xml:space="preserve"> </w:t>
      </w:r>
      <w:hyperlink r:id="rId20" w:history="1">
        <w:r w:rsidR="0052625B" w:rsidRPr="004A4381">
          <w:rPr>
            <w:rStyle w:val="Hyperlink"/>
            <w:rFonts w:ascii="Arial" w:eastAsiaTheme="minorHAnsi" w:hAnsi="Arial" w:cs="Arial"/>
            <w:kern w:val="0"/>
            <w:sz w:val="20"/>
            <w:szCs w:val="20"/>
            <w:lang w:eastAsia="en-US"/>
          </w:rPr>
          <w:t>https://agritrop.cirad.fr/524184/1/document_524184.pdf</w:t>
        </w:r>
      </w:hyperlink>
      <w:r w:rsidR="0052625B" w:rsidRPr="004A4381">
        <w:rPr>
          <w:rFonts w:ascii="Arial" w:eastAsiaTheme="minorHAnsi" w:hAnsi="Arial" w:cs="Arial"/>
          <w:kern w:val="0"/>
          <w:sz w:val="20"/>
          <w:szCs w:val="20"/>
          <w:lang w:eastAsia="en-US"/>
        </w:rPr>
        <w:t xml:space="preserve"> </w:t>
      </w:r>
    </w:p>
    <w:p w14:paraId="096C3EB2" w14:textId="149F27BD" w:rsidR="00243676" w:rsidRPr="004A4381" w:rsidRDefault="007A75B5" w:rsidP="00243676">
      <w:pPr>
        <w:widowControl/>
        <w:spacing w:before="240"/>
        <w:ind w:left="709" w:hanging="709"/>
        <w:rPr>
          <w:rFonts w:ascii="Arial" w:eastAsiaTheme="minorHAnsi" w:hAnsi="Arial" w:cs="Arial"/>
          <w:kern w:val="0"/>
          <w:sz w:val="20"/>
          <w:szCs w:val="20"/>
          <w:lang w:val="fr-FR" w:eastAsia="en-US"/>
        </w:rPr>
      </w:pPr>
      <w:proofErr w:type="spellStart"/>
      <w:r w:rsidRPr="004A4381">
        <w:rPr>
          <w:rFonts w:ascii="Arial" w:eastAsiaTheme="minorHAnsi" w:hAnsi="Arial" w:cs="Arial"/>
          <w:kern w:val="0"/>
          <w:sz w:val="20"/>
          <w:szCs w:val="20"/>
          <w:lang w:eastAsia="en-US"/>
        </w:rPr>
        <w:t>Sarr</w:t>
      </w:r>
      <w:proofErr w:type="spellEnd"/>
      <w:r w:rsidRPr="004A4381">
        <w:rPr>
          <w:rFonts w:ascii="Arial" w:eastAsiaTheme="minorHAnsi" w:hAnsi="Arial" w:cs="Arial"/>
          <w:kern w:val="0"/>
          <w:sz w:val="20"/>
          <w:szCs w:val="20"/>
          <w:lang w:eastAsia="en-US"/>
        </w:rPr>
        <w:t xml:space="preserve">, M.S. (2009). Dynamics and production of gum Arabic from a natural and trial stand of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provenances. </w:t>
      </w:r>
      <w:proofErr w:type="spellStart"/>
      <w:r w:rsidRPr="004A4381">
        <w:rPr>
          <w:rFonts w:ascii="Arial" w:eastAsiaTheme="minorHAnsi" w:hAnsi="Arial" w:cs="Arial"/>
          <w:kern w:val="0"/>
          <w:sz w:val="20"/>
          <w:szCs w:val="20"/>
          <w:lang w:val="fr-FR" w:eastAsia="en-US"/>
        </w:rPr>
        <w:t>Thesis</w:t>
      </w:r>
      <w:proofErr w:type="spellEnd"/>
      <w:r w:rsidRPr="004A4381">
        <w:rPr>
          <w:rFonts w:ascii="Arial" w:eastAsiaTheme="minorHAnsi" w:hAnsi="Arial" w:cs="Arial"/>
          <w:kern w:val="0"/>
          <w:sz w:val="20"/>
          <w:szCs w:val="20"/>
          <w:lang w:val="fr-FR" w:eastAsia="en-US"/>
        </w:rPr>
        <w:t xml:space="preserve"> 3 in Plant </w:t>
      </w:r>
      <w:proofErr w:type="spellStart"/>
      <w:r w:rsidRPr="004A4381">
        <w:rPr>
          <w:rFonts w:ascii="Arial" w:eastAsiaTheme="minorHAnsi" w:hAnsi="Arial" w:cs="Arial"/>
          <w:kern w:val="0"/>
          <w:sz w:val="20"/>
          <w:szCs w:val="20"/>
          <w:lang w:val="fr-FR" w:eastAsia="en-US"/>
        </w:rPr>
        <w:t>Biology</w:t>
      </w:r>
      <w:proofErr w:type="spellEnd"/>
      <w:r w:rsidRPr="004A4381">
        <w:rPr>
          <w:rFonts w:ascii="Arial" w:eastAsiaTheme="minorHAnsi" w:hAnsi="Arial" w:cs="Arial"/>
          <w:kern w:val="0"/>
          <w:sz w:val="20"/>
          <w:szCs w:val="20"/>
          <w:lang w:val="fr-FR" w:eastAsia="en-US"/>
        </w:rPr>
        <w:t xml:space="preserve">, Cheikh Anta Diop </w:t>
      </w:r>
      <w:proofErr w:type="spellStart"/>
      <w:r w:rsidRPr="004A4381">
        <w:rPr>
          <w:rFonts w:ascii="Arial" w:eastAsiaTheme="minorHAnsi" w:hAnsi="Arial" w:cs="Arial"/>
          <w:kern w:val="0"/>
          <w:sz w:val="20"/>
          <w:szCs w:val="20"/>
          <w:lang w:val="fr-FR" w:eastAsia="en-US"/>
        </w:rPr>
        <w:t>University</w:t>
      </w:r>
      <w:proofErr w:type="spellEnd"/>
      <w:r w:rsidRPr="004A4381">
        <w:rPr>
          <w:rFonts w:ascii="Arial" w:eastAsiaTheme="minorHAnsi" w:hAnsi="Arial" w:cs="Arial"/>
          <w:kern w:val="0"/>
          <w:sz w:val="20"/>
          <w:szCs w:val="20"/>
          <w:lang w:val="fr-FR" w:eastAsia="en-US"/>
        </w:rPr>
        <w:t>, Dakar.</w:t>
      </w:r>
      <w:r w:rsidR="00354799" w:rsidRPr="004A4381">
        <w:rPr>
          <w:rFonts w:ascii="Arial" w:eastAsiaTheme="minorHAnsi" w:hAnsi="Arial" w:cs="Arial"/>
          <w:kern w:val="0"/>
          <w:sz w:val="20"/>
          <w:szCs w:val="20"/>
          <w:lang w:val="fr-FR" w:eastAsia="en-US"/>
        </w:rPr>
        <w:t xml:space="preserve"> 160</w:t>
      </w:r>
      <w:r w:rsidR="00470117" w:rsidRPr="004A4381">
        <w:rPr>
          <w:rFonts w:ascii="Arial" w:eastAsiaTheme="minorHAnsi" w:hAnsi="Arial" w:cs="Arial"/>
          <w:kern w:val="0"/>
          <w:sz w:val="20"/>
          <w:szCs w:val="20"/>
          <w:lang w:val="fr-FR" w:eastAsia="en-US"/>
        </w:rPr>
        <w:t>p.</w:t>
      </w:r>
    </w:p>
    <w:p w14:paraId="18ADDAD4"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Soumaré</w:t>
      </w:r>
      <w:proofErr w:type="spellEnd"/>
      <w:r w:rsidRPr="004A4381">
        <w:rPr>
          <w:rFonts w:ascii="Arial" w:eastAsiaTheme="minorHAnsi" w:hAnsi="Arial" w:cs="Arial"/>
          <w:kern w:val="0"/>
          <w:sz w:val="20"/>
          <w:szCs w:val="20"/>
          <w:lang w:eastAsia="en-US"/>
        </w:rPr>
        <w:t>, M. (2004). Contribution to the prediction of the diffusion area of ​​sorghum varieties in Mali: coupling between crop growth model and geographic information system. Nanterre: University of Paris-Nanterre, 92 p. DEA thesis: Geography and development practice: University of Paris-Nanterre.</w:t>
      </w:r>
    </w:p>
    <w:p w14:paraId="78005B8B" w14:textId="24A86EDE" w:rsidR="00434540" w:rsidRPr="004A4381" w:rsidRDefault="007A75B5" w:rsidP="00434540">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eastAsia="en-US"/>
        </w:rPr>
        <w:t>Thomas</w:t>
      </w:r>
      <w:r w:rsidR="00780CAA" w:rsidRPr="004A4381">
        <w:rPr>
          <w:rFonts w:ascii="Arial" w:eastAsiaTheme="minorHAnsi" w:hAnsi="Arial" w:cs="Arial"/>
          <w:kern w:val="0"/>
          <w:sz w:val="20"/>
          <w:szCs w:val="20"/>
          <w:lang w:eastAsia="en-US"/>
        </w:rPr>
        <w:t>, G.W.</w:t>
      </w:r>
      <w:r w:rsidRPr="004A4381">
        <w:rPr>
          <w:rFonts w:ascii="Arial" w:eastAsiaTheme="minorHAnsi" w:hAnsi="Arial" w:cs="Arial"/>
          <w:kern w:val="0"/>
          <w:sz w:val="20"/>
          <w:szCs w:val="20"/>
          <w:lang w:eastAsia="en-US"/>
        </w:rPr>
        <w:t xml:space="preserve"> </w:t>
      </w:r>
      <w:r w:rsidR="00780CAA"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1996</w:t>
      </w:r>
      <w:r w:rsidR="00780CAA" w:rsidRPr="004A4381">
        <w:rPr>
          <w:rFonts w:ascii="Arial" w:eastAsiaTheme="minorHAnsi" w:hAnsi="Arial" w:cs="Arial"/>
          <w:kern w:val="0"/>
          <w:sz w:val="20"/>
          <w:szCs w:val="20"/>
          <w:lang w:eastAsia="en-US"/>
        </w:rPr>
        <w:t>)</w:t>
      </w:r>
      <w:r w:rsidRPr="004A4381">
        <w:rPr>
          <w:rFonts w:ascii="Arial" w:eastAsiaTheme="minorHAnsi" w:hAnsi="Arial" w:cs="Arial"/>
          <w:kern w:val="0"/>
          <w:sz w:val="20"/>
          <w:szCs w:val="20"/>
          <w:lang w:eastAsia="en-US"/>
        </w:rPr>
        <w:t>. Soil pH and soil acidity. In Methods of soil analysis. Part 3 – Chemical Methods, Bigham J. M. (Editor-in-Chief SSSA), Book Series Published by Soil Science Society of America, Inc., American Society of Agronomy, Inc. Madison, Wisconsin, USA 1996 II_41, p. 419-422.</w:t>
      </w:r>
    </w:p>
    <w:p w14:paraId="60B0B847" w14:textId="77777777" w:rsidR="00243676" w:rsidRPr="004A4381" w:rsidRDefault="007A75B5" w:rsidP="00243676">
      <w:pPr>
        <w:widowControl/>
        <w:spacing w:before="240"/>
        <w:ind w:left="709" w:hanging="709"/>
        <w:rPr>
          <w:rFonts w:ascii="Arial" w:eastAsiaTheme="minorHAnsi" w:hAnsi="Arial" w:cs="Arial"/>
          <w:kern w:val="0"/>
          <w:sz w:val="20"/>
          <w:szCs w:val="20"/>
          <w:lang w:eastAsia="en-US"/>
        </w:rPr>
      </w:pPr>
      <w:proofErr w:type="spellStart"/>
      <w:r w:rsidRPr="004A4381">
        <w:rPr>
          <w:rFonts w:ascii="Arial" w:eastAsiaTheme="minorHAnsi" w:hAnsi="Arial" w:cs="Arial"/>
          <w:kern w:val="0"/>
          <w:sz w:val="20"/>
          <w:szCs w:val="20"/>
          <w:lang w:eastAsia="en-US"/>
        </w:rPr>
        <w:t>Traoré</w:t>
      </w:r>
      <w:proofErr w:type="spellEnd"/>
      <w:r w:rsidRPr="004A4381">
        <w:rPr>
          <w:rFonts w:ascii="Arial" w:eastAsiaTheme="minorHAnsi" w:hAnsi="Arial" w:cs="Arial"/>
          <w:kern w:val="0"/>
          <w:sz w:val="20"/>
          <w:szCs w:val="20"/>
          <w:lang w:eastAsia="en-US"/>
        </w:rPr>
        <w:t xml:space="preserve">, F. (2012). Characterization of the woody diversity of the </w:t>
      </w:r>
      <w:proofErr w:type="spellStart"/>
      <w:r w:rsidRPr="004A4381">
        <w:rPr>
          <w:rFonts w:ascii="Arial" w:eastAsiaTheme="minorHAnsi" w:hAnsi="Arial" w:cs="Arial"/>
          <w:kern w:val="0"/>
          <w:sz w:val="20"/>
          <w:szCs w:val="20"/>
          <w:lang w:eastAsia="en-US"/>
        </w:rPr>
        <w:t>Agoufou</w:t>
      </w:r>
      <w:proofErr w:type="spellEnd"/>
      <w:r w:rsidRPr="004A4381">
        <w:rPr>
          <w:rFonts w:ascii="Arial" w:eastAsiaTheme="minorHAnsi" w:hAnsi="Arial" w:cs="Arial"/>
          <w:kern w:val="0"/>
          <w:sz w:val="20"/>
          <w:szCs w:val="20"/>
          <w:lang w:eastAsia="en-US"/>
        </w:rPr>
        <w:t xml:space="preserve"> pond basin in the Malian </w:t>
      </w:r>
      <w:proofErr w:type="spellStart"/>
      <w:r w:rsidRPr="004A4381">
        <w:rPr>
          <w:rFonts w:ascii="Arial" w:eastAsiaTheme="minorHAnsi" w:hAnsi="Arial" w:cs="Arial"/>
          <w:kern w:val="0"/>
          <w:sz w:val="20"/>
          <w:szCs w:val="20"/>
          <w:lang w:eastAsia="en-US"/>
        </w:rPr>
        <w:t>Gourma</w:t>
      </w:r>
      <w:proofErr w:type="spellEnd"/>
      <w:r w:rsidRPr="004A4381">
        <w:rPr>
          <w:rFonts w:ascii="Arial" w:eastAsiaTheme="minorHAnsi" w:hAnsi="Arial" w:cs="Arial"/>
          <w:kern w:val="0"/>
          <w:sz w:val="20"/>
          <w:szCs w:val="20"/>
          <w:lang w:eastAsia="en-US"/>
        </w:rPr>
        <w:t>. DEA thesis in Applied Biological Sciences. Faculty of Science and Technology of Bamako FST/ USTT-B, 45p.</w:t>
      </w:r>
    </w:p>
    <w:p w14:paraId="39E6253D" w14:textId="769A5DA5" w:rsidR="00DF6E4E" w:rsidRPr="004A4381" w:rsidRDefault="007A75B5" w:rsidP="00243676">
      <w:pPr>
        <w:widowControl/>
        <w:spacing w:before="240"/>
        <w:ind w:left="709" w:hanging="709"/>
        <w:rPr>
          <w:rFonts w:ascii="Arial" w:eastAsiaTheme="minorHAnsi" w:hAnsi="Arial" w:cs="Arial"/>
          <w:kern w:val="0"/>
          <w:sz w:val="20"/>
          <w:szCs w:val="20"/>
          <w:lang w:eastAsia="en-US"/>
        </w:rPr>
      </w:pPr>
      <w:r w:rsidRPr="004A4381">
        <w:rPr>
          <w:rFonts w:ascii="Arial" w:eastAsiaTheme="minorHAnsi" w:hAnsi="Arial" w:cs="Arial"/>
          <w:kern w:val="0"/>
          <w:sz w:val="20"/>
          <w:szCs w:val="20"/>
          <w:lang w:val="fr-FR" w:eastAsia="en-US"/>
        </w:rPr>
        <w:t xml:space="preserve">Traoré, F.S., </w:t>
      </w:r>
      <w:proofErr w:type="spellStart"/>
      <w:r w:rsidRPr="004A4381">
        <w:rPr>
          <w:rFonts w:ascii="Arial" w:eastAsiaTheme="minorHAnsi" w:hAnsi="Arial" w:cs="Arial"/>
          <w:kern w:val="0"/>
          <w:sz w:val="20"/>
          <w:szCs w:val="20"/>
          <w:lang w:val="fr-FR" w:eastAsia="en-US"/>
        </w:rPr>
        <w:t>Karembé</w:t>
      </w:r>
      <w:proofErr w:type="spellEnd"/>
      <w:r w:rsidRPr="004A4381">
        <w:rPr>
          <w:rFonts w:ascii="Arial" w:eastAsiaTheme="minorHAnsi" w:hAnsi="Arial" w:cs="Arial"/>
          <w:kern w:val="0"/>
          <w:sz w:val="20"/>
          <w:szCs w:val="20"/>
          <w:lang w:val="fr-FR" w:eastAsia="en-US"/>
        </w:rPr>
        <w:t xml:space="preserve">, M., </w:t>
      </w:r>
      <w:proofErr w:type="spellStart"/>
      <w:r w:rsidRPr="004A4381">
        <w:rPr>
          <w:rFonts w:ascii="Arial" w:eastAsiaTheme="minorHAnsi" w:hAnsi="Arial" w:cs="Arial"/>
          <w:kern w:val="0"/>
          <w:sz w:val="20"/>
          <w:szCs w:val="20"/>
          <w:lang w:val="fr-FR" w:eastAsia="en-US"/>
        </w:rPr>
        <w:t>Soumana</w:t>
      </w:r>
      <w:proofErr w:type="spellEnd"/>
      <w:r w:rsidRPr="004A4381">
        <w:rPr>
          <w:rFonts w:ascii="Arial" w:eastAsiaTheme="minorHAnsi" w:hAnsi="Arial" w:cs="Arial"/>
          <w:kern w:val="0"/>
          <w:sz w:val="20"/>
          <w:szCs w:val="20"/>
          <w:lang w:val="fr-FR" w:eastAsia="en-US"/>
        </w:rPr>
        <w:t xml:space="preserve">, I., </w:t>
      </w:r>
      <w:proofErr w:type="spellStart"/>
      <w:r w:rsidRPr="004A4381">
        <w:rPr>
          <w:rFonts w:ascii="Arial" w:eastAsiaTheme="minorHAnsi" w:hAnsi="Arial" w:cs="Arial"/>
          <w:kern w:val="0"/>
          <w:sz w:val="20"/>
          <w:szCs w:val="20"/>
          <w:lang w:val="fr-FR" w:eastAsia="en-US"/>
        </w:rPr>
        <w:t>Togola</w:t>
      </w:r>
      <w:proofErr w:type="spellEnd"/>
      <w:r w:rsidRPr="004A4381">
        <w:rPr>
          <w:rFonts w:ascii="Arial" w:eastAsiaTheme="minorHAnsi" w:hAnsi="Arial" w:cs="Arial"/>
          <w:kern w:val="0"/>
          <w:sz w:val="20"/>
          <w:szCs w:val="20"/>
          <w:lang w:val="fr-FR" w:eastAsia="en-US"/>
        </w:rPr>
        <w:t xml:space="preserve">, I. Mahamane, A. (2022). </w:t>
      </w:r>
      <w:r w:rsidRPr="004A4381">
        <w:rPr>
          <w:rFonts w:ascii="Arial" w:eastAsiaTheme="minorHAnsi" w:hAnsi="Arial" w:cs="Arial"/>
          <w:kern w:val="0"/>
          <w:sz w:val="20"/>
          <w:szCs w:val="20"/>
          <w:lang w:eastAsia="en-US"/>
        </w:rPr>
        <w:t xml:space="preserve">Characterization of natural Acacia </w:t>
      </w:r>
      <w:proofErr w:type="spellStart"/>
      <w:r w:rsidRPr="004A4381">
        <w:rPr>
          <w:rFonts w:ascii="Arial" w:eastAsiaTheme="minorHAnsi" w:hAnsi="Arial" w:cs="Arial"/>
          <w:kern w:val="0"/>
          <w:sz w:val="20"/>
          <w:szCs w:val="20"/>
          <w:lang w:eastAsia="en-US"/>
        </w:rPr>
        <w:t>senegal</w:t>
      </w:r>
      <w:proofErr w:type="spellEnd"/>
      <w:r w:rsidRPr="004A4381">
        <w:rPr>
          <w:rFonts w:ascii="Arial" w:eastAsiaTheme="minorHAnsi" w:hAnsi="Arial" w:cs="Arial"/>
          <w:kern w:val="0"/>
          <w:sz w:val="20"/>
          <w:szCs w:val="20"/>
          <w:lang w:eastAsia="en-US"/>
        </w:rPr>
        <w:t xml:space="preserve"> (L) </w:t>
      </w:r>
      <w:proofErr w:type="spellStart"/>
      <w:r w:rsidRPr="004A4381">
        <w:rPr>
          <w:rFonts w:ascii="Arial" w:eastAsiaTheme="minorHAnsi" w:hAnsi="Arial" w:cs="Arial"/>
          <w:kern w:val="0"/>
          <w:sz w:val="20"/>
          <w:szCs w:val="20"/>
          <w:lang w:eastAsia="en-US"/>
        </w:rPr>
        <w:t>Willd</w:t>
      </w:r>
      <w:proofErr w:type="spellEnd"/>
      <w:r w:rsidRPr="004A4381">
        <w:rPr>
          <w:rFonts w:ascii="Arial" w:eastAsiaTheme="minorHAnsi" w:hAnsi="Arial" w:cs="Arial"/>
          <w:kern w:val="0"/>
          <w:sz w:val="20"/>
          <w:szCs w:val="20"/>
          <w:lang w:eastAsia="en-US"/>
        </w:rPr>
        <w:t xml:space="preserve"> formations in the Western Malian Sahel, </w:t>
      </w:r>
      <w:proofErr w:type="spellStart"/>
      <w:r w:rsidRPr="004A4381">
        <w:rPr>
          <w:rFonts w:ascii="Arial" w:eastAsiaTheme="minorHAnsi" w:hAnsi="Arial" w:cs="Arial"/>
          <w:kern w:val="0"/>
          <w:sz w:val="20"/>
          <w:szCs w:val="20"/>
          <w:lang w:eastAsia="en-US"/>
        </w:rPr>
        <w:t>Nioro</w:t>
      </w:r>
      <w:proofErr w:type="spellEnd"/>
      <w:r w:rsidRPr="004A4381">
        <w:rPr>
          <w:rFonts w:ascii="Arial" w:eastAsiaTheme="minorHAnsi" w:hAnsi="Arial" w:cs="Arial"/>
          <w:kern w:val="0"/>
          <w:sz w:val="20"/>
          <w:szCs w:val="20"/>
          <w:lang w:eastAsia="en-US"/>
        </w:rPr>
        <w:t>. IOSR Journal of Environmental Science Toxicology and Food Technology 16(4):20-28</w:t>
      </w:r>
    </w:p>
    <w:p w14:paraId="4D2F5659" w14:textId="77777777" w:rsidR="00DF6E4E" w:rsidRPr="004A4381" w:rsidRDefault="00DF6E4E" w:rsidP="00DF6E4E">
      <w:pPr>
        <w:snapToGrid w:val="0"/>
        <w:ind w:firstLineChars="142" w:firstLine="284"/>
        <w:rPr>
          <w:rStyle w:val="ShortAbstract"/>
          <w:rFonts w:ascii="Arial" w:eastAsia="MS Mincho" w:hAnsi="Arial" w:cs="Arial"/>
          <w:szCs w:val="20"/>
        </w:rPr>
        <w:sectPr w:rsidR="00DF6E4E" w:rsidRPr="004A4381" w:rsidSect="007D65F0">
          <w:type w:val="continuous"/>
          <w:pgSz w:w="11907" w:h="16840" w:code="9"/>
          <w:pgMar w:top="1418" w:right="1418" w:bottom="1418" w:left="1418" w:header="851" w:footer="992" w:gutter="0"/>
          <w:cols w:space="609"/>
          <w:docGrid w:linePitch="360"/>
        </w:sectPr>
      </w:pPr>
    </w:p>
    <w:p w14:paraId="2C106F39" w14:textId="77777777" w:rsidR="00DF6E4E" w:rsidRPr="004A4381" w:rsidRDefault="00DF6E4E" w:rsidP="00DF6E4E">
      <w:pPr>
        <w:snapToGrid w:val="0"/>
        <w:spacing w:line="480" w:lineRule="auto"/>
        <w:ind w:firstLineChars="142" w:firstLine="284"/>
        <w:rPr>
          <w:rStyle w:val="ShortAbstract"/>
          <w:rFonts w:ascii="Arial" w:eastAsia="MS Mincho" w:hAnsi="Arial" w:cs="Arial"/>
          <w:szCs w:val="20"/>
        </w:rPr>
      </w:pPr>
    </w:p>
    <w:p w14:paraId="0D879DD9" w14:textId="77777777" w:rsidR="00DF6E4E" w:rsidRPr="004A4381" w:rsidRDefault="00DF6E4E" w:rsidP="00DF6E4E">
      <w:pPr>
        <w:spacing w:after="160" w:line="480" w:lineRule="auto"/>
        <w:rPr>
          <w:rFonts w:ascii="Arial" w:hAnsi="Arial" w:cs="Arial"/>
          <w:sz w:val="20"/>
          <w:szCs w:val="20"/>
        </w:rPr>
      </w:pPr>
    </w:p>
    <w:p w14:paraId="26BF53E4" w14:textId="77777777" w:rsidR="00DF6E4E" w:rsidRPr="004A4381" w:rsidRDefault="00DF6E4E" w:rsidP="00DF6E4E">
      <w:pPr>
        <w:spacing w:after="160" w:line="480" w:lineRule="auto"/>
        <w:rPr>
          <w:rFonts w:ascii="Arial" w:eastAsia="Calibri" w:hAnsi="Arial" w:cs="Arial"/>
          <w:sz w:val="20"/>
          <w:szCs w:val="20"/>
        </w:rPr>
      </w:pPr>
    </w:p>
    <w:p w14:paraId="1502254D" w14:textId="77777777" w:rsidR="00DF6E4E" w:rsidRPr="004A4381" w:rsidRDefault="007A75B5" w:rsidP="00DF6E4E">
      <w:pPr>
        <w:widowControl/>
        <w:spacing w:line="480" w:lineRule="auto"/>
        <w:jc w:val="left"/>
        <w:rPr>
          <w:rFonts w:ascii="Arial" w:eastAsia="Calibri" w:hAnsi="Arial" w:cs="Arial"/>
          <w:sz w:val="20"/>
          <w:szCs w:val="20"/>
        </w:rPr>
      </w:pPr>
      <w:r w:rsidRPr="004A4381">
        <w:rPr>
          <w:rFonts w:ascii="Arial" w:eastAsia="Calibri" w:hAnsi="Arial" w:cs="Arial"/>
          <w:sz w:val="20"/>
          <w:szCs w:val="20"/>
        </w:rPr>
        <w:br w:type="page"/>
      </w:r>
    </w:p>
    <w:p w14:paraId="0E5DBBCA" w14:textId="77777777" w:rsidR="00DF6E4E" w:rsidRPr="004A4381" w:rsidRDefault="00DF6E4E" w:rsidP="00DF6E4E">
      <w:pPr>
        <w:spacing w:after="160" w:line="480" w:lineRule="auto"/>
        <w:rPr>
          <w:rFonts w:ascii="Arial" w:hAnsi="Arial" w:cs="Arial"/>
          <w:b/>
          <w:sz w:val="20"/>
          <w:szCs w:val="20"/>
        </w:rPr>
        <w:sectPr w:rsidR="00DF6E4E" w:rsidRPr="004A4381" w:rsidSect="009225CA">
          <w:type w:val="continuous"/>
          <w:pgSz w:w="11907" w:h="16840" w:code="9"/>
          <w:pgMar w:top="1418" w:right="1418" w:bottom="1418" w:left="1418" w:header="851" w:footer="992" w:gutter="0"/>
          <w:cols w:num="2" w:space="609"/>
          <w:docGrid w:linePitch="360"/>
        </w:sectPr>
      </w:pPr>
    </w:p>
    <w:p w14:paraId="5AF00CB4" w14:textId="072B2266" w:rsidR="00DF6E4E" w:rsidRPr="004A4381" w:rsidRDefault="007A75B5" w:rsidP="008B0F64">
      <w:pPr>
        <w:pStyle w:val="HTMLPreformatted"/>
        <w:rPr>
          <w:lang w:val="en-US"/>
        </w:rPr>
      </w:pPr>
      <w:r w:rsidRPr="004A4381">
        <w:rPr>
          <w:rFonts w:ascii="Arial" w:hAnsi="Arial" w:cs="Arial"/>
          <w:b/>
          <w:lang w:val="en-US"/>
        </w:rPr>
        <w:lastRenderedPageBreak/>
        <w:t>Table1</w:t>
      </w:r>
      <w:r w:rsidRPr="004A4381">
        <w:rPr>
          <w:rFonts w:ascii="Arial" w:hAnsi="Arial" w:cs="Arial"/>
          <w:lang w:val="en-US"/>
        </w:rPr>
        <w:t xml:space="preserve">: </w:t>
      </w:r>
      <w:r w:rsidRPr="004A4381">
        <w:rPr>
          <w:rFonts w:ascii="Arial" w:hAnsi="Arial" w:cs="Arial"/>
          <w:lang w:val="en"/>
        </w:rPr>
        <w:t>Physical composition and contents of some mineral elements in the soils of the study sites</w:t>
      </w:r>
    </w:p>
    <w:tbl>
      <w:tblPr>
        <w:tblStyle w:val="TableGrid"/>
        <w:tblW w:w="5000" w:type="pct"/>
        <w:tblLook w:val="04A0" w:firstRow="1" w:lastRow="0" w:firstColumn="1" w:lastColumn="0" w:noHBand="0" w:noVBand="1"/>
      </w:tblPr>
      <w:tblGrid>
        <w:gridCol w:w="989"/>
        <w:gridCol w:w="945"/>
        <w:gridCol w:w="945"/>
        <w:gridCol w:w="873"/>
        <w:gridCol w:w="873"/>
        <w:gridCol w:w="873"/>
        <w:gridCol w:w="873"/>
        <w:gridCol w:w="873"/>
        <w:gridCol w:w="945"/>
        <w:gridCol w:w="873"/>
      </w:tblGrid>
      <w:tr w:rsidR="00DE09AF" w14:paraId="58123367" w14:textId="77777777" w:rsidTr="00512C42">
        <w:tc>
          <w:tcPr>
            <w:tcW w:w="580" w:type="pct"/>
          </w:tcPr>
          <w:p w14:paraId="46243FF0" w14:textId="77777777" w:rsidR="00DF6E4E" w:rsidRPr="004A4381" w:rsidRDefault="007A75B5" w:rsidP="000D7FF4">
            <w:pPr>
              <w:rPr>
                <w:rFonts w:ascii="Arial" w:hAnsi="Arial" w:cs="Arial"/>
                <w:b/>
                <w:sz w:val="20"/>
                <w:szCs w:val="20"/>
              </w:rPr>
            </w:pPr>
            <w:r w:rsidRPr="004A4381">
              <w:rPr>
                <w:rFonts w:ascii="Arial" w:hAnsi="Arial" w:cs="Arial"/>
                <w:b/>
                <w:sz w:val="20"/>
                <w:szCs w:val="20"/>
              </w:rPr>
              <w:t xml:space="preserve">Sites </w:t>
            </w:r>
          </w:p>
        </w:tc>
        <w:tc>
          <w:tcPr>
            <w:tcW w:w="510" w:type="pct"/>
          </w:tcPr>
          <w:p w14:paraId="77B5BF43"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pH (%)</w:t>
            </w:r>
          </w:p>
        </w:tc>
        <w:tc>
          <w:tcPr>
            <w:tcW w:w="499" w:type="pct"/>
          </w:tcPr>
          <w:p w14:paraId="12776ED2"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C (%)</w:t>
            </w:r>
          </w:p>
        </w:tc>
        <w:tc>
          <w:tcPr>
            <w:tcW w:w="457" w:type="pct"/>
          </w:tcPr>
          <w:p w14:paraId="0AE31CF9"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C/N (%)</w:t>
            </w:r>
          </w:p>
        </w:tc>
        <w:tc>
          <w:tcPr>
            <w:tcW w:w="466" w:type="pct"/>
          </w:tcPr>
          <w:p w14:paraId="45DB3627"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MO (%)</w:t>
            </w:r>
          </w:p>
        </w:tc>
        <w:tc>
          <w:tcPr>
            <w:tcW w:w="498" w:type="pct"/>
          </w:tcPr>
          <w:p w14:paraId="05B94AC4"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N (%)</w:t>
            </w:r>
          </w:p>
        </w:tc>
        <w:tc>
          <w:tcPr>
            <w:tcW w:w="465" w:type="pct"/>
          </w:tcPr>
          <w:p w14:paraId="3075F774"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P (%)</w:t>
            </w:r>
          </w:p>
        </w:tc>
        <w:tc>
          <w:tcPr>
            <w:tcW w:w="530" w:type="pct"/>
          </w:tcPr>
          <w:p w14:paraId="38A2E419"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Mg+ (%)</w:t>
            </w:r>
          </w:p>
        </w:tc>
        <w:tc>
          <w:tcPr>
            <w:tcW w:w="506" w:type="pct"/>
          </w:tcPr>
          <w:p w14:paraId="5C156D72"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Sand (%)</w:t>
            </w:r>
          </w:p>
        </w:tc>
        <w:tc>
          <w:tcPr>
            <w:tcW w:w="490" w:type="pct"/>
          </w:tcPr>
          <w:p w14:paraId="3D148A80" w14:textId="77777777" w:rsidR="00DF6E4E" w:rsidRPr="004A4381" w:rsidRDefault="007A75B5" w:rsidP="000D7FF4">
            <w:pPr>
              <w:jc w:val="center"/>
              <w:rPr>
                <w:rFonts w:ascii="Arial" w:hAnsi="Arial" w:cs="Arial"/>
                <w:b/>
                <w:sz w:val="20"/>
                <w:szCs w:val="20"/>
              </w:rPr>
            </w:pPr>
            <w:r w:rsidRPr="004A4381">
              <w:rPr>
                <w:rFonts w:ascii="Arial" w:hAnsi="Arial" w:cs="Arial"/>
                <w:b/>
                <w:sz w:val="20"/>
                <w:szCs w:val="20"/>
              </w:rPr>
              <w:t>Silt (%)</w:t>
            </w:r>
          </w:p>
        </w:tc>
      </w:tr>
      <w:tr w:rsidR="00DE09AF" w14:paraId="6FD1A650" w14:textId="77777777" w:rsidTr="00512C42">
        <w:tc>
          <w:tcPr>
            <w:tcW w:w="580" w:type="pct"/>
          </w:tcPr>
          <w:p w14:paraId="4D4AEDA1" w14:textId="77777777" w:rsidR="00DF6E4E" w:rsidRPr="004A4381" w:rsidRDefault="007A75B5" w:rsidP="000D7FF4">
            <w:pPr>
              <w:rPr>
                <w:rFonts w:ascii="Arial" w:hAnsi="Arial" w:cs="Arial"/>
                <w:sz w:val="20"/>
                <w:szCs w:val="20"/>
              </w:rPr>
            </w:pPr>
            <w:proofErr w:type="spellStart"/>
            <w:r w:rsidRPr="004A4381">
              <w:rPr>
                <w:rFonts w:ascii="Arial" w:hAnsi="Arial" w:cs="Arial"/>
                <w:sz w:val="20"/>
                <w:szCs w:val="20"/>
              </w:rPr>
              <w:t>Gadiaba</w:t>
            </w:r>
            <w:proofErr w:type="spellEnd"/>
          </w:p>
        </w:tc>
        <w:tc>
          <w:tcPr>
            <w:tcW w:w="510" w:type="pct"/>
          </w:tcPr>
          <w:p w14:paraId="4E8B12F4"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6,39±0,07a</w:t>
            </w:r>
          </w:p>
        </w:tc>
        <w:tc>
          <w:tcPr>
            <w:tcW w:w="499" w:type="pct"/>
          </w:tcPr>
          <w:p w14:paraId="4862EFD5"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0,42±0,09a</w:t>
            </w:r>
          </w:p>
        </w:tc>
        <w:tc>
          <w:tcPr>
            <w:tcW w:w="457" w:type="pct"/>
          </w:tcPr>
          <w:p w14:paraId="1697AC60"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4,55±4,02a</w:t>
            </w:r>
          </w:p>
        </w:tc>
        <w:tc>
          <w:tcPr>
            <w:tcW w:w="466" w:type="pct"/>
          </w:tcPr>
          <w:p w14:paraId="53BCAB3A"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0,09±0,01a</w:t>
            </w:r>
          </w:p>
        </w:tc>
        <w:tc>
          <w:tcPr>
            <w:tcW w:w="498" w:type="pct"/>
          </w:tcPr>
          <w:p w14:paraId="0801AD6F"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0,10±0,01a</w:t>
            </w:r>
          </w:p>
        </w:tc>
        <w:tc>
          <w:tcPr>
            <w:tcW w:w="465" w:type="pct"/>
          </w:tcPr>
          <w:p w14:paraId="43673B3D"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3,79±2,74a</w:t>
            </w:r>
          </w:p>
        </w:tc>
        <w:tc>
          <w:tcPr>
            <w:tcW w:w="530" w:type="pct"/>
          </w:tcPr>
          <w:p w14:paraId="6A586AAD"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0,85±0,01a</w:t>
            </w:r>
          </w:p>
        </w:tc>
        <w:tc>
          <w:tcPr>
            <w:tcW w:w="506" w:type="pct"/>
          </w:tcPr>
          <w:p w14:paraId="5D014EAE"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55,67±2,31b</w:t>
            </w:r>
          </w:p>
        </w:tc>
        <w:tc>
          <w:tcPr>
            <w:tcW w:w="490" w:type="pct"/>
          </w:tcPr>
          <w:p w14:paraId="16344F44"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41±2a</w:t>
            </w:r>
          </w:p>
        </w:tc>
      </w:tr>
      <w:tr w:rsidR="00DE09AF" w14:paraId="565BE116" w14:textId="77777777" w:rsidTr="00512C42">
        <w:tc>
          <w:tcPr>
            <w:tcW w:w="580" w:type="pct"/>
          </w:tcPr>
          <w:p w14:paraId="58E63742" w14:textId="77777777" w:rsidR="00DF6E4E" w:rsidRPr="004A4381" w:rsidRDefault="007A75B5" w:rsidP="000D7FF4">
            <w:pPr>
              <w:rPr>
                <w:rFonts w:ascii="Arial" w:hAnsi="Arial" w:cs="Arial"/>
                <w:sz w:val="20"/>
                <w:szCs w:val="20"/>
              </w:rPr>
            </w:pPr>
            <w:proofErr w:type="spellStart"/>
            <w:r w:rsidRPr="004A4381">
              <w:rPr>
                <w:rFonts w:ascii="Arial" w:hAnsi="Arial" w:cs="Arial"/>
                <w:sz w:val="20"/>
                <w:szCs w:val="20"/>
              </w:rPr>
              <w:t>Korokodjo</w:t>
            </w:r>
            <w:proofErr w:type="spellEnd"/>
          </w:p>
        </w:tc>
        <w:tc>
          <w:tcPr>
            <w:tcW w:w="510" w:type="pct"/>
          </w:tcPr>
          <w:p w14:paraId="12E2C3E8"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6,34±0,10ab</w:t>
            </w:r>
          </w:p>
        </w:tc>
        <w:tc>
          <w:tcPr>
            <w:tcW w:w="499" w:type="pct"/>
          </w:tcPr>
          <w:p w14:paraId="20826876"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0,33±0,09ab</w:t>
            </w:r>
          </w:p>
        </w:tc>
        <w:tc>
          <w:tcPr>
            <w:tcW w:w="457" w:type="pct"/>
          </w:tcPr>
          <w:p w14:paraId="45EE2DCA"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5,95±0,54a</w:t>
            </w:r>
          </w:p>
        </w:tc>
        <w:tc>
          <w:tcPr>
            <w:tcW w:w="466" w:type="pct"/>
          </w:tcPr>
          <w:p w14:paraId="5D5F7DB1"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0,05±0,01b</w:t>
            </w:r>
          </w:p>
        </w:tc>
        <w:tc>
          <w:tcPr>
            <w:tcW w:w="498" w:type="pct"/>
          </w:tcPr>
          <w:p w14:paraId="3365CAF0"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0,05±0,01b</w:t>
            </w:r>
          </w:p>
        </w:tc>
        <w:tc>
          <w:tcPr>
            <w:tcW w:w="465" w:type="pct"/>
          </w:tcPr>
          <w:p w14:paraId="632738A5"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1,73±1,51a</w:t>
            </w:r>
          </w:p>
        </w:tc>
        <w:tc>
          <w:tcPr>
            <w:tcW w:w="530" w:type="pct"/>
          </w:tcPr>
          <w:p w14:paraId="72B4FB83"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0,55±0,03b</w:t>
            </w:r>
          </w:p>
        </w:tc>
        <w:tc>
          <w:tcPr>
            <w:tcW w:w="506" w:type="pct"/>
          </w:tcPr>
          <w:p w14:paraId="2421CE2C"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90±3,46a</w:t>
            </w:r>
          </w:p>
        </w:tc>
        <w:tc>
          <w:tcPr>
            <w:tcW w:w="490" w:type="pct"/>
          </w:tcPr>
          <w:p w14:paraId="3FEF31F2"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6,67±2,31b</w:t>
            </w:r>
          </w:p>
        </w:tc>
      </w:tr>
      <w:tr w:rsidR="00DE09AF" w14:paraId="630FD5DB" w14:textId="77777777" w:rsidTr="00512C42">
        <w:tc>
          <w:tcPr>
            <w:tcW w:w="580" w:type="pct"/>
          </w:tcPr>
          <w:p w14:paraId="1DD6F078" w14:textId="77777777" w:rsidR="00DF6E4E" w:rsidRPr="004A4381" w:rsidRDefault="007A75B5" w:rsidP="000D7FF4">
            <w:pPr>
              <w:rPr>
                <w:rFonts w:ascii="Arial" w:hAnsi="Arial" w:cs="Arial"/>
                <w:sz w:val="20"/>
                <w:szCs w:val="20"/>
              </w:rPr>
            </w:pPr>
            <w:proofErr w:type="spellStart"/>
            <w:r w:rsidRPr="004A4381">
              <w:rPr>
                <w:rFonts w:ascii="Arial" w:hAnsi="Arial" w:cs="Arial"/>
                <w:sz w:val="20"/>
                <w:szCs w:val="20"/>
              </w:rPr>
              <w:t>Nioro</w:t>
            </w:r>
            <w:proofErr w:type="spellEnd"/>
          </w:p>
        </w:tc>
        <w:tc>
          <w:tcPr>
            <w:tcW w:w="510" w:type="pct"/>
          </w:tcPr>
          <w:p w14:paraId="59D3FF83"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6,04±0,19b</w:t>
            </w:r>
          </w:p>
        </w:tc>
        <w:tc>
          <w:tcPr>
            <w:tcW w:w="499" w:type="pct"/>
          </w:tcPr>
          <w:p w14:paraId="34FE2F37"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0,11±0,10b</w:t>
            </w:r>
          </w:p>
        </w:tc>
        <w:tc>
          <w:tcPr>
            <w:tcW w:w="457" w:type="pct"/>
          </w:tcPr>
          <w:p w14:paraId="166616AB"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3,36±0,66a</w:t>
            </w:r>
          </w:p>
        </w:tc>
        <w:tc>
          <w:tcPr>
            <w:tcW w:w="466" w:type="pct"/>
          </w:tcPr>
          <w:p w14:paraId="65804EBF"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0,04±0,01b</w:t>
            </w:r>
          </w:p>
        </w:tc>
        <w:tc>
          <w:tcPr>
            <w:tcW w:w="498" w:type="pct"/>
          </w:tcPr>
          <w:p w14:paraId="0659F12C"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0,04±0,01b</w:t>
            </w:r>
          </w:p>
        </w:tc>
        <w:tc>
          <w:tcPr>
            <w:tcW w:w="465" w:type="pct"/>
          </w:tcPr>
          <w:p w14:paraId="4385DB28"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0,21±0,5a</w:t>
            </w:r>
          </w:p>
        </w:tc>
        <w:tc>
          <w:tcPr>
            <w:tcW w:w="530" w:type="pct"/>
          </w:tcPr>
          <w:p w14:paraId="013573E3"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0,56±0,07b</w:t>
            </w:r>
          </w:p>
        </w:tc>
        <w:tc>
          <w:tcPr>
            <w:tcW w:w="506" w:type="pct"/>
          </w:tcPr>
          <w:p w14:paraId="7AAB8395"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91±7a</w:t>
            </w:r>
          </w:p>
        </w:tc>
        <w:tc>
          <w:tcPr>
            <w:tcW w:w="490" w:type="pct"/>
          </w:tcPr>
          <w:p w14:paraId="20E3ED35" w14:textId="77777777" w:rsidR="00DF6E4E" w:rsidRPr="004A4381" w:rsidRDefault="007A75B5" w:rsidP="000D7FF4">
            <w:pPr>
              <w:jc w:val="center"/>
              <w:rPr>
                <w:rFonts w:ascii="Arial" w:hAnsi="Arial" w:cs="Arial"/>
                <w:sz w:val="20"/>
                <w:szCs w:val="20"/>
              </w:rPr>
            </w:pPr>
            <w:r w:rsidRPr="004A4381">
              <w:rPr>
                <w:rFonts w:ascii="Arial" w:hAnsi="Arial" w:cs="Arial"/>
                <w:sz w:val="20"/>
                <w:szCs w:val="20"/>
              </w:rPr>
              <w:t>7±7b</w:t>
            </w:r>
          </w:p>
        </w:tc>
      </w:tr>
      <w:tr w:rsidR="00DE09AF" w14:paraId="550E1E56" w14:textId="77777777" w:rsidTr="00512C42">
        <w:tc>
          <w:tcPr>
            <w:tcW w:w="580" w:type="pct"/>
          </w:tcPr>
          <w:p w14:paraId="718C16F6" w14:textId="77777777" w:rsidR="00DF6E4E" w:rsidRPr="004A4381" w:rsidRDefault="007A75B5" w:rsidP="000D7FF4">
            <w:pPr>
              <w:rPr>
                <w:rFonts w:ascii="Arial" w:hAnsi="Arial" w:cs="Arial"/>
                <w:b/>
                <w:i/>
                <w:sz w:val="20"/>
                <w:szCs w:val="20"/>
              </w:rPr>
            </w:pPr>
            <w:r w:rsidRPr="004A4381">
              <w:rPr>
                <w:rFonts w:ascii="Arial" w:hAnsi="Arial" w:cs="Arial"/>
                <w:b/>
                <w:i/>
                <w:sz w:val="20"/>
                <w:szCs w:val="20"/>
              </w:rPr>
              <w:t>Average</w:t>
            </w:r>
          </w:p>
        </w:tc>
        <w:tc>
          <w:tcPr>
            <w:tcW w:w="510" w:type="pct"/>
          </w:tcPr>
          <w:p w14:paraId="2659C47E"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6,36</w:t>
            </w:r>
          </w:p>
        </w:tc>
        <w:tc>
          <w:tcPr>
            <w:tcW w:w="499" w:type="pct"/>
          </w:tcPr>
          <w:p w14:paraId="5CD3E99E"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0,29</w:t>
            </w:r>
          </w:p>
        </w:tc>
        <w:tc>
          <w:tcPr>
            <w:tcW w:w="457" w:type="pct"/>
          </w:tcPr>
          <w:p w14:paraId="48B6360E"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4,62</w:t>
            </w:r>
          </w:p>
        </w:tc>
        <w:tc>
          <w:tcPr>
            <w:tcW w:w="466" w:type="pct"/>
          </w:tcPr>
          <w:p w14:paraId="114480E5"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0,06</w:t>
            </w:r>
          </w:p>
        </w:tc>
        <w:tc>
          <w:tcPr>
            <w:tcW w:w="498" w:type="pct"/>
          </w:tcPr>
          <w:p w14:paraId="0C118173"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0,06</w:t>
            </w:r>
          </w:p>
        </w:tc>
        <w:tc>
          <w:tcPr>
            <w:tcW w:w="465" w:type="pct"/>
          </w:tcPr>
          <w:p w14:paraId="169FCB5B"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1,91</w:t>
            </w:r>
          </w:p>
        </w:tc>
        <w:tc>
          <w:tcPr>
            <w:tcW w:w="530" w:type="pct"/>
          </w:tcPr>
          <w:p w14:paraId="0B492CD7"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0,65</w:t>
            </w:r>
          </w:p>
        </w:tc>
        <w:tc>
          <w:tcPr>
            <w:tcW w:w="506" w:type="pct"/>
          </w:tcPr>
          <w:p w14:paraId="1149F239"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78,89</w:t>
            </w:r>
          </w:p>
        </w:tc>
        <w:tc>
          <w:tcPr>
            <w:tcW w:w="490" w:type="pct"/>
          </w:tcPr>
          <w:p w14:paraId="5CDE3E6F"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18,22</w:t>
            </w:r>
          </w:p>
        </w:tc>
      </w:tr>
      <w:tr w:rsidR="00DE09AF" w14:paraId="172910B7" w14:textId="77777777" w:rsidTr="00512C42">
        <w:tc>
          <w:tcPr>
            <w:tcW w:w="580" w:type="pct"/>
          </w:tcPr>
          <w:p w14:paraId="19AEA64E" w14:textId="77777777" w:rsidR="00DF6E4E" w:rsidRPr="004A4381" w:rsidRDefault="007A75B5" w:rsidP="000D7FF4">
            <w:pPr>
              <w:rPr>
                <w:rFonts w:ascii="Arial" w:hAnsi="Arial" w:cs="Arial"/>
                <w:b/>
                <w:i/>
                <w:sz w:val="20"/>
                <w:szCs w:val="20"/>
              </w:rPr>
            </w:pPr>
            <w:r w:rsidRPr="004A4381">
              <w:rPr>
                <w:rFonts w:ascii="Arial" w:hAnsi="Arial" w:cs="Arial"/>
                <w:b/>
                <w:i/>
                <w:sz w:val="20"/>
                <w:szCs w:val="20"/>
              </w:rPr>
              <w:t>Probability</w:t>
            </w:r>
          </w:p>
        </w:tc>
        <w:tc>
          <w:tcPr>
            <w:tcW w:w="510" w:type="pct"/>
          </w:tcPr>
          <w:p w14:paraId="5C2EC8BD"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0,044</w:t>
            </w:r>
          </w:p>
        </w:tc>
        <w:tc>
          <w:tcPr>
            <w:tcW w:w="499" w:type="pct"/>
          </w:tcPr>
          <w:p w14:paraId="09D7E2AA"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0,021</w:t>
            </w:r>
          </w:p>
        </w:tc>
        <w:tc>
          <w:tcPr>
            <w:tcW w:w="457" w:type="pct"/>
          </w:tcPr>
          <w:p w14:paraId="3A1F4BBB"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0,456</w:t>
            </w:r>
          </w:p>
        </w:tc>
        <w:tc>
          <w:tcPr>
            <w:tcW w:w="466" w:type="pct"/>
          </w:tcPr>
          <w:p w14:paraId="5DA912B5"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0,012</w:t>
            </w:r>
          </w:p>
        </w:tc>
        <w:tc>
          <w:tcPr>
            <w:tcW w:w="498" w:type="pct"/>
          </w:tcPr>
          <w:p w14:paraId="3A3F986C"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0,012</w:t>
            </w:r>
          </w:p>
        </w:tc>
        <w:tc>
          <w:tcPr>
            <w:tcW w:w="465" w:type="pct"/>
          </w:tcPr>
          <w:p w14:paraId="34C74BF0"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0,133</w:t>
            </w:r>
          </w:p>
        </w:tc>
        <w:tc>
          <w:tcPr>
            <w:tcW w:w="530" w:type="pct"/>
          </w:tcPr>
          <w:p w14:paraId="5CB914D2"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w:t>
            </w:r>
          </w:p>
        </w:tc>
        <w:tc>
          <w:tcPr>
            <w:tcW w:w="506" w:type="pct"/>
          </w:tcPr>
          <w:p w14:paraId="4360A5F0"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w:t>
            </w:r>
          </w:p>
        </w:tc>
        <w:tc>
          <w:tcPr>
            <w:tcW w:w="490" w:type="pct"/>
          </w:tcPr>
          <w:p w14:paraId="6DCAC65F"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0</w:t>
            </w:r>
          </w:p>
        </w:tc>
      </w:tr>
      <w:tr w:rsidR="00DE09AF" w14:paraId="593E6EB0" w14:textId="77777777" w:rsidTr="00512C42">
        <w:tc>
          <w:tcPr>
            <w:tcW w:w="580" w:type="pct"/>
          </w:tcPr>
          <w:p w14:paraId="1D730D08" w14:textId="77777777" w:rsidR="00DF6E4E" w:rsidRPr="004A4381" w:rsidRDefault="007A75B5" w:rsidP="000D7FF4">
            <w:pPr>
              <w:rPr>
                <w:rFonts w:ascii="Arial" w:hAnsi="Arial" w:cs="Arial"/>
                <w:b/>
                <w:i/>
                <w:sz w:val="20"/>
                <w:szCs w:val="20"/>
              </w:rPr>
            </w:pPr>
            <w:r w:rsidRPr="004A4381">
              <w:rPr>
                <w:rFonts w:ascii="Arial" w:hAnsi="Arial" w:cs="Arial"/>
                <w:b/>
                <w:i/>
                <w:sz w:val="20"/>
                <w:szCs w:val="20"/>
              </w:rPr>
              <w:t xml:space="preserve">Significance </w:t>
            </w:r>
          </w:p>
        </w:tc>
        <w:tc>
          <w:tcPr>
            <w:tcW w:w="510" w:type="pct"/>
          </w:tcPr>
          <w:p w14:paraId="61C7A97F"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S</w:t>
            </w:r>
          </w:p>
        </w:tc>
        <w:tc>
          <w:tcPr>
            <w:tcW w:w="499" w:type="pct"/>
          </w:tcPr>
          <w:p w14:paraId="43BE52D1"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S</w:t>
            </w:r>
          </w:p>
        </w:tc>
        <w:tc>
          <w:tcPr>
            <w:tcW w:w="457" w:type="pct"/>
          </w:tcPr>
          <w:p w14:paraId="777BE20E"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NS</w:t>
            </w:r>
          </w:p>
        </w:tc>
        <w:tc>
          <w:tcPr>
            <w:tcW w:w="466" w:type="pct"/>
          </w:tcPr>
          <w:p w14:paraId="669C33E3"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S</w:t>
            </w:r>
          </w:p>
        </w:tc>
        <w:tc>
          <w:tcPr>
            <w:tcW w:w="498" w:type="pct"/>
          </w:tcPr>
          <w:p w14:paraId="117F6E99"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S</w:t>
            </w:r>
          </w:p>
        </w:tc>
        <w:tc>
          <w:tcPr>
            <w:tcW w:w="465" w:type="pct"/>
          </w:tcPr>
          <w:p w14:paraId="60C2A2F8"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NS</w:t>
            </w:r>
          </w:p>
        </w:tc>
        <w:tc>
          <w:tcPr>
            <w:tcW w:w="530" w:type="pct"/>
          </w:tcPr>
          <w:p w14:paraId="25F2F78F"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THS</w:t>
            </w:r>
          </w:p>
        </w:tc>
        <w:tc>
          <w:tcPr>
            <w:tcW w:w="506" w:type="pct"/>
          </w:tcPr>
          <w:p w14:paraId="750FFF44"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THS</w:t>
            </w:r>
          </w:p>
        </w:tc>
        <w:tc>
          <w:tcPr>
            <w:tcW w:w="490" w:type="pct"/>
          </w:tcPr>
          <w:p w14:paraId="01C0B723" w14:textId="77777777" w:rsidR="00DF6E4E" w:rsidRPr="004A4381" w:rsidRDefault="007A75B5" w:rsidP="000D7FF4">
            <w:pPr>
              <w:jc w:val="center"/>
              <w:rPr>
                <w:rFonts w:ascii="Arial" w:hAnsi="Arial" w:cs="Arial"/>
                <w:i/>
                <w:sz w:val="20"/>
                <w:szCs w:val="20"/>
              </w:rPr>
            </w:pPr>
            <w:r w:rsidRPr="004A4381">
              <w:rPr>
                <w:rFonts w:ascii="Arial" w:hAnsi="Arial" w:cs="Arial"/>
                <w:i/>
                <w:sz w:val="20"/>
                <w:szCs w:val="20"/>
              </w:rPr>
              <w:t>THS</w:t>
            </w:r>
          </w:p>
        </w:tc>
      </w:tr>
    </w:tbl>
    <w:p w14:paraId="0DD24A85" w14:textId="77777777" w:rsidR="00FD3321" w:rsidRPr="004A4381" w:rsidRDefault="00FD3321" w:rsidP="00FD3321">
      <w:pPr>
        <w:tabs>
          <w:tab w:val="left" w:pos="1450"/>
        </w:tabs>
        <w:rPr>
          <w:rFonts w:ascii="Arial" w:hAnsi="Arial" w:cs="Arial"/>
          <w:sz w:val="20"/>
          <w:szCs w:val="20"/>
        </w:rPr>
      </w:pPr>
    </w:p>
    <w:p w14:paraId="578192A0" w14:textId="77777777" w:rsidR="00FD3321" w:rsidRPr="004A4381" w:rsidRDefault="00FD3321" w:rsidP="00FD3321">
      <w:pPr>
        <w:tabs>
          <w:tab w:val="left" w:pos="1450"/>
        </w:tabs>
        <w:rPr>
          <w:rFonts w:ascii="Arial" w:hAnsi="Arial" w:cs="Arial"/>
          <w:sz w:val="20"/>
          <w:szCs w:val="20"/>
        </w:rPr>
      </w:pPr>
    </w:p>
    <w:p w14:paraId="20E2FAD0" w14:textId="77777777" w:rsidR="00FD3321" w:rsidRPr="004A4381" w:rsidRDefault="00FD3321" w:rsidP="00FD3321">
      <w:pPr>
        <w:tabs>
          <w:tab w:val="left" w:pos="1450"/>
        </w:tabs>
        <w:rPr>
          <w:rFonts w:ascii="Arial" w:hAnsi="Arial" w:cs="Arial"/>
          <w:sz w:val="20"/>
          <w:szCs w:val="20"/>
        </w:rPr>
      </w:pPr>
    </w:p>
    <w:p w14:paraId="580C0EEE" w14:textId="1CAE2A0A" w:rsidR="00DF6E4E" w:rsidRPr="00F723D4" w:rsidRDefault="00DF6E4E" w:rsidP="00204694">
      <w:pPr>
        <w:widowControl/>
        <w:jc w:val="left"/>
        <w:rPr>
          <w:rFonts w:ascii="Arial" w:eastAsia="Calibri" w:hAnsi="Arial" w:cs="Arial"/>
          <w:sz w:val="24"/>
          <w:lang w:val="fr-CM"/>
        </w:rPr>
      </w:pPr>
    </w:p>
    <w:p w14:paraId="2C4DA8EB" w14:textId="77777777" w:rsidR="00DF6E4E" w:rsidRPr="00DD764B" w:rsidRDefault="00DF6E4E" w:rsidP="00DF6E4E">
      <w:pPr>
        <w:spacing w:after="160" w:line="480" w:lineRule="auto"/>
        <w:rPr>
          <w:rFonts w:ascii="Arial" w:eastAsia="Calibri" w:hAnsi="Arial" w:cs="Arial"/>
          <w:sz w:val="20"/>
          <w:szCs w:val="20"/>
          <w:lang w:val="fr-CM"/>
        </w:rPr>
      </w:pPr>
      <w:bookmarkStart w:id="1" w:name="_GoBack"/>
      <w:bookmarkEnd w:id="1"/>
    </w:p>
    <w:p w14:paraId="3A560548" w14:textId="77777777" w:rsidR="00DC28D3" w:rsidRDefault="00DC28D3"/>
    <w:sectPr w:rsidR="00DC2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FDD6" w14:textId="77777777" w:rsidR="00AA32C2" w:rsidRDefault="00AA32C2">
      <w:r>
        <w:separator/>
      </w:r>
    </w:p>
  </w:endnote>
  <w:endnote w:type="continuationSeparator" w:id="0">
    <w:p w14:paraId="30595659" w14:textId="77777777" w:rsidR="00AA32C2" w:rsidRDefault="00AA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0BD" w14:textId="77777777" w:rsidR="00872D0B" w:rsidRDefault="0087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01BB" w14:textId="77777777" w:rsidR="00872D0B" w:rsidRDefault="00872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5E4F" w14:textId="77777777" w:rsidR="00872D0B" w:rsidRDefault="0087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39B8" w14:textId="77777777" w:rsidR="00AA32C2" w:rsidRDefault="00AA32C2">
      <w:r>
        <w:separator/>
      </w:r>
    </w:p>
  </w:footnote>
  <w:footnote w:type="continuationSeparator" w:id="0">
    <w:p w14:paraId="6218390F" w14:textId="77777777" w:rsidR="00AA32C2" w:rsidRDefault="00AA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A88D" w14:textId="59EB80EA" w:rsidR="00872D0B" w:rsidRDefault="00AA32C2">
    <w:pPr>
      <w:pStyle w:val="Header"/>
    </w:pPr>
    <w:r>
      <w:rPr>
        <w:noProof/>
      </w:rPr>
      <w:pict w14:anchorId="5A2B8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0" o:spid="_x0000_s3073" type="#_x0000_t136" style="position:absolute;left:0;text-align:left;margin-left:0;margin-top:0;width:583.85pt;height:55.6pt;rotation:315;z-index:-251657216;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1240" w14:textId="611A2AB7" w:rsidR="00872D0B" w:rsidRDefault="00AA32C2">
    <w:pPr>
      <w:pStyle w:val="Header"/>
    </w:pPr>
    <w:r>
      <w:rPr>
        <w:noProof/>
      </w:rPr>
      <w:pict w14:anchorId="13AA7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1" o:spid="_x0000_s3074" type="#_x0000_t136" style="position:absolute;left:0;text-align:left;margin-left:0;margin-top:0;width:583.85pt;height:55.6pt;rotation:315;z-index:-251656192;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4188" w14:textId="67A66C8E" w:rsidR="00872D0B" w:rsidRDefault="00AA32C2">
    <w:pPr>
      <w:pStyle w:val="Header"/>
    </w:pPr>
    <w:r>
      <w:rPr>
        <w:noProof/>
      </w:rPr>
      <w:pict w14:anchorId="463C6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59" o:spid="_x0000_s3075" type="#_x0000_t136" style="position:absolute;left:0;text-align:left;margin-left:0;margin-top:0;width:583.85pt;height:55.6pt;rotation:315;z-index:-251658240;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4E"/>
    <w:rsid w:val="00013A33"/>
    <w:rsid w:val="00037104"/>
    <w:rsid w:val="00097446"/>
    <w:rsid w:val="000C370E"/>
    <w:rsid w:val="000D1AC8"/>
    <w:rsid w:val="000D2BE7"/>
    <w:rsid w:val="000D7FF4"/>
    <w:rsid w:val="000F6672"/>
    <w:rsid w:val="00111C3A"/>
    <w:rsid w:val="00146302"/>
    <w:rsid w:val="00167CAC"/>
    <w:rsid w:val="00185516"/>
    <w:rsid w:val="00194142"/>
    <w:rsid w:val="001A4BA2"/>
    <w:rsid w:val="001D0695"/>
    <w:rsid w:val="001D37E1"/>
    <w:rsid w:val="001D51B7"/>
    <w:rsid w:val="001E1E5F"/>
    <w:rsid w:val="001F28F2"/>
    <w:rsid w:val="001F49BA"/>
    <w:rsid w:val="00204694"/>
    <w:rsid w:val="00217EF5"/>
    <w:rsid w:val="002233FE"/>
    <w:rsid w:val="00233341"/>
    <w:rsid w:val="00243676"/>
    <w:rsid w:val="00256D47"/>
    <w:rsid w:val="00261FD4"/>
    <w:rsid w:val="002B7EF2"/>
    <w:rsid w:val="002C12E8"/>
    <w:rsid w:val="002F11FE"/>
    <w:rsid w:val="002F1293"/>
    <w:rsid w:val="00354799"/>
    <w:rsid w:val="0036055D"/>
    <w:rsid w:val="00392F5F"/>
    <w:rsid w:val="003A3D59"/>
    <w:rsid w:val="00413662"/>
    <w:rsid w:val="0042632A"/>
    <w:rsid w:val="00432821"/>
    <w:rsid w:val="00432D83"/>
    <w:rsid w:val="00434540"/>
    <w:rsid w:val="00443476"/>
    <w:rsid w:val="004477B7"/>
    <w:rsid w:val="00447807"/>
    <w:rsid w:val="0045179B"/>
    <w:rsid w:val="0045465F"/>
    <w:rsid w:val="00470117"/>
    <w:rsid w:val="00483AD1"/>
    <w:rsid w:val="004867E0"/>
    <w:rsid w:val="004A4381"/>
    <w:rsid w:val="004B500B"/>
    <w:rsid w:val="004C0314"/>
    <w:rsid w:val="004C6268"/>
    <w:rsid w:val="004F4E62"/>
    <w:rsid w:val="00501685"/>
    <w:rsid w:val="00512C42"/>
    <w:rsid w:val="00516F2D"/>
    <w:rsid w:val="00521E62"/>
    <w:rsid w:val="0052625B"/>
    <w:rsid w:val="00530382"/>
    <w:rsid w:val="00547307"/>
    <w:rsid w:val="00564B39"/>
    <w:rsid w:val="005A4433"/>
    <w:rsid w:val="005B132D"/>
    <w:rsid w:val="005B1C6F"/>
    <w:rsid w:val="005C3B5D"/>
    <w:rsid w:val="00601B3B"/>
    <w:rsid w:val="00610D1B"/>
    <w:rsid w:val="00622236"/>
    <w:rsid w:val="00676DEC"/>
    <w:rsid w:val="00682B1D"/>
    <w:rsid w:val="00683693"/>
    <w:rsid w:val="00684C35"/>
    <w:rsid w:val="006A1631"/>
    <w:rsid w:val="006A3C45"/>
    <w:rsid w:val="006A5A14"/>
    <w:rsid w:val="006B3E29"/>
    <w:rsid w:val="006C1E35"/>
    <w:rsid w:val="006C6712"/>
    <w:rsid w:val="006E6E06"/>
    <w:rsid w:val="007064B1"/>
    <w:rsid w:val="0071272D"/>
    <w:rsid w:val="00724843"/>
    <w:rsid w:val="00780BDF"/>
    <w:rsid w:val="00780CAA"/>
    <w:rsid w:val="007A75B5"/>
    <w:rsid w:val="007B5624"/>
    <w:rsid w:val="007E6562"/>
    <w:rsid w:val="00812D20"/>
    <w:rsid w:val="00822609"/>
    <w:rsid w:val="008319F0"/>
    <w:rsid w:val="00845B0E"/>
    <w:rsid w:val="00857E04"/>
    <w:rsid w:val="00872D0B"/>
    <w:rsid w:val="00896937"/>
    <w:rsid w:val="00896EE7"/>
    <w:rsid w:val="008B0F64"/>
    <w:rsid w:val="008B7747"/>
    <w:rsid w:val="008E4557"/>
    <w:rsid w:val="008E7576"/>
    <w:rsid w:val="00904E32"/>
    <w:rsid w:val="00912827"/>
    <w:rsid w:val="00952EF5"/>
    <w:rsid w:val="00985EED"/>
    <w:rsid w:val="00994A63"/>
    <w:rsid w:val="0099693D"/>
    <w:rsid w:val="009F07C7"/>
    <w:rsid w:val="009F3CB3"/>
    <w:rsid w:val="00A10069"/>
    <w:rsid w:val="00A173EF"/>
    <w:rsid w:val="00A2082C"/>
    <w:rsid w:val="00A47AA3"/>
    <w:rsid w:val="00A51E98"/>
    <w:rsid w:val="00A53A42"/>
    <w:rsid w:val="00A60F24"/>
    <w:rsid w:val="00A6143D"/>
    <w:rsid w:val="00A67259"/>
    <w:rsid w:val="00A67790"/>
    <w:rsid w:val="00A706D3"/>
    <w:rsid w:val="00AA32C2"/>
    <w:rsid w:val="00AE4A1D"/>
    <w:rsid w:val="00B22333"/>
    <w:rsid w:val="00B51DD1"/>
    <w:rsid w:val="00B8236B"/>
    <w:rsid w:val="00BB4F97"/>
    <w:rsid w:val="00BD19BA"/>
    <w:rsid w:val="00BE1251"/>
    <w:rsid w:val="00BF43F2"/>
    <w:rsid w:val="00C21154"/>
    <w:rsid w:val="00C435EE"/>
    <w:rsid w:val="00C50595"/>
    <w:rsid w:val="00C55078"/>
    <w:rsid w:val="00C67C44"/>
    <w:rsid w:val="00C94867"/>
    <w:rsid w:val="00CA6B19"/>
    <w:rsid w:val="00CB7A7E"/>
    <w:rsid w:val="00D01A6E"/>
    <w:rsid w:val="00D01AD4"/>
    <w:rsid w:val="00D065E0"/>
    <w:rsid w:val="00D67F91"/>
    <w:rsid w:val="00D80B9F"/>
    <w:rsid w:val="00D86687"/>
    <w:rsid w:val="00DC28D3"/>
    <w:rsid w:val="00DC6899"/>
    <w:rsid w:val="00DD0131"/>
    <w:rsid w:val="00DD764B"/>
    <w:rsid w:val="00DE09AF"/>
    <w:rsid w:val="00DE5DB0"/>
    <w:rsid w:val="00DE7D95"/>
    <w:rsid w:val="00DF5206"/>
    <w:rsid w:val="00DF6E4E"/>
    <w:rsid w:val="00E02D9F"/>
    <w:rsid w:val="00E55FBD"/>
    <w:rsid w:val="00E705EA"/>
    <w:rsid w:val="00E70AB5"/>
    <w:rsid w:val="00E71521"/>
    <w:rsid w:val="00E95F7C"/>
    <w:rsid w:val="00EA0056"/>
    <w:rsid w:val="00EA5F62"/>
    <w:rsid w:val="00EB3A56"/>
    <w:rsid w:val="00ED2451"/>
    <w:rsid w:val="00F12DE0"/>
    <w:rsid w:val="00F242C0"/>
    <w:rsid w:val="00F26C2B"/>
    <w:rsid w:val="00F305B8"/>
    <w:rsid w:val="00F63822"/>
    <w:rsid w:val="00F723D4"/>
    <w:rsid w:val="00F725DF"/>
    <w:rsid w:val="00F732B7"/>
    <w:rsid w:val="00F84DA4"/>
    <w:rsid w:val="00FA6BE8"/>
    <w:rsid w:val="00FD3321"/>
    <w:rsid w:val="00FE1C55"/>
    <w:rsid w:val="00FE3CDC"/>
    <w:rsid w:val="00FF13EB"/>
    <w:rsid w:val="00FF2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3C4E6DCF"/>
  <w15:chartTrackingRefBased/>
  <w15:docId w15:val="{22BB5C9B-9EF4-4B27-A24B-E1DEBAA8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4E"/>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unhideWhenUsed/>
    <w:qFormat/>
    <w:rsid w:val="00DF6E4E"/>
    <w:pPr>
      <w:keepNext/>
      <w:keepLines/>
      <w:widowControl/>
      <w:outlineLvl w:val="1"/>
    </w:pPr>
    <w:rPr>
      <w:rFonts w:ascii="Arial" w:eastAsiaTheme="majorEastAsia" w:hAnsi="Arial" w:cstheme="majorBidi"/>
      <w:b/>
      <w:bCs/>
      <w:kern w:val="0"/>
      <w:sz w:val="22"/>
      <w:szCs w:val="26"/>
      <w:lang w:eastAsia="en-US"/>
    </w:rPr>
  </w:style>
  <w:style w:type="paragraph" w:styleId="Heading3">
    <w:name w:val="heading 3"/>
    <w:basedOn w:val="Normal"/>
    <w:next w:val="Normal"/>
    <w:link w:val="Heading3Char"/>
    <w:uiPriority w:val="9"/>
    <w:semiHidden/>
    <w:unhideWhenUsed/>
    <w:qFormat/>
    <w:rsid w:val="00F305B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E4E"/>
    <w:rPr>
      <w:rFonts w:ascii="Arial" w:eastAsiaTheme="majorEastAsia" w:hAnsi="Arial" w:cstheme="majorBidi"/>
      <w:b/>
      <w:bCs/>
      <w:szCs w:val="26"/>
      <w:lang w:val="en-US"/>
    </w:rPr>
  </w:style>
  <w:style w:type="table" w:styleId="TableGrid">
    <w:name w:val="Table Grid"/>
    <w:basedOn w:val="TableNormal"/>
    <w:rsid w:val="00DF6E4E"/>
    <w:pPr>
      <w:widowControl w:val="0"/>
      <w:spacing w:after="0" w:line="240" w:lineRule="auto"/>
      <w:jc w:val="both"/>
    </w:pPr>
    <w:rPr>
      <w:rFonts w:ascii="Century" w:eastAsia="MS Mincho" w:hAnsi="Century"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Abstract">
    <w:name w:val="Short Abstract"/>
    <w:rsid w:val="00DF6E4E"/>
    <w:rPr>
      <w:rFonts w:ascii="Times New Roman" w:eastAsia="Times New Roman" w:hAnsi="Times New Roman"/>
      <w:sz w:val="20"/>
    </w:rPr>
  </w:style>
  <w:style w:type="character" w:styleId="Hyperlink">
    <w:name w:val="Hyperlink"/>
    <w:rsid w:val="00DF6E4E"/>
    <w:rPr>
      <w:color w:val="0000FF"/>
      <w:u w:val="single"/>
    </w:rPr>
  </w:style>
  <w:style w:type="character" w:styleId="CommentReference">
    <w:name w:val="annotation reference"/>
    <w:basedOn w:val="DefaultParagraphFont"/>
    <w:uiPriority w:val="99"/>
    <w:semiHidden/>
    <w:unhideWhenUsed/>
    <w:rsid w:val="00DF6E4E"/>
    <w:rPr>
      <w:sz w:val="16"/>
      <w:szCs w:val="16"/>
    </w:rPr>
  </w:style>
  <w:style w:type="paragraph" w:styleId="CommentText">
    <w:name w:val="annotation text"/>
    <w:basedOn w:val="Normal"/>
    <w:link w:val="CommentTextChar"/>
    <w:uiPriority w:val="99"/>
    <w:semiHidden/>
    <w:unhideWhenUsed/>
    <w:rsid w:val="00DF6E4E"/>
    <w:rPr>
      <w:sz w:val="20"/>
      <w:szCs w:val="20"/>
    </w:rPr>
  </w:style>
  <w:style w:type="character" w:customStyle="1" w:styleId="CommentTextChar">
    <w:name w:val="Comment Text Char"/>
    <w:basedOn w:val="DefaultParagraphFont"/>
    <w:link w:val="CommentText"/>
    <w:uiPriority w:val="99"/>
    <w:semiHidden/>
    <w:rsid w:val="00DF6E4E"/>
    <w:rPr>
      <w:rFonts w:ascii="Century" w:eastAsia="MS Mincho" w:hAnsi="Century" w:cs="Times New Roman"/>
      <w:kern w:val="2"/>
      <w:sz w:val="20"/>
      <w:szCs w:val="20"/>
      <w:lang w:val="en-US" w:eastAsia="ja-JP"/>
    </w:rPr>
  </w:style>
  <w:style w:type="character" w:styleId="Strong">
    <w:name w:val="Strong"/>
    <w:basedOn w:val="DefaultParagraphFont"/>
    <w:uiPriority w:val="22"/>
    <w:qFormat/>
    <w:rsid w:val="00DF6E4E"/>
    <w:rPr>
      <w:b/>
      <w:bCs/>
    </w:rPr>
  </w:style>
  <w:style w:type="paragraph" w:styleId="HTMLPreformatted">
    <w:name w:val="HTML Preformatted"/>
    <w:basedOn w:val="Normal"/>
    <w:link w:val="HTMLPreformattedChar"/>
    <w:uiPriority w:val="99"/>
    <w:unhideWhenUsed/>
    <w:rsid w:val="00DF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PreformattedChar">
    <w:name w:val="HTML Preformatted Char"/>
    <w:basedOn w:val="DefaultParagraphFont"/>
    <w:link w:val="HTMLPreformatted"/>
    <w:uiPriority w:val="99"/>
    <w:rsid w:val="00DF6E4E"/>
    <w:rPr>
      <w:rFonts w:ascii="Courier New" w:eastAsia="Times New Roman" w:hAnsi="Courier New" w:cs="Courier New"/>
      <w:sz w:val="20"/>
      <w:szCs w:val="20"/>
      <w:lang w:eastAsia="fr-FR"/>
    </w:rPr>
  </w:style>
  <w:style w:type="character" w:customStyle="1" w:styleId="y2iqfc">
    <w:name w:val="y2iqfc"/>
    <w:basedOn w:val="DefaultParagraphFont"/>
    <w:rsid w:val="00DF6E4E"/>
  </w:style>
  <w:style w:type="paragraph" w:styleId="BalloonText">
    <w:name w:val="Balloon Text"/>
    <w:basedOn w:val="Normal"/>
    <w:link w:val="BalloonTextChar"/>
    <w:uiPriority w:val="99"/>
    <w:semiHidden/>
    <w:unhideWhenUsed/>
    <w:rsid w:val="00DF6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4E"/>
    <w:rPr>
      <w:rFonts w:ascii="Segoe UI" w:eastAsia="MS Mincho" w:hAnsi="Segoe UI" w:cs="Segoe UI"/>
      <w:kern w:val="2"/>
      <w:sz w:val="18"/>
      <w:szCs w:val="18"/>
      <w:lang w:val="en-US" w:eastAsia="ja-JP"/>
    </w:rPr>
  </w:style>
  <w:style w:type="character" w:customStyle="1" w:styleId="Heading3Char">
    <w:name w:val="Heading 3 Char"/>
    <w:basedOn w:val="DefaultParagraphFont"/>
    <w:link w:val="Heading3"/>
    <w:uiPriority w:val="9"/>
    <w:semiHidden/>
    <w:rsid w:val="00F305B8"/>
    <w:rPr>
      <w:rFonts w:asciiTheme="majorHAnsi" w:eastAsiaTheme="majorEastAsia" w:hAnsiTheme="majorHAnsi" w:cstheme="majorBidi"/>
      <w:color w:val="1F4D78" w:themeColor="accent1" w:themeShade="7F"/>
      <w:kern w:val="2"/>
      <w:sz w:val="24"/>
      <w:szCs w:val="24"/>
      <w:lang w:val="en-US" w:eastAsia="ja-JP"/>
    </w:rPr>
  </w:style>
  <w:style w:type="character" w:customStyle="1" w:styleId="UnresolvedMention1">
    <w:name w:val="Unresolved Mention1"/>
    <w:basedOn w:val="DefaultParagraphFont"/>
    <w:uiPriority w:val="99"/>
    <w:semiHidden/>
    <w:unhideWhenUsed/>
    <w:rsid w:val="00F305B8"/>
    <w:rPr>
      <w:color w:val="605E5C"/>
      <w:shd w:val="clear" w:color="auto" w:fill="E1DFDD"/>
    </w:rPr>
  </w:style>
  <w:style w:type="paragraph" w:styleId="ListParagraph">
    <w:name w:val="List Paragraph"/>
    <w:basedOn w:val="Normal"/>
    <w:uiPriority w:val="34"/>
    <w:qFormat/>
    <w:rsid w:val="00F305B8"/>
    <w:pPr>
      <w:ind w:left="720"/>
      <w:contextualSpacing/>
    </w:pPr>
  </w:style>
  <w:style w:type="paragraph" w:styleId="Header">
    <w:name w:val="header"/>
    <w:basedOn w:val="Normal"/>
    <w:link w:val="HeaderChar"/>
    <w:uiPriority w:val="99"/>
    <w:unhideWhenUsed/>
    <w:rsid w:val="00872D0B"/>
    <w:pPr>
      <w:tabs>
        <w:tab w:val="center" w:pos="4680"/>
        <w:tab w:val="right" w:pos="9360"/>
      </w:tabs>
    </w:pPr>
  </w:style>
  <w:style w:type="character" w:customStyle="1" w:styleId="HeaderChar">
    <w:name w:val="Header Char"/>
    <w:basedOn w:val="DefaultParagraphFont"/>
    <w:link w:val="Header"/>
    <w:uiPriority w:val="99"/>
    <w:rsid w:val="00872D0B"/>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872D0B"/>
    <w:pPr>
      <w:tabs>
        <w:tab w:val="center" w:pos="4680"/>
        <w:tab w:val="right" w:pos="9360"/>
      </w:tabs>
    </w:pPr>
  </w:style>
  <w:style w:type="character" w:customStyle="1" w:styleId="FooterChar">
    <w:name w:val="Footer Char"/>
    <w:basedOn w:val="DefaultParagraphFont"/>
    <w:link w:val="Footer"/>
    <w:uiPriority w:val="99"/>
    <w:rsid w:val="00872D0B"/>
    <w:rPr>
      <w:rFonts w:ascii="Century" w:eastAsia="MS Mincho" w:hAnsi="Century" w:cs="Times New Roman"/>
      <w:kern w:val="2"/>
      <w:sz w:val="21"/>
      <w:szCs w:val="24"/>
      <w:lang w:val="en-US" w:eastAsia="ja-JP"/>
    </w:rPr>
  </w:style>
  <w:style w:type="paragraph" w:styleId="CommentSubject">
    <w:name w:val="annotation subject"/>
    <w:basedOn w:val="CommentText"/>
    <w:next w:val="CommentText"/>
    <w:link w:val="CommentSubjectChar"/>
    <w:uiPriority w:val="99"/>
    <w:semiHidden/>
    <w:unhideWhenUsed/>
    <w:rsid w:val="00501685"/>
    <w:rPr>
      <w:b/>
      <w:bCs/>
    </w:rPr>
  </w:style>
  <w:style w:type="character" w:customStyle="1" w:styleId="CommentSubjectChar">
    <w:name w:val="Comment Subject Char"/>
    <w:basedOn w:val="CommentTextChar"/>
    <w:link w:val="CommentSubject"/>
    <w:uiPriority w:val="99"/>
    <w:semiHidden/>
    <w:rsid w:val="00501685"/>
    <w:rPr>
      <w:rFonts w:ascii="Century" w:eastAsia="MS Mincho" w:hAnsi="Century" w:cs="Times New Roman"/>
      <w:b/>
      <w:bCs/>
      <w:kern w:val="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inter-reseaux.org/wp-content/uploads/these_saboury_version_finale_2019.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hal.science/hal-01722558/documen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agritrop.cirad.fr/524184/1/document_52418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horizon.documentation.ird.fr/exl-doc/pleins_textes/divers13-06/01005850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project.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B806-3C0A-4F09-BBBB-4F47CFB6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2968</Words>
  <Characters>16922</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1137</cp:lastModifiedBy>
  <cp:revision>4</cp:revision>
  <dcterms:created xsi:type="dcterms:W3CDTF">2025-02-11T00:21:00Z</dcterms:created>
  <dcterms:modified xsi:type="dcterms:W3CDTF">2025-02-11T06:48:00Z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c5af3a14986a45d4b71a238d82c5687fbc544a2c6a1e7df355f52f89e3755614</vt:lpwstr>
  </property>
</Properties>
</file>