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71392" w14:textId="77777777" w:rsidR="0034046A" w:rsidRPr="0034046A" w:rsidRDefault="00EF3A0E" w:rsidP="00CB1C82">
      <w:pPr>
        <w:pStyle w:val="Heading2"/>
        <w:spacing w:after="120" w:line="240" w:lineRule="auto"/>
        <w:ind w:firstLine="0"/>
        <w:jc w:val="center"/>
      </w:pPr>
      <w:r>
        <w:t xml:space="preserve">EFFECT OF FORENSIC ACCOUNTING SKILLS ON FRAUD MANAGEMENT </w:t>
      </w:r>
      <w:r w:rsidR="0034046A">
        <w:t>OF SELECTED</w:t>
      </w:r>
      <w:r>
        <w:t xml:space="preserve"> FEDERAL MINISTRIES, DEPARTMENTS AND AGENCIES (MDAs) </w:t>
      </w:r>
      <w:r w:rsidR="0034046A">
        <w:t>IN</w:t>
      </w:r>
      <w:r>
        <w:t xml:space="preserve"> NIGERIA</w:t>
      </w:r>
    </w:p>
    <w:p w14:paraId="721C4654" w14:textId="17DBF0CC" w:rsidR="000E0532" w:rsidRDefault="000E0532" w:rsidP="006B780D">
      <w:pPr>
        <w:spacing w:after="0" w:line="259" w:lineRule="auto"/>
        <w:ind w:left="0" w:right="95" w:firstLine="0"/>
      </w:pPr>
    </w:p>
    <w:p w14:paraId="1070BBCA" w14:textId="77777777" w:rsidR="00DE0C75" w:rsidRPr="00412D4C" w:rsidRDefault="00DE0C75" w:rsidP="00C33C0F">
      <w:pPr>
        <w:pStyle w:val="NormalWeb"/>
        <w:spacing w:before="0" w:beforeAutospacing="0" w:after="120" w:afterAutospacing="0"/>
        <w:jc w:val="both"/>
        <w:rPr>
          <w:b/>
        </w:rPr>
      </w:pPr>
      <w:r w:rsidRPr="00412D4C">
        <w:rPr>
          <w:b/>
        </w:rPr>
        <w:t>Abstract</w:t>
      </w:r>
    </w:p>
    <w:p w14:paraId="6AF536D1" w14:textId="18234558" w:rsidR="00A47F1D" w:rsidRPr="00A47F1D" w:rsidRDefault="00A177BE" w:rsidP="00A47F1D">
      <w:pPr>
        <w:spacing w:after="0" w:line="240" w:lineRule="auto"/>
        <w:ind w:left="0" w:right="0" w:firstLine="0"/>
        <w:rPr>
          <w:color w:val="FF0000"/>
          <w:szCs w:val="24"/>
        </w:rPr>
      </w:pPr>
      <w:r>
        <w:rPr>
          <w:rStyle w:val="Strong"/>
          <w:rFonts w:eastAsiaTheme="majorEastAsia"/>
        </w:rPr>
        <w:t>Aim</w:t>
      </w:r>
      <w:r w:rsidR="00C33C0F">
        <w:rPr>
          <w:rStyle w:val="Strong"/>
          <w:rFonts w:eastAsiaTheme="majorEastAsia"/>
        </w:rPr>
        <w:t>:</w:t>
      </w:r>
      <w:r w:rsidR="00C33C0F">
        <w:t xml:space="preserve"> </w:t>
      </w:r>
      <w:r w:rsidR="00A47F1D" w:rsidRPr="00A47F1D">
        <w:rPr>
          <w:color w:val="auto"/>
          <w:szCs w:val="24"/>
        </w:rPr>
        <w:t xml:space="preserve">The growing level of fraud in Nigeria has created the need for the use of forensic accounting skills in fraud management. </w:t>
      </w:r>
      <w:r w:rsidR="00A47F1D" w:rsidRPr="00A47F1D">
        <w:rPr>
          <w:color w:val="FF0000"/>
          <w:szCs w:val="24"/>
        </w:rPr>
        <w:t>Many scholars have attempted to analyze the forensic accounting skills on fraud management in Nigeria to assess their nature and degree of significance using different measurements with mixed results, which necessitated this study on the effect of forensic accounting skills on the fraud management of selected federal ministries, departments, and agencies in Nigeria.</w:t>
      </w:r>
    </w:p>
    <w:p w14:paraId="6EF336E5" w14:textId="3104E8EF" w:rsidR="00762BBA" w:rsidRPr="00762BBA" w:rsidRDefault="00C33C0F" w:rsidP="00A47F1D">
      <w:pPr>
        <w:pStyle w:val="NormalWeb"/>
        <w:spacing w:before="0" w:beforeAutospacing="0" w:after="120" w:afterAutospacing="0"/>
        <w:jc w:val="both"/>
      </w:pPr>
      <w:r>
        <w:rPr>
          <w:rStyle w:val="Strong"/>
          <w:rFonts w:eastAsiaTheme="majorEastAsia"/>
        </w:rPr>
        <w:t>Methodology</w:t>
      </w:r>
      <w:r>
        <w:t xml:space="preserve">: </w:t>
      </w:r>
      <w:r w:rsidR="00762BBA" w:rsidRPr="00762BBA">
        <w:t xml:space="preserve">Forensic accounting skills are an independent variable proxied by accounting and auditing skills and forensic investigation skills, while fraud management is a dependent variable. </w:t>
      </w:r>
      <w:r w:rsidR="00762BBA" w:rsidRPr="00762BBA">
        <w:rPr>
          <w:color w:val="FF0000"/>
        </w:rPr>
        <w:t xml:space="preserve">The study used primary sources of data, a cross-sectional research design, a quantitative research approach, and a structured closed-ended questionnaire with five-point Likert scale options. A stratified sampling technique was used for the selection of the four federal ministries, departments, and agencies in Nigeria. </w:t>
      </w:r>
      <w:r w:rsidR="00762BBA" w:rsidRPr="00762BBA">
        <w:t>The study was underpinned by both profession theory and fraud pent</w:t>
      </w:r>
      <w:r w:rsidR="00765A46">
        <w:t xml:space="preserve">agon theory. The SPSS </w:t>
      </w:r>
      <w:r w:rsidR="00765A46" w:rsidRPr="00765A46">
        <w:rPr>
          <w:color w:val="FF0000"/>
        </w:rPr>
        <w:t>version 23</w:t>
      </w:r>
      <w:r w:rsidR="00762BBA" w:rsidRPr="00765A46">
        <w:rPr>
          <w:color w:val="FF0000"/>
        </w:rPr>
        <w:t xml:space="preserve"> </w:t>
      </w:r>
      <w:r w:rsidR="00762BBA" w:rsidRPr="00762BBA">
        <w:t>software statistical package was used for the coding of the questionnaire and data analysis for running both descriptive statistics, correlation, and multiple regression analysis.</w:t>
      </w:r>
    </w:p>
    <w:p w14:paraId="7F3C4A6B" w14:textId="588D20E3" w:rsidR="00C33C0F" w:rsidRDefault="00C33C0F" w:rsidP="00C33C0F">
      <w:pPr>
        <w:pStyle w:val="NormalWeb"/>
        <w:spacing w:before="0" w:beforeAutospacing="0" w:after="120" w:afterAutospacing="0"/>
        <w:jc w:val="both"/>
      </w:pPr>
      <w:r>
        <w:rPr>
          <w:rStyle w:val="Strong"/>
          <w:rFonts w:eastAsiaTheme="majorEastAsia"/>
        </w:rPr>
        <w:t>Results</w:t>
      </w:r>
      <w:r>
        <w:t>: The regression results indicated that accounting and auditing skills and forensic investigation skills have a positive and significant</w:t>
      </w:r>
      <w:r w:rsidR="00307BCE">
        <w:t xml:space="preserve"> effect on the fraud management. </w:t>
      </w:r>
      <w:r>
        <w:t>This implies that any unit increase in both accounting and auditing skills and forensic investigation skills will also result in a unit increase in the fraud management of federal ministries, departments, and agencies in Nigeria.</w:t>
      </w:r>
    </w:p>
    <w:p w14:paraId="46FFE6F4" w14:textId="77777777" w:rsidR="00C33C0F" w:rsidRDefault="00C33C0F" w:rsidP="00C33C0F">
      <w:pPr>
        <w:pStyle w:val="NormalWeb"/>
        <w:spacing w:before="0" w:beforeAutospacing="0" w:after="120" w:afterAutospacing="0"/>
        <w:jc w:val="both"/>
      </w:pPr>
      <w:r>
        <w:rPr>
          <w:rStyle w:val="Strong"/>
          <w:rFonts w:eastAsiaTheme="majorEastAsia"/>
        </w:rPr>
        <w:t>Recommendations:</w:t>
      </w:r>
      <w:r>
        <w:t xml:space="preserve"> The study recommended that the government should provide avenues for training forensic accounting experts. Through the effective performance of forensic accountants in the country, the Nigerian government can restore its integrity both locally and internationally.</w:t>
      </w:r>
    </w:p>
    <w:p w14:paraId="624C07C3" w14:textId="77777777" w:rsidR="00C33C0F" w:rsidRDefault="00C33C0F" w:rsidP="00C33C0F">
      <w:pPr>
        <w:pStyle w:val="NormalWeb"/>
        <w:spacing w:before="0" w:beforeAutospacing="0" w:after="0" w:afterAutospacing="0"/>
        <w:ind w:left="720" w:hanging="720"/>
        <w:jc w:val="both"/>
      </w:pPr>
      <w:r>
        <w:rPr>
          <w:rStyle w:val="Strong"/>
          <w:rFonts w:eastAsiaTheme="majorEastAsia"/>
        </w:rPr>
        <w:t>Keywords</w:t>
      </w:r>
      <w:r>
        <w:t>: accounting skills, auditing skills, forensic investigation skills, forensic accounting, fraud management, and regressions.</w:t>
      </w:r>
    </w:p>
    <w:p w14:paraId="19D2BDFA" w14:textId="77777777" w:rsidR="00C33C0F" w:rsidRPr="00C33C0F" w:rsidRDefault="00DE0C75" w:rsidP="00C33C0F">
      <w:pPr>
        <w:spacing w:after="120" w:line="240" w:lineRule="auto"/>
        <w:ind w:left="0" w:right="0" w:hanging="14"/>
      </w:pPr>
      <w:r>
        <w:rPr>
          <w:b/>
        </w:rPr>
        <w:t>1.</w:t>
      </w:r>
      <w:r>
        <w:rPr>
          <w:b/>
        </w:rPr>
        <w:tab/>
        <w:t xml:space="preserve">Introduction </w:t>
      </w:r>
    </w:p>
    <w:p w14:paraId="44CED625" w14:textId="45011CDD" w:rsidR="00C33C0F" w:rsidRPr="006516BB" w:rsidRDefault="00A30CDB" w:rsidP="006516BB">
      <w:pPr>
        <w:spacing w:after="0" w:line="240" w:lineRule="auto"/>
        <w:ind w:left="0" w:right="0" w:firstLine="0"/>
        <w:rPr>
          <w:color w:val="auto"/>
          <w:szCs w:val="24"/>
        </w:rPr>
      </w:pPr>
      <w:r>
        <w:t>“</w:t>
      </w:r>
      <w:r w:rsidR="00C33C0F">
        <w:t>Fraud is a human desire to achieve personal interests and has been draining the economies of nations. The Enron Saga revealed that its officers had used creative accounting practices to conceal about $600 million in net losses over a period of three years (1997–2000), which led to a crisis of confidence in the United States stock market. WorldCom, another American giant, used creative accounting to reclassify and amortize revenue expenses amounting to $3.85 billion over a long period of time; consequently, the company went bankrupt. There are many corporate entities misadventures typified by such practices as using doubtful and questionable accounting practices to conceal huge losses, concealing extensive borrowing by keeping them off the balance sheet, and consequently overall fraudulent reporting</w:t>
      </w:r>
      <w:r>
        <w:t>”</w:t>
      </w:r>
      <w:r w:rsidR="00C33C0F">
        <w:t xml:space="preserve"> (Moses, 2019). </w:t>
      </w:r>
      <w:r w:rsidR="005458B9">
        <w:t>“</w:t>
      </w:r>
      <w:r w:rsidR="00C33C0F">
        <w:t xml:space="preserve">In Nigeria, the cases of Cadbury Nigeria Plc, </w:t>
      </w:r>
      <w:proofErr w:type="spellStart"/>
      <w:r w:rsidR="00C33C0F">
        <w:t>Afribank</w:t>
      </w:r>
      <w:proofErr w:type="spellEnd"/>
      <w:r w:rsidR="00C33C0F">
        <w:t xml:space="preserve"> Nigeria Plc, NAMPAK, Oceanic Bank Nigeria Plc, and African Petroleum Plc were relatively caused by massive fraud</w:t>
      </w:r>
      <w:r w:rsidR="005458B9">
        <w:t>”</w:t>
      </w:r>
      <w:r w:rsidR="00C33C0F">
        <w:t xml:space="preserve"> (Bello et al., 2022). </w:t>
      </w:r>
      <w:r w:rsidR="005A6D41">
        <w:t>“</w:t>
      </w:r>
      <w:r w:rsidR="006516BB" w:rsidRPr="006516BB">
        <w:rPr>
          <w:color w:val="auto"/>
          <w:szCs w:val="24"/>
        </w:rPr>
        <w:t xml:space="preserve">The growing level of fraud in Nigeria creates the need for the use of forensic accounting skills in fraud management. There has also been an increase in financial misappropriation in government ministries, departments, and </w:t>
      </w:r>
      <w:r w:rsidR="006516BB" w:rsidRPr="006516BB">
        <w:rPr>
          <w:color w:val="auto"/>
          <w:szCs w:val="24"/>
        </w:rPr>
        <w:lastRenderedPageBreak/>
        <w:t>agencies (MDA) in Nigeria</w:t>
      </w:r>
      <w:r w:rsidR="005A6D41">
        <w:rPr>
          <w:color w:val="auto"/>
          <w:szCs w:val="24"/>
        </w:rPr>
        <w:t>”</w:t>
      </w:r>
      <w:r w:rsidR="006516BB" w:rsidRPr="006516BB">
        <w:rPr>
          <w:color w:val="auto"/>
          <w:szCs w:val="24"/>
        </w:rPr>
        <w:t xml:space="preserve"> (Ahmed et al., 2020). </w:t>
      </w:r>
      <w:r w:rsidR="00BF41C0">
        <w:rPr>
          <w:color w:val="auto"/>
          <w:szCs w:val="24"/>
        </w:rPr>
        <w:t>“</w:t>
      </w:r>
      <w:r w:rsidR="00C33C0F">
        <w:t>The capacity of forensic accountants to carry out a forensic audit is viewed as a forensic investigative skill. In order to obtain audit evidence that will be used to support legal proceedings in court or other legal requirements, it is an audit action that combines the expertise of accounting, auditing, and legal regulations. A forensic audit is conducted to support the process of legal expertise for experts testifying in court</w:t>
      </w:r>
      <w:r w:rsidR="00BF41C0">
        <w:t>”</w:t>
      </w:r>
      <w:r w:rsidR="00C33C0F">
        <w:t xml:space="preserve"> (</w:t>
      </w:r>
      <w:proofErr w:type="spellStart"/>
      <w:r w:rsidR="00C33C0F">
        <w:t>Sumartono</w:t>
      </w:r>
      <w:proofErr w:type="spellEnd"/>
      <w:r w:rsidR="00C33C0F">
        <w:t xml:space="preserve"> et al., 2020). </w:t>
      </w:r>
      <w:r w:rsidR="00BF41C0">
        <w:t>“</w:t>
      </w:r>
      <w:r w:rsidR="00C33C0F">
        <w:t>The daily operational activities of government ministries, departments, and agencies (MDAs) are also evaluated, monitored, and measured in monetary terms (financial statements). This includes the recognition of personnel, production, capital, recurring, and overhead expenditures. Employees' fraudulent intentions to satisfy personal ambitions may cloud the recording of these transactions. As fraudsters use a variety of techniques to commit fraud, organizations are deploying anti-fraud techniques to detect these fraudulent patterns</w:t>
      </w:r>
      <w:r w:rsidR="00BF41C0">
        <w:t>”</w:t>
      </w:r>
      <w:r w:rsidR="00C33C0F">
        <w:t xml:space="preserve"> (Okoye et al., 2020).</w:t>
      </w:r>
    </w:p>
    <w:p w14:paraId="4DFA175E" w14:textId="43B63CCA" w:rsidR="00C33C0F" w:rsidRDefault="004F6F70" w:rsidP="00C33C0F">
      <w:pPr>
        <w:pStyle w:val="NormalWeb"/>
        <w:spacing w:before="0" w:beforeAutospacing="0" w:after="120" w:afterAutospacing="0"/>
        <w:jc w:val="both"/>
      </w:pPr>
      <w:r>
        <w:t>“</w:t>
      </w:r>
      <w:r w:rsidR="00C33C0F">
        <w:t>In Nigeria, the public sector (particularly in the federal MDAs) drives economic growth because it is the primary source of capital formation</w:t>
      </w:r>
      <w:r>
        <w:t>”</w:t>
      </w:r>
      <w:r w:rsidR="00C33C0F">
        <w:t xml:space="preserve"> (Okoye et al., 2013). </w:t>
      </w:r>
      <w:r>
        <w:t>“</w:t>
      </w:r>
      <w:r w:rsidR="00C33C0F">
        <w:t xml:space="preserve">Fraud causes reputational damage, which can affect any organization; virtually all sectors of the Nigerian government are vulnerable to it because they all rely on public funds to be profitable and solvent. </w:t>
      </w:r>
      <w:r w:rsidR="0086448C">
        <w:t>The recent financial scandals that occurred in the Niger Delta Development Commission (NDDC) for over N2.6 billion in school feeding scandals in Federal Government Schools, the Ministry of Education scandals, and the Chairman of the Economic and Financial Crimes Commission (EFCC) scandals</w:t>
      </w:r>
      <w:r>
        <w:t>”</w:t>
      </w:r>
      <w:r w:rsidR="0086448C">
        <w:t xml:space="preserve"> (Ismail, 2020). </w:t>
      </w:r>
      <w:r>
        <w:t>“</w:t>
      </w:r>
      <w:r w:rsidR="00C33C0F">
        <w:t>The growing trend of personnel manipulating financial statements to conceal their pathways in order to protect their infamous activities for personal or managerial gain is cause for concern, necessitating the implementation of necessary mechanisms or controls to stop this cancerous behavior in the system, as they will always try to compromise the accounting system. These motives are frequently carried out through a variety of methods or schemes, whether in revenue recognition or expense classification or recognition</w:t>
      </w:r>
      <w:r>
        <w:t>”</w:t>
      </w:r>
      <w:r w:rsidR="00C33C0F">
        <w:t xml:space="preserve"> (Okafor et al., 2020; Olaniyan et al., 2021; and Ewa et al., 2022). </w:t>
      </w:r>
      <w:r>
        <w:t>“</w:t>
      </w:r>
      <w:r w:rsidR="00C33C0F">
        <w:t xml:space="preserve">As a result of these criminal acts, Nigeria's corruption perception ranking has suffered, resulting in a </w:t>
      </w:r>
      <w:proofErr w:type="gramStart"/>
      <w:r w:rsidR="00C33C0F">
        <w:t>drop in</w:t>
      </w:r>
      <w:proofErr w:type="gramEnd"/>
      <w:r w:rsidR="00C33C0F">
        <w:t xml:space="preserve"> investment in Nigeria, which has a negative impact on economic growth</w:t>
      </w:r>
      <w:r>
        <w:t>”</w:t>
      </w:r>
      <w:r w:rsidR="00C33C0F">
        <w:t xml:space="preserve"> (Okoye et al., 2013; Ewa, 2022). According to the </w:t>
      </w:r>
      <w:proofErr w:type="gramStart"/>
      <w:r w:rsidR="00C33C0F">
        <w:t>2022</w:t>
      </w:r>
      <w:r w:rsidR="00F03DE1">
        <w:t xml:space="preserve">, </w:t>
      </w:r>
      <w:r w:rsidR="00C33C0F">
        <w:t xml:space="preserve"> </w:t>
      </w:r>
      <w:r w:rsidR="00F03DE1">
        <w:t>“</w:t>
      </w:r>
      <w:proofErr w:type="gramEnd"/>
      <w:r w:rsidR="00C33C0F">
        <w:t>corruption perception index by the Transparency International Corruption Index, Nigeria ranked 150th out of 180 countries listed. Several alarming and scandalous cases of fraud have occurred in Nigeria in the last ten years, including the 195 billion Maina pension scam, the $6 billion fuel subsidy, and the $20 billion missing from the NNPC and CBN accounts</w:t>
      </w:r>
      <w:r w:rsidR="00F03DE1">
        <w:t>”</w:t>
      </w:r>
      <w:r w:rsidR="00C33C0F">
        <w:t xml:space="preserve"> (</w:t>
      </w:r>
      <w:proofErr w:type="spellStart"/>
      <w:r w:rsidR="00C33C0F">
        <w:t>Agbata</w:t>
      </w:r>
      <w:proofErr w:type="spellEnd"/>
      <w:r w:rsidR="00C33C0F">
        <w:t xml:space="preserve"> et al., 2022).</w:t>
      </w:r>
    </w:p>
    <w:p w14:paraId="0E5F4765" w14:textId="7B517F46" w:rsidR="00C33C0F" w:rsidRDefault="0039729F" w:rsidP="00C33C0F">
      <w:pPr>
        <w:pStyle w:val="NormalWeb"/>
        <w:spacing w:before="0" w:beforeAutospacing="0" w:after="120" w:afterAutospacing="0"/>
        <w:jc w:val="both"/>
      </w:pPr>
      <w:r>
        <w:t>“</w:t>
      </w:r>
      <w:r w:rsidR="00C33C0F">
        <w:t>Forensic evidence or documents to be used in court have been incorporated into accounting and finance due to the high level of financial crimes around the world. Once there is any suspicious fraud or fraud is perceived or detected, a professional set of people (the forensic accountants) are called upon to help discover the fraud and provide management with enough evidence for proper fraud management to be taken</w:t>
      </w:r>
      <w:r>
        <w:t>”</w:t>
      </w:r>
      <w:r w:rsidR="00C33C0F">
        <w:t xml:space="preserve"> (Okafor et al., 2016; Olaniyan et al., 2021). As a result, </w:t>
      </w:r>
      <w:r w:rsidR="00F60FA6">
        <w:t>“</w:t>
      </w:r>
      <w:r w:rsidR="00C33C0F">
        <w:t>exposing and addressing these dishonest and illegal financial flows necessitates the establishment of relevant and effective control mechanisms. Financial misappropriation, income leakages, budget padding, and money laundering are all components of fraud and other corrupt practices in government MDAs, necessitating the use of forensic accounting skills</w:t>
      </w:r>
      <w:r w:rsidR="00F60FA6">
        <w:t>”</w:t>
      </w:r>
      <w:r w:rsidR="00C33C0F">
        <w:t xml:space="preserve"> (Okafor et al., 2016; Olaniyan et al., 2021). Based on the foregoing, there is a need for more empirical work on Nigerian MDAs; thus, the current study will supplement existing empirical work with a focus on the effect of forensic accounting skills on the fraud management of selected Federal Ministries, Departments, and Agencies (MDAs) in Nigeria.</w:t>
      </w:r>
    </w:p>
    <w:p w14:paraId="7842A3C9" w14:textId="77777777" w:rsidR="00DE0C75" w:rsidRDefault="00DE0C75" w:rsidP="00EE52D1">
      <w:pPr>
        <w:spacing w:after="120" w:line="240" w:lineRule="auto"/>
        <w:ind w:right="7"/>
        <w:rPr>
          <w:b/>
        </w:rPr>
      </w:pPr>
      <w:r>
        <w:rPr>
          <w:b/>
        </w:rPr>
        <w:t>2.</w:t>
      </w:r>
      <w:r>
        <w:rPr>
          <w:b/>
        </w:rPr>
        <w:tab/>
        <w:t>Literature Review</w:t>
      </w:r>
    </w:p>
    <w:p w14:paraId="1CD750E3" w14:textId="12A269C0" w:rsidR="000703E5" w:rsidRPr="000703E5" w:rsidRDefault="000703E5" w:rsidP="00276397">
      <w:pPr>
        <w:pStyle w:val="NormalWeb"/>
        <w:spacing w:before="0" w:beforeAutospacing="0" w:after="120" w:afterAutospacing="0"/>
        <w:jc w:val="both"/>
      </w:pPr>
      <w:r w:rsidRPr="000703E5">
        <w:rPr>
          <w:rStyle w:val="Strong"/>
          <w:rFonts w:eastAsiaTheme="majorEastAsia"/>
        </w:rPr>
        <w:lastRenderedPageBreak/>
        <w:t>Fraud Management</w:t>
      </w:r>
    </w:p>
    <w:p w14:paraId="0B46D069" w14:textId="4274EA1C" w:rsidR="00C33C0F" w:rsidRPr="00C33C0F" w:rsidRDefault="00C33C0F" w:rsidP="00C33C0F">
      <w:pPr>
        <w:spacing w:after="120" w:line="240" w:lineRule="auto"/>
        <w:ind w:left="0" w:right="0" w:firstLine="0"/>
        <w:rPr>
          <w:color w:val="auto"/>
          <w:szCs w:val="24"/>
        </w:rPr>
      </w:pPr>
      <w:r w:rsidRPr="00C33C0F">
        <w:rPr>
          <w:color w:val="auto"/>
          <w:szCs w:val="24"/>
        </w:rPr>
        <w:t xml:space="preserve">Fraud management is a framework of coordinated actions put in place by organizations to improve fraud prevention, detection, and the time it takes to respond appropriately to fraud cases (Ewa et al., 2022). </w:t>
      </w:r>
      <w:r w:rsidR="00EF3EFD">
        <w:rPr>
          <w:color w:val="auto"/>
          <w:szCs w:val="24"/>
        </w:rPr>
        <w:t>“</w:t>
      </w:r>
      <w:r w:rsidRPr="00C33C0F">
        <w:rPr>
          <w:color w:val="auto"/>
          <w:szCs w:val="24"/>
        </w:rPr>
        <w:t>Fraud management includes fraud detection as a critical component. According to Bangura</w:t>
      </w:r>
      <w:r w:rsidR="00EF3EFD">
        <w:rPr>
          <w:color w:val="auto"/>
          <w:szCs w:val="24"/>
        </w:rPr>
        <w:t>”</w:t>
      </w:r>
      <w:r w:rsidRPr="00C33C0F">
        <w:rPr>
          <w:color w:val="auto"/>
          <w:szCs w:val="24"/>
        </w:rPr>
        <w:t xml:space="preserve"> (2020), techniques for detecting fraud are actions and plans put in place to find actual or potential fraud in an organization. </w:t>
      </w:r>
      <w:r w:rsidR="00CB6ED2">
        <w:rPr>
          <w:color w:val="auto"/>
          <w:szCs w:val="24"/>
        </w:rPr>
        <w:t>“</w:t>
      </w:r>
      <w:r w:rsidRPr="00C33C0F">
        <w:rPr>
          <w:color w:val="auto"/>
          <w:szCs w:val="24"/>
        </w:rPr>
        <w:t>A company's anti-fraud strategy should include fraud detection in order to identify and stop fraud activity and its effects as soon as possible. This will help the organization's going concern as well as safeguard the interests of its stakeholders through an efficient fraud detection strategy. Both fraud prevention and detection have important roles to play, and it is unlikely that either one would be very effective on its own</w:t>
      </w:r>
      <w:r w:rsidR="00CB6ED2">
        <w:rPr>
          <w:color w:val="auto"/>
          <w:szCs w:val="24"/>
        </w:rPr>
        <w:t>”</w:t>
      </w:r>
      <w:r w:rsidRPr="00C33C0F">
        <w:rPr>
          <w:color w:val="auto"/>
          <w:szCs w:val="24"/>
        </w:rPr>
        <w:t xml:space="preserve"> (Adebayo et al., 2022). Similar findings were made by KPMG (2014), who found that the best methods for spotting fraud are personnel reorganization, whistleblowing, and a surprise internal audit</w:t>
      </w:r>
      <w:r>
        <w:rPr>
          <w:color w:val="auto"/>
          <w:szCs w:val="24"/>
        </w:rPr>
        <w:t xml:space="preserve"> review. According to Hussaini </w:t>
      </w:r>
      <w:r w:rsidRPr="00C33C0F">
        <w:rPr>
          <w:color w:val="auto"/>
          <w:szCs w:val="24"/>
        </w:rPr>
        <w:t>et al. (2019), most fraud cases go undetected because employees are reluctant to report them to organizations. Therefore, fraud prevention strategies can guarantee an organization's continuity and stability.</w:t>
      </w:r>
    </w:p>
    <w:p w14:paraId="36B60B9C" w14:textId="1FBFD8CC" w:rsidR="000703E5" w:rsidRPr="000703E5" w:rsidRDefault="000703E5" w:rsidP="00C33C0F">
      <w:pPr>
        <w:pStyle w:val="Heading4"/>
        <w:spacing w:before="0" w:after="120" w:line="240" w:lineRule="auto"/>
        <w:ind w:left="0" w:right="0"/>
        <w:rPr>
          <w:rFonts w:ascii="Times New Roman" w:hAnsi="Times New Roman" w:cs="Times New Roman"/>
          <w:i w:val="0"/>
          <w:color w:val="auto"/>
        </w:rPr>
      </w:pPr>
      <w:r w:rsidRPr="000703E5">
        <w:rPr>
          <w:rStyle w:val="Strong"/>
          <w:rFonts w:ascii="Times New Roman" w:hAnsi="Times New Roman" w:cs="Times New Roman"/>
          <w:bCs w:val="0"/>
          <w:i w:val="0"/>
          <w:color w:val="auto"/>
        </w:rPr>
        <w:t xml:space="preserve">Forensic Accounting Skills  </w:t>
      </w:r>
    </w:p>
    <w:p w14:paraId="00E833BF" w14:textId="4D71CF29" w:rsidR="004A7878" w:rsidRPr="004A7878" w:rsidRDefault="004A7878" w:rsidP="004A7878">
      <w:pPr>
        <w:spacing w:after="120" w:line="240" w:lineRule="auto"/>
        <w:ind w:left="0" w:right="0" w:firstLine="0"/>
        <w:rPr>
          <w:color w:val="auto"/>
          <w:szCs w:val="24"/>
        </w:rPr>
      </w:pPr>
      <w:r w:rsidRPr="004A7878">
        <w:rPr>
          <w:color w:val="auto"/>
          <w:szCs w:val="24"/>
        </w:rPr>
        <w:t xml:space="preserve">According to </w:t>
      </w:r>
      <w:proofErr w:type="spellStart"/>
      <w:r w:rsidRPr="004A7878">
        <w:rPr>
          <w:color w:val="auto"/>
          <w:szCs w:val="24"/>
        </w:rPr>
        <w:t>Oyedokun</w:t>
      </w:r>
      <w:proofErr w:type="spellEnd"/>
      <w:r w:rsidRPr="004A7878">
        <w:rPr>
          <w:color w:val="auto"/>
          <w:szCs w:val="24"/>
        </w:rPr>
        <w:t xml:space="preserve"> (2017), </w:t>
      </w:r>
      <w:r w:rsidR="00A06F0A">
        <w:rPr>
          <w:color w:val="auto"/>
          <w:szCs w:val="24"/>
        </w:rPr>
        <w:t>“</w:t>
      </w:r>
      <w:r w:rsidRPr="004A7878">
        <w:rPr>
          <w:color w:val="auto"/>
          <w:szCs w:val="24"/>
        </w:rPr>
        <w:t>forensic accounting is a scientific accounting method for uncovering, analyzing, resolving, and preventing fraud and white-collar crime matters in a way that generates admissible evidence that is capable of proving or disproving facts in issue suitable for a court of law</w:t>
      </w:r>
      <w:r w:rsidR="00A06F0A">
        <w:rPr>
          <w:color w:val="auto"/>
          <w:szCs w:val="24"/>
        </w:rPr>
        <w:t>”</w:t>
      </w:r>
      <w:r w:rsidRPr="004A7878">
        <w:rPr>
          <w:color w:val="auto"/>
          <w:szCs w:val="24"/>
        </w:rPr>
        <w:t xml:space="preserve">. According to </w:t>
      </w:r>
      <w:proofErr w:type="spellStart"/>
      <w:r w:rsidRPr="004A7878">
        <w:rPr>
          <w:color w:val="auto"/>
          <w:szCs w:val="24"/>
        </w:rPr>
        <w:t>Asaolu</w:t>
      </w:r>
      <w:proofErr w:type="spellEnd"/>
      <w:r w:rsidRPr="004A7878">
        <w:rPr>
          <w:color w:val="auto"/>
          <w:szCs w:val="24"/>
        </w:rPr>
        <w:t xml:space="preserve"> et al. (2020), </w:t>
      </w:r>
      <w:r w:rsidR="003B4E7D">
        <w:rPr>
          <w:color w:val="auto"/>
          <w:szCs w:val="24"/>
        </w:rPr>
        <w:t>“</w:t>
      </w:r>
      <w:r w:rsidRPr="004A7878">
        <w:rPr>
          <w:color w:val="auto"/>
          <w:szCs w:val="24"/>
        </w:rPr>
        <w:t>forensic accounting differs from other approaches</w:t>
      </w:r>
      <w:r w:rsidR="00C33C0F">
        <w:rPr>
          <w:color w:val="auto"/>
          <w:szCs w:val="24"/>
        </w:rPr>
        <w:t>,</w:t>
      </w:r>
      <w:r w:rsidRPr="004A7878">
        <w:rPr>
          <w:color w:val="auto"/>
          <w:szCs w:val="24"/>
        </w:rPr>
        <w:t xml:space="preserve"> such as auditing, investigating, and inquiry. Finding hidden information that is crucial for a thorough investigation of economic crimes is one of forensic accounting's strengths, with the use of forensic technology to supplement traditional accounting tools like trend analysis, ratio analysis, fund flow analysis, and cash movement analysis</w:t>
      </w:r>
      <w:r w:rsidR="003B4E7D">
        <w:rPr>
          <w:color w:val="auto"/>
          <w:szCs w:val="24"/>
        </w:rPr>
        <w:t>”</w:t>
      </w:r>
      <w:r w:rsidRPr="004A7878">
        <w:rPr>
          <w:color w:val="auto"/>
          <w:szCs w:val="24"/>
        </w:rPr>
        <w:t xml:space="preserve">. Similar to this, Sudhir &amp; Sushama (2013) explained that </w:t>
      </w:r>
      <w:r w:rsidR="00827184">
        <w:rPr>
          <w:color w:val="auto"/>
          <w:szCs w:val="24"/>
        </w:rPr>
        <w:t>“</w:t>
      </w:r>
      <w:r w:rsidRPr="004A7878">
        <w:rPr>
          <w:color w:val="auto"/>
          <w:szCs w:val="24"/>
        </w:rPr>
        <w:t>modern forensic accountants have the technology to obtain, sort, and analyze data, as well as quantify and stratify results using computer audits and other techniques in cases involving significant amounts of data</w:t>
      </w:r>
      <w:r w:rsidR="00827184">
        <w:rPr>
          <w:color w:val="auto"/>
          <w:szCs w:val="24"/>
        </w:rPr>
        <w:t>”</w:t>
      </w:r>
      <w:r w:rsidRPr="004A7878">
        <w:rPr>
          <w:color w:val="auto"/>
          <w:szCs w:val="24"/>
        </w:rPr>
        <w:t>. Benford's law, the relative size factor, computer-assisted audit tools, data mining, and investigative techniques are a few of the forensic accounting methods used to look into fraud (</w:t>
      </w:r>
      <w:proofErr w:type="spellStart"/>
      <w:r w:rsidRPr="004A7878">
        <w:rPr>
          <w:color w:val="auto"/>
          <w:szCs w:val="24"/>
        </w:rPr>
        <w:t>Oyedokun</w:t>
      </w:r>
      <w:proofErr w:type="spellEnd"/>
      <w:r w:rsidRPr="004A7878">
        <w:rPr>
          <w:color w:val="auto"/>
          <w:szCs w:val="24"/>
        </w:rPr>
        <w:t>, 2015).</w:t>
      </w:r>
    </w:p>
    <w:p w14:paraId="6715D238" w14:textId="64C626CD" w:rsidR="000703E5" w:rsidRPr="000703E5" w:rsidRDefault="000703E5" w:rsidP="004A7878">
      <w:pPr>
        <w:pStyle w:val="Heading5"/>
        <w:spacing w:before="0" w:after="120" w:line="240" w:lineRule="auto"/>
        <w:ind w:left="0" w:right="0"/>
        <w:rPr>
          <w:rFonts w:ascii="Times New Roman" w:hAnsi="Times New Roman" w:cs="Times New Roman"/>
          <w:color w:val="auto"/>
        </w:rPr>
      </w:pPr>
      <w:r w:rsidRPr="000703E5">
        <w:rPr>
          <w:rStyle w:val="Strong"/>
          <w:rFonts w:ascii="Times New Roman" w:hAnsi="Times New Roman" w:cs="Times New Roman"/>
          <w:bCs w:val="0"/>
          <w:color w:val="auto"/>
        </w:rPr>
        <w:t xml:space="preserve">Accounting and Auditing Skills (AAS)  </w:t>
      </w:r>
    </w:p>
    <w:p w14:paraId="4B2E9226" w14:textId="64485A9B" w:rsidR="004A7878" w:rsidRPr="004A7878" w:rsidRDefault="004A7878" w:rsidP="004A7878">
      <w:pPr>
        <w:spacing w:after="120" w:line="240" w:lineRule="auto"/>
        <w:ind w:left="0" w:right="0" w:firstLine="0"/>
        <w:rPr>
          <w:color w:val="auto"/>
          <w:szCs w:val="24"/>
        </w:rPr>
      </w:pPr>
      <w:r w:rsidRPr="004A7878">
        <w:rPr>
          <w:color w:val="auto"/>
          <w:szCs w:val="24"/>
        </w:rPr>
        <w:t xml:space="preserve">According to Abdinasir (2017), the auditor's opinion improves the accuracy and legitimacy of financial statements and reports. As a result, auditors must conduct their work impartially and independently. Additionally, according to </w:t>
      </w:r>
      <w:proofErr w:type="spellStart"/>
      <w:r w:rsidRPr="004A7878">
        <w:rPr>
          <w:color w:val="auto"/>
          <w:szCs w:val="24"/>
        </w:rPr>
        <w:t>Alazzabi</w:t>
      </w:r>
      <w:proofErr w:type="spellEnd"/>
      <w:r w:rsidRPr="004A7878">
        <w:rPr>
          <w:color w:val="auto"/>
          <w:szCs w:val="24"/>
        </w:rPr>
        <w:t xml:space="preserve"> et al. (2020), auditors should conduct audits free from conflicts of interest and without regard to any competing or mutual interests. </w:t>
      </w:r>
      <w:r w:rsidR="007D7777">
        <w:rPr>
          <w:color w:val="auto"/>
          <w:szCs w:val="24"/>
        </w:rPr>
        <w:t>“</w:t>
      </w:r>
      <w:r w:rsidRPr="004A7878">
        <w:rPr>
          <w:color w:val="auto"/>
          <w:szCs w:val="24"/>
        </w:rPr>
        <w:t>The examination and verification procedures make sure that financial reporting is accurate, accountable, and in compliance with current accounting and auditing laws. In order to improve performance, MDAs can reduce waste and increase efficiency with the help of effective forensic auditing's insightful recommendations</w:t>
      </w:r>
      <w:r w:rsidR="007D7777">
        <w:rPr>
          <w:color w:val="auto"/>
          <w:szCs w:val="24"/>
        </w:rPr>
        <w:t>”</w:t>
      </w:r>
      <w:r w:rsidRPr="004A7878">
        <w:rPr>
          <w:color w:val="auto"/>
          <w:szCs w:val="24"/>
        </w:rPr>
        <w:t xml:space="preserve"> (</w:t>
      </w:r>
      <w:proofErr w:type="spellStart"/>
      <w:r w:rsidRPr="004A7878">
        <w:rPr>
          <w:color w:val="auto"/>
          <w:szCs w:val="24"/>
        </w:rPr>
        <w:t>Demeke</w:t>
      </w:r>
      <w:proofErr w:type="spellEnd"/>
      <w:r w:rsidRPr="004A7878">
        <w:rPr>
          <w:color w:val="auto"/>
          <w:szCs w:val="24"/>
        </w:rPr>
        <w:t xml:space="preserve"> et al., 2020). Due to the independence of forensic auditors, MDAs are to create an environment where moral behavior, forthrightness, honesty, and accountability are valued through the use of auditing skills, which helps reduce fraud. According to Kosgey &amp; Solomon (2022), fraud happens when an offender makes false statements in order to defraud a victim of money or other valuables. Evidently, the scandals, frauds, and failures have contributed to the users of financial statements losing faith in the ability of public accounting to </w:t>
      </w:r>
      <w:r w:rsidRPr="004A7878">
        <w:rPr>
          <w:color w:val="auto"/>
          <w:szCs w:val="24"/>
        </w:rPr>
        <w:lastRenderedPageBreak/>
        <w:t>provide workable solutions to financial problems and have increased demand for forensic accountants.</w:t>
      </w:r>
    </w:p>
    <w:p w14:paraId="54A99F02" w14:textId="22E34C86" w:rsidR="000703E5" w:rsidRPr="000703E5" w:rsidRDefault="000703E5" w:rsidP="000703E5">
      <w:pPr>
        <w:pStyle w:val="NormalWeb"/>
        <w:spacing w:before="0" w:beforeAutospacing="0" w:after="120" w:afterAutospacing="0"/>
        <w:jc w:val="both"/>
      </w:pPr>
      <w:r w:rsidRPr="000703E5">
        <w:rPr>
          <w:rStyle w:val="Strong"/>
          <w:rFonts w:eastAsiaTheme="majorEastAsia"/>
        </w:rPr>
        <w:t xml:space="preserve">Forensic Investigation Skills </w:t>
      </w:r>
    </w:p>
    <w:p w14:paraId="0A45FC73" w14:textId="5DBC761B" w:rsidR="004A7878" w:rsidRDefault="004A7878" w:rsidP="004A7878">
      <w:pPr>
        <w:pStyle w:val="NormalWeb"/>
        <w:spacing w:before="0" w:beforeAutospacing="0" w:after="120" w:afterAutospacing="0"/>
        <w:jc w:val="both"/>
      </w:pPr>
      <w:r>
        <w:t xml:space="preserve">The act of </w:t>
      </w:r>
      <w:proofErr w:type="gramStart"/>
      <w:r>
        <w:t>conducting an investigation</w:t>
      </w:r>
      <w:proofErr w:type="gramEnd"/>
      <w:r>
        <w:t xml:space="preserve">, carrying one out, or being investigated is known as investigation skills. According to Okoye et al. (2020), it is a thorough investigation used to gather facts, which is an essential component of the forensic accounting and auditing processes, but it is only used in cases where the event or transaction is murky. To determine who is accountable, the reason for the action, and the scope of any damage, it is done once a lapse has been identified, which could occur through thorough investigation and clarification of any questions you might have regarding a transaction or event. Finding the hidden, unusual, or complex facts pertaining to an event involves searching and examining its specifics. </w:t>
      </w:r>
      <w:r w:rsidR="009B6E2E">
        <w:t>“</w:t>
      </w:r>
      <w:r>
        <w:t>To determine if and why the keeping of the records resulted in a gap and the accountable party, a deliberate search and review of the records must be conducted in accordance with the established and agreed-upon policies</w:t>
      </w:r>
      <w:r w:rsidR="009B6E2E">
        <w:t>”</w:t>
      </w:r>
      <w:r>
        <w:t xml:space="preserve"> (</w:t>
      </w:r>
      <w:proofErr w:type="spellStart"/>
      <w:r>
        <w:t>Oyedokun</w:t>
      </w:r>
      <w:proofErr w:type="spellEnd"/>
      <w:r>
        <w:t xml:space="preserve">, 2015; </w:t>
      </w:r>
      <w:proofErr w:type="spellStart"/>
      <w:r>
        <w:t>Tapang</w:t>
      </w:r>
      <w:proofErr w:type="spellEnd"/>
      <w:r>
        <w:t xml:space="preserve"> and </w:t>
      </w:r>
      <w:proofErr w:type="spellStart"/>
      <w:r>
        <w:t>Ihendinihu</w:t>
      </w:r>
      <w:proofErr w:type="spellEnd"/>
      <w:r>
        <w:t xml:space="preserve">, 2020; </w:t>
      </w:r>
      <w:proofErr w:type="spellStart"/>
      <w:r>
        <w:t>Madu-Chimau</w:t>
      </w:r>
      <w:proofErr w:type="spellEnd"/>
      <w:r>
        <w:t xml:space="preserve"> et al., 2020).</w:t>
      </w:r>
    </w:p>
    <w:p w14:paraId="39F290C2" w14:textId="77777777" w:rsidR="004A7878" w:rsidRDefault="004A7878" w:rsidP="004A7878">
      <w:pPr>
        <w:pStyle w:val="NormalWeb"/>
        <w:spacing w:before="0" w:beforeAutospacing="0" w:after="120" w:afterAutospacing="0"/>
        <w:jc w:val="both"/>
      </w:pPr>
      <w:r>
        <w:t>Forensic investigation is the use of specialized investigative techniques to carry out an inquiry in such a way that the results will be admissible in court. Accounting, medicine, engineering, or some other field of study is the foundation for forensic investigators (</w:t>
      </w:r>
      <w:proofErr w:type="spellStart"/>
      <w:r>
        <w:t>Oyedokun</w:t>
      </w:r>
      <w:proofErr w:type="spellEnd"/>
      <w:r>
        <w:t>, 2015). The process of examining evidence to ascertain whether it complies with predetermined standards in a way that is acceptable to the court is known as forensic investigation. A forensic audit of sales records to ascertain the amount of rent due under a lease agreement that is the subject of litigation would serve as an example. When discussing the methodology to be used by forensic auditors and fraud investigators (</w:t>
      </w:r>
      <w:proofErr w:type="spellStart"/>
      <w:r>
        <w:t>Oyedokun</w:t>
      </w:r>
      <w:proofErr w:type="spellEnd"/>
      <w:r>
        <w:t xml:space="preserve">, 2015), </w:t>
      </w:r>
      <w:proofErr w:type="spellStart"/>
      <w:r>
        <w:t>Madu-Chimau</w:t>
      </w:r>
      <w:proofErr w:type="spellEnd"/>
      <w:r>
        <w:t xml:space="preserve"> et al. (2020) suggest that the examination could be approached from both the angles of whether the fraud could have occurred and whether it could not have occurred.</w:t>
      </w:r>
    </w:p>
    <w:p w14:paraId="35A60688" w14:textId="025EB419" w:rsidR="00256D67" w:rsidRPr="00256D67" w:rsidRDefault="00256D67" w:rsidP="00256D67">
      <w:pPr>
        <w:spacing w:after="120" w:line="240" w:lineRule="auto"/>
        <w:ind w:left="0" w:right="0" w:firstLine="0"/>
        <w:rPr>
          <w:color w:val="auto"/>
          <w:szCs w:val="24"/>
        </w:rPr>
      </w:pPr>
      <w:r w:rsidRPr="00256D67">
        <w:rPr>
          <w:color w:val="auto"/>
          <w:szCs w:val="24"/>
        </w:rPr>
        <w:t xml:space="preserve">The </w:t>
      </w:r>
      <w:r w:rsidR="00647187">
        <w:rPr>
          <w:color w:val="auto"/>
          <w:szCs w:val="24"/>
        </w:rPr>
        <w:t xml:space="preserve">profession and fraud pentagon theories were </w:t>
      </w:r>
      <w:r w:rsidR="00211DFA">
        <w:rPr>
          <w:color w:val="auto"/>
          <w:szCs w:val="24"/>
        </w:rPr>
        <w:t>reviewed</w:t>
      </w:r>
      <w:r w:rsidR="00647187">
        <w:rPr>
          <w:color w:val="auto"/>
          <w:szCs w:val="24"/>
        </w:rPr>
        <w:t xml:space="preserve"> and underpinned for the </w:t>
      </w:r>
      <w:r w:rsidRPr="00256D67">
        <w:rPr>
          <w:color w:val="auto"/>
          <w:szCs w:val="24"/>
        </w:rPr>
        <w:t xml:space="preserve">study </w:t>
      </w:r>
      <w:r w:rsidR="00647187">
        <w:rPr>
          <w:color w:val="auto"/>
          <w:szCs w:val="24"/>
        </w:rPr>
        <w:t xml:space="preserve">as explained below: </w:t>
      </w:r>
    </w:p>
    <w:p w14:paraId="3D555610" w14:textId="04B205F8" w:rsidR="000703E5" w:rsidRPr="000703E5" w:rsidRDefault="000703E5" w:rsidP="004A7878">
      <w:pPr>
        <w:pStyle w:val="NormalWeb"/>
        <w:spacing w:before="0" w:beforeAutospacing="0" w:after="120" w:afterAutospacing="0"/>
        <w:jc w:val="both"/>
      </w:pPr>
      <w:r w:rsidRPr="000703E5">
        <w:rPr>
          <w:rStyle w:val="Strong"/>
          <w:rFonts w:eastAsiaTheme="majorEastAsia"/>
        </w:rPr>
        <w:t>Profession Theory</w:t>
      </w:r>
    </w:p>
    <w:p w14:paraId="0DD388AB" w14:textId="77777777" w:rsidR="004A7878" w:rsidRPr="004A7878" w:rsidRDefault="004A7878" w:rsidP="004A7878">
      <w:pPr>
        <w:spacing w:after="120" w:line="240" w:lineRule="auto"/>
        <w:ind w:left="0" w:right="0" w:firstLine="0"/>
        <w:rPr>
          <w:color w:val="auto"/>
          <w:szCs w:val="24"/>
        </w:rPr>
      </w:pPr>
      <w:r w:rsidRPr="004A7878">
        <w:rPr>
          <w:color w:val="auto"/>
          <w:szCs w:val="24"/>
        </w:rPr>
        <w:t xml:space="preserve">The concept of matching jobs to abilities, skills, and personalities was created by Frank Parsons, who explained that individuals work best in positions that best utilize their skills. The idea for career training, credited to its creator, Frank Parsons, was that a talent-matching strategy served as the foundation for the trait and factor theory of occupational choice, which was later refined by the idea of matching, which sits at the heart of Parsons' theory. According to Parsons, people make occupational decisions when they have an appropriate comprehension of their unique traits (cognitive skills, preferences, and personal attributes), knowledge of jobs and the labor market, and a rational and objective assessment of how their personal attributes and the labor market interact (Agbaje &amp; Adeniran, 2017). Pollock &amp; </w:t>
      </w:r>
      <w:proofErr w:type="spellStart"/>
      <w:r w:rsidRPr="004A7878">
        <w:rPr>
          <w:color w:val="auto"/>
          <w:szCs w:val="24"/>
        </w:rPr>
        <w:t>Amernic</w:t>
      </w:r>
      <w:proofErr w:type="spellEnd"/>
      <w:r w:rsidRPr="004A7878">
        <w:rPr>
          <w:color w:val="auto"/>
          <w:szCs w:val="24"/>
        </w:rPr>
        <w:t xml:space="preserve"> (1981) explain that profession theory offers an assessment model for comprehending the traits, features, and organizational elements of forensic accounting. Hence, the theory of profession is defined as the authority and credibility given by the community to the profession in terms of defending the public interest, where professionals learn a set of skills tied to the primary demands and principles of society and the accounting system. They added that professionals are supposed to put people's interests ahead of their own or their customers' interests when providing their services. Hence, they are obligated to go beyond their material motivations; financial specialists are seen as a device to preserve the public good. It offers an effective framework for describing the features and duties of forensic </w:t>
      </w:r>
      <w:r w:rsidRPr="004A7878">
        <w:rPr>
          <w:color w:val="auto"/>
          <w:szCs w:val="24"/>
        </w:rPr>
        <w:lastRenderedPageBreak/>
        <w:t>accounting that is in accordance with the standards and credentials needed to work in the field of forensic accounting (</w:t>
      </w:r>
      <w:proofErr w:type="spellStart"/>
      <w:r w:rsidRPr="004A7878">
        <w:rPr>
          <w:color w:val="auto"/>
          <w:szCs w:val="24"/>
        </w:rPr>
        <w:t>Kaoje</w:t>
      </w:r>
      <w:proofErr w:type="spellEnd"/>
      <w:r w:rsidRPr="004A7878">
        <w:rPr>
          <w:color w:val="auto"/>
          <w:szCs w:val="24"/>
        </w:rPr>
        <w:t xml:space="preserve"> et al., 2020). </w:t>
      </w:r>
    </w:p>
    <w:p w14:paraId="072ECE55" w14:textId="0E5292D0" w:rsidR="000703E5" w:rsidRPr="000703E5" w:rsidRDefault="000703E5" w:rsidP="004A7878">
      <w:pPr>
        <w:pStyle w:val="NormalWeb"/>
        <w:spacing w:before="0" w:beforeAutospacing="0" w:after="120" w:afterAutospacing="0"/>
        <w:jc w:val="both"/>
      </w:pPr>
      <w:r w:rsidRPr="000703E5">
        <w:rPr>
          <w:rStyle w:val="Strong"/>
          <w:rFonts w:eastAsiaTheme="majorEastAsia"/>
        </w:rPr>
        <w:t>Fraud Pentagon Theory</w:t>
      </w:r>
    </w:p>
    <w:p w14:paraId="29AE4DED" w14:textId="44AF8B91" w:rsidR="004A7878" w:rsidRDefault="004A7878" w:rsidP="00211DFA">
      <w:pPr>
        <w:pStyle w:val="NormalWeb"/>
        <w:spacing w:before="0" w:beforeAutospacing="0" w:after="120" w:afterAutospacing="0"/>
        <w:jc w:val="both"/>
      </w:pPr>
      <w:r>
        <w:t xml:space="preserve">The current theory of fraud was propounded by Crowe </w:t>
      </w:r>
      <w:proofErr w:type="spellStart"/>
      <w:r>
        <w:t>Horwart</w:t>
      </w:r>
      <w:proofErr w:type="spellEnd"/>
      <w:r>
        <w:t xml:space="preserve"> in 2011 and is known as Crowe’s Fraud Pentagon Theory. But it was Jonathan T. Marks, a partner at Crowe </w:t>
      </w:r>
      <w:proofErr w:type="spellStart"/>
      <w:r>
        <w:t>Horwart</w:t>
      </w:r>
      <w:proofErr w:type="spellEnd"/>
      <w:r>
        <w:t>, who argued there are two more elements of fraud, namely competence and arrogance. The competence element has the same meaning as capability, which was previously identified in the fraud diamond theory as ignoring internal control, developing a strategy to conceal fraudulent acts, and controlling the social situation for his or her benefit. Also, arrogance refers to the superiority attitude toward having special rights and the thought that an organization's internal control does not apply to them personally (Ewa, 2022). It contributes to the development of fraud management theory by trying to shed more light on the key factors that play a major role in whether fraud will actually occur and developing a model that will serve as a theoretical benchmark for all future reference. </w:t>
      </w:r>
    </w:p>
    <w:p w14:paraId="1D8A0368" w14:textId="5C254914" w:rsidR="00211DFA" w:rsidRPr="00211DFA" w:rsidRDefault="00211DFA" w:rsidP="00211DFA">
      <w:pPr>
        <w:spacing w:after="120" w:line="240" w:lineRule="auto"/>
        <w:ind w:left="0" w:right="0" w:firstLine="0"/>
        <w:jc w:val="left"/>
        <w:rPr>
          <w:color w:val="auto"/>
          <w:szCs w:val="24"/>
        </w:rPr>
      </w:pPr>
      <w:r w:rsidRPr="00211DFA">
        <w:rPr>
          <w:color w:val="auto"/>
          <w:szCs w:val="24"/>
        </w:rPr>
        <w:t>Many scholars’ studies related to the study were reviewed as follows:</w:t>
      </w:r>
    </w:p>
    <w:p w14:paraId="0047C049" w14:textId="49E11250" w:rsidR="00DE0C75" w:rsidRPr="007A315D" w:rsidRDefault="00EB515D" w:rsidP="00211DFA">
      <w:pPr>
        <w:spacing w:after="120" w:line="240" w:lineRule="auto"/>
        <w:ind w:left="0" w:right="0" w:firstLine="0"/>
        <w:rPr>
          <w:color w:val="auto"/>
          <w:szCs w:val="24"/>
        </w:rPr>
      </w:pPr>
      <w:r w:rsidRPr="00EB515D">
        <w:rPr>
          <w:b/>
        </w:rPr>
        <w:t>Accounting and Auditing Skills (AAC)</w:t>
      </w:r>
      <w:r>
        <w:t xml:space="preserve"> </w:t>
      </w:r>
      <w:r w:rsidR="00DE0C75" w:rsidRPr="007A315D">
        <w:rPr>
          <w:b/>
          <w:bCs/>
          <w:color w:val="auto"/>
          <w:szCs w:val="24"/>
        </w:rPr>
        <w:t xml:space="preserve">and Fraud </w:t>
      </w:r>
      <w:r w:rsidR="001C2D5F">
        <w:rPr>
          <w:b/>
          <w:bCs/>
          <w:color w:val="auto"/>
          <w:szCs w:val="24"/>
        </w:rPr>
        <w:t>Management</w:t>
      </w:r>
      <w:r w:rsidR="00FA38A6">
        <w:rPr>
          <w:b/>
          <w:bCs/>
          <w:color w:val="auto"/>
          <w:szCs w:val="24"/>
        </w:rPr>
        <w:t xml:space="preserve"> (FMGT)</w:t>
      </w:r>
    </w:p>
    <w:p w14:paraId="5BA857DB" w14:textId="28B2F7A5" w:rsidR="004A7878" w:rsidRDefault="004A7878" w:rsidP="00211DFA">
      <w:pPr>
        <w:pStyle w:val="NormalWeb"/>
        <w:spacing w:before="0" w:beforeAutospacing="0" w:after="120" w:afterAutospacing="0"/>
        <w:jc w:val="both"/>
      </w:pPr>
      <w:r>
        <w:t xml:space="preserve">Ewa (2022) looked into </w:t>
      </w:r>
      <w:r w:rsidR="00AB63BD">
        <w:t>“</w:t>
      </w:r>
      <w:r>
        <w:t>accounting ratios and trend analysis tools. The study used a survey research design. The adoption of forensic accounting tools (accounting ratios and trend analysis), according to the study using the multiple regression analysis technique (OLS), will significantly improve the ability to identify and/or prevent fraud in MDAs</w:t>
      </w:r>
      <w:r w:rsidR="00AB63BD">
        <w:t>”</w:t>
      </w:r>
      <w:r>
        <w:t>.</w:t>
      </w:r>
    </w:p>
    <w:p w14:paraId="643F5442" w14:textId="4A4C3995" w:rsidR="004A7878" w:rsidRDefault="004A7878" w:rsidP="004A7878">
      <w:pPr>
        <w:pStyle w:val="NormalWeb"/>
        <w:spacing w:before="0" w:beforeAutospacing="0" w:after="120" w:afterAutospacing="0"/>
        <w:jc w:val="both"/>
      </w:pPr>
      <w:r>
        <w:t xml:space="preserve">Olaniyan et al. (2021) evaluated </w:t>
      </w:r>
      <w:r w:rsidR="00A36186">
        <w:t>“</w:t>
      </w:r>
      <w:r>
        <w:t>the impact of financial accounting on fraud detection and prevention in Nigerian MDAs and specifically examined. The policeman theory, white collar theory, and fraud diamond theory are the underlying assumptions of this study, while a questionnaire of primary data was used for the period of 10 years from 2010 to 2010, both years inclusive. The survey design used a cross-sectional approach. Data collection from the Integrated Personnel Payroll Information System and the Office of the Accountant General of Federation staff involved the use of questionnaires. The sample size for the study was 75 questionnaires, which were used for the analyses of the mean and standard deviation, descriptive statistics, and regression analysis. Findings showed that financial accounting has a big impact on preventing and detecting fraud</w:t>
      </w:r>
      <w:r w:rsidR="00A36186">
        <w:t>”</w:t>
      </w:r>
      <w:r>
        <w:t>.</w:t>
      </w:r>
    </w:p>
    <w:p w14:paraId="6C905F2F" w14:textId="11515D99" w:rsidR="004A7878" w:rsidRDefault="004A7878" w:rsidP="004A7878">
      <w:pPr>
        <w:pStyle w:val="NormalWeb"/>
        <w:spacing w:before="0" w:beforeAutospacing="0" w:after="120" w:afterAutospacing="0"/>
        <w:jc w:val="both"/>
      </w:pPr>
      <w:proofErr w:type="spellStart"/>
      <w:r>
        <w:t>Ugbede</w:t>
      </w:r>
      <w:proofErr w:type="spellEnd"/>
      <w:r>
        <w:t xml:space="preserve"> et al. (2021) investigated </w:t>
      </w:r>
      <w:r w:rsidR="00667AD1">
        <w:t>“</w:t>
      </w:r>
      <w:r>
        <w:t>the effectiveness of forensic accounting as a tool for fraud prevention. The goal of the study is to determine how well accounting expertise can catch money-deposit fraud. Secondary data were adopted, and the population of a few chosen employees of money deposit banks was used to determine the sample size, which came to 120. The sample sizes were chosen using the stratified sampling technique, and the primary method of gathering data was through questionnaires, which were then subjected to descriptive statistics analysis. The findings indicated that the use of forensic accounting mechanisms and services, which have been deemed the most effective methods, should be encouraged at all levels of money deposit bank activities</w:t>
      </w:r>
      <w:r w:rsidR="00667AD1">
        <w:t>”</w:t>
      </w:r>
      <w:r>
        <w:t>.</w:t>
      </w:r>
    </w:p>
    <w:p w14:paraId="79A08DE6" w14:textId="0B88CECB" w:rsidR="004A7878" w:rsidRDefault="004A7878" w:rsidP="004A7878">
      <w:pPr>
        <w:pStyle w:val="NormalWeb"/>
        <w:spacing w:before="0" w:beforeAutospacing="0" w:after="120" w:afterAutospacing="0"/>
        <w:jc w:val="both"/>
      </w:pPr>
      <w:r>
        <w:t xml:space="preserve">Farah et al. (2021) investigated </w:t>
      </w:r>
      <w:r w:rsidR="00057D4A">
        <w:t>“</w:t>
      </w:r>
      <w:r>
        <w:t>the connection between forensic accounting expertise and the detection of money laundering activities. The descriptive statistic shows that the analysts value auditing abilities highly. The multiple regression analysis of 134 data points obtained from the transaction monitoring analysts revealed a strong correlation between the ability to identify money laundering activities and auditing skills</w:t>
      </w:r>
      <w:r w:rsidR="00057D4A">
        <w:t>”</w:t>
      </w:r>
      <w:r>
        <w:t>.</w:t>
      </w:r>
    </w:p>
    <w:p w14:paraId="1F70AC43" w14:textId="369E2655" w:rsidR="001C2D5F" w:rsidRDefault="004A7878" w:rsidP="004A7878">
      <w:pPr>
        <w:pStyle w:val="NormalWeb"/>
        <w:spacing w:before="0" w:beforeAutospacing="0" w:after="120" w:afterAutospacing="0"/>
        <w:jc w:val="both"/>
      </w:pPr>
      <w:proofErr w:type="spellStart"/>
      <w:r>
        <w:lastRenderedPageBreak/>
        <w:t>Sumartono</w:t>
      </w:r>
      <w:proofErr w:type="spellEnd"/>
      <w:r>
        <w:t xml:space="preserve"> et al. (2020) studied </w:t>
      </w:r>
      <w:r w:rsidR="00A36186">
        <w:t>“</w:t>
      </w:r>
      <w:r>
        <w:t>the effect of financial accounting knowledge and fraud in the public sector in Indonesia. Quantitative strategy and survey research design were used for data collection through the questionnaires from the Audit Board of the Republic of Indonesia (BPK RI) for this study. A descriptive survey can be considered appropriate because 44 respondents in total returned the questionnaires. The findings showed that forensic accountants' abilities to identify fraud in the public sector were significantly and negatively impacted by business skills, while they were significantly and positively impacted by investigative skills and business valuation, while their' abilities to identify fraud in the public sector were not significantly impacted by their proficiency in financial accounting</w:t>
      </w:r>
      <w:r w:rsidR="00A36186">
        <w:t>”</w:t>
      </w:r>
      <w:r>
        <w:t>.</w:t>
      </w:r>
      <w:r w:rsidR="001C2D5F">
        <w:t xml:space="preserve"> </w:t>
      </w:r>
    </w:p>
    <w:p w14:paraId="408D5BFC" w14:textId="77777777" w:rsidR="00DE0C75" w:rsidRPr="007A315D" w:rsidRDefault="00DE0C75" w:rsidP="00393B24">
      <w:pPr>
        <w:spacing w:after="120" w:line="240" w:lineRule="auto"/>
        <w:ind w:left="720" w:right="0" w:hanging="720"/>
        <w:rPr>
          <w:color w:val="auto"/>
          <w:szCs w:val="24"/>
        </w:rPr>
      </w:pPr>
      <w:r w:rsidRPr="007A315D">
        <w:rPr>
          <w:b/>
          <w:bCs/>
          <w:color w:val="auto"/>
          <w:szCs w:val="24"/>
        </w:rPr>
        <w:t>Ho</w:t>
      </w:r>
      <w:r w:rsidRPr="007A315D">
        <w:rPr>
          <w:b/>
          <w:bCs/>
          <w:color w:val="auto"/>
          <w:szCs w:val="24"/>
          <w:vertAlign w:val="subscript"/>
        </w:rPr>
        <w:t>1</w:t>
      </w:r>
      <w:r w:rsidRPr="007A315D">
        <w:rPr>
          <w:b/>
          <w:bCs/>
          <w:color w:val="auto"/>
          <w:szCs w:val="24"/>
        </w:rPr>
        <w:t xml:space="preserve">: </w:t>
      </w:r>
      <w:r w:rsidR="00C966FC">
        <w:rPr>
          <w:b/>
          <w:bCs/>
          <w:color w:val="auto"/>
          <w:szCs w:val="24"/>
        </w:rPr>
        <w:tab/>
      </w:r>
      <w:r w:rsidR="001C2D5F">
        <w:rPr>
          <w:color w:val="auto"/>
          <w:szCs w:val="24"/>
        </w:rPr>
        <w:t xml:space="preserve">Accounting and </w:t>
      </w:r>
      <w:r w:rsidRPr="007A315D">
        <w:rPr>
          <w:color w:val="auto"/>
          <w:szCs w:val="24"/>
        </w:rPr>
        <w:t xml:space="preserve">Auditing </w:t>
      </w:r>
      <w:r w:rsidR="001C2D5F">
        <w:rPr>
          <w:color w:val="auto"/>
          <w:szCs w:val="24"/>
        </w:rPr>
        <w:t>Skills (AAS</w:t>
      </w:r>
      <w:r w:rsidRPr="007A315D">
        <w:rPr>
          <w:color w:val="auto"/>
          <w:szCs w:val="24"/>
        </w:rPr>
        <w:t xml:space="preserve">) have no significant effect on the </w:t>
      </w:r>
      <w:r w:rsidR="00FA38A6" w:rsidRPr="007A315D">
        <w:rPr>
          <w:color w:val="auto"/>
          <w:szCs w:val="24"/>
        </w:rPr>
        <w:t xml:space="preserve">fraud </w:t>
      </w:r>
      <w:r w:rsidR="00FA38A6">
        <w:rPr>
          <w:color w:val="auto"/>
          <w:szCs w:val="24"/>
        </w:rPr>
        <w:t>management (FMGT)</w:t>
      </w:r>
      <w:r w:rsidRPr="007A315D">
        <w:rPr>
          <w:color w:val="auto"/>
          <w:szCs w:val="24"/>
        </w:rPr>
        <w:t xml:space="preserve"> of selected federal ministries, departments, and agencies (MDAs) in Nigeria.</w:t>
      </w:r>
    </w:p>
    <w:p w14:paraId="0A0E9DA1" w14:textId="5EB01C4E" w:rsidR="00DE0C75" w:rsidRPr="007A315D" w:rsidRDefault="001C2D5F" w:rsidP="008B05F3">
      <w:pPr>
        <w:spacing w:after="120" w:line="240" w:lineRule="auto"/>
        <w:ind w:left="0" w:right="0" w:firstLine="0"/>
        <w:rPr>
          <w:color w:val="auto"/>
          <w:szCs w:val="24"/>
        </w:rPr>
      </w:pPr>
      <w:r>
        <w:rPr>
          <w:b/>
          <w:bCs/>
          <w:color w:val="auto"/>
          <w:szCs w:val="24"/>
        </w:rPr>
        <w:t>Forensic Investigation Skills (FI</w:t>
      </w:r>
      <w:r w:rsidR="00DE0C75" w:rsidRPr="007A315D">
        <w:rPr>
          <w:b/>
          <w:bCs/>
          <w:color w:val="auto"/>
          <w:szCs w:val="24"/>
        </w:rPr>
        <w:t xml:space="preserve">S) and Fraud </w:t>
      </w:r>
      <w:r>
        <w:rPr>
          <w:b/>
          <w:bCs/>
          <w:color w:val="auto"/>
          <w:szCs w:val="24"/>
        </w:rPr>
        <w:t>Management</w:t>
      </w:r>
      <w:r w:rsidR="00FA38A6">
        <w:rPr>
          <w:b/>
          <w:bCs/>
          <w:color w:val="auto"/>
          <w:szCs w:val="24"/>
        </w:rPr>
        <w:t xml:space="preserve"> (FMGT)</w:t>
      </w:r>
    </w:p>
    <w:p w14:paraId="6DC1DD1D" w14:textId="27704C0E" w:rsidR="00722E2D" w:rsidRDefault="00722E2D" w:rsidP="00722E2D">
      <w:pPr>
        <w:pStyle w:val="NormalWeb"/>
        <w:spacing w:before="0" w:beforeAutospacing="0" w:after="120" w:afterAutospacing="0"/>
        <w:jc w:val="both"/>
      </w:pPr>
      <w:r>
        <w:t xml:space="preserve">Okoye &amp; </w:t>
      </w:r>
      <w:proofErr w:type="spellStart"/>
      <w:r>
        <w:t>Ndah</w:t>
      </w:r>
      <w:proofErr w:type="spellEnd"/>
      <w:r>
        <w:t xml:space="preserve"> (2019) evaluated </w:t>
      </w:r>
      <w:r w:rsidR="00874435">
        <w:t>“</w:t>
      </w:r>
      <w:r>
        <w:t>the relationship between forensic accounting techniques and the avoidance of fraud in Nigerian manufacturing companies. A total of fifty (50) structured questionnaires were distributed to the accounting staff of ten (10) manufacturing companies in order to gather data from primary sources. Using multiple regression analyses and the Ordinary Least Squares method, the collected data was examined. The study revealed an association between fraud investigation procedures and the suppression of fraud in manufacturing firms that is both favorable and statistically significant</w:t>
      </w:r>
      <w:r w:rsidR="00874435">
        <w:t>”</w:t>
      </w:r>
      <w:bookmarkStart w:id="0" w:name="_GoBack"/>
      <w:bookmarkEnd w:id="0"/>
      <w:r>
        <w:t>.</w:t>
      </w:r>
    </w:p>
    <w:p w14:paraId="414C8125" w14:textId="2C71B866" w:rsidR="00722E2D" w:rsidRDefault="00722E2D" w:rsidP="00722E2D">
      <w:pPr>
        <w:pStyle w:val="NormalWeb"/>
        <w:spacing w:before="0" w:beforeAutospacing="0" w:after="120" w:afterAutospacing="0"/>
        <w:jc w:val="both"/>
      </w:pPr>
      <w:proofErr w:type="spellStart"/>
      <w:r>
        <w:t>Tapang</w:t>
      </w:r>
      <w:proofErr w:type="spellEnd"/>
      <w:r>
        <w:t xml:space="preserve"> &amp; </w:t>
      </w:r>
      <w:proofErr w:type="spellStart"/>
      <w:r>
        <w:t>Ihendinihu</w:t>
      </w:r>
      <w:proofErr w:type="spellEnd"/>
      <w:r>
        <w:t xml:space="preserve"> (2020) assessed </w:t>
      </w:r>
      <w:r w:rsidR="00874435">
        <w:t>“</w:t>
      </w:r>
      <w:r>
        <w:t>the effect of forensic accounting fraud investigations on unethical practices in the Nigerian banking sector. The study employed a cross-sectional survey research design in which information was gathered via questionnaires distributed among banks and then analyzed using the conventional least squares method. The outcome showed that mortgage fraud, credit card fraud, and check fraud are all significantly impacted by forensic accounting fraud investigations</w:t>
      </w:r>
      <w:r w:rsidR="00874435">
        <w:t>”</w:t>
      </w:r>
      <w:r>
        <w:t>.</w:t>
      </w:r>
    </w:p>
    <w:p w14:paraId="2F033997" w14:textId="07B32142" w:rsidR="00722E2D" w:rsidRDefault="00722E2D" w:rsidP="00722E2D">
      <w:pPr>
        <w:pStyle w:val="NormalWeb"/>
        <w:spacing w:before="0" w:beforeAutospacing="0" w:after="120" w:afterAutospacing="0"/>
        <w:jc w:val="both"/>
      </w:pPr>
      <w:r>
        <w:t xml:space="preserve">Bassey (2019) examined </w:t>
      </w:r>
      <w:r w:rsidR="00874435">
        <w:t>“</w:t>
      </w:r>
      <w:r>
        <w:t>the role and effects of forensic accounting in reducing financial crimes (fraud) in microfinance institutions, with a focus on microfinance banks in Calabar, Cross River State, Nigeria, using a survey research design. The ordinary least squares method was used to analyze the data that was gathered from both primary and secondary sources. The empirical analysis's interpretation of the regression results revealed that all of the estimated coefficients for the regression parameter have negative signs. The study further showed that each test of the independent variables was significant, demonstrating the importance of forensic accounting investigative skills in reducing fraud in Nigerian microfinance institutions</w:t>
      </w:r>
      <w:r w:rsidR="00874435">
        <w:t>”</w:t>
      </w:r>
      <w:r>
        <w:t>.</w:t>
      </w:r>
    </w:p>
    <w:p w14:paraId="29C524D5" w14:textId="77777777" w:rsidR="00DE0C75" w:rsidRPr="007A315D" w:rsidRDefault="00DE0C75" w:rsidP="008B05F3">
      <w:pPr>
        <w:spacing w:after="120" w:line="240" w:lineRule="auto"/>
        <w:ind w:left="720" w:right="0" w:hanging="720"/>
        <w:rPr>
          <w:color w:val="auto"/>
          <w:szCs w:val="24"/>
        </w:rPr>
      </w:pPr>
      <w:r w:rsidRPr="007A315D">
        <w:rPr>
          <w:b/>
          <w:bCs/>
          <w:color w:val="auto"/>
          <w:szCs w:val="24"/>
        </w:rPr>
        <w:t>Ho</w:t>
      </w:r>
      <w:r w:rsidRPr="007A315D">
        <w:rPr>
          <w:b/>
          <w:bCs/>
          <w:color w:val="auto"/>
          <w:szCs w:val="24"/>
          <w:vertAlign w:val="subscript"/>
        </w:rPr>
        <w:t>2</w:t>
      </w:r>
      <w:r w:rsidRPr="007A315D">
        <w:rPr>
          <w:b/>
          <w:bCs/>
          <w:color w:val="auto"/>
          <w:szCs w:val="24"/>
        </w:rPr>
        <w:t xml:space="preserve">: </w:t>
      </w:r>
      <w:r w:rsidR="00C966FC">
        <w:rPr>
          <w:b/>
          <w:bCs/>
          <w:color w:val="auto"/>
          <w:szCs w:val="24"/>
        </w:rPr>
        <w:tab/>
      </w:r>
      <w:r w:rsidR="001C2D5F">
        <w:rPr>
          <w:color w:val="auto"/>
          <w:szCs w:val="24"/>
        </w:rPr>
        <w:t>Forensic Investigation</w:t>
      </w:r>
      <w:r w:rsidRPr="007A315D">
        <w:rPr>
          <w:color w:val="auto"/>
          <w:szCs w:val="24"/>
        </w:rPr>
        <w:t xml:space="preserve"> skills </w:t>
      </w:r>
      <w:r w:rsidR="001C2D5F">
        <w:rPr>
          <w:color w:val="auto"/>
          <w:szCs w:val="24"/>
        </w:rPr>
        <w:t xml:space="preserve">(FIS) </w:t>
      </w:r>
      <w:r w:rsidRPr="007A315D">
        <w:rPr>
          <w:color w:val="auto"/>
          <w:szCs w:val="24"/>
        </w:rPr>
        <w:t xml:space="preserve">have no significant effect on the fraud </w:t>
      </w:r>
      <w:r w:rsidR="00FA38A6">
        <w:rPr>
          <w:color w:val="auto"/>
          <w:szCs w:val="24"/>
        </w:rPr>
        <w:t>management (FMGT)</w:t>
      </w:r>
      <w:r w:rsidRPr="007A315D">
        <w:rPr>
          <w:color w:val="auto"/>
          <w:szCs w:val="24"/>
        </w:rPr>
        <w:t xml:space="preserve"> of selected federal ministries, departments, and agencies (MDAs) in Nigeria.</w:t>
      </w:r>
    </w:p>
    <w:p w14:paraId="7DC6CCAC" w14:textId="15A21F0C" w:rsidR="00A177BE" w:rsidRDefault="00A177BE" w:rsidP="00F67C7B">
      <w:pPr>
        <w:spacing w:after="0" w:line="240" w:lineRule="auto"/>
        <w:ind w:left="0" w:right="0" w:firstLine="0"/>
        <w:rPr>
          <w:b/>
          <w:bCs/>
          <w:color w:val="auto"/>
          <w:szCs w:val="24"/>
        </w:rPr>
      </w:pPr>
    </w:p>
    <w:p w14:paraId="4EA6E083" w14:textId="77777777" w:rsidR="005F7DD2" w:rsidRDefault="00C966FC" w:rsidP="00722E2D">
      <w:pPr>
        <w:spacing w:after="0" w:line="240" w:lineRule="auto"/>
        <w:ind w:left="0" w:right="0"/>
        <w:rPr>
          <w:color w:val="auto"/>
          <w:szCs w:val="24"/>
        </w:rPr>
      </w:pPr>
      <w:r>
        <w:rPr>
          <w:b/>
          <w:bCs/>
          <w:color w:val="auto"/>
          <w:szCs w:val="24"/>
        </w:rPr>
        <w:t>3.</w:t>
      </w:r>
      <w:r>
        <w:rPr>
          <w:b/>
          <w:bCs/>
          <w:color w:val="auto"/>
          <w:szCs w:val="24"/>
        </w:rPr>
        <w:tab/>
      </w:r>
      <w:r w:rsidR="00DE0C75" w:rsidRPr="007A315D">
        <w:rPr>
          <w:b/>
          <w:bCs/>
          <w:color w:val="auto"/>
          <w:szCs w:val="24"/>
        </w:rPr>
        <w:t>Methodology</w:t>
      </w:r>
    </w:p>
    <w:p w14:paraId="72FFEF82" w14:textId="77777777" w:rsidR="00722E2D" w:rsidRDefault="00722E2D" w:rsidP="00722E2D">
      <w:pPr>
        <w:pStyle w:val="NormalWeb"/>
        <w:spacing w:before="0" w:beforeAutospacing="0" w:after="0" w:afterAutospacing="0"/>
        <w:jc w:val="both"/>
      </w:pPr>
      <w:r>
        <w:t xml:space="preserve">The study adopted both a cross-sectional research design and a quantitative research approach, while stratified sampling was used to choose the sample, which consisted solely of MDAs that had integrated fraud management strategies into their operations. The Economic and Financial Crime Commission, the Ministry of Finance, the Office of the Accountant General of the Federation, and the Office of the Auditor General of the Federation were the chosen MDAs. They were chosen in accordance with the standard that only those MDAs had implemented fraud management </w:t>
      </w:r>
      <w:r>
        <w:lastRenderedPageBreak/>
        <w:t>procedures (Olaniyan et al., 2021; Taiya et al., 2021; Ewa, 2022). The sample of 5,833 staff members was computed using Yaro Yamane's formula, and the population was obtained from four (4) chosen MDAs, which were then used to determine the sample size of 374 staff members from the total population of 5,833 staff members; only 349 staff questionnaires were returned and used in the study's analysis. Five-point Likert scale options using closed-ended questionnaires were employed for the study. In order to analyze the data, the coding system was adopted using SPSS version 23 to analyze descriptive statistics, Pearson correlation analysis, and multiple regression analysis for the study.</w:t>
      </w:r>
    </w:p>
    <w:p w14:paraId="5F9439F9" w14:textId="77777777" w:rsidR="00722E2D" w:rsidRDefault="00722E2D" w:rsidP="00722E2D">
      <w:pPr>
        <w:pStyle w:val="NormalWeb"/>
        <w:spacing w:before="0" w:beforeAutospacing="0" w:after="0" w:afterAutospacing="0"/>
        <w:jc w:val="both"/>
      </w:pPr>
      <w:r>
        <w:t xml:space="preserve">The model for the study was adapted from </w:t>
      </w:r>
      <w:proofErr w:type="spellStart"/>
      <w:r>
        <w:t>Siddik</w:t>
      </w:r>
      <w:proofErr w:type="spellEnd"/>
      <w:r>
        <w:t xml:space="preserve"> (2021) and Kosgey &amp; Solomon (2022), with some modifications in order to suit the current study.</w:t>
      </w:r>
    </w:p>
    <w:p w14:paraId="5480E716" w14:textId="77777777" w:rsidR="00DE0C75" w:rsidRDefault="00FA38A6" w:rsidP="00722E2D">
      <w:pPr>
        <w:spacing w:after="0" w:line="240" w:lineRule="auto"/>
        <w:ind w:left="0" w:right="0"/>
      </w:pPr>
      <w:r>
        <w:t>FMGT</w:t>
      </w:r>
      <w:r w:rsidR="00DE0C75">
        <w:t xml:space="preserve"> = </w:t>
      </w:r>
      <w:proofErr w:type="gramStart"/>
      <w:r w:rsidR="00DE0C75">
        <w:t>f</w:t>
      </w:r>
      <w:r w:rsidR="000B4D5E">
        <w:t>(</w:t>
      </w:r>
      <w:proofErr w:type="gramEnd"/>
      <w:r w:rsidR="000B4D5E">
        <w:t>AAS + FI</w:t>
      </w:r>
      <w:r w:rsidR="00DE0C75">
        <w:t>S) …………………………….…………….. (</w:t>
      </w:r>
      <w:proofErr w:type="spellStart"/>
      <w:r w:rsidR="00DE0C75">
        <w:t>i</w:t>
      </w:r>
      <w:proofErr w:type="spellEnd"/>
      <w:r w:rsidR="00DE0C75">
        <w:t xml:space="preserve">) </w:t>
      </w:r>
    </w:p>
    <w:p w14:paraId="702E2AD4" w14:textId="77777777" w:rsidR="00DE0C75" w:rsidRDefault="00DE0C75" w:rsidP="00DE0C75">
      <w:pPr>
        <w:spacing w:line="240" w:lineRule="auto"/>
        <w:ind w:right="7"/>
      </w:pPr>
      <w:r>
        <w:t>F</w:t>
      </w:r>
      <w:r w:rsidR="00FA38A6">
        <w:t>MGT</w:t>
      </w:r>
      <w:r>
        <w:t xml:space="preserve"> = α + β</w:t>
      </w:r>
      <w:r>
        <w:rPr>
          <w:sz w:val="16"/>
        </w:rPr>
        <w:t>1</w:t>
      </w:r>
      <w:r w:rsidR="000B4D5E">
        <w:t>AAS</w:t>
      </w:r>
      <w:r>
        <w:t xml:space="preserve"> + β</w:t>
      </w:r>
      <w:r>
        <w:rPr>
          <w:sz w:val="16"/>
        </w:rPr>
        <w:t>2</w:t>
      </w:r>
      <w:r w:rsidR="000B4D5E">
        <w:t>AI</w:t>
      </w:r>
      <w:r>
        <w:t>S + μ……...........……</w:t>
      </w:r>
      <w:proofErr w:type="gramStart"/>
      <w:r>
        <w:t>…..</w:t>
      </w:r>
      <w:proofErr w:type="gramEnd"/>
      <w:r>
        <w:t xml:space="preserve">……...…… (ii) </w:t>
      </w:r>
    </w:p>
    <w:p w14:paraId="362E002D" w14:textId="77777777" w:rsidR="00DE0C75" w:rsidRDefault="00FA38A6" w:rsidP="00DE0C75">
      <w:pPr>
        <w:spacing w:after="0" w:line="240" w:lineRule="auto"/>
        <w:ind w:right="7"/>
      </w:pPr>
      <w:r>
        <w:t>Where: FMGT</w:t>
      </w:r>
      <w:r w:rsidR="00DE0C75">
        <w:t xml:space="preserve"> = Fraud </w:t>
      </w:r>
      <w:r>
        <w:t>Management</w:t>
      </w:r>
      <w:r w:rsidR="00CA1BEA">
        <w:t>; AAS</w:t>
      </w:r>
      <w:r w:rsidR="00DE0C75">
        <w:t xml:space="preserve">= </w:t>
      </w:r>
      <w:r w:rsidR="00CA1BEA">
        <w:t>Accounting and Auditing Skills</w:t>
      </w:r>
      <w:r w:rsidR="00DE0C75">
        <w:t xml:space="preserve"> and </w:t>
      </w:r>
      <w:r w:rsidR="00CA1BEA">
        <w:t>FIS</w:t>
      </w:r>
      <w:r w:rsidR="00DE0C75">
        <w:t xml:space="preserve">= </w:t>
      </w:r>
      <w:r w:rsidR="00CA1BEA">
        <w:t>Forensic Investigation Skills</w:t>
      </w:r>
      <w:r w:rsidR="00DE0C75">
        <w:t>; f = functional dependency of the relationship; α = Intercept or constant; β</w:t>
      </w:r>
      <w:r w:rsidR="00DE0C75">
        <w:rPr>
          <w:vertAlign w:val="subscript"/>
        </w:rPr>
        <w:t xml:space="preserve">1 </w:t>
      </w:r>
      <w:r w:rsidR="00DE0C75">
        <w:t>to β</w:t>
      </w:r>
      <w:r w:rsidR="00DE0C75">
        <w:rPr>
          <w:vertAlign w:val="subscript"/>
        </w:rPr>
        <w:t>2</w:t>
      </w:r>
      <w:r w:rsidR="00DE0C75">
        <w:t xml:space="preserve"> = Coefficients of the explanatory variables and μ = Error term. </w:t>
      </w:r>
    </w:p>
    <w:p w14:paraId="1DC98D40" w14:textId="77777777" w:rsidR="00DE0C75" w:rsidRDefault="00DE0C75" w:rsidP="00DE0C75">
      <w:pPr>
        <w:spacing w:after="0" w:line="240" w:lineRule="auto"/>
        <w:ind w:right="7"/>
      </w:pPr>
    </w:p>
    <w:p w14:paraId="583C8DFD" w14:textId="77777777" w:rsidR="00DE0C75" w:rsidRDefault="00DE0C75" w:rsidP="00DE0C75">
      <w:pPr>
        <w:pStyle w:val="Heading2"/>
        <w:spacing w:after="0"/>
        <w:ind w:left="91"/>
      </w:pPr>
      <w:r>
        <w:t>Table 1</w:t>
      </w:r>
      <w:r>
        <w:rPr>
          <w:b w:val="0"/>
        </w:rPr>
        <w:t xml:space="preserve">: </w:t>
      </w:r>
      <w:r>
        <w:t>Population and Sample distribution of the study for the MDAs</w:t>
      </w:r>
      <w:r>
        <w:rPr>
          <w:b w:val="0"/>
        </w:rPr>
        <w:t xml:space="preserve"> </w:t>
      </w:r>
    </w:p>
    <w:tbl>
      <w:tblPr>
        <w:tblStyle w:val="TableGrid"/>
        <w:tblW w:w="9599" w:type="dxa"/>
        <w:tblInd w:w="-29" w:type="dxa"/>
        <w:tblCellMar>
          <w:top w:w="24" w:type="dxa"/>
          <w:right w:w="70" w:type="dxa"/>
        </w:tblCellMar>
        <w:tblLook w:val="04A0" w:firstRow="1" w:lastRow="0" w:firstColumn="1" w:lastColumn="0" w:noHBand="0" w:noVBand="1"/>
      </w:tblPr>
      <w:tblGrid>
        <w:gridCol w:w="5845"/>
        <w:gridCol w:w="2429"/>
        <w:gridCol w:w="1325"/>
      </w:tblGrid>
      <w:tr w:rsidR="00DE0C75" w14:paraId="530EF11A" w14:textId="77777777" w:rsidTr="00722E2D">
        <w:trPr>
          <w:trHeight w:val="312"/>
        </w:trPr>
        <w:tc>
          <w:tcPr>
            <w:tcW w:w="5844" w:type="dxa"/>
            <w:tcBorders>
              <w:top w:val="single" w:sz="17" w:space="0" w:color="000000"/>
              <w:left w:val="nil"/>
              <w:bottom w:val="single" w:sz="17" w:space="0" w:color="000000"/>
              <w:right w:val="nil"/>
            </w:tcBorders>
          </w:tcPr>
          <w:p w14:paraId="26201687" w14:textId="77777777" w:rsidR="00DE0C75" w:rsidRDefault="00DE0C75" w:rsidP="00DB2539">
            <w:pPr>
              <w:spacing w:after="0" w:line="240" w:lineRule="auto"/>
              <w:ind w:left="745" w:right="0" w:firstLine="0"/>
              <w:jc w:val="left"/>
            </w:pPr>
            <w:r>
              <w:rPr>
                <w:b/>
              </w:rPr>
              <w:t xml:space="preserve">Ministries, Department and Agencies </w:t>
            </w:r>
          </w:p>
        </w:tc>
        <w:tc>
          <w:tcPr>
            <w:tcW w:w="2429" w:type="dxa"/>
            <w:tcBorders>
              <w:top w:val="single" w:sz="17" w:space="0" w:color="000000"/>
              <w:left w:val="nil"/>
              <w:bottom w:val="single" w:sz="17" w:space="0" w:color="000000"/>
              <w:right w:val="nil"/>
            </w:tcBorders>
          </w:tcPr>
          <w:p w14:paraId="380CF6EF" w14:textId="77777777" w:rsidR="00DE0C75" w:rsidRDefault="00DE0C75" w:rsidP="00DB2539">
            <w:pPr>
              <w:spacing w:after="0" w:line="240" w:lineRule="auto"/>
              <w:ind w:left="317" w:right="0" w:firstLine="0"/>
              <w:jc w:val="left"/>
            </w:pPr>
            <w:r>
              <w:rPr>
                <w:b/>
              </w:rPr>
              <w:t xml:space="preserve">Population </w:t>
            </w:r>
          </w:p>
        </w:tc>
        <w:tc>
          <w:tcPr>
            <w:tcW w:w="1325" w:type="dxa"/>
            <w:tcBorders>
              <w:top w:val="single" w:sz="17" w:space="0" w:color="000000"/>
              <w:left w:val="nil"/>
              <w:bottom w:val="single" w:sz="17" w:space="0" w:color="000000"/>
              <w:right w:val="nil"/>
            </w:tcBorders>
          </w:tcPr>
          <w:p w14:paraId="646A0A03" w14:textId="77777777" w:rsidR="00DE0C75" w:rsidRDefault="00DE0C75" w:rsidP="00DB2539">
            <w:pPr>
              <w:spacing w:after="0" w:line="240" w:lineRule="auto"/>
              <w:ind w:left="0" w:right="0" w:firstLine="0"/>
            </w:pPr>
            <w:r>
              <w:rPr>
                <w:b/>
              </w:rPr>
              <w:t xml:space="preserve">Sample size </w:t>
            </w:r>
          </w:p>
        </w:tc>
      </w:tr>
      <w:tr w:rsidR="00DE0C75" w14:paraId="56A54685" w14:textId="77777777" w:rsidTr="00DB2539">
        <w:trPr>
          <w:trHeight w:val="204"/>
        </w:trPr>
        <w:tc>
          <w:tcPr>
            <w:tcW w:w="5844" w:type="dxa"/>
            <w:tcBorders>
              <w:top w:val="single" w:sz="17" w:space="0" w:color="000000"/>
              <w:left w:val="nil"/>
              <w:bottom w:val="nil"/>
              <w:right w:val="nil"/>
            </w:tcBorders>
          </w:tcPr>
          <w:p w14:paraId="7F444E61" w14:textId="77777777" w:rsidR="00DE0C75" w:rsidRDefault="00DE0C75" w:rsidP="00DB2539">
            <w:pPr>
              <w:spacing w:after="0" w:line="240" w:lineRule="auto"/>
              <w:ind w:left="125" w:right="0" w:firstLine="0"/>
              <w:jc w:val="left"/>
            </w:pPr>
            <w:r>
              <w:t xml:space="preserve">Ministry of Finance                                                       </w:t>
            </w:r>
          </w:p>
        </w:tc>
        <w:tc>
          <w:tcPr>
            <w:tcW w:w="2429" w:type="dxa"/>
            <w:tcBorders>
              <w:top w:val="single" w:sz="17" w:space="0" w:color="000000"/>
              <w:left w:val="nil"/>
              <w:bottom w:val="nil"/>
              <w:right w:val="nil"/>
            </w:tcBorders>
          </w:tcPr>
          <w:p w14:paraId="7A7FDA91" w14:textId="77777777" w:rsidR="00DE0C75" w:rsidRDefault="00DE0C75" w:rsidP="00DB2539">
            <w:pPr>
              <w:spacing w:after="0" w:line="240" w:lineRule="auto"/>
              <w:ind w:left="0" w:right="0" w:firstLine="0"/>
            </w:pPr>
            <w:r>
              <w:t xml:space="preserve">2,195/5,833 * 374          </w:t>
            </w:r>
          </w:p>
        </w:tc>
        <w:tc>
          <w:tcPr>
            <w:tcW w:w="1325" w:type="dxa"/>
            <w:tcBorders>
              <w:top w:val="single" w:sz="17" w:space="0" w:color="000000"/>
              <w:left w:val="nil"/>
              <w:bottom w:val="nil"/>
              <w:right w:val="nil"/>
            </w:tcBorders>
          </w:tcPr>
          <w:p w14:paraId="15F0EC48" w14:textId="77777777" w:rsidR="00DE0C75" w:rsidRDefault="00DE0C75" w:rsidP="00DB2539">
            <w:pPr>
              <w:spacing w:after="0" w:line="240" w:lineRule="auto"/>
              <w:ind w:left="0" w:right="60" w:firstLine="0"/>
              <w:jc w:val="center"/>
            </w:pPr>
            <w:r>
              <w:t xml:space="preserve">141 </w:t>
            </w:r>
          </w:p>
        </w:tc>
      </w:tr>
      <w:tr w:rsidR="00DE0C75" w14:paraId="00B93D6D" w14:textId="77777777" w:rsidTr="00DB2539">
        <w:trPr>
          <w:trHeight w:val="174"/>
        </w:trPr>
        <w:tc>
          <w:tcPr>
            <w:tcW w:w="5844" w:type="dxa"/>
            <w:tcBorders>
              <w:top w:val="nil"/>
              <w:left w:val="nil"/>
              <w:bottom w:val="nil"/>
              <w:right w:val="nil"/>
            </w:tcBorders>
            <w:vAlign w:val="center"/>
          </w:tcPr>
          <w:p w14:paraId="1D8F3748" w14:textId="77777777" w:rsidR="00DE0C75" w:rsidRDefault="00DE0C75" w:rsidP="00DB2539">
            <w:pPr>
              <w:spacing w:after="0" w:line="240" w:lineRule="auto"/>
              <w:ind w:left="125" w:right="0" w:firstLine="0"/>
              <w:jc w:val="left"/>
            </w:pPr>
            <w:r>
              <w:t xml:space="preserve">Office of the Accountant General of the Federation     </w:t>
            </w:r>
          </w:p>
        </w:tc>
        <w:tc>
          <w:tcPr>
            <w:tcW w:w="2429" w:type="dxa"/>
            <w:tcBorders>
              <w:top w:val="nil"/>
              <w:left w:val="nil"/>
              <w:bottom w:val="nil"/>
              <w:right w:val="nil"/>
            </w:tcBorders>
            <w:vAlign w:val="center"/>
          </w:tcPr>
          <w:p w14:paraId="1A488C44" w14:textId="77777777" w:rsidR="00DE0C75" w:rsidRDefault="00DE0C75" w:rsidP="00DB2539">
            <w:pPr>
              <w:spacing w:after="0" w:line="240" w:lineRule="auto"/>
              <w:ind w:left="120" w:right="0" w:firstLine="0"/>
              <w:jc w:val="left"/>
            </w:pPr>
            <w:r>
              <w:t xml:space="preserve">987/5,833* 374            </w:t>
            </w:r>
          </w:p>
        </w:tc>
        <w:tc>
          <w:tcPr>
            <w:tcW w:w="1325" w:type="dxa"/>
            <w:tcBorders>
              <w:top w:val="nil"/>
              <w:left w:val="nil"/>
              <w:bottom w:val="nil"/>
              <w:right w:val="nil"/>
            </w:tcBorders>
            <w:vAlign w:val="center"/>
          </w:tcPr>
          <w:p w14:paraId="6C39CEA3" w14:textId="77777777" w:rsidR="00DE0C75" w:rsidRDefault="00DE0C75" w:rsidP="00DB2539">
            <w:pPr>
              <w:spacing w:after="0" w:line="240" w:lineRule="auto"/>
              <w:ind w:left="0" w:right="55" w:firstLine="0"/>
              <w:jc w:val="center"/>
            </w:pPr>
            <w:r>
              <w:t xml:space="preserve">63 </w:t>
            </w:r>
          </w:p>
        </w:tc>
      </w:tr>
      <w:tr w:rsidR="00DE0C75" w14:paraId="5F5534F3" w14:textId="77777777" w:rsidTr="00DB2539">
        <w:trPr>
          <w:trHeight w:val="56"/>
        </w:trPr>
        <w:tc>
          <w:tcPr>
            <w:tcW w:w="5844" w:type="dxa"/>
            <w:tcBorders>
              <w:top w:val="nil"/>
              <w:left w:val="nil"/>
              <w:bottom w:val="nil"/>
              <w:right w:val="nil"/>
            </w:tcBorders>
            <w:vAlign w:val="center"/>
          </w:tcPr>
          <w:p w14:paraId="5D763BF6" w14:textId="77777777" w:rsidR="00DE0C75" w:rsidRDefault="00DE0C75" w:rsidP="00DB2539">
            <w:pPr>
              <w:spacing w:after="0" w:line="240" w:lineRule="auto"/>
              <w:ind w:left="125" w:right="0" w:firstLine="0"/>
              <w:jc w:val="left"/>
            </w:pPr>
            <w:r>
              <w:t xml:space="preserve">Office of the Auditor General for the Federation         </w:t>
            </w:r>
          </w:p>
        </w:tc>
        <w:tc>
          <w:tcPr>
            <w:tcW w:w="2429" w:type="dxa"/>
            <w:tcBorders>
              <w:top w:val="nil"/>
              <w:left w:val="nil"/>
              <w:bottom w:val="nil"/>
              <w:right w:val="nil"/>
            </w:tcBorders>
            <w:vAlign w:val="center"/>
          </w:tcPr>
          <w:p w14:paraId="1BE74382" w14:textId="77777777" w:rsidR="00DE0C75" w:rsidRDefault="00DE0C75" w:rsidP="00DB2539">
            <w:pPr>
              <w:spacing w:after="0" w:line="240" w:lineRule="auto"/>
              <w:ind w:left="29" w:right="0" w:firstLine="0"/>
              <w:jc w:val="left"/>
            </w:pPr>
            <w:r>
              <w:t xml:space="preserve">1,154/5,833* 374          </w:t>
            </w:r>
          </w:p>
        </w:tc>
        <w:tc>
          <w:tcPr>
            <w:tcW w:w="1325" w:type="dxa"/>
            <w:tcBorders>
              <w:top w:val="nil"/>
              <w:left w:val="nil"/>
              <w:bottom w:val="nil"/>
              <w:right w:val="nil"/>
            </w:tcBorders>
            <w:vAlign w:val="center"/>
          </w:tcPr>
          <w:p w14:paraId="121589D4" w14:textId="77777777" w:rsidR="00DE0C75" w:rsidRDefault="00DE0C75" w:rsidP="00DB2539">
            <w:pPr>
              <w:spacing w:after="0" w:line="240" w:lineRule="auto"/>
              <w:ind w:left="0" w:right="55" w:firstLine="0"/>
              <w:jc w:val="center"/>
            </w:pPr>
            <w:r>
              <w:t xml:space="preserve">74 </w:t>
            </w:r>
          </w:p>
        </w:tc>
      </w:tr>
      <w:tr w:rsidR="00DE0C75" w14:paraId="0BC94C81" w14:textId="77777777" w:rsidTr="00DB2539">
        <w:trPr>
          <w:trHeight w:val="56"/>
        </w:trPr>
        <w:tc>
          <w:tcPr>
            <w:tcW w:w="5844" w:type="dxa"/>
            <w:tcBorders>
              <w:top w:val="nil"/>
              <w:left w:val="nil"/>
              <w:bottom w:val="nil"/>
              <w:right w:val="nil"/>
            </w:tcBorders>
            <w:vAlign w:val="center"/>
          </w:tcPr>
          <w:p w14:paraId="62DD2B30" w14:textId="77777777" w:rsidR="00DE0C75" w:rsidRDefault="00DE0C75" w:rsidP="00DB2539">
            <w:pPr>
              <w:spacing w:after="0" w:line="240" w:lineRule="auto"/>
              <w:ind w:left="125" w:right="0" w:firstLine="0"/>
              <w:jc w:val="left"/>
            </w:pPr>
            <w:r>
              <w:t xml:space="preserve">Economic and Financial Crime Commission </w:t>
            </w:r>
            <w:r>
              <w:rPr>
                <w:b/>
              </w:rPr>
              <w:t xml:space="preserve"> </w:t>
            </w:r>
          </w:p>
        </w:tc>
        <w:tc>
          <w:tcPr>
            <w:tcW w:w="2429" w:type="dxa"/>
            <w:tcBorders>
              <w:top w:val="nil"/>
              <w:left w:val="nil"/>
              <w:bottom w:val="nil"/>
              <w:right w:val="nil"/>
            </w:tcBorders>
            <w:vAlign w:val="center"/>
          </w:tcPr>
          <w:p w14:paraId="59CEB344" w14:textId="77777777" w:rsidR="00DE0C75" w:rsidRDefault="00DE0C75" w:rsidP="00DB2539">
            <w:pPr>
              <w:spacing w:after="0" w:line="240" w:lineRule="auto"/>
              <w:ind w:left="29" w:right="0" w:firstLine="0"/>
              <w:jc w:val="left"/>
            </w:pPr>
            <w:r>
              <w:t xml:space="preserve">1,497/5,833* 374          </w:t>
            </w:r>
          </w:p>
        </w:tc>
        <w:tc>
          <w:tcPr>
            <w:tcW w:w="1325" w:type="dxa"/>
            <w:tcBorders>
              <w:top w:val="nil"/>
              <w:left w:val="nil"/>
              <w:bottom w:val="nil"/>
              <w:right w:val="nil"/>
            </w:tcBorders>
            <w:vAlign w:val="center"/>
          </w:tcPr>
          <w:p w14:paraId="69C027F2" w14:textId="77777777" w:rsidR="00DE0C75" w:rsidRDefault="00DE0C75" w:rsidP="00DB2539">
            <w:pPr>
              <w:spacing w:after="0" w:line="240" w:lineRule="auto"/>
              <w:ind w:left="0" w:right="55" w:firstLine="0"/>
              <w:jc w:val="center"/>
            </w:pPr>
            <w:r>
              <w:t xml:space="preserve">96 </w:t>
            </w:r>
          </w:p>
        </w:tc>
      </w:tr>
      <w:tr w:rsidR="00DE0C75" w14:paraId="17F86BB7" w14:textId="77777777" w:rsidTr="00DB2539">
        <w:trPr>
          <w:trHeight w:val="264"/>
        </w:trPr>
        <w:tc>
          <w:tcPr>
            <w:tcW w:w="5844" w:type="dxa"/>
            <w:tcBorders>
              <w:top w:val="nil"/>
              <w:left w:val="nil"/>
              <w:bottom w:val="single" w:sz="17" w:space="0" w:color="000000"/>
              <w:right w:val="nil"/>
            </w:tcBorders>
          </w:tcPr>
          <w:p w14:paraId="44889F52" w14:textId="77777777" w:rsidR="00DE0C75" w:rsidRDefault="00DE0C75" w:rsidP="00DB2539">
            <w:pPr>
              <w:spacing w:after="0" w:line="240" w:lineRule="auto"/>
              <w:ind w:left="125" w:right="0" w:firstLine="0"/>
              <w:jc w:val="left"/>
            </w:pPr>
            <w:r>
              <w:rPr>
                <w:b/>
              </w:rPr>
              <w:t xml:space="preserve">Total                                                                              </w:t>
            </w:r>
          </w:p>
        </w:tc>
        <w:tc>
          <w:tcPr>
            <w:tcW w:w="2429" w:type="dxa"/>
            <w:tcBorders>
              <w:top w:val="nil"/>
              <w:left w:val="nil"/>
              <w:bottom w:val="single" w:sz="17" w:space="0" w:color="000000"/>
              <w:right w:val="nil"/>
            </w:tcBorders>
          </w:tcPr>
          <w:p w14:paraId="4854D7F1" w14:textId="77777777" w:rsidR="00DE0C75" w:rsidRDefault="00DE0C75" w:rsidP="00DB2539">
            <w:pPr>
              <w:spacing w:after="0" w:line="240" w:lineRule="auto"/>
              <w:ind w:left="605" w:right="0" w:firstLine="0"/>
              <w:jc w:val="left"/>
            </w:pPr>
            <w:r>
              <w:rPr>
                <w:b/>
              </w:rPr>
              <w:t xml:space="preserve">5,833 </w:t>
            </w:r>
          </w:p>
        </w:tc>
        <w:tc>
          <w:tcPr>
            <w:tcW w:w="1325" w:type="dxa"/>
            <w:tcBorders>
              <w:top w:val="nil"/>
              <w:left w:val="nil"/>
              <w:bottom w:val="single" w:sz="17" w:space="0" w:color="000000"/>
              <w:right w:val="nil"/>
            </w:tcBorders>
          </w:tcPr>
          <w:p w14:paraId="79ED1981" w14:textId="77777777" w:rsidR="00DE0C75" w:rsidRDefault="00DE0C75" w:rsidP="00DB2539">
            <w:pPr>
              <w:spacing w:after="0" w:line="240" w:lineRule="auto"/>
              <w:ind w:left="0" w:right="60" w:firstLine="0"/>
              <w:jc w:val="center"/>
            </w:pPr>
            <w:r>
              <w:rPr>
                <w:b/>
              </w:rPr>
              <w:t xml:space="preserve">374 </w:t>
            </w:r>
          </w:p>
        </w:tc>
      </w:tr>
    </w:tbl>
    <w:p w14:paraId="30491D14" w14:textId="77777777" w:rsidR="000B4D5E" w:rsidRDefault="00DE0C75" w:rsidP="00722E2D">
      <w:pPr>
        <w:spacing w:after="120"/>
        <w:ind w:left="100" w:right="7" w:hanging="14"/>
      </w:pPr>
      <w:r>
        <w:rPr>
          <w:b/>
        </w:rPr>
        <w:t xml:space="preserve">Source: </w:t>
      </w:r>
      <w:r>
        <w:t xml:space="preserve">Author’s computation (2024). </w:t>
      </w:r>
    </w:p>
    <w:p w14:paraId="7FED5AAF" w14:textId="77777777" w:rsidR="00DE0C75" w:rsidRDefault="00DE0C75" w:rsidP="00722E2D">
      <w:pPr>
        <w:pStyle w:val="Heading2"/>
        <w:spacing w:after="120" w:line="240" w:lineRule="auto"/>
        <w:ind w:left="100" w:hanging="14"/>
      </w:pPr>
      <w:r>
        <w:t>Table 2</w:t>
      </w:r>
      <w:r>
        <w:rPr>
          <w:b w:val="0"/>
        </w:rPr>
        <w:t xml:space="preserve">: </w:t>
      </w:r>
      <w:r>
        <w:t xml:space="preserve">Variables Measurement and Source of the Study </w:t>
      </w:r>
    </w:p>
    <w:tbl>
      <w:tblPr>
        <w:tblStyle w:val="TableGrid"/>
        <w:tblW w:w="9560" w:type="dxa"/>
        <w:tblInd w:w="-29" w:type="dxa"/>
        <w:tblCellMar>
          <w:top w:w="24" w:type="dxa"/>
          <w:right w:w="50" w:type="dxa"/>
        </w:tblCellMar>
        <w:tblLook w:val="04A0" w:firstRow="1" w:lastRow="0" w:firstColumn="1" w:lastColumn="0" w:noHBand="0" w:noVBand="1"/>
      </w:tblPr>
      <w:tblGrid>
        <w:gridCol w:w="1762"/>
        <w:gridCol w:w="4590"/>
        <w:gridCol w:w="1604"/>
        <w:gridCol w:w="1604"/>
      </w:tblGrid>
      <w:tr w:rsidR="00DE0C75" w14:paraId="2D460C78" w14:textId="77777777" w:rsidTr="00DB2539">
        <w:trPr>
          <w:trHeight w:val="177"/>
        </w:trPr>
        <w:tc>
          <w:tcPr>
            <w:tcW w:w="1762" w:type="dxa"/>
            <w:tcBorders>
              <w:top w:val="single" w:sz="17" w:space="0" w:color="000000"/>
              <w:left w:val="nil"/>
              <w:bottom w:val="single" w:sz="17" w:space="0" w:color="000000"/>
              <w:right w:val="nil"/>
            </w:tcBorders>
          </w:tcPr>
          <w:p w14:paraId="4FBCE448" w14:textId="77777777" w:rsidR="00DE0C75" w:rsidRDefault="00DE0C75" w:rsidP="000B4D5E">
            <w:pPr>
              <w:spacing w:after="0" w:line="240" w:lineRule="auto"/>
              <w:ind w:left="125" w:right="0" w:firstLine="0"/>
              <w:jc w:val="left"/>
            </w:pPr>
            <w:r>
              <w:t xml:space="preserve">Variables </w:t>
            </w:r>
          </w:p>
        </w:tc>
        <w:tc>
          <w:tcPr>
            <w:tcW w:w="4590" w:type="dxa"/>
            <w:tcBorders>
              <w:top w:val="single" w:sz="17" w:space="0" w:color="000000"/>
              <w:left w:val="nil"/>
              <w:bottom w:val="single" w:sz="17" w:space="0" w:color="000000"/>
              <w:right w:val="nil"/>
            </w:tcBorders>
          </w:tcPr>
          <w:p w14:paraId="1C8E8FFA" w14:textId="77777777" w:rsidR="00DE0C75" w:rsidRDefault="00DE0C75" w:rsidP="000B4D5E">
            <w:pPr>
              <w:spacing w:after="0" w:line="240" w:lineRule="auto"/>
              <w:ind w:left="0" w:right="0" w:firstLine="0"/>
              <w:jc w:val="left"/>
            </w:pPr>
            <w:r>
              <w:t xml:space="preserve">Proxies </w:t>
            </w:r>
          </w:p>
        </w:tc>
        <w:tc>
          <w:tcPr>
            <w:tcW w:w="1604" w:type="dxa"/>
            <w:tcBorders>
              <w:top w:val="single" w:sz="17" w:space="0" w:color="000000"/>
              <w:left w:val="nil"/>
              <w:bottom w:val="single" w:sz="17" w:space="0" w:color="000000"/>
              <w:right w:val="nil"/>
            </w:tcBorders>
          </w:tcPr>
          <w:p w14:paraId="243619ED" w14:textId="77777777" w:rsidR="00DE0C75" w:rsidRDefault="00DE0C75" w:rsidP="000B4D5E">
            <w:pPr>
              <w:spacing w:after="0" w:line="240" w:lineRule="auto"/>
              <w:ind w:left="0" w:right="0" w:firstLine="0"/>
              <w:jc w:val="left"/>
            </w:pPr>
            <w:r>
              <w:t xml:space="preserve">Measurement </w:t>
            </w:r>
          </w:p>
        </w:tc>
        <w:tc>
          <w:tcPr>
            <w:tcW w:w="1604" w:type="dxa"/>
            <w:tcBorders>
              <w:top w:val="single" w:sz="17" w:space="0" w:color="000000"/>
              <w:left w:val="nil"/>
              <w:bottom w:val="single" w:sz="17" w:space="0" w:color="000000"/>
              <w:right w:val="nil"/>
            </w:tcBorders>
          </w:tcPr>
          <w:p w14:paraId="4A8D641A" w14:textId="77777777" w:rsidR="00DE0C75" w:rsidRDefault="00DE0C75" w:rsidP="000B4D5E">
            <w:pPr>
              <w:spacing w:after="0" w:line="240" w:lineRule="auto"/>
              <w:ind w:left="0" w:right="0" w:firstLine="0"/>
              <w:jc w:val="left"/>
            </w:pPr>
            <w:r>
              <w:t xml:space="preserve">Source </w:t>
            </w:r>
          </w:p>
        </w:tc>
      </w:tr>
      <w:tr w:rsidR="00DE0C75" w14:paraId="7E7B8CB9" w14:textId="77777777" w:rsidTr="00900E11">
        <w:trPr>
          <w:trHeight w:val="1032"/>
        </w:trPr>
        <w:tc>
          <w:tcPr>
            <w:tcW w:w="1762" w:type="dxa"/>
            <w:tcBorders>
              <w:top w:val="single" w:sz="17" w:space="0" w:color="000000"/>
              <w:left w:val="nil"/>
              <w:bottom w:val="nil"/>
              <w:right w:val="nil"/>
            </w:tcBorders>
          </w:tcPr>
          <w:p w14:paraId="735914F5" w14:textId="77777777" w:rsidR="00DE0C75" w:rsidRDefault="00FA38A6" w:rsidP="00DB2539">
            <w:pPr>
              <w:spacing w:after="0" w:line="240" w:lineRule="auto"/>
              <w:ind w:left="125" w:right="0" w:firstLine="0"/>
              <w:jc w:val="left"/>
            </w:pPr>
            <w:r>
              <w:t>Fraud Management</w:t>
            </w:r>
          </w:p>
          <w:p w14:paraId="3B85F224" w14:textId="77777777" w:rsidR="00DE0C75" w:rsidRDefault="00DE0C75" w:rsidP="00FA38A6">
            <w:pPr>
              <w:spacing w:after="0" w:line="240" w:lineRule="auto"/>
              <w:ind w:left="125" w:right="0" w:firstLine="0"/>
              <w:jc w:val="left"/>
            </w:pPr>
            <w:r>
              <w:t>(F</w:t>
            </w:r>
            <w:r w:rsidR="00FA38A6">
              <w:t>MGT</w:t>
            </w:r>
            <w:r>
              <w:t xml:space="preserve">) </w:t>
            </w:r>
          </w:p>
        </w:tc>
        <w:tc>
          <w:tcPr>
            <w:tcW w:w="4590" w:type="dxa"/>
            <w:tcBorders>
              <w:top w:val="single" w:sz="17" w:space="0" w:color="000000"/>
              <w:left w:val="nil"/>
              <w:bottom w:val="nil"/>
              <w:right w:val="nil"/>
            </w:tcBorders>
          </w:tcPr>
          <w:p w14:paraId="1CA721BA" w14:textId="77777777" w:rsidR="00DE0C75" w:rsidRDefault="00DE0C75" w:rsidP="00DB2539">
            <w:pPr>
              <w:spacing w:after="0" w:line="240" w:lineRule="auto"/>
              <w:ind w:left="0" w:right="0" w:firstLine="0"/>
              <w:jc w:val="left"/>
            </w:pPr>
            <w:r>
              <w:t>The sum of responses for the seven (7) five items questionnaire testing the effect of fo</w:t>
            </w:r>
            <w:r w:rsidR="00900E11">
              <w:t xml:space="preserve">rensic </w:t>
            </w:r>
            <w:r w:rsidR="00900E11">
              <w:tab/>
              <w:t xml:space="preserve">accounting </w:t>
            </w:r>
            <w:r w:rsidR="00900E11">
              <w:tab/>
              <w:t xml:space="preserve">skills </w:t>
            </w:r>
            <w:r w:rsidR="00900E11">
              <w:tab/>
              <w:t xml:space="preserve">on </w:t>
            </w:r>
            <w:r>
              <w:t xml:space="preserve">fraud management selected MDAs in Nigeria.   </w:t>
            </w:r>
          </w:p>
        </w:tc>
        <w:tc>
          <w:tcPr>
            <w:tcW w:w="1604" w:type="dxa"/>
            <w:tcBorders>
              <w:top w:val="single" w:sz="17" w:space="0" w:color="000000"/>
              <w:left w:val="nil"/>
              <w:bottom w:val="nil"/>
              <w:right w:val="nil"/>
            </w:tcBorders>
          </w:tcPr>
          <w:p w14:paraId="52C59D75" w14:textId="77777777" w:rsidR="00DE0C75" w:rsidRDefault="004D169C" w:rsidP="00DB2539">
            <w:pPr>
              <w:spacing w:after="0" w:line="240" w:lineRule="auto"/>
              <w:ind w:left="0" w:right="0" w:firstLine="0"/>
              <w:jc w:val="left"/>
            </w:pPr>
            <w:r>
              <w:t>Five</w:t>
            </w:r>
            <w:r w:rsidR="00DE0C75">
              <w:t xml:space="preserve">-Likert scale </w:t>
            </w:r>
          </w:p>
        </w:tc>
        <w:tc>
          <w:tcPr>
            <w:tcW w:w="1604" w:type="dxa"/>
            <w:tcBorders>
              <w:top w:val="single" w:sz="17" w:space="0" w:color="000000"/>
              <w:left w:val="nil"/>
              <w:bottom w:val="nil"/>
              <w:right w:val="nil"/>
            </w:tcBorders>
          </w:tcPr>
          <w:p w14:paraId="023676E3" w14:textId="77777777" w:rsidR="00DE0C75" w:rsidRDefault="004D169C" w:rsidP="00900E11">
            <w:pPr>
              <w:spacing w:after="0" w:line="259" w:lineRule="auto"/>
              <w:ind w:left="0" w:right="0" w:firstLine="0"/>
              <w:jc w:val="left"/>
            </w:pPr>
            <w:r>
              <w:t xml:space="preserve">Adebayo, </w:t>
            </w:r>
            <w:r w:rsidR="00900E11">
              <w:t xml:space="preserve">et al </w:t>
            </w:r>
            <w:r>
              <w:t>(2022)</w:t>
            </w:r>
          </w:p>
        </w:tc>
      </w:tr>
      <w:tr w:rsidR="004D169C" w14:paraId="30F8BFBA" w14:textId="77777777" w:rsidTr="00DB2539">
        <w:trPr>
          <w:trHeight w:val="1128"/>
        </w:trPr>
        <w:tc>
          <w:tcPr>
            <w:tcW w:w="1762" w:type="dxa"/>
            <w:tcBorders>
              <w:top w:val="nil"/>
              <w:left w:val="nil"/>
              <w:bottom w:val="nil"/>
              <w:right w:val="nil"/>
            </w:tcBorders>
            <w:vAlign w:val="center"/>
          </w:tcPr>
          <w:p w14:paraId="64D28021" w14:textId="77777777" w:rsidR="004D169C" w:rsidRDefault="004D169C" w:rsidP="004D169C">
            <w:pPr>
              <w:spacing w:after="0" w:line="240" w:lineRule="auto"/>
              <w:ind w:left="125" w:right="0" w:firstLine="0"/>
              <w:jc w:val="left"/>
            </w:pPr>
            <w:r>
              <w:t>Accounting and Auditing Skills</w:t>
            </w:r>
          </w:p>
          <w:p w14:paraId="7A8A6A8B" w14:textId="77777777" w:rsidR="004D169C" w:rsidRDefault="004D169C" w:rsidP="004D169C">
            <w:pPr>
              <w:spacing w:after="0" w:line="240" w:lineRule="auto"/>
              <w:ind w:left="125" w:right="0" w:firstLine="0"/>
              <w:jc w:val="left"/>
            </w:pPr>
            <w:r>
              <w:t>(</w:t>
            </w:r>
            <w:proofErr w:type="gramStart"/>
            <w:r>
              <w:t xml:space="preserve">AAS)   </w:t>
            </w:r>
            <w:proofErr w:type="gramEnd"/>
          </w:p>
        </w:tc>
        <w:tc>
          <w:tcPr>
            <w:tcW w:w="4590" w:type="dxa"/>
            <w:tcBorders>
              <w:top w:val="nil"/>
              <w:left w:val="nil"/>
              <w:bottom w:val="nil"/>
              <w:right w:val="nil"/>
            </w:tcBorders>
            <w:vAlign w:val="center"/>
          </w:tcPr>
          <w:p w14:paraId="2B2660AA" w14:textId="77777777" w:rsidR="004D169C" w:rsidRDefault="004D169C" w:rsidP="004D169C">
            <w:pPr>
              <w:spacing w:after="0" w:line="259" w:lineRule="auto"/>
              <w:ind w:left="0" w:right="169" w:firstLine="0"/>
            </w:pPr>
            <w:r>
              <w:t xml:space="preserve">The sum of responses for the five (5) five items questionnaire testing the effect of accounting and auditing skills on Fraud management of selected MDAs in Nigeria. </w:t>
            </w:r>
          </w:p>
        </w:tc>
        <w:tc>
          <w:tcPr>
            <w:tcW w:w="1604" w:type="dxa"/>
            <w:tcBorders>
              <w:top w:val="nil"/>
              <w:left w:val="nil"/>
              <w:bottom w:val="nil"/>
              <w:right w:val="nil"/>
            </w:tcBorders>
          </w:tcPr>
          <w:p w14:paraId="7A57317F" w14:textId="77777777" w:rsidR="004D169C" w:rsidRDefault="004D169C" w:rsidP="004D169C">
            <w:pPr>
              <w:spacing w:after="0" w:line="259" w:lineRule="auto"/>
              <w:ind w:left="0" w:right="0" w:firstLine="0"/>
              <w:jc w:val="left"/>
            </w:pPr>
            <w:r>
              <w:t xml:space="preserve">Five-Likert scale  </w:t>
            </w:r>
          </w:p>
        </w:tc>
        <w:tc>
          <w:tcPr>
            <w:tcW w:w="1604" w:type="dxa"/>
            <w:tcBorders>
              <w:top w:val="nil"/>
              <w:left w:val="nil"/>
              <w:bottom w:val="nil"/>
              <w:right w:val="nil"/>
            </w:tcBorders>
          </w:tcPr>
          <w:p w14:paraId="7E12C9DF" w14:textId="77777777" w:rsidR="004D169C" w:rsidRDefault="004D169C" w:rsidP="004D169C">
            <w:pPr>
              <w:spacing w:after="2" w:line="238" w:lineRule="auto"/>
              <w:ind w:left="0" w:right="58" w:firstLine="0"/>
            </w:pPr>
            <w:proofErr w:type="spellStart"/>
            <w:r>
              <w:t>Siddik</w:t>
            </w:r>
            <w:proofErr w:type="spellEnd"/>
            <w:r>
              <w:t xml:space="preserve">, (2021) and Kosgey &amp; Solomon, </w:t>
            </w:r>
          </w:p>
          <w:p w14:paraId="31D77037" w14:textId="77777777" w:rsidR="004D169C" w:rsidRDefault="004D169C" w:rsidP="004D169C">
            <w:pPr>
              <w:spacing w:after="0" w:line="240" w:lineRule="auto"/>
              <w:ind w:left="0" w:right="0" w:firstLine="0"/>
              <w:jc w:val="left"/>
            </w:pPr>
            <w:r>
              <w:t>(2022).</w:t>
            </w:r>
          </w:p>
        </w:tc>
      </w:tr>
      <w:tr w:rsidR="004D169C" w14:paraId="1E7A60FC" w14:textId="77777777" w:rsidTr="00DB2539">
        <w:trPr>
          <w:trHeight w:val="984"/>
        </w:trPr>
        <w:tc>
          <w:tcPr>
            <w:tcW w:w="1762" w:type="dxa"/>
            <w:tcBorders>
              <w:top w:val="nil"/>
              <w:left w:val="nil"/>
              <w:bottom w:val="single" w:sz="4" w:space="0" w:color="000000"/>
              <w:right w:val="nil"/>
            </w:tcBorders>
          </w:tcPr>
          <w:p w14:paraId="51E022ED" w14:textId="77777777" w:rsidR="00DE01AA" w:rsidRDefault="00DE01AA" w:rsidP="00DE01AA">
            <w:pPr>
              <w:spacing w:after="0" w:line="259" w:lineRule="auto"/>
              <w:ind w:left="125" w:right="0" w:firstLine="0"/>
              <w:jc w:val="left"/>
            </w:pPr>
            <w:r>
              <w:t xml:space="preserve">Forensic </w:t>
            </w:r>
          </w:p>
          <w:p w14:paraId="1EA8CE91" w14:textId="77777777" w:rsidR="00DE01AA" w:rsidRDefault="00DE01AA" w:rsidP="00DE01AA">
            <w:pPr>
              <w:spacing w:after="0" w:line="259" w:lineRule="auto"/>
              <w:ind w:left="125" w:right="0" w:firstLine="0"/>
              <w:jc w:val="left"/>
            </w:pPr>
            <w:r>
              <w:t xml:space="preserve">Investigative </w:t>
            </w:r>
          </w:p>
          <w:p w14:paraId="4D095CCD" w14:textId="77777777" w:rsidR="004D169C" w:rsidRDefault="00DE01AA" w:rsidP="00DE01AA">
            <w:pPr>
              <w:spacing w:after="0" w:line="240" w:lineRule="auto"/>
              <w:ind w:left="125" w:right="0" w:firstLine="0"/>
              <w:jc w:val="left"/>
            </w:pPr>
            <w:r>
              <w:t>Skills (FIS)</w:t>
            </w:r>
          </w:p>
        </w:tc>
        <w:tc>
          <w:tcPr>
            <w:tcW w:w="4590" w:type="dxa"/>
            <w:tcBorders>
              <w:top w:val="nil"/>
              <w:left w:val="nil"/>
              <w:bottom w:val="single" w:sz="4" w:space="0" w:color="000000"/>
              <w:right w:val="nil"/>
            </w:tcBorders>
            <w:vAlign w:val="center"/>
          </w:tcPr>
          <w:p w14:paraId="7B3A134A" w14:textId="77777777" w:rsidR="004D169C" w:rsidRDefault="004D169C" w:rsidP="004D169C">
            <w:pPr>
              <w:spacing w:after="0" w:line="240" w:lineRule="auto"/>
              <w:ind w:left="0" w:right="166" w:firstLine="0"/>
            </w:pPr>
            <w:r>
              <w:t>The sum of responses for the five (5) five Four-Likert items questionnaire testing the effect of scale</w:t>
            </w:r>
            <w:r>
              <w:rPr>
                <w:b/>
              </w:rPr>
              <w:t xml:space="preserve"> </w:t>
            </w:r>
            <w:r w:rsidR="00DE01AA">
              <w:t xml:space="preserve">forensic Investigative </w:t>
            </w:r>
            <w:r w:rsidR="00DE01AA">
              <w:tab/>
              <w:t xml:space="preserve">skills on </w:t>
            </w:r>
            <w:r>
              <w:t>Fraud management of selected MDAs in Nigeria.</w:t>
            </w:r>
          </w:p>
        </w:tc>
        <w:tc>
          <w:tcPr>
            <w:tcW w:w="1604" w:type="dxa"/>
            <w:tcBorders>
              <w:top w:val="nil"/>
              <w:left w:val="nil"/>
              <w:bottom w:val="single" w:sz="4" w:space="0" w:color="000000"/>
              <w:right w:val="nil"/>
            </w:tcBorders>
          </w:tcPr>
          <w:p w14:paraId="7E02F085" w14:textId="77777777" w:rsidR="004D169C" w:rsidRDefault="004D169C" w:rsidP="004D169C">
            <w:pPr>
              <w:spacing w:after="0" w:line="240" w:lineRule="auto"/>
              <w:ind w:left="0" w:right="0" w:firstLine="0"/>
              <w:jc w:val="left"/>
            </w:pPr>
            <w:r>
              <w:t xml:space="preserve">Five-Likert scale </w:t>
            </w:r>
          </w:p>
        </w:tc>
        <w:tc>
          <w:tcPr>
            <w:tcW w:w="1604" w:type="dxa"/>
            <w:tcBorders>
              <w:top w:val="nil"/>
              <w:left w:val="nil"/>
              <w:bottom w:val="single" w:sz="4" w:space="0" w:color="000000"/>
              <w:right w:val="nil"/>
            </w:tcBorders>
          </w:tcPr>
          <w:p w14:paraId="51D21B39" w14:textId="77777777" w:rsidR="00DE01AA" w:rsidRDefault="00DE01AA" w:rsidP="00DE01AA">
            <w:pPr>
              <w:spacing w:after="0" w:line="259" w:lineRule="auto"/>
              <w:ind w:left="0" w:right="0" w:firstLine="0"/>
              <w:jc w:val="left"/>
            </w:pPr>
            <w:r>
              <w:t>Okoye, et al.,</w:t>
            </w:r>
          </w:p>
          <w:p w14:paraId="046B2BC2" w14:textId="77777777" w:rsidR="004D169C" w:rsidRDefault="00DE01AA" w:rsidP="00DE01AA">
            <w:pPr>
              <w:spacing w:after="0" w:line="240" w:lineRule="auto"/>
              <w:ind w:left="0" w:right="0" w:firstLine="0"/>
              <w:jc w:val="left"/>
            </w:pPr>
            <w:r>
              <w:t>(2020).</w:t>
            </w:r>
          </w:p>
        </w:tc>
      </w:tr>
    </w:tbl>
    <w:p w14:paraId="57E75D2A" w14:textId="77777777" w:rsidR="00DE0C75" w:rsidRPr="00F837B8" w:rsidRDefault="00DE0C75" w:rsidP="00FA38A6">
      <w:pPr>
        <w:spacing w:after="120" w:line="240" w:lineRule="auto"/>
        <w:ind w:left="100" w:right="7" w:hanging="14"/>
      </w:pPr>
      <w:r>
        <w:t xml:space="preserve">Source: Field work, 2024. </w:t>
      </w:r>
    </w:p>
    <w:p w14:paraId="568AE839" w14:textId="77777777" w:rsidR="001202D6" w:rsidRDefault="001202D6" w:rsidP="00FA38A6">
      <w:pPr>
        <w:spacing w:after="120" w:line="240" w:lineRule="auto"/>
        <w:ind w:left="100" w:right="0" w:hanging="14"/>
        <w:jc w:val="left"/>
        <w:rPr>
          <w:b/>
        </w:rPr>
      </w:pPr>
    </w:p>
    <w:p w14:paraId="685824C9" w14:textId="77777777" w:rsidR="001202D6" w:rsidRDefault="001202D6" w:rsidP="00FA38A6">
      <w:pPr>
        <w:spacing w:after="120" w:line="240" w:lineRule="auto"/>
        <w:ind w:left="100" w:right="0" w:hanging="14"/>
        <w:jc w:val="left"/>
        <w:rPr>
          <w:b/>
        </w:rPr>
      </w:pPr>
    </w:p>
    <w:p w14:paraId="0B2678D6" w14:textId="77777777" w:rsidR="001202D6" w:rsidRDefault="001202D6" w:rsidP="00FA38A6">
      <w:pPr>
        <w:spacing w:after="120" w:line="240" w:lineRule="auto"/>
        <w:ind w:left="100" w:right="0" w:hanging="14"/>
        <w:jc w:val="left"/>
        <w:rPr>
          <w:b/>
        </w:rPr>
      </w:pPr>
    </w:p>
    <w:p w14:paraId="40454CC5" w14:textId="77777777" w:rsidR="001202D6" w:rsidRDefault="001202D6" w:rsidP="00FA38A6">
      <w:pPr>
        <w:spacing w:after="120" w:line="240" w:lineRule="auto"/>
        <w:ind w:left="100" w:right="0" w:hanging="14"/>
        <w:jc w:val="left"/>
        <w:rPr>
          <w:b/>
        </w:rPr>
      </w:pPr>
    </w:p>
    <w:p w14:paraId="20FA3C03" w14:textId="284A4E5C" w:rsidR="001202D6" w:rsidRPr="00077BD4" w:rsidRDefault="00DE0C75" w:rsidP="00077BD4">
      <w:pPr>
        <w:spacing w:after="120" w:line="240" w:lineRule="auto"/>
        <w:ind w:left="100" w:right="0" w:hanging="14"/>
        <w:jc w:val="left"/>
        <w:rPr>
          <w:b/>
        </w:rPr>
      </w:pPr>
      <w:r>
        <w:rPr>
          <w:b/>
        </w:rPr>
        <w:t>4.</w:t>
      </w:r>
      <w:r>
        <w:rPr>
          <w:b/>
        </w:rPr>
        <w:tab/>
        <w:t>Analyses and Results</w:t>
      </w:r>
    </w:p>
    <w:p w14:paraId="5A124F58" w14:textId="7CAA0121" w:rsidR="00DE0C75" w:rsidRDefault="00DE0C75" w:rsidP="00A52803">
      <w:pPr>
        <w:pStyle w:val="Heading2"/>
        <w:spacing w:after="0" w:line="240" w:lineRule="auto"/>
        <w:ind w:left="100" w:hanging="14"/>
      </w:pPr>
      <w:r>
        <w:t xml:space="preserve">Table </w:t>
      </w:r>
      <w:r w:rsidR="00E03201">
        <w:t>3</w:t>
      </w:r>
      <w:r>
        <w:rPr>
          <w:b w:val="0"/>
        </w:rPr>
        <w:t xml:space="preserve">: </w:t>
      </w:r>
      <w:r>
        <w:t xml:space="preserve">Descriptive Statistics </w:t>
      </w:r>
    </w:p>
    <w:tbl>
      <w:tblPr>
        <w:tblStyle w:val="TableGrid0"/>
        <w:tblW w:w="11070" w:type="dxa"/>
        <w:tblInd w:w="-725" w:type="dxa"/>
        <w:tblBorders>
          <w:bottom w:val="single" w:sz="4" w:space="0" w:color="000000"/>
        </w:tblBorders>
        <w:tblLook w:val="04A0" w:firstRow="1" w:lastRow="0" w:firstColumn="1" w:lastColumn="0" w:noHBand="0" w:noVBand="1"/>
      </w:tblPr>
      <w:tblGrid>
        <w:gridCol w:w="1161"/>
        <w:gridCol w:w="925"/>
        <w:gridCol w:w="1097"/>
        <w:gridCol w:w="1133"/>
        <w:gridCol w:w="1011"/>
        <w:gridCol w:w="1503"/>
        <w:gridCol w:w="925"/>
        <w:gridCol w:w="1196"/>
        <w:gridCol w:w="1011"/>
        <w:gridCol w:w="1108"/>
      </w:tblGrid>
      <w:tr w:rsidR="00DE0C75" w:rsidRPr="0084767C" w14:paraId="5D188700" w14:textId="77777777" w:rsidTr="00DB2539">
        <w:tc>
          <w:tcPr>
            <w:tcW w:w="1161" w:type="dxa"/>
            <w:vMerge w:val="restart"/>
            <w:tcBorders>
              <w:right w:val="single" w:sz="4" w:space="0" w:color="000000"/>
            </w:tcBorders>
          </w:tcPr>
          <w:p w14:paraId="0B7AC0DC" w14:textId="77777777" w:rsidR="00DE0C75" w:rsidRPr="0084767C" w:rsidRDefault="00DE0C75" w:rsidP="00DB2539">
            <w:pPr>
              <w:spacing w:after="0" w:line="240" w:lineRule="auto"/>
              <w:ind w:left="0" w:right="0" w:firstLine="0"/>
              <w:jc w:val="center"/>
              <w:rPr>
                <w:sz w:val="22"/>
              </w:rPr>
            </w:pPr>
          </w:p>
        </w:tc>
        <w:tc>
          <w:tcPr>
            <w:tcW w:w="925" w:type="dxa"/>
            <w:tcBorders>
              <w:left w:val="single" w:sz="4" w:space="0" w:color="000000"/>
            </w:tcBorders>
          </w:tcPr>
          <w:p w14:paraId="7F455BE2" w14:textId="77777777" w:rsidR="00DE0C75" w:rsidRPr="0084767C" w:rsidRDefault="00DE0C75" w:rsidP="00DB2539">
            <w:pPr>
              <w:spacing w:after="0" w:line="240" w:lineRule="auto"/>
              <w:ind w:left="0" w:right="0" w:firstLine="0"/>
              <w:jc w:val="center"/>
              <w:rPr>
                <w:sz w:val="22"/>
              </w:rPr>
            </w:pPr>
            <w:r w:rsidRPr="0084767C">
              <w:rPr>
                <w:sz w:val="22"/>
              </w:rPr>
              <w:t>N</w:t>
            </w:r>
          </w:p>
        </w:tc>
        <w:tc>
          <w:tcPr>
            <w:tcW w:w="1097" w:type="dxa"/>
          </w:tcPr>
          <w:p w14:paraId="22E2F480" w14:textId="77777777" w:rsidR="00DE0C75" w:rsidRPr="0084767C" w:rsidRDefault="00DE0C75" w:rsidP="00DB2539">
            <w:pPr>
              <w:spacing w:after="0" w:line="240" w:lineRule="auto"/>
              <w:ind w:left="0" w:right="0" w:firstLine="0"/>
              <w:jc w:val="center"/>
              <w:rPr>
                <w:sz w:val="22"/>
              </w:rPr>
            </w:pPr>
            <w:r w:rsidRPr="0084767C">
              <w:rPr>
                <w:sz w:val="22"/>
              </w:rPr>
              <w:t>Minimum</w:t>
            </w:r>
          </w:p>
        </w:tc>
        <w:tc>
          <w:tcPr>
            <w:tcW w:w="1133" w:type="dxa"/>
          </w:tcPr>
          <w:p w14:paraId="77CA8EAA" w14:textId="77777777" w:rsidR="00DE0C75" w:rsidRPr="0084767C" w:rsidRDefault="00DE0C75" w:rsidP="00DB2539">
            <w:pPr>
              <w:spacing w:after="0" w:line="240" w:lineRule="auto"/>
              <w:ind w:left="0" w:right="0" w:firstLine="0"/>
              <w:jc w:val="center"/>
              <w:rPr>
                <w:sz w:val="22"/>
              </w:rPr>
            </w:pPr>
            <w:r w:rsidRPr="0084767C">
              <w:rPr>
                <w:sz w:val="22"/>
              </w:rPr>
              <w:t>Maximum</w:t>
            </w:r>
          </w:p>
        </w:tc>
        <w:tc>
          <w:tcPr>
            <w:tcW w:w="1011" w:type="dxa"/>
          </w:tcPr>
          <w:p w14:paraId="30D00A7E" w14:textId="77777777" w:rsidR="00DE0C75" w:rsidRPr="0084767C" w:rsidRDefault="00DE0C75" w:rsidP="00DB2539">
            <w:pPr>
              <w:spacing w:after="0" w:line="240" w:lineRule="auto"/>
              <w:ind w:left="0" w:right="0" w:firstLine="0"/>
              <w:jc w:val="center"/>
              <w:rPr>
                <w:sz w:val="22"/>
              </w:rPr>
            </w:pPr>
            <w:r w:rsidRPr="0084767C">
              <w:rPr>
                <w:sz w:val="22"/>
              </w:rPr>
              <w:t>Mean</w:t>
            </w:r>
          </w:p>
        </w:tc>
        <w:tc>
          <w:tcPr>
            <w:tcW w:w="1503" w:type="dxa"/>
          </w:tcPr>
          <w:p w14:paraId="382F4BA1" w14:textId="77777777" w:rsidR="00DE0C75" w:rsidRPr="0084767C" w:rsidRDefault="00DE0C75" w:rsidP="00DB2539">
            <w:pPr>
              <w:spacing w:after="0" w:line="240" w:lineRule="auto"/>
              <w:ind w:left="0" w:right="0" w:firstLine="0"/>
              <w:jc w:val="center"/>
              <w:rPr>
                <w:sz w:val="22"/>
              </w:rPr>
            </w:pPr>
            <w:r w:rsidRPr="0084767C">
              <w:rPr>
                <w:sz w:val="22"/>
              </w:rPr>
              <w:t>Std. Deviation</w:t>
            </w:r>
          </w:p>
        </w:tc>
        <w:tc>
          <w:tcPr>
            <w:tcW w:w="2121" w:type="dxa"/>
            <w:gridSpan w:val="2"/>
          </w:tcPr>
          <w:p w14:paraId="097540C0" w14:textId="77777777" w:rsidR="00DE0C75" w:rsidRPr="0084767C" w:rsidRDefault="00DE0C75" w:rsidP="00DB2539">
            <w:pPr>
              <w:spacing w:after="0" w:line="240" w:lineRule="auto"/>
              <w:ind w:left="0" w:right="0" w:firstLine="0"/>
              <w:jc w:val="center"/>
              <w:rPr>
                <w:sz w:val="22"/>
              </w:rPr>
            </w:pPr>
            <w:r w:rsidRPr="0084767C">
              <w:rPr>
                <w:sz w:val="22"/>
              </w:rPr>
              <w:t>Skewness</w:t>
            </w:r>
          </w:p>
        </w:tc>
        <w:tc>
          <w:tcPr>
            <w:tcW w:w="2119" w:type="dxa"/>
            <w:gridSpan w:val="2"/>
          </w:tcPr>
          <w:p w14:paraId="7241B062" w14:textId="77777777" w:rsidR="00DE0C75" w:rsidRPr="0084767C" w:rsidRDefault="00DE0C75" w:rsidP="00DB2539">
            <w:pPr>
              <w:spacing w:after="0" w:line="240" w:lineRule="auto"/>
              <w:ind w:left="0" w:right="0" w:firstLine="0"/>
              <w:jc w:val="center"/>
              <w:rPr>
                <w:sz w:val="22"/>
              </w:rPr>
            </w:pPr>
            <w:r w:rsidRPr="0084767C">
              <w:rPr>
                <w:sz w:val="22"/>
              </w:rPr>
              <w:t>Kurtosis</w:t>
            </w:r>
          </w:p>
        </w:tc>
      </w:tr>
      <w:tr w:rsidR="00DE0C75" w:rsidRPr="0084767C" w14:paraId="4678F4A1" w14:textId="77777777" w:rsidTr="00DB2539">
        <w:tc>
          <w:tcPr>
            <w:tcW w:w="1161" w:type="dxa"/>
            <w:vMerge/>
            <w:tcBorders>
              <w:bottom w:val="single" w:sz="4" w:space="0" w:color="000000"/>
              <w:right w:val="single" w:sz="4" w:space="0" w:color="000000"/>
            </w:tcBorders>
          </w:tcPr>
          <w:p w14:paraId="10FFFE51" w14:textId="77777777" w:rsidR="00DE0C75" w:rsidRPr="0084767C" w:rsidRDefault="00DE0C75" w:rsidP="00DB2539">
            <w:pPr>
              <w:spacing w:after="0" w:line="240" w:lineRule="auto"/>
              <w:ind w:left="0" w:right="0" w:firstLine="0"/>
              <w:jc w:val="center"/>
              <w:rPr>
                <w:sz w:val="22"/>
              </w:rPr>
            </w:pPr>
          </w:p>
        </w:tc>
        <w:tc>
          <w:tcPr>
            <w:tcW w:w="925" w:type="dxa"/>
            <w:tcBorders>
              <w:left w:val="single" w:sz="4" w:space="0" w:color="000000"/>
              <w:bottom w:val="single" w:sz="4" w:space="0" w:color="000000"/>
              <w:right w:val="single" w:sz="4" w:space="0" w:color="000000"/>
            </w:tcBorders>
          </w:tcPr>
          <w:p w14:paraId="47CC31CE" w14:textId="77777777" w:rsidR="00DE0C75" w:rsidRPr="0084767C" w:rsidRDefault="00DE0C75" w:rsidP="00DB2539">
            <w:pPr>
              <w:spacing w:after="0" w:line="240" w:lineRule="auto"/>
              <w:ind w:left="0" w:right="0" w:firstLine="0"/>
              <w:jc w:val="center"/>
              <w:rPr>
                <w:sz w:val="22"/>
              </w:rPr>
            </w:pPr>
            <w:r w:rsidRPr="0084767C">
              <w:rPr>
                <w:sz w:val="22"/>
              </w:rPr>
              <w:t>Statistic</w:t>
            </w:r>
          </w:p>
        </w:tc>
        <w:tc>
          <w:tcPr>
            <w:tcW w:w="1097" w:type="dxa"/>
            <w:tcBorders>
              <w:left w:val="single" w:sz="4" w:space="0" w:color="000000"/>
              <w:bottom w:val="single" w:sz="4" w:space="0" w:color="000000"/>
              <w:right w:val="single" w:sz="4" w:space="0" w:color="000000"/>
            </w:tcBorders>
          </w:tcPr>
          <w:p w14:paraId="7F9F9781" w14:textId="77777777" w:rsidR="00DE0C75" w:rsidRPr="0084767C" w:rsidRDefault="00DE0C75" w:rsidP="00DB2539">
            <w:pPr>
              <w:spacing w:after="0" w:line="240" w:lineRule="auto"/>
              <w:ind w:left="0" w:right="0" w:firstLine="0"/>
              <w:jc w:val="center"/>
              <w:rPr>
                <w:sz w:val="22"/>
              </w:rPr>
            </w:pPr>
            <w:r w:rsidRPr="0084767C">
              <w:rPr>
                <w:sz w:val="22"/>
              </w:rPr>
              <w:t>Statistic</w:t>
            </w:r>
          </w:p>
        </w:tc>
        <w:tc>
          <w:tcPr>
            <w:tcW w:w="1133" w:type="dxa"/>
            <w:tcBorders>
              <w:left w:val="single" w:sz="4" w:space="0" w:color="000000"/>
              <w:bottom w:val="single" w:sz="4" w:space="0" w:color="000000"/>
              <w:right w:val="single" w:sz="4" w:space="0" w:color="000000"/>
            </w:tcBorders>
          </w:tcPr>
          <w:p w14:paraId="288430BE" w14:textId="77777777" w:rsidR="00DE0C75" w:rsidRPr="0084767C" w:rsidRDefault="00DE0C75" w:rsidP="00DB2539">
            <w:pPr>
              <w:spacing w:after="0" w:line="240" w:lineRule="auto"/>
              <w:ind w:left="0" w:right="0" w:firstLine="0"/>
              <w:jc w:val="center"/>
              <w:rPr>
                <w:sz w:val="22"/>
              </w:rPr>
            </w:pPr>
            <w:r w:rsidRPr="0084767C">
              <w:rPr>
                <w:sz w:val="22"/>
              </w:rPr>
              <w:t>Statistic</w:t>
            </w:r>
          </w:p>
        </w:tc>
        <w:tc>
          <w:tcPr>
            <w:tcW w:w="1011" w:type="dxa"/>
            <w:tcBorders>
              <w:left w:val="single" w:sz="4" w:space="0" w:color="000000"/>
              <w:bottom w:val="single" w:sz="4" w:space="0" w:color="000000"/>
            </w:tcBorders>
          </w:tcPr>
          <w:p w14:paraId="724EACAE" w14:textId="77777777" w:rsidR="00DE0C75" w:rsidRPr="0084767C" w:rsidRDefault="00DE0C75" w:rsidP="00DB2539">
            <w:pPr>
              <w:spacing w:after="0" w:line="240" w:lineRule="auto"/>
              <w:ind w:left="0" w:right="0" w:firstLine="0"/>
              <w:jc w:val="center"/>
              <w:rPr>
                <w:sz w:val="22"/>
              </w:rPr>
            </w:pPr>
            <w:r w:rsidRPr="0084767C">
              <w:rPr>
                <w:sz w:val="22"/>
              </w:rPr>
              <w:t>Statistics</w:t>
            </w:r>
          </w:p>
        </w:tc>
        <w:tc>
          <w:tcPr>
            <w:tcW w:w="1503" w:type="dxa"/>
            <w:tcBorders>
              <w:bottom w:val="single" w:sz="4" w:space="0" w:color="000000"/>
            </w:tcBorders>
          </w:tcPr>
          <w:p w14:paraId="4F43903D" w14:textId="77777777" w:rsidR="00DE0C75" w:rsidRPr="0084767C" w:rsidRDefault="00DE0C75" w:rsidP="00DB2539">
            <w:pPr>
              <w:spacing w:after="0" w:line="240" w:lineRule="auto"/>
              <w:ind w:left="0" w:right="0" w:firstLine="0"/>
              <w:jc w:val="center"/>
              <w:rPr>
                <w:sz w:val="22"/>
              </w:rPr>
            </w:pPr>
            <w:r w:rsidRPr="0084767C">
              <w:rPr>
                <w:sz w:val="22"/>
              </w:rPr>
              <w:t>Statistics</w:t>
            </w:r>
          </w:p>
        </w:tc>
        <w:tc>
          <w:tcPr>
            <w:tcW w:w="925" w:type="dxa"/>
            <w:tcBorders>
              <w:bottom w:val="single" w:sz="4" w:space="0" w:color="000000"/>
            </w:tcBorders>
          </w:tcPr>
          <w:p w14:paraId="6E0145E8" w14:textId="77777777" w:rsidR="00DE0C75" w:rsidRPr="0084767C" w:rsidRDefault="00DE0C75" w:rsidP="00DB2539">
            <w:pPr>
              <w:spacing w:after="0" w:line="240" w:lineRule="auto"/>
              <w:ind w:left="0" w:right="0" w:firstLine="0"/>
              <w:jc w:val="center"/>
              <w:rPr>
                <w:sz w:val="22"/>
              </w:rPr>
            </w:pPr>
            <w:r w:rsidRPr="0084767C">
              <w:rPr>
                <w:sz w:val="22"/>
              </w:rPr>
              <w:t>Statistic</w:t>
            </w:r>
          </w:p>
        </w:tc>
        <w:tc>
          <w:tcPr>
            <w:tcW w:w="1196" w:type="dxa"/>
            <w:tcBorders>
              <w:bottom w:val="single" w:sz="4" w:space="0" w:color="000000"/>
            </w:tcBorders>
          </w:tcPr>
          <w:p w14:paraId="41E3B5A4" w14:textId="77777777" w:rsidR="00DE0C75" w:rsidRPr="0084767C" w:rsidRDefault="00DE0C75" w:rsidP="00DB2539">
            <w:pPr>
              <w:spacing w:after="0" w:line="240" w:lineRule="auto"/>
              <w:ind w:left="0" w:right="0" w:firstLine="0"/>
              <w:jc w:val="center"/>
              <w:rPr>
                <w:sz w:val="22"/>
              </w:rPr>
            </w:pPr>
            <w:r w:rsidRPr="0084767C">
              <w:rPr>
                <w:sz w:val="22"/>
              </w:rPr>
              <w:t xml:space="preserve">Std. Error </w:t>
            </w:r>
          </w:p>
        </w:tc>
        <w:tc>
          <w:tcPr>
            <w:tcW w:w="1011" w:type="dxa"/>
            <w:tcBorders>
              <w:bottom w:val="single" w:sz="4" w:space="0" w:color="000000"/>
              <w:right w:val="single" w:sz="4" w:space="0" w:color="000000"/>
            </w:tcBorders>
          </w:tcPr>
          <w:p w14:paraId="57BC1ED5" w14:textId="77777777" w:rsidR="00DE0C75" w:rsidRPr="0084767C" w:rsidRDefault="00DE0C75" w:rsidP="00DB2539">
            <w:pPr>
              <w:spacing w:after="0" w:line="240" w:lineRule="auto"/>
              <w:ind w:left="0" w:right="0" w:firstLine="0"/>
              <w:jc w:val="center"/>
              <w:rPr>
                <w:sz w:val="22"/>
              </w:rPr>
            </w:pPr>
            <w:r w:rsidRPr="0084767C">
              <w:rPr>
                <w:sz w:val="22"/>
              </w:rPr>
              <w:t>Statistics</w:t>
            </w:r>
          </w:p>
        </w:tc>
        <w:tc>
          <w:tcPr>
            <w:tcW w:w="1108" w:type="dxa"/>
            <w:tcBorders>
              <w:left w:val="single" w:sz="4" w:space="0" w:color="000000"/>
              <w:bottom w:val="single" w:sz="4" w:space="0" w:color="000000"/>
            </w:tcBorders>
          </w:tcPr>
          <w:p w14:paraId="66F7AB71" w14:textId="77777777" w:rsidR="00DE0C75" w:rsidRPr="0084767C" w:rsidRDefault="00DE0C75" w:rsidP="00DB2539">
            <w:pPr>
              <w:spacing w:after="0" w:line="240" w:lineRule="auto"/>
              <w:ind w:left="0" w:right="0" w:firstLine="0"/>
              <w:jc w:val="center"/>
              <w:rPr>
                <w:sz w:val="22"/>
              </w:rPr>
            </w:pPr>
            <w:r w:rsidRPr="0084767C">
              <w:rPr>
                <w:sz w:val="22"/>
              </w:rPr>
              <w:t>Std. Error</w:t>
            </w:r>
          </w:p>
        </w:tc>
      </w:tr>
      <w:tr w:rsidR="00DE0C75" w:rsidRPr="0084767C" w14:paraId="5FF75A9B" w14:textId="77777777" w:rsidTr="00DB2539">
        <w:tc>
          <w:tcPr>
            <w:tcW w:w="1161" w:type="dxa"/>
            <w:tcBorders>
              <w:top w:val="single" w:sz="4" w:space="0" w:color="000000"/>
              <w:left w:val="single" w:sz="4" w:space="0" w:color="000000"/>
              <w:bottom w:val="nil"/>
              <w:right w:val="single" w:sz="4" w:space="0" w:color="000000"/>
            </w:tcBorders>
          </w:tcPr>
          <w:p w14:paraId="294D9184" w14:textId="77777777" w:rsidR="00DE0C75" w:rsidRPr="0084767C" w:rsidRDefault="004502CF" w:rsidP="00DB2539">
            <w:pPr>
              <w:spacing w:after="0" w:line="240" w:lineRule="auto"/>
              <w:ind w:left="0" w:right="0" w:firstLine="0"/>
              <w:jc w:val="center"/>
              <w:rPr>
                <w:sz w:val="22"/>
              </w:rPr>
            </w:pPr>
            <w:r>
              <w:rPr>
                <w:sz w:val="22"/>
              </w:rPr>
              <w:t>AAS</w:t>
            </w:r>
          </w:p>
        </w:tc>
        <w:tc>
          <w:tcPr>
            <w:tcW w:w="925" w:type="dxa"/>
            <w:tcBorders>
              <w:top w:val="single" w:sz="4" w:space="0" w:color="000000"/>
              <w:left w:val="single" w:sz="4" w:space="0" w:color="000000"/>
              <w:bottom w:val="nil"/>
              <w:right w:val="single" w:sz="4" w:space="0" w:color="000000"/>
            </w:tcBorders>
          </w:tcPr>
          <w:p w14:paraId="1FD4444E" w14:textId="77777777" w:rsidR="00DE0C75" w:rsidRPr="0084767C" w:rsidRDefault="00DE0C75" w:rsidP="00DB2539">
            <w:pPr>
              <w:spacing w:after="0" w:line="240" w:lineRule="auto"/>
              <w:ind w:left="0" w:right="0" w:firstLine="0"/>
              <w:jc w:val="center"/>
              <w:rPr>
                <w:sz w:val="22"/>
              </w:rPr>
            </w:pPr>
            <w:r>
              <w:rPr>
                <w:sz w:val="22"/>
              </w:rPr>
              <w:t>349</w:t>
            </w:r>
          </w:p>
        </w:tc>
        <w:tc>
          <w:tcPr>
            <w:tcW w:w="1097" w:type="dxa"/>
            <w:tcBorders>
              <w:top w:val="single" w:sz="4" w:space="0" w:color="000000"/>
              <w:left w:val="single" w:sz="4" w:space="0" w:color="000000"/>
              <w:bottom w:val="nil"/>
              <w:right w:val="single" w:sz="4" w:space="0" w:color="000000"/>
            </w:tcBorders>
          </w:tcPr>
          <w:p w14:paraId="2D4D2586" w14:textId="77777777" w:rsidR="00DE0C75" w:rsidRPr="0084767C" w:rsidRDefault="004502CF" w:rsidP="00DB2539">
            <w:pPr>
              <w:spacing w:after="0" w:line="240" w:lineRule="auto"/>
              <w:ind w:left="0" w:right="0" w:firstLine="0"/>
              <w:jc w:val="center"/>
              <w:rPr>
                <w:sz w:val="22"/>
              </w:rPr>
            </w:pPr>
            <w:r>
              <w:rPr>
                <w:sz w:val="22"/>
              </w:rPr>
              <w:t>9</w:t>
            </w:r>
            <w:r w:rsidR="00DE0C75">
              <w:rPr>
                <w:sz w:val="22"/>
              </w:rPr>
              <w:t>.00</w:t>
            </w:r>
          </w:p>
        </w:tc>
        <w:tc>
          <w:tcPr>
            <w:tcW w:w="1133" w:type="dxa"/>
            <w:tcBorders>
              <w:top w:val="single" w:sz="4" w:space="0" w:color="000000"/>
              <w:left w:val="single" w:sz="4" w:space="0" w:color="000000"/>
              <w:bottom w:val="nil"/>
              <w:right w:val="single" w:sz="4" w:space="0" w:color="000000"/>
            </w:tcBorders>
          </w:tcPr>
          <w:p w14:paraId="03A56092" w14:textId="0264DC36" w:rsidR="00DE0C75" w:rsidRPr="0084767C" w:rsidRDefault="00C20E72" w:rsidP="00DB2539">
            <w:pPr>
              <w:spacing w:after="0" w:line="240" w:lineRule="auto"/>
              <w:ind w:left="0" w:right="0" w:firstLine="0"/>
              <w:jc w:val="center"/>
              <w:rPr>
                <w:sz w:val="22"/>
              </w:rPr>
            </w:pPr>
            <w:r>
              <w:rPr>
                <w:sz w:val="22"/>
              </w:rPr>
              <w:t>20</w:t>
            </w:r>
            <w:r w:rsidR="00DE0C75">
              <w:rPr>
                <w:sz w:val="22"/>
              </w:rPr>
              <w:t>.00</w:t>
            </w:r>
          </w:p>
        </w:tc>
        <w:tc>
          <w:tcPr>
            <w:tcW w:w="1011" w:type="dxa"/>
            <w:tcBorders>
              <w:top w:val="single" w:sz="4" w:space="0" w:color="000000"/>
              <w:left w:val="single" w:sz="4" w:space="0" w:color="000000"/>
              <w:bottom w:val="nil"/>
              <w:right w:val="single" w:sz="4" w:space="0" w:color="000000"/>
            </w:tcBorders>
          </w:tcPr>
          <w:p w14:paraId="7A76812D" w14:textId="77777777" w:rsidR="00DE0C75" w:rsidRPr="0084767C" w:rsidRDefault="004502CF" w:rsidP="00DB2539">
            <w:pPr>
              <w:spacing w:after="0" w:line="240" w:lineRule="auto"/>
              <w:ind w:left="0" w:right="0" w:firstLine="0"/>
              <w:jc w:val="center"/>
              <w:rPr>
                <w:sz w:val="22"/>
              </w:rPr>
            </w:pPr>
            <w:r>
              <w:rPr>
                <w:sz w:val="22"/>
              </w:rPr>
              <w:t>16.7880</w:t>
            </w:r>
          </w:p>
        </w:tc>
        <w:tc>
          <w:tcPr>
            <w:tcW w:w="1503" w:type="dxa"/>
            <w:tcBorders>
              <w:top w:val="single" w:sz="4" w:space="0" w:color="000000"/>
              <w:left w:val="single" w:sz="4" w:space="0" w:color="000000"/>
              <w:bottom w:val="nil"/>
              <w:right w:val="single" w:sz="4" w:space="0" w:color="000000"/>
            </w:tcBorders>
          </w:tcPr>
          <w:p w14:paraId="2F4687C5" w14:textId="77777777" w:rsidR="00DE0C75" w:rsidRPr="0084767C" w:rsidRDefault="004502CF" w:rsidP="00DB2539">
            <w:pPr>
              <w:spacing w:after="0" w:line="240" w:lineRule="auto"/>
              <w:ind w:left="0" w:right="0" w:firstLine="0"/>
              <w:jc w:val="center"/>
              <w:rPr>
                <w:sz w:val="22"/>
              </w:rPr>
            </w:pPr>
            <w:r>
              <w:rPr>
                <w:sz w:val="22"/>
              </w:rPr>
              <w:t>2.08326</w:t>
            </w:r>
          </w:p>
        </w:tc>
        <w:tc>
          <w:tcPr>
            <w:tcW w:w="925" w:type="dxa"/>
            <w:tcBorders>
              <w:top w:val="single" w:sz="4" w:space="0" w:color="000000"/>
              <w:left w:val="single" w:sz="4" w:space="0" w:color="000000"/>
              <w:bottom w:val="nil"/>
              <w:right w:val="single" w:sz="4" w:space="0" w:color="000000"/>
            </w:tcBorders>
          </w:tcPr>
          <w:p w14:paraId="3FD3641D" w14:textId="77777777" w:rsidR="00DE0C75" w:rsidRPr="0084767C" w:rsidRDefault="004502CF" w:rsidP="00DB2539">
            <w:pPr>
              <w:spacing w:after="0" w:line="240" w:lineRule="auto"/>
              <w:ind w:left="0" w:right="0" w:firstLine="0"/>
              <w:jc w:val="center"/>
              <w:rPr>
                <w:sz w:val="22"/>
              </w:rPr>
            </w:pPr>
            <w:r>
              <w:rPr>
                <w:sz w:val="22"/>
              </w:rPr>
              <w:t>-.182</w:t>
            </w:r>
          </w:p>
        </w:tc>
        <w:tc>
          <w:tcPr>
            <w:tcW w:w="1196" w:type="dxa"/>
            <w:tcBorders>
              <w:top w:val="single" w:sz="4" w:space="0" w:color="000000"/>
              <w:left w:val="single" w:sz="4" w:space="0" w:color="000000"/>
              <w:bottom w:val="nil"/>
              <w:right w:val="single" w:sz="4" w:space="0" w:color="000000"/>
            </w:tcBorders>
          </w:tcPr>
          <w:p w14:paraId="2BB47451" w14:textId="77777777" w:rsidR="00DE0C75" w:rsidRPr="0084767C" w:rsidRDefault="00DE0C75" w:rsidP="00DB2539">
            <w:pPr>
              <w:spacing w:after="0" w:line="240" w:lineRule="auto"/>
              <w:ind w:left="0" w:right="0" w:firstLine="0"/>
              <w:jc w:val="center"/>
              <w:rPr>
                <w:sz w:val="22"/>
              </w:rPr>
            </w:pPr>
            <w:r>
              <w:rPr>
                <w:sz w:val="22"/>
              </w:rPr>
              <w:t>.131</w:t>
            </w:r>
          </w:p>
        </w:tc>
        <w:tc>
          <w:tcPr>
            <w:tcW w:w="1011" w:type="dxa"/>
            <w:tcBorders>
              <w:top w:val="single" w:sz="4" w:space="0" w:color="000000"/>
              <w:left w:val="single" w:sz="4" w:space="0" w:color="000000"/>
              <w:bottom w:val="nil"/>
              <w:right w:val="single" w:sz="4" w:space="0" w:color="000000"/>
            </w:tcBorders>
          </w:tcPr>
          <w:p w14:paraId="44DF21B7" w14:textId="77777777" w:rsidR="00DE0C75" w:rsidRPr="0084767C" w:rsidRDefault="004502CF" w:rsidP="00DB2539">
            <w:pPr>
              <w:spacing w:after="0" w:line="240" w:lineRule="auto"/>
              <w:ind w:left="0" w:right="0" w:firstLine="0"/>
              <w:jc w:val="center"/>
              <w:rPr>
                <w:sz w:val="22"/>
              </w:rPr>
            </w:pPr>
            <w:r>
              <w:rPr>
                <w:sz w:val="22"/>
              </w:rPr>
              <w:t>-.647</w:t>
            </w:r>
          </w:p>
        </w:tc>
        <w:tc>
          <w:tcPr>
            <w:tcW w:w="1108" w:type="dxa"/>
            <w:tcBorders>
              <w:top w:val="single" w:sz="4" w:space="0" w:color="000000"/>
              <w:left w:val="single" w:sz="4" w:space="0" w:color="000000"/>
              <w:bottom w:val="nil"/>
              <w:right w:val="single" w:sz="4" w:space="0" w:color="000000"/>
            </w:tcBorders>
          </w:tcPr>
          <w:p w14:paraId="3F1D3E99" w14:textId="77777777" w:rsidR="00DE0C75" w:rsidRPr="0084767C" w:rsidRDefault="00DE0C75" w:rsidP="00DB2539">
            <w:pPr>
              <w:spacing w:after="0" w:line="240" w:lineRule="auto"/>
              <w:ind w:left="0" w:right="0" w:firstLine="0"/>
              <w:jc w:val="center"/>
              <w:rPr>
                <w:sz w:val="22"/>
              </w:rPr>
            </w:pPr>
            <w:r>
              <w:rPr>
                <w:sz w:val="22"/>
              </w:rPr>
              <w:t>.260</w:t>
            </w:r>
          </w:p>
        </w:tc>
      </w:tr>
      <w:tr w:rsidR="00DE0C75" w:rsidRPr="0084767C" w14:paraId="798D2FDF" w14:textId="77777777" w:rsidTr="00DB2539">
        <w:tc>
          <w:tcPr>
            <w:tcW w:w="1161" w:type="dxa"/>
            <w:tcBorders>
              <w:top w:val="nil"/>
              <w:left w:val="single" w:sz="4" w:space="0" w:color="000000"/>
              <w:bottom w:val="nil"/>
              <w:right w:val="single" w:sz="4" w:space="0" w:color="000000"/>
            </w:tcBorders>
          </w:tcPr>
          <w:p w14:paraId="2F5BE325" w14:textId="77777777" w:rsidR="00DE0C75" w:rsidRDefault="004502CF" w:rsidP="00DB2539">
            <w:pPr>
              <w:spacing w:after="0" w:line="240" w:lineRule="auto"/>
              <w:ind w:left="0" w:right="0" w:firstLine="0"/>
              <w:jc w:val="center"/>
              <w:rPr>
                <w:sz w:val="22"/>
              </w:rPr>
            </w:pPr>
            <w:r>
              <w:rPr>
                <w:sz w:val="22"/>
              </w:rPr>
              <w:t>FI</w:t>
            </w:r>
            <w:r w:rsidR="00DE0C75">
              <w:rPr>
                <w:sz w:val="22"/>
              </w:rPr>
              <w:t>S</w:t>
            </w:r>
          </w:p>
        </w:tc>
        <w:tc>
          <w:tcPr>
            <w:tcW w:w="925" w:type="dxa"/>
            <w:tcBorders>
              <w:top w:val="nil"/>
              <w:left w:val="single" w:sz="4" w:space="0" w:color="000000"/>
              <w:bottom w:val="nil"/>
              <w:right w:val="single" w:sz="4" w:space="0" w:color="000000"/>
            </w:tcBorders>
          </w:tcPr>
          <w:p w14:paraId="7325DF6D" w14:textId="77777777" w:rsidR="00DE0C75" w:rsidRDefault="00DE0C75" w:rsidP="00DB2539">
            <w:pPr>
              <w:spacing w:after="0" w:line="240" w:lineRule="auto"/>
              <w:ind w:left="0" w:right="0" w:firstLine="0"/>
              <w:jc w:val="center"/>
              <w:rPr>
                <w:sz w:val="22"/>
              </w:rPr>
            </w:pPr>
            <w:r>
              <w:rPr>
                <w:sz w:val="22"/>
              </w:rPr>
              <w:t>349</w:t>
            </w:r>
          </w:p>
        </w:tc>
        <w:tc>
          <w:tcPr>
            <w:tcW w:w="1097" w:type="dxa"/>
            <w:tcBorders>
              <w:top w:val="nil"/>
              <w:left w:val="single" w:sz="4" w:space="0" w:color="000000"/>
              <w:bottom w:val="nil"/>
              <w:right w:val="single" w:sz="4" w:space="0" w:color="000000"/>
            </w:tcBorders>
          </w:tcPr>
          <w:p w14:paraId="0EF94266" w14:textId="77777777" w:rsidR="00DE0C75" w:rsidRDefault="004502CF" w:rsidP="00DB2539">
            <w:pPr>
              <w:spacing w:after="0" w:line="240" w:lineRule="auto"/>
              <w:ind w:left="0" w:right="0" w:firstLine="0"/>
              <w:jc w:val="center"/>
              <w:rPr>
                <w:sz w:val="22"/>
              </w:rPr>
            </w:pPr>
            <w:r>
              <w:rPr>
                <w:sz w:val="22"/>
              </w:rPr>
              <w:t>7</w:t>
            </w:r>
            <w:r w:rsidR="00DE0C75">
              <w:rPr>
                <w:sz w:val="22"/>
              </w:rPr>
              <w:t>.00</w:t>
            </w:r>
          </w:p>
        </w:tc>
        <w:tc>
          <w:tcPr>
            <w:tcW w:w="1133" w:type="dxa"/>
            <w:tcBorders>
              <w:top w:val="nil"/>
              <w:left w:val="single" w:sz="4" w:space="0" w:color="000000"/>
              <w:bottom w:val="nil"/>
              <w:right w:val="single" w:sz="4" w:space="0" w:color="000000"/>
            </w:tcBorders>
          </w:tcPr>
          <w:p w14:paraId="0B7508D1" w14:textId="77777777" w:rsidR="00DE0C75" w:rsidRDefault="004502CF" w:rsidP="00DB2539">
            <w:pPr>
              <w:spacing w:after="0" w:line="240" w:lineRule="auto"/>
              <w:ind w:left="0" w:right="0" w:firstLine="0"/>
              <w:jc w:val="center"/>
              <w:rPr>
                <w:sz w:val="22"/>
              </w:rPr>
            </w:pPr>
            <w:r>
              <w:rPr>
                <w:sz w:val="22"/>
              </w:rPr>
              <w:t>20</w:t>
            </w:r>
            <w:r w:rsidR="00DE0C75">
              <w:rPr>
                <w:sz w:val="22"/>
              </w:rPr>
              <w:t>.00</w:t>
            </w:r>
          </w:p>
        </w:tc>
        <w:tc>
          <w:tcPr>
            <w:tcW w:w="1011" w:type="dxa"/>
            <w:tcBorders>
              <w:top w:val="nil"/>
              <w:left w:val="single" w:sz="4" w:space="0" w:color="000000"/>
              <w:bottom w:val="nil"/>
              <w:right w:val="single" w:sz="4" w:space="0" w:color="000000"/>
            </w:tcBorders>
          </w:tcPr>
          <w:p w14:paraId="23DFF186" w14:textId="77777777" w:rsidR="00DE0C75" w:rsidRDefault="004502CF" w:rsidP="00DB2539">
            <w:pPr>
              <w:spacing w:after="0" w:line="240" w:lineRule="auto"/>
              <w:ind w:left="0" w:right="0" w:firstLine="0"/>
              <w:jc w:val="center"/>
              <w:rPr>
                <w:sz w:val="22"/>
              </w:rPr>
            </w:pPr>
            <w:r>
              <w:rPr>
                <w:sz w:val="22"/>
              </w:rPr>
              <w:t>15.5530</w:t>
            </w:r>
          </w:p>
        </w:tc>
        <w:tc>
          <w:tcPr>
            <w:tcW w:w="1503" w:type="dxa"/>
            <w:tcBorders>
              <w:top w:val="nil"/>
              <w:left w:val="single" w:sz="4" w:space="0" w:color="000000"/>
              <w:bottom w:val="nil"/>
              <w:right w:val="single" w:sz="4" w:space="0" w:color="000000"/>
            </w:tcBorders>
          </w:tcPr>
          <w:p w14:paraId="614172FA" w14:textId="77777777" w:rsidR="00DE0C75" w:rsidRDefault="004502CF" w:rsidP="00DB2539">
            <w:pPr>
              <w:spacing w:after="0" w:line="240" w:lineRule="auto"/>
              <w:ind w:left="0" w:right="0" w:firstLine="0"/>
              <w:jc w:val="center"/>
              <w:rPr>
                <w:sz w:val="22"/>
              </w:rPr>
            </w:pPr>
            <w:r>
              <w:rPr>
                <w:sz w:val="22"/>
              </w:rPr>
              <w:t>2.90376</w:t>
            </w:r>
          </w:p>
        </w:tc>
        <w:tc>
          <w:tcPr>
            <w:tcW w:w="925" w:type="dxa"/>
            <w:tcBorders>
              <w:top w:val="nil"/>
              <w:left w:val="single" w:sz="4" w:space="0" w:color="000000"/>
              <w:bottom w:val="nil"/>
              <w:right w:val="single" w:sz="4" w:space="0" w:color="000000"/>
            </w:tcBorders>
          </w:tcPr>
          <w:p w14:paraId="26E4BDBC" w14:textId="77777777" w:rsidR="00DE0C75" w:rsidRDefault="004502CF" w:rsidP="00DB2539">
            <w:pPr>
              <w:spacing w:after="0" w:line="240" w:lineRule="auto"/>
              <w:ind w:left="0" w:right="0" w:firstLine="0"/>
              <w:jc w:val="center"/>
              <w:rPr>
                <w:sz w:val="22"/>
              </w:rPr>
            </w:pPr>
            <w:r>
              <w:rPr>
                <w:sz w:val="22"/>
              </w:rPr>
              <w:t>-.795</w:t>
            </w:r>
          </w:p>
        </w:tc>
        <w:tc>
          <w:tcPr>
            <w:tcW w:w="1196" w:type="dxa"/>
            <w:tcBorders>
              <w:top w:val="nil"/>
              <w:left w:val="single" w:sz="4" w:space="0" w:color="000000"/>
              <w:bottom w:val="nil"/>
              <w:right w:val="single" w:sz="4" w:space="0" w:color="000000"/>
            </w:tcBorders>
          </w:tcPr>
          <w:p w14:paraId="304F91C4" w14:textId="77777777" w:rsidR="00DE0C75" w:rsidRDefault="00DE0C75" w:rsidP="00DB2539">
            <w:pPr>
              <w:spacing w:after="0" w:line="240" w:lineRule="auto"/>
              <w:ind w:left="0" w:right="0" w:firstLine="0"/>
              <w:jc w:val="center"/>
              <w:rPr>
                <w:sz w:val="22"/>
              </w:rPr>
            </w:pPr>
            <w:r>
              <w:rPr>
                <w:sz w:val="22"/>
              </w:rPr>
              <w:t>.131</w:t>
            </w:r>
          </w:p>
        </w:tc>
        <w:tc>
          <w:tcPr>
            <w:tcW w:w="1011" w:type="dxa"/>
            <w:tcBorders>
              <w:top w:val="nil"/>
              <w:left w:val="single" w:sz="4" w:space="0" w:color="000000"/>
              <w:bottom w:val="nil"/>
              <w:right w:val="single" w:sz="4" w:space="0" w:color="000000"/>
            </w:tcBorders>
          </w:tcPr>
          <w:p w14:paraId="7797D614" w14:textId="77777777" w:rsidR="00DE0C75" w:rsidRDefault="004502CF" w:rsidP="00DB2539">
            <w:pPr>
              <w:spacing w:after="0" w:line="240" w:lineRule="auto"/>
              <w:ind w:left="0" w:right="0" w:firstLine="0"/>
              <w:jc w:val="center"/>
              <w:rPr>
                <w:sz w:val="22"/>
              </w:rPr>
            </w:pPr>
            <w:r>
              <w:rPr>
                <w:sz w:val="22"/>
              </w:rPr>
              <w:t>1.120</w:t>
            </w:r>
          </w:p>
        </w:tc>
        <w:tc>
          <w:tcPr>
            <w:tcW w:w="1108" w:type="dxa"/>
            <w:tcBorders>
              <w:top w:val="nil"/>
              <w:left w:val="single" w:sz="4" w:space="0" w:color="000000"/>
              <w:bottom w:val="nil"/>
              <w:right w:val="single" w:sz="4" w:space="0" w:color="000000"/>
            </w:tcBorders>
          </w:tcPr>
          <w:p w14:paraId="16FCC138" w14:textId="77777777" w:rsidR="00DE0C75" w:rsidRDefault="00DE0C75" w:rsidP="00DB2539">
            <w:pPr>
              <w:spacing w:after="0" w:line="240" w:lineRule="auto"/>
              <w:ind w:left="0" w:right="0" w:firstLine="0"/>
              <w:jc w:val="center"/>
              <w:rPr>
                <w:sz w:val="22"/>
              </w:rPr>
            </w:pPr>
            <w:r>
              <w:rPr>
                <w:sz w:val="22"/>
              </w:rPr>
              <w:t>.260</w:t>
            </w:r>
          </w:p>
        </w:tc>
      </w:tr>
      <w:tr w:rsidR="00DE0C75" w:rsidRPr="0084767C" w14:paraId="2D6674C4" w14:textId="77777777" w:rsidTr="00DB2539">
        <w:tc>
          <w:tcPr>
            <w:tcW w:w="1161" w:type="dxa"/>
            <w:tcBorders>
              <w:top w:val="nil"/>
              <w:left w:val="single" w:sz="4" w:space="0" w:color="000000"/>
              <w:bottom w:val="nil"/>
              <w:right w:val="single" w:sz="4" w:space="0" w:color="000000"/>
            </w:tcBorders>
          </w:tcPr>
          <w:p w14:paraId="3872767F" w14:textId="77777777" w:rsidR="00DE0C75" w:rsidRDefault="00FA38A6" w:rsidP="00DB2539">
            <w:pPr>
              <w:spacing w:after="0" w:line="240" w:lineRule="auto"/>
              <w:ind w:left="0" w:right="0" w:firstLine="0"/>
              <w:jc w:val="center"/>
              <w:rPr>
                <w:sz w:val="22"/>
              </w:rPr>
            </w:pPr>
            <w:r>
              <w:rPr>
                <w:sz w:val="22"/>
              </w:rPr>
              <w:t>FMGT</w:t>
            </w:r>
          </w:p>
        </w:tc>
        <w:tc>
          <w:tcPr>
            <w:tcW w:w="925" w:type="dxa"/>
            <w:tcBorders>
              <w:top w:val="nil"/>
              <w:left w:val="single" w:sz="4" w:space="0" w:color="000000"/>
              <w:bottom w:val="nil"/>
              <w:right w:val="single" w:sz="4" w:space="0" w:color="000000"/>
            </w:tcBorders>
          </w:tcPr>
          <w:p w14:paraId="1A38C2FA" w14:textId="77777777" w:rsidR="00DE0C75" w:rsidRDefault="00DE0C75" w:rsidP="00DB2539">
            <w:pPr>
              <w:spacing w:after="0" w:line="240" w:lineRule="auto"/>
              <w:ind w:left="0" w:right="0" w:firstLine="0"/>
              <w:jc w:val="center"/>
              <w:rPr>
                <w:sz w:val="22"/>
              </w:rPr>
            </w:pPr>
            <w:r>
              <w:rPr>
                <w:sz w:val="22"/>
              </w:rPr>
              <w:t>349</w:t>
            </w:r>
          </w:p>
        </w:tc>
        <w:tc>
          <w:tcPr>
            <w:tcW w:w="1097" w:type="dxa"/>
            <w:tcBorders>
              <w:top w:val="nil"/>
              <w:left w:val="single" w:sz="4" w:space="0" w:color="000000"/>
              <w:bottom w:val="nil"/>
              <w:right w:val="single" w:sz="4" w:space="0" w:color="000000"/>
            </w:tcBorders>
          </w:tcPr>
          <w:p w14:paraId="0E9CA653" w14:textId="77777777" w:rsidR="00DE0C75" w:rsidRDefault="00DE0C75" w:rsidP="00DB2539">
            <w:pPr>
              <w:spacing w:after="0" w:line="240" w:lineRule="auto"/>
              <w:ind w:left="0" w:right="0" w:firstLine="0"/>
              <w:jc w:val="center"/>
              <w:rPr>
                <w:sz w:val="22"/>
              </w:rPr>
            </w:pPr>
            <w:r>
              <w:rPr>
                <w:sz w:val="22"/>
              </w:rPr>
              <w:t>11.00</w:t>
            </w:r>
          </w:p>
        </w:tc>
        <w:tc>
          <w:tcPr>
            <w:tcW w:w="1133" w:type="dxa"/>
            <w:tcBorders>
              <w:top w:val="nil"/>
              <w:left w:val="single" w:sz="4" w:space="0" w:color="000000"/>
              <w:bottom w:val="nil"/>
              <w:right w:val="single" w:sz="4" w:space="0" w:color="000000"/>
            </w:tcBorders>
          </w:tcPr>
          <w:p w14:paraId="2AA565CB" w14:textId="77777777" w:rsidR="00DE0C75" w:rsidRDefault="00DE0C75" w:rsidP="00DB2539">
            <w:pPr>
              <w:spacing w:after="0" w:line="240" w:lineRule="auto"/>
              <w:ind w:left="0" w:right="0" w:firstLine="0"/>
              <w:jc w:val="center"/>
              <w:rPr>
                <w:sz w:val="22"/>
              </w:rPr>
            </w:pPr>
            <w:r>
              <w:rPr>
                <w:sz w:val="22"/>
              </w:rPr>
              <w:t>28.00</w:t>
            </w:r>
          </w:p>
        </w:tc>
        <w:tc>
          <w:tcPr>
            <w:tcW w:w="1011" w:type="dxa"/>
            <w:tcBorders>
              <w:top w:val="nil"/>
              <w:left w:val="single" w:sz="4" w:space="0" w:color="000000"/>
              <w:bottom w:val="nil"/>
              <w:right w:val="single" w:sz="4" w:space="0" w:color="000000"/>
            </w:tcBorders>
          </w:tcPr>
          <w:p w14:paraId="263ED398" w14:textId="77777777" w:rsidR="00DE0C75" w:rsidRDefault="00DE0C75" w:rsidP="00DB2539">
            <w:pPr>
              <w:spacing w:after="0" w:line="240" w:lineRule="auto"/>
              <w:ind w:left="0" w:right="0" w:firstLine="0"/>
              <w:jc w:val="center"/>
              <w:rPr>
                <w:sz w:val="22"/>
              </w:rPr>
            </w:pPr>
            <w:r>
              <w:rPr>
                <w:sz w:val="22"/>
              </w:rPr>
              <w:t>22.7450</w:t>
            </w:r>
          </w:p>
        </w:tc>
        <w:tc>
          <w:tcPr>
            <w:tcW w:w="1503" w:type="dxa"/>
            <w:tcBorders>
              <w:top w:val="nil"/>
              <w:left w:val="single" w:sz="4" w:space="0" w:color="000000"/>
              <w:bottom w:val="nil"/>
              <w:right w:val="single" w:sz="4" w:space="0" w:color="000000"/>
            </w:tcBorders>
          </w:tcPr>
          <w:p w14:paraId="5348468F" w14:textId="77777777" w:rsidR="00DE0C75" w:rsidRDefault="00DE0C75" w:rsidP="00DB2539">
            <w:pPr>
              <w:spacing w:after="0" w:line="240" w:lineRule="auto"/>
              <w:ind w:left="0" w:right="0" w:firstLine="0"/>
              <w:jc w:val="center"/>
              <w:rPr>
                <w:sz w:val="22"/>
              </w:rPr>
            </w:pPr>
            <w:r>
              <w:rPr>
                <w:sz w:val="22"/>
              </w:rPr>
              <w:t>2.97514</w:t>
            </w:r>
          </w:p>
        </w:tc>
        <w:tc>
          <w:tcPr>
            <w:tcW w:w="925" w:type="dxa"/>
            <w:tcBorders>
              <w:top w:val="nil"/>
              <w:left w:val="single" w:sz="4" w:space="0" w:color="000000"/>
              <w:bottom w:val="nil"/>
              <w:right w:val="single" w:sz="4" w:space="0" w:color="000000"/>
            </w:tcBorders>
          </w:tcPr>
          <w:p w14:paraId="16C7BBB6" w14:textId="77777777" w:rsidR="00DE0C75" w:rsidRDefault="00DE0C75" w:rsidP="00DB2539">
            <w:pPr>
              <w:spacing w:after="0" w:line="240" w:lineRule="auto"/>
              <w:ind w:left="0" w:right="0" w:firstLine="0"/>
              <w:jc w:val="center"/>
              <w:rPr>
                <w:sz w:val="22"/>
              </w:rPr>
            </w:pPr>
            <w:r>
              <w:rPr>
                <w:sz w:val="22"/>
              </w:rPr>
              <w:t>-.643</w:t>
            </w:r>
          </w:p>
        </w:tc>
        <w:tc>
          <w:tcPr>
            <w:tcW w:w="1196" w:type="dxa"/>
            <w:tcBorders>
              <w:top w:val="nil"/>
              <w:left w:val="single" w:sz="4" w:space="0" w:color="000000"/>
              <w:bottom w:val="nil"/>
              <w:right w:val="single" w:sz="4" w:space="0" w:color="000000"/>
            </w:tcBorders>
          </w:tcPr>
          <w:p w14:paraId="0778EDD7" w14:textId="77777777" w:rsidR="00DE0C75" w:rsidRDefault="00DE0C75" w:rsidP="00DB2539">
            <w:pPr>
              <w:spacing w:after="0" w:line="240" w:lineRule="auto"/>
              <w:ind w:left="0" w:right="0" w:firstLine="0"/>
              <w:jc w:val="center"/>
              <w:rPr>
                <w:sz w:val="22"/>
              </w:rPr>
            </w:pPr>
            <w:r>
              <w:rPr>
                <w:sz w:val="22"/>
              </w:rPr>
              <w:t>.131</w:t>
            </w:r>
          </w:p>
        </w:tc>
        <w:tc>
          <w:tcPr>
            <w:tcW w:w="1011" w:type="dxa"/>
            <w:tcBorders>
              <w:top w:val="nil"/>
              <w:left w:val="single" w:sz="4" w:space="0" w:color="000000"/>
              <w:bottom w:val="nil"/>
              <w:right w:val="single" w:sz="4" w:space="0" w:color="000000"/>
            </w:tcBorders>
          </w:tcPr>
          <w:p w14:paraId="454917D6" w14:textId="77777777" w:rsidR="00DE0C75" w:rsidRDefault="00DE0C75" w:rsidP="00DB2539">
            <w:pPr>
              <w:spacing w:after="0" w:line="240" w:lineRule="auto"/>
              <w:ind w:left="0" w:right="0" w:firstLine="0"/>
              <w:jc w:val="center"/>
              <w:rPr>
                <w:sz w:val="22"/>
              </w:rPr>
            </w:pPr>
            <w:r>
              <w:rPr>
                <w:sz w:val="22"/>
              </w:rPr>
              <w:t>.955</w:t>
            </w:r>
          </w:p>
        </w:tc>
        <w:tc>
          <w:tcPr>
            <w:tcW w:w="1108" w:type="dxa"/>
            <w:tcBorders>
              <w:top w:val="nil"/>
              <w:left w:val="single" w:sz="4" w:space="0" w:color="000000"/>
              <w:bottom w:val="nil"/>
              <w:right w:val="single" w:sz="4" w:space="0" w:color="000000"/>
            </w:tcBorders>
          </w:tcPr>
          <w:p w14:paraId="20245891" w14:textId="77777777" w:rsidR="00DE0C75" w:rsidRDefault="00DE0C75" w:rsidP="00DB2539">
            <w:pPr>
              <w:spacing w:after="0" w:line="240" w:lineRule="auto"/>
              <w:ind w:left="0" w:right="0" w:firstLine="0"/>
              <w:jc w:val="center"/>
              <w:rPr>
                <w:sz w:val="22"/>
              </w:rPr>
            </w:pPr>
            <w:r>
              <w:rPr>
                <w:sz w:val="22"/>
              </w:rPr>
              <w:t>.260</w:t>
            </w:r>
          </w:p>
        </w:tc>
      </w:tr>
      <w:tr w:rsidR="00DE0C75" w:rsidRPr="0084767C" w14:paraId="58C3FFC3" w14:textId="77777777" w:rsidTr="00DB2539">
        <w:tc>
          <w:tcPr>
            <w:tcW w:w="1161" w:type="dxa"/>
            <w:tcBorders>
              <w:top w:val="nil"/>
              <w:left w:val="single" w:sz="4" w:space="0" w:color="000000"/>
              <w:bottom w:val="single" w:sz="4" w:space="0" w:color="000000"/>
              <w:right w:val="single" w:sz="4" w:space="0" w:color="000000"/>
            </w:tcBorders>
          </w:tcPr>
          <w:p w14:paraId="4E9A3E9F" w14:textId="77777777" w:rsidR="00DE0C75" w:rsidRDefault="00DE0C75" w:rsidP="00DB2539">
            <w:pPr>
              <w:spacing w:after="0" w:line="240" w:lineRule="auto"/>
              <w:ind w:left="0" w:right="0" w:firstLine="0"/>
              <w:jc w:val="center"/>
              <w:rPr>
                <w:sz w:val="22"/>
              </w:rPr>
            </w:pPr>
            <w:r>
              <w:rPr>
                <w:sz w:val="22"/>
              </w:rPr>
              <w:t>Valid N (listwise)</w:t>
            </w:r>
          </w:p>
        </w:tc>
        <w:tc>
          <w:tcPr>
            <w:tcW w:w="925" w:type="dxa"/>
            <w:tcBorders>
              <w:top w:val="nil"/>
              <w:left w:val="single" w:sz="4" w:space="0" w:color="000000"/>
              <w:bottom w:val="single" w:sz="4" w:space="0" w:color="000000"/>
              <w:right w:val="single" w:sz="4" w:space="0" w:color="000000"/>
            </w:tcBorders>
          </w:tcPr>
          <w:p w14:paraId="0E61352D" w14:textId="77777777" w:rsidR="00DE0C75" w:rsidRDefault="00DE0C75" w:rsidP="00DB2539">
            <w:pPr>
              <w:spacing w:after="0" w:line="240" w:lineRule="auto"/>
              <w:ind w:left="0" w:right="0" w:firstLine="0"/>
              <w:jc w:val="center"/>
              <w:rPr>
                <w:sz w:val="22"/>
              </w:rPr>
            </w:pPr>
            <w:r>
              <w:rPr>
                <w:sz w:val="22"/>
              </w:rPr>
              <w:t>349</w:t>
            </w:r>
          </w:p>
        </w:tc>
        <w:tc>
          <w:tcPr>
            <w:tcW w:w="1097" w:type="dxa"/>
            <w:tcBorders>
              <w:top w:val="nil"/>
              <w:left w:val="single" w:sz="4" w:space="0" w:color="000000"/>
              <w:bottom w:val="single" w:sz="4" w:space="0" w:color="000000"/>
              <w:right w:val="single" w:sz="4" w:space="0" w:color="000000"/>
            </w:tcBorders>
          </w:tcPr>
          <w:p w14:paraId="4241C9E7" w14:textId="77777777" w:rsidR="00DE0C75" w:rsidRDefault="00DE0C75" w:rsidP="00DB2539">
            <w:pPr>
              <w:spacing w:after="0" w:line="240" w:lineRule="auto"/>
              <w:ind w:left="0" w:right="0" w:firstLine="0"/>
              <w:jc w:val="center"/>
              <w:rPr>
                <w:sz w:val="22"/>
              </w:rPr>
            </w:pPr>
          </w:p>
        </w:tc>
        <w:tc>
          <w:tcPr>
            <w:tcW w:w="1133" w:type="dxa"/>
            <w:tcBorders>
              <w:top w:val="nil"/>
              <w:left w:val="single" w:sz="4" w:space="0" w:color="000000"/>
              <w:bottom w:val="single" w:sz="4" w:space="0" w:color="000000"/>
              <w:right w:val="single" w:sz="4" w:space="0" w:color="000000"/>
            </w:tcBorders>
          </w:tcPr>
          <w:p w14:paraId="70EB727D" w14:textId="77777777" w:rsidR="00DE0C75" w:rsidRDefault="00DE0C75" w:rsidP="00DB2539">
            <w:pPr>
              <w:spacing w:after="0" w:line="240" w:lineRule="auto"/>
              <w:ind w:left="0" w:right="0" w:firstLine="0"/>
              <w:jc w:val="center"/>
              <w:rPr>
                <w:sz w:val="22"/>
              </w:rPr>
            </w:pPr>
          </w:p>
        </w:tc>
        <w:tc>
          <w:tcPr>
            <w:tcW w:w="1011" w:type="dxa"/>
            <w:tcBorders>
              <w:top w:val="nil"/>
              <w:left w:val="single" w:sz="4" w:space="0" w:color="000000"/>
              <w:bottom w:val="single" w:sz="4" w:space="0" w:color="000000"/>
              <w:right w:val="single" w:sz="4" w:space="0" w:color="000000"/>
            </w:tcBorders>
          </w:tcPr>
          <w:p w14:paraId="139421DE" w14:textId="77777777" w:rsidR="00DE0C75" w:rsidRDefault="00DE0C75" w:rsidP="00DB2539">
            <w:pPr>
              <w:spacing w:after="0" w:line="240" w:lineRule="auto"/>
              <w:ind w:left="0" w:right="0" w:firstLine="0"/>
              <w:jc w:val="center"/>
              <w:rPr>
                <w:sz w:val="22"/>
              </w:rPr>
            </w:pPr>
          </w:p>
        </w:tc>
        <w:tc>
          <w:tcPr>
            <w:tcW w:w="1503" w:type="dxa"/>
            <w:tcBorders>
              <w:top w:val="nil"/>
              <w:left w:val="single" w:sz="4" w:space="0" w:color="000000"/>
              <w:bottom w:val="single" w:sz="4" w:space="0" w:color="000000"/>
              <w:right w:val="single" w:sz="4" w:space="0" w:color="000000"/>
            </w:tcBorders>
          </w:tcPr>
          <w:p w14:paraId="34E41040" w14:textId="77777777" w:rsidR="00DE0C75" w:rsidRDefault="00DE0C75" w:rsidP="00DB2539">
            <w:pPr>
              <w:spacing w:after="0" w:line="240" w:lineRule="auto"/>
              <w:ind w:left="0" w:right="0" w:firstLine="0"/>
              <w:jc w:val="center"/>
              <w:rPr>
                <w:sz w:val="22"/>
              </w:rPr>
            </w:pPr>
          </w:p>
        </w:tc>
        <w:tc>
          <w:tcPr>
            <w:tcW w:w="925" w:type="dxa"/>
            <w:tcBorders>
              <w:top w:val="nil"/>
              <w:left w:val="single" w:sz="4" w:space="0" w:color="000000"/>
              <w:bottom w:val="single" w:sz="4" w:space="0" w:color="000000"/>
              <w:right w:val="single" w:sz="4" w:space="0" w:color="000000"/>
            </w:tcBorders>
          </w:tcPr>
          <w:p w14:paraId="2C502F7B" w14:textId="77777777" w:rsidR="00DE0C75" w:rsidRDefault="00DE0C75" w:rsidP="00DB2539">
            <w:pPr>
              <w:spacing w:after="0" w:line="240" w:lineRule="auto"/>
              <w:ind w:left="0" w:right="0" w:firstLine="0"/>
              <w:jc w:val="center"/>
              <w:rPr>
                <w:sz w:val="22"/>
              </w:rPr>
            </w:pPr>
          </w:p>
        </w:tc>
        <w:tc>
          <w:tcPr>
            <w:tcW w:w="1196" w:type="dxa"/>
            <w:tcBorders>
              <w:top w:val="nil"/>
              <w:left w:val="single" w:sz="4" w:space="0" w:color="000000"/>
              <w:bottom w:val="single" w:sz="4" w:space="0" w:color="000000"/>
              <w:right w:val="single" w:sz="4" w:space="0" w:color="000000"/>
            </w:tcBorders>
          </w:tcPr>
          <w:p w14:paraId="1B3A5F6C" w14:textId="77777777" w:rsidR="00DE0C75" w:rsidRDefault="00DE0C75" w:rsidP="00DB2539">
            <w:pPr>
              <w:spacing w:after="0" w:line="240" w:lineRule="auto"/>
              <w:ind w:left="0" w:right="0" w:firstLine="0"/>
              <w:jc w:val="center"/>
              <w:rPr>
                <w:sz w:val="22"/>
              </w:rPr>
            </w:pPr>
          </w:p>
        </w:tc>
        <w:tc>
          <w:tcPr>
            <w:tcW w:w="1011" w:type="dxa"/>
            <w:tcBorders>
              <w:top w:val="nil"/>
              <w:left w:val="single" w:sz="4" w:space="0" w:color="000000"/>
              <w:bottom w:val="single" w:sz="4" w:space="0" w:color="000000"/>
              <w:right w:val="single" w:sz="4" w:space="0" w:color="000000"/>
            </w:tcBorders>
          </w:tcPr>
          <w:p w14:paraId="296B6EA1" w14:textId="77777777" w:rsidR="00DE0C75" w:rsidRDefault="00DE0C75" w:rsidP="00DB2539">
            <w:pPr>
              <w:spacing w:after="0" w:line="240" w:lineRule="auto"/>
              <w:ind w:left="0" w:right="0" w:firstLine="0"/>
              <w:jc w:val="center"/>
              <w:rPr>
                <w:sz w:val="22"/>
              </w:rPr>
            </w:pPr>
          </w:p>
        </w:tc>
        <w:tc>
          <w:tcPr>
            <w:tcW w:w="1108" w:type="dxa"/>
            <w:tcBorders>
              <w:top w:val="nil"/>
              <w:left w:val="single" w:sz="4" w:space="0" w:color="000000"/>
              <w:bottom w:val="single" w:sz="4" w:space="0" w:color="000000"/>
              <w:right w:val="single" w:sz="4" w:space="0" w:color="000000"/>
            </w:tcBorders>
          </w:tcPr>
          <w:p w14:paraId="197FD967" w14:textId="77777777" w:rsidR="00DE0C75" w:rsidRDefault="00DE0C75" w:rsidP="00DB2539">
            <w:pPr>
              <w:spacing w:after="0" w:line="240" w:lineRule="auto"/>
              <w:ind w:left="0" w:right="0" w:firstLine="0"/>
              <w:jc w:val="center"/>
              <w:rPr>
                <w:sz w:val="22"/>
              </w:rPr>
            </w:pPr>
          </w:p>
        </w:tc>
      </w:tr>
    </w:tbl>
    <w:p w14:paraId="7237B048" w14:textId="77777777" w:rsidR="00722E2D" w:rsidRDefault="00DE0C75" w:rsidP="00722E2D">
      <w:pPr>
        <w:spacing w:after="120" w:line="240" w:lineRule="auto"/>
        <w:ind w:left="0" w:right="0" w:firstLine="0"/>
        <w:rPr>
          <w:color w:val="auto"/>
          <w:szCs w:val="24"/>
        </w:rPr>
      </w:pPr>
      <w:r w:rsidRPr="00722E2D">
        <w:rPr>
          <w:color w:val="auto"/>
          <w:szCs w:val="24"/>
        </w:rPr>
        <w:t>Source</w:t>
      </w:r>
      <w:r w:rsidRPr="00722E2D">
        <w:rPr>
          <w:b/>
          <w:bCs/>
          <w:color w:val="auto"/>
          <w:szCs w:val="24"/>
        </w:rPr>
        <w:t>:</w:t>
      </w:r>
      <w:r w:rsidRPr="00722E2D">
        <w:rPr>
          <w:color w:val="auto"/>
          <w:szCs w:val="24"/>
        </w:rPr>
        <w:t xml:space="preserve"> Author’s Output 2024, SPSS Version 23</w:t>
      </w:r>
    </w:p>
    <w:p w14:paraId="5D72AF31" w14:textId="0777B8C9" w:rsidR="00722E2D" w:rsidRPr="00722E2D" w:rsidRDefault="00722E2D" w:rsidP="00722E2D">
      <w:pPr>
        <w:spacing w:after="120" w:line="240" w:lineRule="auto"/>
        <w:ind w:left="0" w:right="0" w:firstLine="0"/>
        <w:rPr>
          <w:color w:val="auto"/>
          <w:szCs w:val="24"/>
        </w:rPr>
      </w:pPr>
      <w:r w:rsidRPr="00722E2D">
        <w:rPr>
          <w:color w:val="auto"/>
          <w:shd w:val="clear" w:color="auto" w:fill="FFFFFF"/>
        </w:rPr>
        <w:t>The AAS (Accounting and Auditing Skills) has a minimum valu</w:t>
      </w:r>
      <w:r w:rsidR="00867F97">
        <w:rPr>
          <w:color w:val="auto"/>
          <w:shd w:val="clear" w:color="auto" w:fill="FFFFFF"/>
        </w:rPr>
        <w:t>e of 9 and a maximum value of 20</w:t>
      </w:r>
      <w:r w:rsidRPr="00722E2D">
        <w:rPr>
          <w:color w:val="auto"/>
          <w:shd w:val="clear" w:color="auto" w:fill="FFFFFF"/>
        </w:rPr>
        <w:t>, with a mean of 16.7880 and a standard deviation of 2.08326. This suggests that the degree of dispersion is high. The disparities in the accounting and auditing skills (AAS) employed by various MDAs could be attributed to inadequate computer training provided to MDA personnel. In contrast, the Forensic Investigation Skills (FIS) exhibited a mean and standard deviation of 15.5530 and 2.90376, with a minimum and maximum of 7 and 20, respectively. This shows that there are significant differences in how the MDAs apply their forensic investigation talents. The application of accounting and auditing skills in the Nigerian public sector can vary depending on the kind of fraud, the scope, and the intricacy of the MDAs. The forensic investigative skills have the minimum and maximum figures of 7 and 20, a mean of 15.5530, and a standard deviation of 2.90376. There is a large disparity in forensic investigation capabilities since fraud management requires a variety of skills.</w:t>
      </w:r>
    </w:p>
    <w:p w14:paraId="13B7E084" w14:textId="32EF536D" w:rsidR="00DE0C75" w:rsidRDefault="00DE0C75" w:rsidP="00276BAD">
      <w:pPr>
        <w:pStyle w:val="Heading2"/>
        <w:spacing w:after="0" w:line="240" w:lineRule="auto"/>
        <w:ind w:left="0" w:firstLine="0"/>
        <w:jc w:val="both"/>
      </w:pPr>
      <w:r>
        <w:t xml:space="preserve">Table </w:t>
      </w:r>
      <w:r w:rsidR="00E03201">
        <w:t>4</w:t>
      </w:r>
      <w:r>
        <w:rPr>
          <w:b w:val="0"/>
        </w:rPr>
        <w:t xml:space="preserve">: </w:t>
      </w:r>
      <w:r>
        <w:t xml:space="preserve">Correlations </w:t>
      </w:r>
    </w:p>
    <w:tbl>
      <w:tblPr>
        <w:tblStyle w:val="TableGrid"/>
        <w:tblW w:w="7726" w:type="dxa"/>
        <w:tblInd w:w="-29" w:type="dxa"/>
        <w:tblCellMar>
          <w:top w:w="29" w:type="dxa"/>
          <w:right w:w="115" w:type="dxa"/>
        </w:tblCellMar>
        <w:tblLook w:val="04A0" w:firstRow="1" w:lastRow="0" w:firstColumn="1" w:lastColumn="0" w:noHBand="0" w:noVBand="1"/>
      </w:tblPr>
      <w:tblGrid>
        <w:gridCol w:w="3274"/>
        <w:gridCol w:w="1080"/>
        <w:gridCol w:w="1172"/>
        <w:gridCol w:w="1153"/>
        <w:gridCol w:w="1047"/>
      </w:tblGrid>
      <w:tr w:rsidR="00DE0C75" w:rsidRPr="008C7BBE" w14:paraId="1BE5B5B9" w14:textId="77777777" w:rsidTr="00DB2539">
        <w:trPr>
          <w:trHeight w:val="304"/>
        </w:trPr>
        <w:tc>
          <w:tcPr>
            <w:tcW w:w="3274" w:type="dxa"/>
            <w:tcBorders>
              <w:top w:val="single" w:sz="18" w:space="0" w:color="000000"/>
              <w:left w:val="nil"/>
              <w:bottom w:val="single" w:sz="17" w:space="0" w:color="000000"/>
              <w:right w:val="nil"/>
            </w:tcBorders>
          </w:tcPr>
          <w:p w14:paraId="102CE925" w14:textId="77777777" w:rsidR="00DE0C75" w:rsidRPr="008C7BBE" w:rsidRDefault="00DE0C75" w:rsidP="00DB2539">
            <w:pPr>
              <w:spacing w:after="0" w:line="240" w:lineRule="auto"/>
              <w:ind w:left="12" w:right="0" w:firstLine="0"/>
              <w:jc w:val="center"/>
              <w:rPr>
                <w:sz w:val="22"/>
              </w:rPr>
            </w:pPr>
            <w:r w:rsidRPr="008C7BBE">
              <w:rPr>
                <w:b/>
                <w:sz w:val="22"/>
              </w:rPr>
              <w:t xml:space="preserve"> </w:t>
            </w:r>
          </w:p>
        </w:tc>
        <w:tc>
          <w:tcPr>
            <w:tcW w:w="1080" w:type="dxa"/>
            <w:tcBorders>
              <w:top w:val="single" w:sz="18" w:space="0" w:color="000000"/>
              <w:left w:val="nil"/>
              <w:bottom w:val="single" w:sz="17" w:space="0" w:color="000000"/>
              <w:right w:val="nil"/>
            </w:tcBorders>
          </w:tcPr>
          <w:p w14:paraId="25F8E4F8" w14:textId="77777777" w:rsidR="00DE0C75" w:rsidRPr="008C7BBE" w:rsidRDefault="00DE0C75" w:rsidP="00DB2539">
            <w:pPr>
              <w:spacing w:after="0" w:line="240" w:lineRule="auto"/>
              <w:ind w:left="360" w:right="0" w:firstLine="0"/>
              <w:jc w:val="left"/>
              <w:rPr>
                <w:sz w:val="22"/>
              </w:rPr>
            </w:pPr>
            <w:r w:rsidRPr="008C7BBE">
              <w:rPr>
                <w:b/>
                <w:sz w:val="22"/>
              </w:rPr>
              <w:t xml:space="preserve"> </w:t>
            </w:r>
          </w:p>
        </w:tc>
        <w:tc>
          <w:tcPr>
            <w:tcW w:w="1172" w:type="dxa"/>
            <w:tcBorders>
              <w:top w:val="single" w:sz="18" w:space="0" w:color="000000"/>
              <w:left w:val="nil"/>
              <w:bottom w:val="single" w:sz="17" w:space="0" w:color="000000"/>
              <w:right w:val="nil"/>
            </w:tcBorders>
          </w:tcPr>
          <w:p w14:paraId="5874BE3B" w14:textId="77777777" w:rsidR="00DE0C75" w:rsidRPr="008C7BBE" w:rsidRDefault="00FA38A6" w:rsidP="00DB2539">
            <w:pPr>
              <w:spacing w:after="0" w:line="240" w:lineRule="auto"/>
              <w:ind w:left="0" w:right="0" w:firstLine="0"/>
              <w:jc w:val="left"/>
              <w:rPr>
                <w:sz w:val="22"/>
              </w:rPr>
            </w:pPr>
            <w:r>
              <w:rPr>
                <w:b/>
                <w:sz w:val="22"/>
              </w:rPr>
              <w:t>FMGT</w:t>
            </w:r>
            <w:r w:rsidR="00DE0C75" w:rsidRPr="008C7BBE">
              <w:rPr>
                <w:b/>
                <w:sz w:val="22"/>
              </w:rPr>
              <w:t xml:space="preserve"> </w:t>
            </w:r>
          </w:p>
        </w:tc>
        <w:tc>
          <w:tcPr>
            <w:tcW w:w="1153" w:type="dxa"/>
            <w:tcBorders>
              <w:top w:val="single" w:sz="18" w:space="0" w:color="000000"/>
              <w:left w:val="nil"/>
              <w:bottom w:val="single" w:sz="17" w:space="0" w:color="000000"/>
              <w:right w:val="nil"/>
            </w:tcBorders>
          </w:tcPr>
          <w:p w14:paraId="11B2C9DC" w14:textId="77777777" w:rsidR="00DE0C75" w:rsidRPr="008C7BBE" w:rsidRDefault="00D82E39" w:rsidP="00DB2539">
            <w:pPr>
              <w:spacing w:after="0" w:line="240" w:lineRule="auto"/>
              <w:ind w:left="0" w:right="0" w:firstLine="0"/>
              <w:jc w:val="left"/>
              <w:rPr>
                <w:sz w:val="22"/>
              </w:rPr>
            </w:pPr>
            <w:r>
              <w:rPr>
                <w:b/>
                <w:sz w:val="22"/>
              </w:rPr>
              <w:t>AAS</w:t>
            </w:r>
            <w:r w:rsidR="00DE0C75" w:rsidRPr="008C7BBE">
              <w:rPr>
                <w:b/>
                <w:sz w:val="22"/>
              </w:rPr>
              <w:t xml:space="preserve"> </w:t>
            </w:r>
          </w:p>
        </w:tc>
        <w:tc>
          <w:tcPr>
            <w:tcW w:w="1047" w:type="dxa"/>
            <w:tcBorders>
              <w:top w:val="single" w:sz="18" w:space="0" w:color="000000"/>
              <w:left w:val="nil"/>
              <w:bottom w:val="single" w:sz="17" w:space="0" w:color="000000"/>
              <w:right w:val="nil"/>
            </w:tcBorders>
          </w:tcPr>
          <w:p w14:paraId="12F6AA08" w14:textId="77777777" w:rsidR="00DE0C75" w:rsidRPr="008C7BBE" w:rsidRDefault="00D82E39" w:rsidP="00DB2539">
            <w:pPr>
              <w:spacing w:after="0" w:line="240" w:lineRule="auto"/>
              <w:ind w:left="5" w:right="0" w:firstLine="0"/>
              <w:jc w:val="left"/>
              <w:rPr>
                <w:sz w:val="22"/>
              </w:rPr>
            </w:pPr>
            <w:r>
              <w:rPr>
                <w:b/>
                <w:sz w:val="22"/>
              </w:rPr>
              <w:t>FI</w:t>
            </w:r>
            <w:r w:rsidR="00DE0C75" w:rsidRPr="008C7BBE">
              <w:rPr>
                <w:b/>
                <w:sz w:val="22"/>
              </w:rPr>
              <w:t xml:space="preserve">S </w:t>
            </w:r>
          </w:p>
        </w:tc>
      </w:tr>
      <w:tr w:rsidR="00DE0C75" w:rsidRPr="008C7BBE" w14:paraId="28DA2D9C" w14:textId="77777777" w:rsidTr="00DB2539">
        <w:trPr>
          <w:trHeight w:val="289"/>
        </w:trPr>
        <w:tc>
          <w:tcPr>
            <w:tcW w:w="3274" w:type="dxa"/>
            <w:tcBorders>
              <w:top w:val="single" w:sz="17" w:space="0" w:color="000000"/>
              <w:left w:val="nil"/>
              <w:bottom w:val="nil"/>
              <w:right w:val="nil"/>
            </w:tcBorders>
          </w:tcPr>
          <w:p w14:paraId="56793241" w14:textId="77777777" w:rsidR="00DE0C75" w:rsidRPr="008C7BBE" w:rsidRDefault="00DE0C75" w:rsidP="00DB2539">
            <w:pPr>
              <w:spacing w:after="0" w:line="240" w:lineRule="auto"/>
              <w:ind w:left="202" w:right="0" w:firstLine="0"/>
              <w:jc w:val="left"/>
              <w:rPr>
                <w:sz w:val="22"/>
              </w:rPr>
            </w:pPr>
            <w:r w:rsidRPr="008C7BBE">
              <w:rPr>
                <w:b/>
                <w:sz w:val="22"/>
              </w:rPr>
              <w:t xml:space="preserve">Pearson Rank Correlation </w:t>
            </w:r>
          </w:p>
        </w:tc>
        <w:tc>
          <w:tcPr>
            <w:tcW w:w="1080" w:type="dxa"/>
            <w:tcBorders>
              <w:top w:val="single" w:sz="17" w:space="0" w:color="000000"/>
              <w:left w:val="nil"/>
              <w:bottom w:val="nil"/>
              <w:right w:val="nil"/>
            </w:tcBorders>
          </w:tcPr>
          <w:p w14:paraId="0289BC5C" w14:textId="77777777" w:rsidR="00DE0C75" w:rsidRPr="008C7BBE" w:rsidRDefault="00DE0C75" w:rsidP="00DB2539">
            <w:pPr>
              <w:spacing w:after="0" w:line="240" w:lineRule="auto"/>
              <w:ind w:left="0" w:right="0" w:firstLine="0"/>
              <w:jc w:val="left"/>
              <w:rPr>
                <w:sz w:val="22"/>
              </w:rPr>
            </w:pPr>
            <w:r w:rsidRPr="008C7BBE">
              <w:rPr>
                <w:b/>
                <w:sz w:val="22"/>
              </w:rPr>
              <w:t>FM</w:t>
            </w:r>
            <w:r w:rsidR="00D82E39">
              <w:rPr>
                <w:b/>
                <w:sz w:val="22"/>
              </w:rPr>
              <w:t>G</w:t>
            </w:r>
            <w:r w:rsidRPr="008C7BBE">
              <w:rPr>
                <w:b/>
                <w:sz w:val="22"/>
              </w:rPr>
              <w:t xml:space="preserve">T </w:t>
            </w:r>
          </w:p>
        </w:tc>
        <w:tc>
          <w:tcPr>
            <w:tcW w:w="1172" w:type="dxa"/>
            <w:tcBorders>
              <w:top w:val="single" w:sz="17" w:space="0" w:color="000000"/>
              <w:left w:val="nil"/>
              <w:bottom w:val="nil"/>
              <w:right w:val="nil"/>
            </w:tcBorders>
          </w:tcPr>
          <w:p w14:paraId="790BD99A" w14:textId="77777777" w:rsidR="00DE0C75" w:rsidRPr="008C7BBE" w:rsidRDefault="00DE0C75" w:rsidP="00DB2539">
            <w:pPr>
              <w:spacing w:after="0" w:line="240" w:lineRule="auto"/>
              <w:ind w:left="91" w:right="0" w:firstLine="0"/>
              <w:jc w:val="left"/>
              <w:rPr>
                <w:sz w:val="22"/>
              </w:rPr>
            </w:pPr>
            <w:r w:rsidRPr="008C7BBE">
              <w:rPr>
                <w:sz w:val="22"/>
              </w:rPr>
              <w:t>1.000</w:t>
            </w:r>
            <w:r w:rsidRPr="008C7BBE">
              <w:rPr>
                <w:b/>
                <w:sz w:val="22"/>
              </w:rPr>
              <w:t xml:space="preserve"> </w:t>
            </w:r>
          </w:p>
        </w:tc>
        <w:tc>
          <w:tcPr>
            <w:tcW w:w="1153" w:type="dxa"/>
            <w:tcBorders>
              <w:top w:val="single" w:sz="17" w:space="0" w:color="000000"/>
              <w:left w:val="nil"/>
              <w:bottom w:val="nil"/>
              <w:right w:val="nil"/>
            </w:tcBorders>
          </w:tcPr>
          <w:p w14:paraId="56A7F463" w14:textId="77777777" w:rsidR="00DE0C75" w:rsidRPr="008C7BBE" w:rsidRDefault="00DE0C75" w:rsidP="00DB2539">
            <w:pPr>
              <w:spacing w:after="0" w:line="240" w:lineRule="auto"/>
              <w:ind w:left="341" w:right="0" w:firstLine="0"/>
              <w:jc w:val="left"/>
              <w:rPr>
                <w:sz w:val="22"/>
              </w:rPr>
            </w:pPr>
            <w:r w:rsidRPr="008C7BBE">
              <w:rPr>
                <w:b/>
                <w:sz w:val="22"/>
              </w:rPr>
              <w:t xml:space="preserve"> </w:t>
            </w:r>
          </w:p>
        </w:tc>
        <w:tc>
          <w:tcPr>
            <w:tcW w:w="1047" w:type="dxa"/>
            <w:tcBorders>
              <w:top w:val="single" w:sz="17" w:space="0" w:color="000000"/>
              <w:left w:val="nil"/>
              <w:bottom w:val="nil"/>
              <w:right w:val="nil"/>
            </w:tcBorders>
          </w:tcPr>
          <w:p w14:paraId="04576C16" w14:textId="77777777" w:rsidR="00DE0C75" w:rsidRPr="008C7BBE" w:rsidRDefault="00DE0C75" w:rsidP="00DB2539">
            <w:pPr>
              <w:spacing w:after="0" w:line="240" w:lineRule="auto"/>
              <w:ind w:left="269" w:right="0" w:firstLine="0"/>
              <w:jc w:val="left"/>
              <w:rPr>
                <w:sz w:val="22"/>
              </w:rPr>
            </w:pPr>
            <w:r w:rsidRPr="008C7BBE">
              <w:rPr>
                <w:b/>
                <w:sz w:val="22"/>
              </w:rPr>
              <w:t xml:space="preserve"> </w:t>
            </w:r>
          </w:p>
        </w:tc>
      </w:tr>
      <w:tr w:rsidR="00DE0C75" w:rsidRPr="008C7BBE" w14:paraId="0CCD7A65" w14:textId="77777777" w:rsidTr="00DB2539">
        <w:trPr>
          <w:trHeight w:val="241"/>
        </w:trPr>
        <w:tc>
          <w:tcPr>
            <w:tcW w:w="3274" w:type="dxa"/>
            <w:tcBorders>
              <w:top w:val="nil"/>
              <w:left w:val="nil"/>
              <w:bottom w:val="nil"/>
              <w:right w:val="nil"/>
            </w:tcBorders>
            <w:vAlign w:val="center"/>
          </w:tcPr>
          <w:p w14:paraId="55147431" w14:textId="77777777" w:rsidR="00DE0C75" w:rsidRPr="008C7BBE" w:rsidRDefault="00DE0C75" w:rsidP="00DB2539">
            <w:pPr>
              <w:spacing w:after="0" w:line="240" w:lineRule="auto"/>
              <w:ind w:left="12" w:right="0" w:firstLine="0"/>
              <w:jc w:val="center"/>
              <w:rPr>
                <w:sz w:val="22"/>
              </w:rPr>
            </w:pPr>
            <w:r w:rsidRPr="008C7BBE">
              <w:rPr>
                <w:b/>
                <w:sz w:val="22"/>
              </w:rPr>
              <w:t xml:space="preserve"> </w:t>
            </w:r>
          </w:p>
        </w:tc>
        <w:tc>
          <w:tcPr>
            <w:tcW w:w="1080" w:type="dxa"/>
            <w:tcBorders>
              <w:top w:val="nil"/>
              <w:left w:val="nil"/>
              <w:bottom w:val="nil"/>
              <w:right w:val="nil"/>
            </w:tcBorders>
            <w:vAlign w:val="center"/>
          </w:tcPr>
          <w:p w14:paraId="0CBA5053" w14:textId="77777777" w:rsidR="00DE0C75" w:rsidRPr="008C7BBE" w:rsidRDefault="00D82E39" w:rsidP="00DB2539">
            <w:pPr>
              <w:spacing w:after="0" w:line="240" w:lineRule="auto"/>
              <w:ind w:right="0"/>
              <w:jc w:val="left"/>
              <w:rPr>
                <w:sz w:val="22"/>
              </w:rPr>
            </w:pPr>
            <w:r>
              <w:rPr>
                <w:b/>
                <w:sz w:val="22"/>
              </w:rPr>
              <w:t>AAS</w:t>
            </w:r>
            <w:r w:rsidR="00DE0C75" w:rsidRPr="008C7BBE">
              <w:rPr>
                <w:b/>
                <w:sz w:val="22"/>
              </w:rPr>
              <w:t xml:space="preserve"> </w:t>
            </w:r>
          </w:p>
        </w:tc>
        <w:tc>
          <w:tcPr>
            <w:tcW w:w="1172" w:type="dxa"/>
            <w:tcBorders>
              <w:top w:val="nil"/>
              <w:left w:val="nil"/>
              <w:bottom w:val="nil"/>
              <w:right w:val="nil"/>
            </w:tcBorders>
            <w:vAlign w:val="center"/>
          </w:tcPr>
          <w:p w14:paraId="62A82F6E" w14:textId="77777777" w:rsidR="00DE0C75" w:rsidRPr="008C7BBE" w:rsidRDefault="00D82E39" w:rsidP="00DB2539">
            <w:pPr>
              <w:spacing w:after="0" w:line="240" w:lineRule="auto"/>
              <w:ind w:left="91" w:right="0" w:firstLine="0"/>
              <w:jc w:val="left"/>
              <w:rPr>
                <w:sz w:val="22"/>
              </w:rPr>
            </w:pPr>
            <w:r>
              <w:rPr>
                <w:sz w:val="22"/>
              </w:rPr>
              <w:t>0.792</w:t>
            </w:r>
            <w:r w:rsidR="00DE0C75" w:rsidRPr="008C7BBE">
              <w:rPr>
                <w:b/>
                <w:sz w:val="22"/>
              </w:rPr>
              <w:t xml:space="preserve"> </w:t>
            </w:r>
          </w:p>
        </w:tc>
        <w:tc>
          <w:tcPr>
            <w:tcW w:w="1153" w:type="dxa"/>
            <w:tcBorders>
              <w:top w:val="nil"/>
              <w:left w:val="nil"/>
              <w:bottom w:val="nil"/>
              <w:right w:val="nil"/>
            </w:tcBorders>
            <w:vAlign w:val="center"/>
          </w:tcPr>
          <w:p w14:paraId="69308066" w14:textId="77777777" w:rsidR="00DE0C75" w:rsidRPr="008C7BBE" w:rsidRDefault="00DE0C75" w:rsidP="00DB2539">
            <w:pPr>
              <w:spacing w:after="0" w:line="240" w:lineRule="auto"/>
              <w:ind w:left="72" w:right="0" w:firstLine="0"/>
              <w:jc w:val="left"/>
              <w:rPr>
                <w:sz w:val="22"/>
              </w:rPr>
            </w:pPr>
            <w:r w:rsidRPr="008C7BBE">
              <w:rPr>
                <w:sz w:val="22"/>
              </w:rPr>
              <w:t>1.000</w:t>
            </w:r>
            <w:r w:rsidRPr="008C7BBE">
              <w:rPr>
                <w:b/>
                <w:sz w:val="22"/>
              </w:rPr>
              <w:t xml:space="preserve"> </w:t>
            </w:r>
          </w:p>
        </w:tc>
        <w:tc>
          <w:tcPr>
            <w:tcW w:w="1047" w:type="dxa"/>
            <w:tcBorders>
              <w:top w:val="nil"/>
              <w:left w:val="nil"/>
              <w:bottom w:val="nil"/>
              <w:right w:val="nil"/>
            </w:tcBorders>
            <w:vAlign w:val="center"/>
          </w:tcPr>
          <w:p w14:paraId="04BAC969" w14:textId="77777777" w:rsidR="00DE0C75" w:rsidRPr="008C7BBE" w:rsidRDefault="00DE0C75" w:rsidP="00DB2539">
            <w:pPr>
              <w:spacing w:after="0" w:line="240" w:lineRule="auto"/>
              <w:ind w:left="269" w:right="0" w:firstLine="0"/>
              <w:jc w:val="left"/>
              <w:rPr>
                <w:sz w:val="22"/>
              </w:rPr>
            </w:pPr>
            <w:r w:rsidRPr="008C7BBE">
              <w:rPr>
                <w:b/>
                <w:sz w:val="22"/>
              </w:rPr>
              <w:t xml:space="preserve"> </w:t>
            </w:r>
          </w:p>
        </w:tc>
      </w:tr>
      <w:tr w:rsidR="00DE0C75" w:rsidRPr="008C7BBE" w14:paraId="2A7D67AB" w14:textId="77777777" w:rsidTr="00DB2539">
        <w:trPr>
          <w:trHeight w:val="223"/>
        </w:trPr>
        <w:tc>
          <w:tcPr>
            <w:tcW w:w="3274" w:type="dxa"/>
            <w:tcBorders>
              <w:top w:val="nil"/>
              <w:left w:val="nil"/>
              <w:bottom w:val="single" w:sz="4" w:space="0" w:color="000000"/>
              <w:right w:val="nil"/>
            </w:tcBorders>
            <w:vAlign w:val="center"/>
          </w:tcPr>
          <w:p w14:paraId="41DD1F7A" w14:textId="77777777" w:rsidR="00DE0C75" w:rsidRPr="008C7BBE" w:rsidRDefault="00DE0C75" w:rsidP="00DB2539">
            <w:pPr>
              <w:spacing w:after="0" w:line="240" w:lineRule="auto"/>
              <w:ind w:left="12" w:right="0" w:firstLine="0"/>
              <w:jc w:val="center"/>
              <w:rPr>
                <w:sz w:val="22"/>
              </w:rPr>
            </w:pPr>
            <w:r w:rsidRPr="008C7BBE">
              <w:rPr>
                <w:b/>
                <w:sz w:val="22"/>
              </w:rPr>
              <w:t xml:space="preserve"> </w:t>
            </w:r>
          </w:p>
        </w:tc>
        <w:tc>
          <w:tcPr>
            <w:tcW w:w="1080" w:type="dxa"/>
            <w:tcBorders>
              <w:top w:val="nil"/>
              <w:left w:val="nil"/>
              <w:bottom w:val="single" w:sz="4" w:space="0" w:color="000000"/>
              <w:right w:val="nil"/>
            </w:tcBorders>
            <w:vAlign w:val="center"/>
          </w:tcPr>
          <w:p w14:paraId="5B0D5A4B" w14:textId="77777777" w:rsidR="00DE0C75" w:rsidRPr="008C7BBE" w:rsidRDefault="00D82E39" w:rsidP="00DB2539">
            <w:pPr>
              <w:spacing w:after="0" w:line="240" w:lineRule="auto"/>
              <w:ind w:right="0"/>
              <w:jc w:val="left"/>
              <w:rPr>
                <w:sz w:val="22"/>
              </w:rPr>
            </w:pPr>
            <w:r>
              <w:rPr>
                <w:b/>
                <w:sz w:val="22"/>
              </w:rPr>
              <w:t>FI</w:t>
            </w:r>
            <w:r w:rsidR="00DE0C75" w:rsidRPr="008C7BBE">
              <w:rPr>
                <w:b/>
                <w:sz w:val="22"/>
              </w:rPr>
              <w:t xml:space="preserve">S </w:t>
            </w:r>
          </w:p>
        </w:tc>
        <w:tc>
          <w:tcPr>
            <w:tcW w:w="1172" w:type="dxa"/>
            <w:tcBorders>
              <w:top w:val="nil"/>
              <w:left w:val="nil"/>
              <w:bottom w:val="single" w:sz="4" w:space="0" w:color="000000"/>
              <w:right w:val="nil"/>
            </w:tcBorders>
            <w:vAlign w:val="center"/>
          </w:tcPr>
          <w:p w14:paraId="2A4DDA52" w14:textId="77777777" w:rsidR="00DE0C75" w:rsidRPr="008C7BBE" w:rsidRDefault="00D82E39" w:rsidP="00DB2539">
            <w:pPr>
              <w:spacing w:after="0" w:line="240" w:lineRule="auto"/>
              <w:ind w:left="91" w:right="0" w:firstLine="0"/>
              <w:jc w:val="left"/>
              <w:rPr>
                <w:sz w:val="22"/>
              </w:rPr>
            </w:pPr>
            <w:r>
              <w:rPr>
                <w:sz w:val="22"/>
              </w:rPr>
              <w:t>0.446</w:t>
            </w:r>
          </w:p>
        </w:tc>
        <w:tc>
          <w:tcPr>
            <w:tcW w:w="1153" w:type="dxa"/>
            <w:tcBorders>
              <w:top w:val="nil"/>
              <w:left w:val="nil"/>
              <w:bottom w:val="single" w:sz="4" w:space="0" w:color="000000"/>
              <w:right w:val="nil"/>
            </w:tcBorders>
            <w:vAlign w:val="center"/>
          </w:tcPr>
          <w:p w14:paraId="07BD44EC" w14:textId="77777777" w:rsidR="00DE0C75" w:rsidRPr="008C7BBE" w:rsidRDefault="00D82E39" w:rsidP="00DB2539">
            <w:pPr>
              <w:spacing w:after="0" w:line="240" w:lineRule="auto"/>
              <w:ind w:left="72" w:right="0" w:firstLine="0"/>
              <w:jc w:val="left"/>
              <w:rPr>
                <w:sz w:val="22"/>
              </w:rPr>
            </w:pPr>
            <w:r>
              <w:rPr>
                <w:sz w:val="22"/>
              </w:rPr>
              <w:t>0.241</w:t>
            </w:r>
            <w:r w:rsidR="00DE0C75" w:rsidRPr="008C7BBE">
              <w:rPr>
                <w:b/>
                <w:sz w:val="22"/>
              </w:rPr>
              <w:t xml:space="preserve"> </w:t>
            </w:r>
          </w:p>
        </w:tc>
        <w:tc>
          <w:tcPr>
            <w:tcW w:w="1047" w:type="dxa"/>
            <w:tcBorders>
              <w:top w:val="nil"/>
              <w:left w:val="nil"/>
              <w:bottom w:val="single" w:sz="4" w:space="0" w:color="000000"/>
              <w:right w:val="nil"/>
            </w:tcBorders>
            <w:vAlign w:val="center"/>
          </w:tcPr>
          <w:p w14:paraId="0309D001" w14:textId="77777777" w:rsidR="00DE0C75" w:rsidRPr="008C7BBE" w:rsidRDefault="00DE0C75" w:rsidP="00DB2539">
            <w:pPr>
              <w:spacing w:after="0" w:line="240" w:lineRule="auto"/>
              <w:ind w:left="0" w:right="0" w:firstLine="0"/>
              <w:jc w:val="left"/>
              <w:rPr>
                <w:sz w:val="22"/>
              </w:rPr>
            </w:pPr>
            <w:r w:rsidRPr="008C7BBE">
              <w:rPr>
                <w:sz w:val="22"/>
              </w:rPr>
              <w:t>1.000</w:t>
            </w:r>
            <w:r w:rsidRPr="008C7BBE">
              <w:rPr>
                <w:b/>
                <w:sz w:val="22"/>
              </w:rPr>
              <w:t xml:space="preserve"> </w:t>
            </w:r>
          </w:p>
        </w:tc>
      </w:tr>
    </w:tbl>
    <w:p w14:paraId="27FED288" w14:textId="77777777" w:rsidR="00DE0C75" w:rsidRDefault="00DE0C75" w:rsidP="00DE0C75">
      <w:pPr>
        <w:spacing w:after="0" w:line="240" w:lineRule="auto"/>
        <w:ind w:left="86" w:right="0" w:firstLine="0"/>
      </w:pPr>
      <w:r w:rsidRPr="00782F2F">
        <w:t>Source</w:t>
      </w:r>
      <w:r>
        <w:rPr>
          <w:b/>
        </w:rPr>
        <w:t>:</w:t>
      </w:r>
      <w:r>
        <w:t xml:space="preserve"> Author’s Output 2024, SPSS Version 23 </w:t>
      </w:r>
    </w:p>
    <w:p w14:paraId="12E5CF1C" w14:textId="68841374" w:rsidR="001D69AC" w:rsidRPr="00722E2D" w:rsidRDefault="00722E2D" w:rsidP="00722E2D">
      <w:pPr>
        <w:spacing w:after="120" w:line="240" w:lineRule="auto"/>
        <w:ind w:left="0" w:right="0" w:firstLine="0"/>
        <w:rPr>
          <w:color w:val="auto"/>
          <w:szCs w:val="24"/>
        </w:rPr>
      </w:pPr>
      <w:r w:rsidRPr="00722E2D">
        <w:rPr>
          <w:color w:val="auto"/>
          <w:szCs w:val="24"/>
        </w:rPr>
        <w:t xml:space="preserve">The association between forensic investigative skills (FIS), accounting and auditing skills (AAS), and the fraud management (FMGT) of Nigeria's federal ministries, departments, and agencies is positive, as Table </w:t>
      </w:r>
      <w:r w:rsidR="00E03201">
        <w:rPr>
          <w:color w:val="auto"/>
          <w:szCs w:val="24"/>
        </w:rPr>
        <w:t>4</w:t>
      </w:r>
      <w:r w:rsidRPr="00722E2D">
        <w:rPr>
          <w:color w:val="auto"/>
          <w:szCs w:val="24"/>
        </w:rPr>
        <w:t xml:space="preserve"> above demonstrates. This suggests that the rate of fraud management will rise with each unit increase in forensic investigative skills (FIS) and accounting and auditing skills (AAS) at rates of 0.446 and 0.792, respectively.</w:t>
      </w:r>
    </w:p>
    <w:p w14:paraId="15472EC1" w14:textId="63822823" w:rsidR="00DE0C75" w:rsidRDefault="00DE0C75" w:rsidP="005F7DD2">
      <w:pPr>
        <w:pStyle w:val="Heading2"/>
        <w:spacing w:after="0" w:line="240" w:lineRule="auto"/>
        <w:ind w:left="86" w:firstLine="0"/>
      </w:pPr>
      <w:r>
        <w:t xml:space="preserve">Table </w:t>
      </w:r>
      <w:r w:rsidR="00E03201">
        <w:t>5</w:t>
      </w:r>
      <w:r>
        <w:rPr>
          <w:b w:val="0"/>
        </w:rPr>
        <w:t xml:space="preserve">: </w:t>
      </w:r>
      <w:r>
        <w:t>Model Summary</w:t>
      </w:r>
      <w:r>
        <w:rPr>
          <w:b w:val="0"/>
        </w:rPr>
        <w:t xml:space="preserve"> </w:t>
      </w:r>
    </w:p>
    <w:tbl>
      <w:tblPr>
        <w:tblW w:w="1035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842"/>
        <w:gridCol w:w="868"/>
        <w:gridCol w:w="1080"/>
        <w:gridCol w:w="1890"/>
        <w:gridCol w:w="1080"/>
        <w:gridCol w:w="900"/>
        <w:gridCol w:w="540"/>
        <w:gridCol w:w="540"/>
        <w:gridCol w:w="900"/>
        <w:gridCol w:w="900"/>
      </w:tblGrid>
      <w:tr w:rsidR="00DE0C75" w:rsidRPr="00FC0E27" w14:paraId="0B502343" w14:textId="77777777" w:rsidTr="00DB2539">
        <w:trPr>
          <w:cantSplit/>
        </w:trPr>
        <w:tc>
          <w:tcPr>
            <w:tcW w:w="810" w:type="dxa"/>
            <w:vMerge w:val="restart"/>
            <w:tcBorders>
              <w:top w:val="single" w:sz="4" w:space="0" w:color="auto"/>
              <w:left w:val="nil"/>
              <w:bottom w:val="nil"/>
              <w:right w:val="nil"/>
            </w:tcBorders>
            <w:shd w:val="clear" w:color="auto" w:fill="FFFFFF"/>
            <w:vAlign w:val="bottom"/>
          </w:tcPr>
          <w:p w14:paraId="66D963D3" w14:textId="77777777" w:rsidR="00DE0C75" w:rsidRPr="00FC0E27" w:rsidRDefault="00DE0C75" w:rsidP="00DB2539">
            <w:pPr>
              <w:autoSpaceDE w:val="0"/>
              <w:autoSpaceDN w:val="0"/>
              <w:adjustRightInd w:val="0"/>
              <w:spacing w:after="0" w:line="320" w:lineRule="atLeast"/>
              <w:ind w:left="60" w:right="60"/>
              <w:rPr>
                <w:szCs w:val="24"/>
              </w:rPr>
            </w:pPr>
            <w:r w:rsidRPr="00FC0E27">
              <w:rPr>
                <w:szCs w:val="24"/>
              </w:rPr>
              <w:t>Model</w:t>
            </w:r>
          </w:p>
        </w:tc>
        <w:tc>
          <w:tcPr>
            <w:tcW w:w="842" w:type="dxa"/>
            <w:vMerge w:val="restart"/>
            <w:tcBorders>
              <w:top w:val="single" w:sz="4" w:space="0" w:color="auto"/>
              <w:left w:val="nil"/>
              <w:bottom w:val="nil"/>
              <w:right w:val="single" w:sz="8" w:space="0" w:color="E0E0E0"/>
            </w:tcBorders>
            <w:shd w:val="clear" w:color="auto" w:fill="FFFFFF"/>
            <w:vAlign w:val="bottom"/>
          </w:tcPr>
          <w:p w14:paraId="3CD77AF5"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R</w:t>
            </w:r>
          </w:p>
        </w:tc>
        <w:tc>
          <w:tcPr>
            <w:tcW w:w="868" w:type="dxa"/>
            <w:vMerge w:val="restart"/>
            <w:tcBorders>
              <w:top w:val="single" w:sz="4" w:space="0" w:color="auto"/>
              <w:left w:val="single" w:sz="8" w:space="0" w:color="E0E0E0"/>
              <w:bottom w:val="nil"/>
              <w:right w:val="single" w:sz="8" w:space="0" w:color="E0E0E0"/>
            </w:tcBorders>
            <w:shd w:val="clear" w:color="auto" w:fill="FFFFFF"/>
            <w:vAlign w:val="bottom"/>
          </w:tcPr>
          <w:p w14:paraId="3194D2A9"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R Square</w:t>
            </w:r>
          </w:p>
        </w:tc>
        <w:tc>
          <w:tcPr>
            <w:tcW w:w="1080" w:type="dxa"/>
            <w:vMerge w:val="restart"/>
            <w:tcBorders>
              <w:top w:val="single" w:sz="4" w:space="0" w:color="auto"/>
              <w:left w:val="single" w:sz="8" w:space="0" w:color="E0E0E0"/>
              <w:bottom w:val="nil"/>
              <w:right w:val="single" w:sz="8" w:space="0" w:color="E0E0E0"/>
            </w:tcBorders>
            <w:shd w:val="clear" w:color="auto" w:fill="FFFFFF"/>
            <w:vAlign w:val="bottom"/>
          </w:tcPr>
          <w:p w14:paraId="35626613"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Adjusted R Square</w:t>
            </w:r>
          </w:p>
        </w:tc>
        <w:tc>
          <w:tcPr>
            <w:tcW w:w="1890" w:type="dxa"/>
            <w:vMerge w:val="restart"/>
            <w:tcBorders>
              <w:top w:val="single" w:sz="4" w:space="0" w:color="auto"/>
              <w:left w:val="single" w:sz="8" w:space="0" w:color="E0E0E0"/>
              <w:bottom w:val="nil"/>
              <w:right w:val="single" w:sz="8" w:space="0" w:color="E0E0E0"/>
            </w:tcBorders>
            <w:shd w:val="clear" w:color="auto" w:fill="FFFFFF"/>
            <w:vAlign w:val="bottom"/>
          </w:tcPr>
          <w:p w14:paraId="1AF2C816"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Std. Error of the Estimate</w:t>
            </w:r>
          </w:p>
        </w:tc>
        <w:tc>
          <w:tcPr>
            <w:tcW w:w="3960" w:type="dxa"/>
            <w:gridSpan w:val="5"/>
            <w:tcBorders>
              <w:top w:val="single" w:sz="4" w:space="0" w:color="auto"/>
              <w:left w:val="single" w:sz="8" w:space="0" w:color="E0E0E0"/>
              <w:bottom w:val="nil"/>
              <w:right w:val="single" w:sz="8" w:space="0" w:color="E0E0E0"/>
            </w:tcBorders>
            <w:shd w:val="clear" w:color="auto" w:fill="FFFFFF"/>
            <w:vAlign w:val="bottom"/>
          </w:tcPr>
          <w:p w14:paraId="6EF2BE05"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Change Statistics</w:t>
            </w:r>
          </w:p>
        </w:tc>
        <w:tc>
          <w:tcPr>
            <w:tcW w:w="900" w:type="dxa"/>
            <w:vMerge w:val="restart"/>
            <w:tcBorders>
              <w:top w:val="single" w:sz="4" w:space="0" w:color="auto"/>
              <w:left w:val="single" w:sz="8" w:space="0" w:color="E0E0E0"/>
              <w:bottom w:val="nil"/>
              <w:right w:val="nil"/>
            </w:tcBorders>
            <w:shd w:val="clear" w:color="auto" w:fill="FFFFFF"/>
            <w:vAlign w:val="bottom"/>
          </w:tcPr>
          <w:p w14:paraId="7170B156"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Durbin-Watson</w:t>
            </w:r>
          </w:p>
        </w:tc>
      </w:tr>
      <w:tr w:rsidR="00DE0C75" w:rsidRPr="00FC0E27" w14:paraId="0291D52C" w14:textId="77777777" w:rsidTr="00DB2539">
        <w:trPr>
          <w:cantSplit/>
        </w:trPr>
        <w:tc>
          <w:tcPr>
            <w:tcW w:w="810" w:type="dxa"/>
            <w:vMerge/>
            <w:tcBorders>
              <w:top w:val="nil"/>
              <w:left w:val="nil"/>
              <w:bottom w:val="nil"/>
              <w:right w:val="nil"/>
            </w:tcBorders>
            <w:shd w:val="clear" w:color="auto" w:fill="FFFFFF"/>
            <w:vAlign w:val="bottom"/>
          </w:tcPr>
          <w:p w14:paraId="1C656DED" w14:textId="77777777" w:rsidR="00DE0C75" w:rsidRPr="00FC0E27" w:rsidRDefault="00DE0C75" w:rsidP="00DB2539">
            <w:pPr>
              <w:autoSpaceDE w:val="0"/>
              <w:autoSpaceDN w:val="0"/>
              <w:adjustRightInd w:val="0"/>
              <w:spacing w:after="0" w:line="240" w:lineRule="auto"/>
              <w:rPr>
                <w:szCs w:val="24"/>
              </w:rPr>
            </w:pPr>
          </w:p>
        </w:tc>
        <w:tc>
          <w:tcPr>
            <w:tcW w:w="842" w:type="dxa"/>
            <w:vMerge/>
            <w:tcBorders>
              <w:top w:val="nil"/>
              <w:left w:val="nil"/>
              <w:bottom w:val="nil"/>
              <w:right w:val="single" w:sz="8" w:space="0" w:color="E0E0E0"/>
            </w:tcBorders>
            <w:shd w:val="clear" w:color="auto" w:fill="FFFFFF"/>
            <w:vAlign w:val="bottom"/>
          </w:tcPr>
          <w:p w14:paraId="7A36D37E" w14:textId="77777777" w:rsidR="00DE0C75" w:rsidRPr="00FC0E27" w:rsidRDefault="00DE0C75" w:rsidP="00DB2539">
            <w:pPr>
              <w:autoSpaceDE w:val="0"/>
              <w:autoSpaceDN w:val="0"/>
              <w:adjustRightInd w:val="0"/>
              <w:spacing w:after="0" w:line="240" w:lineRule="auto"/>
              <w:rPr>
                <w:szCs w:val="24"/>
              </w:rPr>
            </w:pPr>
          </w:p>
        </w:tc>
        <w:tc>
          <w:tcPr>
            <w:tcW w:w="868" w:type="dxa"/>
            <w:vMerge/>
            <w:tcBorders>
              <w:top w:val="nil"/>
              <w:left w:val="single" w:sz="8" w:space="0" w:color="E0E0E0"/>
              <w:bottom w:val="nil"/>
              <w:right w:val="single" w:sz="8" w:space="0" w:color="E0E0E0"/>
            </w:tcBorders>
            <w:shd w:val="clear" w:color="auto" w:fill="FFFFFF"/>
            <w:vAlign w:val="bottom"/>
          </w:tcPr>
          <w:p w14:paraId="245C8408" w14:textId="77777777" w:rsidR="00DE0C75" w:rsidRPr="00FC0E27" w:rsidRDefault="00DE0C75" w:rsidP="00DB2539">
            <w:pPr>
              <w:autoSpaceDE w:val="0"/>
              <w:autoSpaceDN w:val="0"/>
              <w:adjustRightInd w:val="0"/>
              <w:spacing w:after="0" w:line="240" w:lineRule="auto"/>
              <w:rPr>
                <w:szCs w:val="24"/>
              </w:rPr>
            </w:pPr>
          </w:p>
        </w:tc>
        <w:tc>
          <w:tcPr>
            <w:tcW w:w="1080" w:type="dxa"/>
            <w:vMerge/>
            <w:tcBorders>
              <w:top w:val="nil"/>
              <w:left w:val="single" w:sz="8" w:space="0" w:color="E0E0E0"/>
              <w:bottom w:val="nil"/>
              <w:right w:val="single" w:sz="8" w:space="0" w:color="E0E0E0"/>
            </w:tcBorders>
            <w:shd w:val="clear" w:color="auto" w:fill="FFFFFF"/>
            <w:vAlign w:val="bottom"/>
          </w:tcPr>
          <w:p w14:paraId="0C41F91B" w14:textId="77777777" w:rsidR="00DE0C75" w:rsidRPr="00FC0E27" w:rsidRDefault="00DE0C75" w:rsidP="00DB2539">
            <w:pPr>
              <w:autoSpaceDE w:val="0"/>
              <w:autoSpaceDN w:val="0"/>
              <w:adjustRightInd w:val="0"/>
              <w:spacing w:after="0" w:line="240" w:lineRule="auto"/>
              <w:rPr>
                <w:szCs w:val="24"/>
              </w:rPr>
            </w:pPr>
          </w:p>
        </w:tc>
        <w:tc>
          <w:tcPr>
            <w:tcW w:w="1890" w:type="dxa"/>
            <w:vMerge/>
            <w:tcBorders>
              <w:top w:val="nil"/>
              <w:left w:val="single" w:sz="8" w:space="0" w:color="E0E0E0"/>
              <w:bottom w:val="nil"/>
              <w:right w:val="single" w:sz="8" w:space="0" w:color="E0E0E0"/>
            </w:tcBorders>
            <w:shd w:val="clear" w:color="auto" w:fill="FFFFFF"/>
            <w:vAlign w:val="bottom"/>
          </w:tcPr>
          <w:p w14:paraId="59FE3E40" w14:textId="77777777" w:rsidR="00DE0C75" w:rsidRPr="00FC0E27" w:rsidRDefault="00DE0C75" w:rsidP="00DB2539">
            <w:pPr>
              <w:autoSpaceDE w:val="0"/>
              <w:autoSpaceDN w:val="0"/>
              <w:adjustRightInd w:val="0"/>
              <w:spacing w:after="0" w:line="240" w:lineRule="auto"/>
              <w:rPr>
                <w:szCs w:val="24"/>
              </w:rPr>
            </w:pPr>
          </w:p>
        </w:tc>
        <w:tc>
          <w:tcPr>
            <w:tcW w:w="1080" w:type="dxa"/>
            <w:tcBorders>
              <w:top w:val="nil"/>
              <w:left w:val="single" w:sz="8" w:space="0" w:color="E0E0E0"/>
              <w:bottom w:val="single" w:sz="8" w:space="0" w:color="152935"/>
              <w:right w:val="single" w:sz="8" w:space="0" w:color="E0E0E0"/>
            </w:tcBorders>
            <w:shd w:val="clear" w:color="auto" w:fill="FFFFFF"/>
            <w:vAlign w:val="bottom"/>
          </w:tcPr>
          <w:p w14:paraId="09A6F4FF"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R Square Change</w:t>
            </w:r>
          </w:p>
        </w:tc>
        <w:tc>
          <w:tcPr>
            <w:tcW w:w="900" w:type="dxa"/>
            <w:tcBorders>
              <w:top w:val="nil"/>
              <w:left w:val="single" w:sz="8" w:space="0" w:color="E0E0E0"/>
              <w:bottom w:val="single" w:sz="8" w:space="0" w:color="152935"/>
              <w:right w:val="single" w:sz="8" w:space="0" w:color="E0E0E0"/>
            </w:tcBorders>
            <w:shd w:val="clear" w:color="auto" w:fill="FFFFFF"/>
            <w:vAlign w:val="bottom"/>
          </w:tcPr>
          <w:p w14:paraId="651182A6"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F Change</w:t>
            </w:r>
          </w:p>
        </w:tc>
        <w:tc>
          <w:tcPr>
            <w:tcW w:w="540" w:type="dxa"/>
            <w:tcBorders>
              <w:top w:val="nil"/>
              <w:left w:val="single" w:sz="8" w:space="0" w:color="E0E0E0"/>
              <w:bottom w:val="single" w:sz="8" w:space="0" w:color="152935"/>
              <w:right w:val="single" w:sz="8" w:space="0" w:color="E0E0E0"/>
            </w:tcBorders>
            <w:shd w:val="clear" w:color="auto" w:fill="FFFFFF"/>
            <w:vAlign w:val="bottom"/>
          </w:tcPr>
          <w:p w14:paraId="6BCDF3FE"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df1</w:t>
            </w:r>
          </w:p>
        </w:tc>
        <w:tc>
          <w:tcPr>
            <w:tcW w:w="540" w:type="dxa"/>
            <w:tcBorders>
              <w:top w:val="nil"/>
              <w:left w:val="single" w:sz="8" w:space="0" w:color="E0E0E0"/>
              <w:bottom w:val="single" w:sz="8" w:space="0" w:color="152935"/>
              <w:right w:val="single" w:sz="8" w:space="0" w:color="E0E0E0"/>
            </w:tcBorders>
            <w:shd w:val="clear" w:color="auto" w:fill="FFFFFF"/>
            <w:vAlign w:val="bottom"/>
          </w:tcPr>
          <w:p w14:paraId="5716415F"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df2</w:t>
            </w:r>
          </w:p>
        </w:tc>
        <w:tc>
          <w:tcPr>
            <w:tcW w:w="900" w:type="dxa"/>
            <w:tcBorders>
              <w:top w:val="nil"/>
              <w:left w:val="single" w:sz="8" w:space="0" w:color="E0E0E0"/>
              <w:bottom w:val="single" w:sz="8" w:space="0" w:color="152935"/>
              <w:right w:val="single" w:sz="8" w:space="0" w:color="E0E0E0"/>
            </w:tcBorders>
            <w:shd w:val="clear" w:color="auto" w:fill="FFFFFF"/>
            <w:vAlign w:val="bottom"/>
          </w:tcPr>
          <w:p w14:paraId="0BD6BB26" w14:textId="77777777" w:rsidR="00DE0C75" w:rsidRPr="00FC0E27" w:rsidRDefault="00DE0C75" w:rsidP="00DB2539">
            <w:pPr>
              <w:autoSpaceDE w:val="0"/>
              <w:autoSpaceDN w:val="0"/>
              <w:adjustRightInd w:val="0"/>
              <w:spacing w:after="0" w:line="320" w:lineRule="atLeast"/>
              <w:ind w:left="60" w:right="60"/>
              <w:jc w:val="center"/>
              <w:rPr>
                <w:szCs w:val="24"/>
              </w:rPr>
            </w:pPr>
            <w:r w:rsidRPr="00FC0E27">
              <w:rPr>
                <w:szCs w:val="24"/>
              </w:rPr>
              <w:t>Sig. F Change</w:t>
            </w:r>
          </w:p>
        </w:tc>
        <w:tc>
          <w:tcPr>
            <w:tcW w:w="900" w:type="dxa"/>
            <w:vMerge/>
            <w:tcBorders>
              <w:top w:val="nil"/>
              <w:left w:val="single" w:sz="8" w:space="0" w:color="E0E0E0"/>
              <w:bottom w:val="nil"/>
              <w:right w:val="nil"/>
            </w:tcBorders>
            <w:shd w:val="clear" w:color="auto" w:fill="FFFFFF"/>
            <w:vAlign w:val="bottom"/>
          </w:tcPr>
          <w:p w14:paraId="47D647EB" w14:textId="77777777" w:rsidR="00DE0C75" w:rsidRPr="00FC0E27" w:rsidRDefault="00DE0C75" w:rsidP="00DB2539">
            <w:pPr>
              <w:autoSpaceDE w:val="0"/>
              <w:autoSpaceDN w:val="0"/>
              <w:adjustRightInd w:val="0"/>
              <w:spacing w:after="0" w:line="240" w:lineRule="auto"/>
              <w:rPr>
                <w:szCs w:val="24"/>
              </w:rPr>
            </w:pPr>
          </w:p>
        </w:tc>
      </w:tr>
      <w:tr w:rsidR="00DE0C75" w:rsidRPr="00FC0E27" w14:paraId="01B7E6B9" w14:textId="77777777" w:rsidTr="00DB2539">
        <w:trPr>
          <w:cantSplit/>
        </w:trPr>
        <w:tc>
          <w:tcPr>
            <w:tcW w:w="810" w:type="dxa"/>
            <w:tcBorders>
              <w:top w:val="single" w:sz="8" w:space="0" w:color="152935"/>
              <w:left w:val="nil"/>
              <w:bottom w:val="single" w:sz="8" w:space="0" w:color="152935"/>
              <w:right w:val="nil"/>
            </w:tcBorders>
            <w:shd w:val="clear" w:color="auto" w:fill="E0E0E0"/>
          </w:tcPr>
          <w:p w14:paraId="2FABA172" w14:textId="77777777" w:rsidR="00DE0C75" w:rsidRPr="00FC0E27" w:rsidRDefault="00DE0C75" w:rsidP="00DB2539">
            <w:pPr>
              <w:autoSpaceDE w:val="0"/>
              <w:autoSpaceDN w:val="0"/>
              <w:adjustRightInd w:val="0"/>
              <w:spacing w:after="0" w:line="320" w:lineRule="atLeast"/>
              <w:ind w:left="60" w:right="60"/>
              <w:rPr>
                <w:szCs w:val="24"/>
              </w:rPr>
            </w:pPr>
            <w:r w:rsidRPr="00FC0E27">
              <w:rPr>
                <w:szCs w:val="24"/>
              </w:rPr>
              <w:t>1</w:t>
            </w:r>
          </w:p>
        </w:tc>
        <w:tc>
          <w:tcPr>
            <w:tcW w:w="842" w:type="dxa"/>
            <w:tcBorders>
              <w:top w:val="single" w:sz="8" w:space="0" w:color="152935"/>
              <w:left w:val="nil"/>
              <w:bottom w:val="single" w:sz="8" w:space="0" w:color="152935"/>
              <w:right w:val="single" w:sz="8" w:space="0" w:color="E0E0E0"/>
            </w:tcBorders>
            <w:shd w:val="clear" w:color="auto" w:fill="FFFFFF"/>
          </w:tcPr>
          <w:p w14:paraId="665D6F8D" w14:textId="77777777" w:rsidR="00DE0C75" w:rsidRPr="00FC0E27" w:rsidRDefault="00DE0C75" w:rsidP="00DB2539">
            <w:pPr>
              <w:autoSpaceDE w:val="0"/>
              <w:autoSpaceDN w:val="0"/>
              <w:adjustRightInd w:val="0"/>
              <w:spacing w:after="0" w:line="320" w:lineRule="atLeast"/>
              <w:ind w:left="60" w:right="60"/>
              <w:jc w:val="right"/>
              <w:rPr>
                <w:szCs w:val="24"/>
              </w:rPr>
            </w:pPr>
            <w:r>
              <w:rPr>
                <w:szCs w:val="24"/>
              </w:rPr>
              <w:t>.959</w:t>
            </w:r>
          </w:p>
        </w:tc>
        <w:tc>
          <w:tcPr>
            <w:tcW w:w="868" w:type="dxa"/>
            <w:tcBorders>
              <w:top w:val="single" w:sz="8" w:space="0" w:color="152935"/>
              <w:left w:val="single" w:sz="8" w:space="0" w:color="E0E0E0"/>
              <w:bottom w:val="single" w:sz="8" w:space="0" w:color="152935"/>
              <w:right w:val="single" w:sz="8" w:space="0" w:color="E0E0E0"/>
            </w:tcBorders>
            <w:shd w:val="clear" w:color="auto" w:fill="FFFFFF"/>
          </w:tcPr>
          <w:p w14:paraId="298D5C99" w14:textId="77777777" w:rsidR="00DE0C75" w:rsidRPr="00FC0E27" w:rsidRDefault="00DE0C75" w:rsidP="00DB2539">
            <w:pPr>
              <w:autoSpaceDE w:val="0"/>
              <w:autoSpaceDN w:val="0"/>
              <w:adjustRightInd w:val="0"/>
              <w:spacing w:after="0" w:line="320" w:lineRule="atLeast"/>
              <w:ind w:left="60" w:right="60"/>
              <w:jc w:val="right"/>
              <w:rPr>
                <w:szCs w:val="24"/>
              </w:rPr>
            </w:pPr>
            <w:r>
              <w:rPr>
                <w:szCs w:val="24"/>
              </w:rPr>
              <w:t>.920</w:t>
            </w:r>
          </w:p>
        </w:tc>
        <w:tc>
          <w:tcPr>
            <w:tcW w:w="1080" w:type="dxa"/>
            <w:tcBorders>
              <w:top w:val="single" w:sz="8" w:space="0" w:color="152935"/>
              <w:left w:val="single" w:sz="8" w:space="0" w:color="E0E0E0"/>
              <w:bottom w:val="single" w:sz="8" w:space="0" w:color="152935"/>
              <w:right w:val="single" w:sz="8" w:space="0" w:color="E0E0E0"/>
            </w:tcBorders>
            <w:shd w:val="clear" w:color="auto" w:fill="FFFFFF"/>
          </w:tcPr>
          <w:p w14:paraId="2F263465" w14:textId="77777777" w:rsidR="00DE0C75" w:rsidRPr="00FC0E27" w:rsidRDefault="00DE0C75" w:rsidP="00DB2539">
            <w:pPr>
              <w:autoSpaceDE w:val="0"/>
              <w:autoSpaceDN w:val="0"/>
              <w:adjustRightInd w:val="0"/>
              <w:spacing w:after="0" w:line="320" w:lineRule="atLeast"/>
              <w:ind w:left="60" w:right="60"/>
              <w:jc w:val="right"/>
              <w:rPr>
                <w:szCs w:val="24"/>
              </w:rPr>
            </w:pPr>
            <w:r>
              <w:rPr>
                <w:szCs w:val="24"/>
              </w:rPr>
              <w:t>.919</w:t>
            </w:r>
          </w:p>
        </w:tc>
        <w:tc>
          <w:tcPr>
            <w:tcW w:w="1890" w:type="dxa"/>
            <w:tcBorders>
              <w:top w:val="single" w:sz="8" w:space="0" w:color="152935"/>
              <w:left w:val="single" w:sz="8" w:space="0" w:color="E0E0E0"/>
              <w:bottom w:val="single" w:sz="8" w:space="0" w:color="152935"/>
              <w:right w:val="single" w:sz="8" w:space="0" w:color="E0E0E0"/>
            </w:tcBorders>
            <w:shd w:val="clear" w:color="auto" w:fill="FFFFFF"/>
          </w:tcPr>
          <w:p w14:paraId="67B4E639" w14:textId="77777777" w:rsidR="00DE0C75" w:rsidRPr="00FC0E27" w:rsidRDefault="00DE0C75" w:rsidP="00DB2539">
            <w:pPr>
              <w:autoSpaceDE w:val="0"/>
              <w:autoSpaceDN w:val="0"/>
              <w:adjustRightInd w:val="0"/>
              <w:spacing w:after="0" w:line="320" w:lineRule="atLeast"/>
              <w:ind w:left="60" w:right="60"/>
              <w:jc w:val="right"/>
              <w:rPr>
                <w:szCs w:val="24"/>
              </w:rPr>
            </w:pPr>
            <w:r>
              <w:rPr>
                <w:szCs w:val="24"/>
              </w:rPr>
              <w:t>0.845</w:t>
            </w:r>
          </w:p>
        </w:tc>
        <w:tc>
          <w:tcPr>
            <w:tcW w:w="1080" w:type="dxa"/>
            <w:tcBorders>
              <w:top w:val="single" w:sz="8" w:space="0" w:color="152935"/>
              <w:left w:val="single" w:sz="8" w:space="0" w:color="E0E0E0"/>
              <w:bottom w:val="single" w:sz="8" w:space="0" w:color="152935"/>
              <w:right w:val="single" w:sz="8" w:space="0" w:color="E0E0E0"/>
            </w:tcBorders>
            <w:shd w:val="clear" w:color="auto" w:fill="FFFFFF"/>
          </w:tcPr>
          <w:p w14:paraId="21F10940" w14:textId="77777777" w:rsidR="00DE0C75" w:rsidRPr="00FC0E27" w:rsidRDefault="00DE0C75" w:rsidP="00DB2539">
            <w:pPr>
              <w:autoSpaceDE w:val="0"/>
              <w:autoSpaceDN w:val="0"/>
              <w:adjustRightInd w:val="0"/>
              <w:spacing w:after="0" w:line="320" w:lineRule="atLeast"/>
              <w:ind w:left="60" w:right="60"/>
              <w:jc w:val="right"/>
              <w:rPr>
                <w:szCs w:val="24"/>
              </w:rPr>
            </w:pPr>
            <w:r>
              <w:rPr>
                <w:szCs w:val="24"/>
              </w:rPr>
              <w:t>.920</w:t>
            </w:r>
          </w:p>
        </w:tc>
        <w:tc>
          <w:tcPr>
            <w:tcW w:w="900" w:type="dxa"/>
            <w:tcBorders>
              <w:top w:val="single" w:sz="8" w:space="0" w:color="152935"/>
              <w:left w:val="single" w:sz="8" w:space="0" w:color="E0E0E0"/>
              <w:bottom w:val="single" w:sz="8" w:space="0" w:color="152935"/>
              <w:right w:val="single" w:sz="8" w:space="0" w:color="E0E0E0"/>
            </w:tcBorders>
            <w:shd w:val="clear" w:color="auto" w:fill="FFFFFF"/>
          </w:tcPr>
          <w:p w14:paraId="36FCAF59" w14:textId="77777777" w:rsidR="00DE0C75" w:rsidRPr="00FC0E27" w:rsidRDefault="00DE0C75" w:rsidP="00DB2539">
            <w:pPr>
              <w:autoSpaceDE w:val="0"/>
              <w:autoSpaceDN w:val="0"/>
              <w:adjustRightInd w:val="0"/>
              <w:spacing w:after="0" w:line="320" w:lineRule="atLeast"/>
              <w:ind w:left="60" w:right="60"/>
              <w:jc w:val="right"/>
              <w:rPr>
                <w:szCs w:val="24"/>
              </w:rPr>
            </w:pPr>
            <w:r>
              <w:rPr>
                <w:szCs w:val="24"/>
              </w:rPr>
              <w:t>1.337</w:t>
            </w:r>
          </w:p>
        </w:tc>
        <w:tc>
          <w:tcPr>
            <w:tcW w:w="540" w:type="dxa"/>
            <w:tcBorders>
              <w:top w:val="single" w:sz="8" w:space="0" w:color="152935"/>
              <w:left w:val="single" w:sz="8" w:space="0" w:color="E0E0E0"/>
              <w:bottom w:val="single" w:sz="8" w:space="0" w:color="152935"/>
              <w:right w:val="single" w:sz="8" w:space="0" w:color="E0E0E0"/>
            </w:tcBorders>
            <w:shd w:val="clear" w:color="auto" w:fill="FFFFFF"/>
          </w:tcPr>
          <w:p w14:paraId="16DFADAB" w14:textId="77777777" w:rsidR="00DE0C75" w:rsidRPr="00FC0E27" w:rsidRDefault="00DE0C75" w:rsidP="00DB2539">
            <w:pPr>
              <w:autoSpaceDE w:val="0"/>
              <w:autoSpaceDN w:val="0"/>
              <w:adjustRightInd w:val="0"/>
              <w:spacing w:after="0" w:line="320" w:lineRule="atLeast"/>
              <w:ind w:left="60" w:right="60"/>
              <w:jc w:val="right"/>
              <w:rPr>
                <w:szCs w:val="24"/>
              </w:rPr>
            </w:pPr>
            <w:r>
              <w:rPr>
                <w:szCs w:val="24"/>
              </w:rPr>
              <w:t>4</w:t>
            </w:r>
          </w:p>
        </w:tc>
        <w:tc>
          <w:tcPr>
            <w:tcW w:w="540" w:type="dxa"/>
            <w:tcBorders>
              <w:top w:val="single" w:sz="8" w:space="0" w:color="152935"/>
              <w:left w:val="single" w:sz="8" w:space="0" w:color="E0E0E0"/>
              <w:bottom w:val="single" w:sz="8" w:space="0" w:color="152935"/>
              <w:right w:val="single" w:sz="8" w:space="0" w:color="E0E0E0"/>
            </w:tcBorders>
            <w:shd w:val="clear" w:color="auto" w:fill="FFFFFF"/>
          </w:tcPr>
          <w:p w14:paraId="1E1645C6" w14:textId="77777777" w:rsidR="00DE0C75" w:rsidRPr="00FC0E27" w:rsidRDefault="00DE0C75" w:rsidP="00DB2539">
            <w:pPr>
              <w:autoSpaceDE w:val="0"/>
              <w:autoSpaceDN w:val="0"/>
              <w:adjustRightInd w:val="0"/>
              <w:spacing w:after="0" w:line="320" w:lineRule="atLeast"/>
              <w:ind w:left="60" w:right="60"/>
              <w:jc w:val="right"/>
              <w:rPr>
                <w:szCs w:val="24"/>
              </w:rPr>
            </w:pPr>
            <w:r>
              <w:rPr>
                <w:szCs w:val="24"/>
              </w:rPr>
              <w:t>344</w:t>
            </w:r>
          </w:p>
        </w:tc>
        <w:tc>
          <w:tcPr>
            <w:tcW w:w="900" w:type="dxa"/>
            <w:tcBorders>
              <w:top w:val="single" w:sz="8" w:space="0" w:color="152935"/>
              <w:left w:val="single" w:sz="8" w:space="0" w:color="E0E0E0"/>
              <w:bottom w:val="single" w:sz="8" w:space="0" w:color="152935"/>
              <w:right w:val="single" w:sz="8" w:space="0" w:color="E0E0E0"/>
            </w:tcBorders>
            <w:shd w:val="clear" w:color="auto" w:fill="FFFFFF"/>
          </w:tcPr>
          <w:p w14:paraId="577F8FCD" w14:textId="77777777" w:rsidR="00DE0C75" w:rsidRPr="00FC0E27" w:rsidRDefault="00DE0C75" w:rsidP="00DB2539">
            <w:pPr>
              <w:autoSpaceDE w:val="0"/>
              <w:autoSpaceDN w:val="0"/>
              <w:adjustRightInd w:val="0"/>
              <w:spacing w:after="0" w:line="320" w:lineRule="atLeast"/>
              <w:ind w:left="60" w:right="60"/>
              <w:jc w:val="right"/>
              <w:rPr>
                <w:szCs w:val="24"/>
              </w:rPr>
            </w:pPr>
            <w:r w:rsidRPr="00FC0E27">
              <w:rPr>
                <w:szCs w:val="24"/>
              </w:rPr>
              <w:t>.000</w:t>
            </w:r>
          </w:p>
        </w:tc>
        <w:tc>
          <w:tcPr>
            <w:tcW w:w="900" w:type="dxa"/>
            <w:tcBorders>
              <w:top w:val="single" w:sz="8" w:space="0" w:color="152935"/>
              <w:left w:val="single" w:sz="8" w:space="0" w:color="E0E0E0"/>
              <w:bottom w:val="single" w:sz="8" w:space="0" w:color="152935"/>
              <w:right w:val="nil"/>
            </w:tcBorders>
            <w:shd w:val="clear" w:color="auto" w:fill="FFFFFF"/>
          </w:tcPr>
          <w:p w14:paraId="53BC8144" w14:textId="77777777" w:rsidR="00DE0C75" w:rsidRPr="00FC0E27" w:rsidRDefault="00DE0C75" w:rsidP="00DB2539">
            <w:pPr>
              <w:autoSpaceDE w:val="0"/>
              <w:autoSpaceDN w:val="0"/>
              <w:adjustRightInd w:val="0"/>
              <w:spacing w:after="0" w:line="320" w:lineRule="atLeast"/>
              <w:ind w:left="60" w:right="60"/>
              <w:jc w:val="right"/>
              <w:rPr>
                <w:szCs w:val="24"/>
              </w:rPr>
            </w:pPr>
            <w:r>
              <w:rPr>
                <w:szCs w:val="24"/>
              </w:rPr>
              <w:t>2.255</w:t>
            </w:r>
          </w:p>
        </w:tc>
      </w:tr>
      <w:tr w:rsidR="00DE0C75" w:rsidRPr="00FC0E27" w14:paraId="2FD96B38" w14:textId="77777777" w:rsidTr="00DB2539">
        <w:trPr>
          <w:cantSplit/>
        </w:trPr>
        <w:tc>
          <w:tcPr>
            <w:tcW w:w="10350" w:type="dxa"/>
            <w:gridSpan w:val="11"/>
            <w:tcBorders>
              <w:top w:val="nil"/>
              <w:left w:val="nil"/>
              <w:bottom w:val="nil"/>
              <w:right w:val="nil"/>
            </w:tcBorders>
            <w:shd w:val="clear" w:color="auto" w:fill="FFFFFF"/>
          </w:tcPr>
          <w:p w14:paraId="071AF298" w14:textId="77777777" w:rsidR="00DE0C75" w:rsidRPr="00FC0E27" w:rsidRDefault="00DE0C75" w:rsidP="00276BAD">
            <w:pPr>
              <w:autoSpaceDE w:val="0"/>
              <w:autoSpaceDN w:val="0"/>
              <w:adjustRightInd w:val="0"/>
              <w:spacing w:after="0" w:line="320" w:lineRule="atLeast"/>
              <w:ind w:left="60" w:right="60"/>
              <w:rPr>
                <w:szCs w:val="24"/>
              </w:rPr>
            </w:pPr>
            <w:r w:rsidRPr="00FC0E27">
              <w:rPr>
                <w:szCs w:val="24"/>
              </w:rPr>
              <w:t xml:space="preserve">a. Predictors: </w:t>
            </w:r>
            <w:r>
              <w:rPr>
                <w:szCs w:val="24"/>
              </w:rPr>
              <w:t xml:space="preserve">(Constant), </w:t>
            </w:r>
            <w:r w:rsidR="00276BAD">
              <w:rPr>
                <w:szCs w:val="24"/>
              </w:rPr>
              <w:t>AAS, FI</w:t>
            </w:r>
            <w:r>
              <w:rPr>
                <w:szCs w:val="24"/>
              </w:rPr>
              <w:t>S</w:t>
            </w:r>
          </w:p>
        </w:tc>
      </w:tr>
      <w:tr w:rsidR="00DE0C75" w:rsidRPr="00FC0E27" w14:paraId="7F0A1F70" w14:textId="77777777" w:rsidTr="00DB2539">
        <w:trPr>
          <w:cantSplit/>
        </w:trPr>
        <w:tc>
          <w:tcPr>
            <w:tcW w:w="10350" w:type="dxa"/>
            <w:gridSpan w:val="11"/>
            <w:tcBorders>
              <w:top w:val="nil"/>
              <w:left w:val="nil"/>
              <w:bottom w:val="single" w:sz="4" w:space="0" w:color="auto"/>
              <w:right w:val="nil"/>
            </w:tcBorders>
            <w:shd w:val="clear" w:color="auto" w:fill="FFFFFF"/>
          </w:tcPr>
          <w:p w14:paraId="42F2FE14" w14:textId="77777777" w:rsidR="00DE0C75" w:rsidRPr="00FC0E27" w:rsidRDefault="00DE0C75" w:rsidP="00276BAD">
            <w:pPr>
              <w:autoSpaceDE w:val="0"/>
              <w:autoSpaceDN w:val="0"/>
              <w:adjustRightInd w:val="0"/>
              <w:spacing w:after="0" w:line="320" w:lineRule="atLeast"/>
              <w:ind w:left="60" w:right="60"/>
              <w:rPr>
                <w:szCs w:val="24"/>
              </w:rPr>
            </w:pPr>
            <w:r w:rsidRPr="00FC0E27">
              <w:rPr>
                <w:szCs w:val="24"/>
              </w:rPr>
              <w:t>b. Dependent Variable: F</w:t>
            </w:r>
            <w:r w:rsidR="00276BAD">
              <w:rPr>
                <w:szCs w:val="24"/>
              </w:rPr>
              <w:t>MGT</w:t>
            </w:r>
          </w:p>
        </w:tc>
      </w:tr>
    </w:tbl>
    <w:p w14:paraId="42650FDC" w14:textId="77777777" w:rsidR="00DE0C75" w:rsidRDefault="00DE0C75" w:rsidP="00DE0C75">
      <w:pPr>
        <w:spacing w:after="0" w:line="240" w:lineRule="auto"/>
        <w:ind w:left="0" w:right="0" w:firstLine="0"/>
      </w:pPr>
      <w:r w:rsidRPr="00782F2F">
        <w:lastRenderedPageBreak/>
        <w:t>Source</w:t>
      </w:r>
      <w:r>
        <w:rPr>
          <w:b/>
        </w:rPr>
        <w:t>:</w:t>
      </w:r>
      <w:r>
        <w:t xml:space="preserve"> Author’s Output 2024, SPSS Version 23 </w:t>
      </w:r>
    </w:p>
    <w:p w14:paraId="3A1E54A5" w14:textId="3188330D" w:rsidR="001A1434" w:rsidRPr="001A1434" w:rsidRDefault="001A1434" w:rsidP="00722E2D">
      <w:pPr>
        <w:spacing w:after="120" w:line="240" w:lineRule="auto"/>
        <w:ind w:left="0" w:right="0" w:firstLine="0"/>
        <w:rPr>
          <w:color w:val="auto"/>
          <w:szCs w:val="24"/>
        </w:rPr>
      </w:pPr>
      <w:r w:rsidRPr="001A1434">
        <w:rPr>
          <w:color w:val="auto"/>
          <w:szCs w:val="24"/>
        </w:rPr>
        <w:t xml:space="preserve">Table </w:t>
      </w:r>
      <w:r w:rsidR="00E03201">
        <w:rPr>
          <w:color w:val="auto"/>
          <w:szCs w:val="24"/>
        </w:rPr>
        <w:t>5</w:t>
      </w:r>
      <w:r w:rsidRPr="001A1434">
        <w:rPr>
          <w:color w:val="auto"/>
          <w:szCs w:val="24"/>
        </w:rPr>
        <w:t xml:space="preserve"> presents the model summary result, which indicates that 92% of the variances in fraud management (FMGT) among federal ministries, departments, and agencies (MDAs) in Nigeria were attributed to the degree of forensic investigation skills (FIS) and accounting and auditing skills (AAS), while the remaining 8% of the variances in FMGT were influenced by factors beyond the scope of our model. The forensic investigation skills (FIS) and accounting and auditing skills (AAS) were the primary determinants of fraud management (FMGT) in federal ministries, departments, and agencies (MDAs) in Nigeria, according to the modified R-squared, which shows a value greater than 50%. The F-statistic change is 1.337 at a p-value of 0.000 at the 1% level of significance, and the Durbin-Watson statistic is 2.255. The model's suitability for the study's data was also shown by this table, which shows that forensic investigation skills (FIS) and accounting and auditing skills (AAS) appear to have been jointly effective methods that improved the fraud management (FMGT) of federal ministries, departments, and agencies (MDAs) in Nigeria. </w:t>
      </w:r>
    </w:p>
    <w:p w14:paraId="3F2931CD" w14:textId="1F6A581C" w:rsidR="00DE0C75" w:rsidRDefault="00276BAD" w:rsidP="00DE0C75">
      <w:pPr>
        <w:pStyle w:val="Heading2"/>
        <w:spacing w:after="0" w:line="240" w:lineRule="auto"/>
        <w:ind w:left="100" w:hanging="14"/>
      </w:pPr>
      <w:r>
        <w:t xml:space="preserve">Table </w:t>
      </w:r>
      <w:r w:rsidR="00E03201">
        <w:t>6</w:t>
      </w:r>
      <w:r w:rsidR="00DE0C75">
        <w:rPr>
          <w:b w:val="0"/>
        </w:rPr>
        <w:t xml:space="preserve">: </w:t>
      </w:r>
      <w:r w:rsidR="00DE0C75">
        <w:t xml:space="preserve">Regression Coefficients </w:t>
      </w:r>
    </w:p>
    <w:tbl>
      <w:tblPr>
        <w:tblStyle w:val="TableGrid"/>
        <w:tblW w:w="9599" w:type="dxa"/>
        <w:tblInd w:w="-29" w:type="dxa"/>
        <w:tblCellMar>
          <w:top w:w="24" w:type="dxa"/>
          <w:right w:w="115" w:type="dxa"/>
        </w:tblCellMar>
        <w:tblLook w:val="04A0" w:firstRow="1" w:lastRow="0" w:firstColumn="1" w:lastColumn="0" w:noHBand="0" w:noVBand="1"/>
      </w:tblPr>
      <w:tblGrid>
        <w:gridCol w:w="2098"/>
        <w:gridCol w:w="1378"/>
        <w:gridCol w:w="1815"/>
        <w:gridCol w:w="1580"/>
        <w:gridCol w:w="1662"/>
        <w:gridCol w:w="1066"/>
      </w:tblGrid>
      <w:tr w:rsidR="00DE0C75" w14:paraId="31FE64D3" w14:textId="77777777" w:rsidTr="00DB2539">
        <w:trPr>
          <w:trHeight w:val="294"/>
        </w:trPr>
        <w:tc>
          <w:tcPr>
            <w:tcW w:w="2098" w:type="dxa"/>
            <w:tcBorders>
              <w:top w:val="single" w:sz="17" w:space="0" w:color="000000"/>
              <w:left w:val="nil"/>
              <w:bottom w:val="single" w:sz="17" w:space="0" w:color="000000"/>
              <w:right w:val="nil"/>
            </w:tcBorders>
          </w:tcPr>
          <w:p w14:paraId="2A685666" w14:textId="77777777" w:rsidR="00DE0C75" w:rsidRDefault="00DE0C75" w:rsidP="00DB2539">
            <w:pPr>
              <w:spacing w:after="0" w:line="240" w:lineRule="auto"/>
              <w:ind w:left="490" w:right="0" w:firstLine="0"/>
              <w:jc w:val="left"/>
            </w:pPr>
            <w:r>
              <w:rPr>
                <w:b/>
              </w:rPr>
              <w:t xml:space="preserve">Model </w:t>
            </w:r>
          </w:p>
        </w:tc>
        <w:tc>
          <w:tcPr>
            <w:tcW w:w="1378" w:type="dxa"/>
            <w:tcBorders>
              <w:top w:val="single" w:sz="17" w:space="0" w:color="000000"/>
              <w:left w:val="nil"/>
              <w:bottom w:val="single" w:sz="17" w:space="0" w:color="000000"/>
              <w:right w:val="nil"/>
            </w:tcBorders>
          </w:tcPr>
          <w:p w14:paraId="7FC7411F" w14:textId="77777777" w:rsidR="00DE0C75" w:rsidRDefault="00DE0C75" w:rsidP="00DB2539">
            <w:pPr>
              <w:spacing w:after="0" w:line="240" w:lineRule="auto"/>
              <w:ind w:left="230" w:right="0" w:firstLine="0"/>
              <w:jc w:val="left"/>
            </w:pPr>
            <w:r>
              <w:rPr>
                <w:b/>
              </w:rPr>
              <w:t xml:space="preserve">B </w:t>
            </w:r>
          </w:p>
        </w:tc>
        <w:tc>
          <w:tcPr>
            <w:tcW w:w="1815" w:type="dxa"/>
            <w:tcBorders>
              <w:top w:val="single" w:sz="17" w:space="0" w:color="000000"/>
              <w:left w:val="nil"/>
              <w:bottom w:val="single" w:sz="17" w:space="0" w:color="000000"/>
              <w:right w:val="nil"/>
            </w:tcBorders>
          </w:tcPr>
          <w:p w14:paraId="1A1A39B3" w14:textId="77777777" w:rsidR="00DE0C75" w:rsidRDefault="00DE0C75" w:rsidP="00DB2539">
            <w:pPr>
              <w:spacing w:after="0" w:line="240" w:lineRule="auto"/>
              <w:ind w:left="0" w:right="0" w:firstLine="0"/>
              <w:jc w:val="left"/>
            </w:pPr>
            <w:r>
              <w:rPr>
                <w:b/>
              </w:rPr>
              <w:t xml:space="preserve">Std. Error </w:t>
            </w:r>
          </w:p>
        </w:tc>
        <w:tc>
          <w:tcPr>
            <w:tcW w:w="1580" w:type="dxa"/>
            <w:tcBorders>
              <w:top w:val="single" w:sz="17" w:space="0" w:color="000000"/>
              <w:left w:val="nil"/>
              <w:bottom w:val="single" w:sz="17" w:space="0" w:color="000000"/>
              <w:right w:val="nil"/>
            </w:tcBorders>
          </w:tcPr>
          <w:p w14:paraId="7B24502E" w14:textId="77777777" w:rsidR="00DE0C75" w:rsidRDefault="00DE0C75" w:rsidP="00DB2539">
            <w:pPr>
              <w:spacing w:after="0" w:line="240" w:lineRule="auto"/>
              <w:ind w:left="77" w:right="0" w:firstLine="0"/>
              <w:jc w:val="left"/>
            </w:pPr>
            <w:r>
              <w:rPr>
                <w:b/>
              </w:rPr>
              <w:t xml:space="preserve">Beta </w:t>
            </w:r>
          </w:p>
        </w:tc>
        <w:tc>
          <w:tcPr>
            <w:tcW w:w="1662" w:type="dxa"/>
            <w:tcBorders>
              <w:top w:val="single" w:sz="17" w:space="0" w:color="000000"/>
              <w:left w:val="nil"/>
              <w:bottom w:val="single" w:sz="17" w:space="0" w:color="000000"/>
              <w:right w:val="nil"/>
            </w:tcBorders>
          </w:tcPr>
          <w:p w14:paraId="3B24F1D8" w14:textId="77777777" w:rsidR="00DE0C75" w:rsidRDefault="00DE0C75" w:rsidP="00DB2539">
            <w:pPr>
              <w:spacing w:after="0" w:line="240" w:lineRule="auto"/>
              <w:ind w:left="250" w:right="0" w:firstLine="0"/>
              <w:jc w:val="left"/>
            </w:pPr>
            <w:r>
              <w:rPr>
                <w:b/>
              </w:rPr>
              <w:t xml:space="preserve">T </w:t>
            </w:r>
          </w:p>
        </w:tc>
        <w:tc>
          <w:tcPr>
            <w:tcW w:w="1066" w:type="dxa"/>
            <w:tcBorders>
              <w:top w:val="single" w:sz="17" w:space="0" w:color="000000"/>
              <w:left w:val="nil"/>
              <w:bottom w:val="single" w:sz="17" w:space="0" w:color="000000"/>
              <w:right w:val="nil"/>
            </w:tcBorders>
          </w:tcPr>
          <w:p w14:paraId="135EAC23" w14:textId="77777777" w:rsidR="00DE0C75" w:rsidRDefault="00DE0C75" w:rsidP="00DB2539">
            <w:pPr>
              <w:spacing w:after="0" w:line="240" w:lineRule="auto"/>
              <w:ind w:left="77" w:right="0" w:firstLine="0"/>
              <w:jc w:val="left"/>
            </w:pPr>
            <w:r>
              <w:rPr>
                <w:b/>
              </w:rPr>
              <w:t xml:space="preserve">Sig. </w:t>
            </w:r>
          </w:p>
        </w:tc>
      </w:tr>
      <w:tr w:rsidR="001E07AE" w14:paraId="42A8E70A" w14:textId="77777777" w:rsidTr="00DB2539">
        <w:trPr>
          <w:trHeight w:val="318"/>
        </w:trPr>
        <w:tc>
          <w:tcPr>
            <w:tcW w:w="2098" w:type="dxa"/>
            <w:tcBorders>
              <w:top w:val="nil"/>
              <w:left w:val="nil"/>
              <w:bottom w:val="nil"/>
              <w:right w:val="nil"/>
            </w:tcBorders>
          </w:tcPr>
          <w:p w14:paraId="076ECFA4" w14:textId="77777777" w:rsidR="001E07AE" w:rsidRDefault="001E07AE" w:rsidP="001E07AE">
            <w:pPr>
              <w:spacing w:after="0" w:line="259" w:lineRule="auto"/>
              <w:ind w:left="576" w:right="0" w:firstLine="0"/>
              <w:jc w:val="left"/>
            </w:pPr>
            <w:r>
              <w:rPr>
                <w:b/>
              </w:rPr>
              <w:t xml:space="preserve">AAS </w:t>
            </w:r>
          </w:p>
        </w:tc>
        <w:tc>
          <w:tcPr>
            <w:tcW w:w="1378" w:type="dxa"/>
            <w:tcBorders>
              <w:top w:val="nil"/>
              <w:left w:val="nil"/>
              <w:bottom w:val="nil"/>
              <w:right w:val="nil"/>
            </w:tcBorders>
          </w:tcPr>
          <w:p w14:paraId="41208A04" w14:textId="77777777" w:rsidR="001E07AE" w:rsidRDefault="001E07AE" w:rsidP="001E07AE">
            <w:pPr>
              <w:spacing w:after="0" w:line="259" w:lineRule="auto"/>
              <w:ind w:left="43" w:right="0" w:firstLine="0"/>
              <w:jc w:val="left"/>
            </w:pPr>
            <w:r>
              <w:t xml:space="preserve">0.917 </w:t>
            </w:r>
          </w:p>
        </w:tc>
        <w:tc>
          <w:tcPr>
            <w:tcW w:w="1815" w:type="dxa"/>
            <w:tcBorders>
              <w:top w:val="nil"/>
              <w:left w:val="nil"/>
              <w:bottom w:val="nil"/>
              <w:right w:val="nil"/>
            </w:tcBorders>
          </w:tcPr>
          <w:p w14:paraId="185B8137" w14:textId="77777777" w:rsidR="001E07AE" w:rsidRDefault="001E07AE" w:rsidP="001E07AE">
            <w:pPr>
              <w:spacing w:after="0" w:line="259" w:lineRule="auto"/>
              <w:ind w:left="264" w:right="0" w:firstLine="0"/>
              <w:jc w:val="left"/>
            </w:pPr>
            <w:r>
              <w:t xml:space="preserve">0.025 </w:t>
            </w:r>
          </w:p>
        </w:tc>
        <w:tc>
          <w:tcPr>
            <w:tcW w:w="1580" w:type="dxa"/>
            <w:tcBorders>
              <w:top w:val="nil"/>
              <w:left w:val="nil"/>
              <w:bottom w:val="nil"/>
              <w:right w:val="nil"/>
            </w:tcBorders>
          </w:tcPr>
          <w:p w14:paraId="0978D295" w14:textId="77777777" w:rsidR="001E07AE" w:rsidRDefault="001E07AE" w:rsidP="001E07AE">
            <w:pPr>
              <w:spacing w:after="0" w:line="259" w:lineRule="auto"/>
              <w:ind w:left="43" w:right="0" w:firstLine="0"/>
              <w:jc w:val="left"/>
            </w:pPr>
            <w:r>
              <w:t xml:space="preserve">0.642 </w:t>
            </w:r>
          </w:p>
        </w:tc>
        <w:tc>
          <w:tcPr>
            <w:tcW w:w="1662" w:type="dxa"/>
            <w:tcBorders>
              <w:top w:val="nil"/>
              <w:left w:val="nil"/>
              <w:bottom w:val="nil"/>
              <w:right w:val="nil"/>
            </w:tcBorders>
          </w:tcPr>
          <w:p w14:paraId="7B33490F" w14:textId="77777777" w:rsidR="001E07AE" w:rsidRDefault="001E07AE" w:rsidP="001E07AE">
            <w:pPr>
              <w:spacing w:after="0" w:line="259" w:lineRule="auto"/>
              <w:ind w:left="0" w:right="0" w:firstLine="0"/>
              <w:jc w:val="left"/>
            </w:pPr>
            <w:r>
              <w:t xml:space="preserve">35.104 </w:t>
            </w:r>
          </w:p>
        </w:tc>
        <w:tc>
          <w:tcPr>
            <w:tcW w:w="1066" w:type="dxa"/>
            <w:tcBorders>
              <w:top w:val="nil"/>
              <w:left w:val="nil"/>
              <w:bottom w:val="nil"/>
              <w:right w:val="nil"/>
            </w:tcBorders>
          </w:tcPr>
          <w:p w14:paraId="7986C7B8" w14:textId="77777777" w:rsidR="001E07AE" w:rsidRDefault="001E07AE" w:rsidP="001E07AE">
            <w:pPr>
              <w:spacing w:after="0" w:line="259" w:lineRule="auto"/>
              <w:ind w:left="0" w:right="0" w:firstLine="0"/>
              <w:jc w:val="left"/>
            </w:pPr>
            <w:r>
              <w:t xml:space="preserve">0.000 </w:t>
            </w:r>
          </w:p>
        </w:tc>
      </w:tr>
      <w:tr w:rsidR="001E07AE" w14:paraId="0E0A3786" w14:textId="77777777" w:rsidTr="00DB2539">
        <w:trPr>
          <w:trHeight w:val="246"/>
        </w:trPr>
        <w:tc>
          <w:tcPr>
            <w:tcW w:w="2098" w:type="dxa"/>
            <w:tcBorders>
              <w:top w:val="nil"/>
              <w:left w:val="nil"/>
              <w:bottom w:val="single" w:sz="4" w:space="0" w:color="000000"/>
              <w:right w:val="nil"/>
            </w:tcBorders>
          </w:tcPr>
          <w:p w14:paraId="64B43496" w14:textId="77777777" w:rsidR="001E07AE" w:rsidRDefault="001E07AE" w:rsidP="001E07AE">
            <w:pPr>
              <w:spacing w:after="0" w:line="259" w:lineRule="auto"/>
              <w:ind w:left="629" w:right="0" w:firstLine="0"/>
              <w:jc w:val="left"/>
            </w:pPr>
            <w:r>
              <w:rPr>
                <w:b/>
              </w:rPr>
              <w:t xml:space="preserve">FIS </w:t>
            </w:r>
          </w:p>
        </w:tc>
        <w:tc>
          <w:tcPr>
            <w:tcW w:w="1378" w:type="dxa"/>
            <w:tcBorders>
              <w:top w:val="nil"/>
              <w:left w:val="nil"/>
              <w:bottom w:val="single" w:sz="4" w:space="0" w:color="000000"/>
              <w:right w:val="nil"/>
            </w:tcBorders>
          </w:tcPr>
          <w:p w14:paraId="7052430B" w14:textId="77777777" w:rsidR="001E07AE" w:rsidRDefault="001E07AE" w:rsidP="001E07AE">
            <w:pPr>
              <w:spacing w:after="0" w:line="259" w:lineRule="auto"/>
              <w:ind w:left="43" w:right="0" w:firstLine="0"/>
              <w:jc w:val="left"/>
            </w:pPr>
            <w:r>
              <w:t xml:space="preserve">0.049 </w:t>
            </w:r>
          </w:p>
        </w:tc>
        <w:tc>
          <w:tcPr>
            <w:tcW w:w="1815" w:type="dxa"/>
            <w:tcBorders>
              <w:top w:val="nil"/>
              <w:left w:val="nil"/>
              <w:bottom w:val="single" w:sz="4" w:space="0" w:color="000000"/>
              <w:right w:val="nil"/>
            </w:tcBorders>
          </w:tcPr>
          <w:p w14:paraId="1EE2F40F" w14:textId="77777777" w:rsidR="001E07AE" w:rsidRDefault="001E07AE" w:rsidP="001E07AE">
            <w:pPr>
              <w:spacing w:after="0" w:line="259" w:lineRule="auto"/>
              <w:ind w:left="264" w:right="0" w:firstLine="0"/>
              <w:jc w:val="left"/>
            </w:pPr>
            <w:r>
              <w:t xml:space="preserve">0.020 </w:t>
            </w:r>
          </w:p>
        </w:tc>
        <w:tc>
          <w:tcPr>
            <w:tcW w:w="1580" w:type="dxa"/>
            <w:tcBorders>
              <w:top w:val="nil"/>
              <w:left w:val="nil"/>
              <w:bottom w:val="single" w:sz="4" w:space="0" w:color="000000"/>
              <w:right w:val="nil"/>
            </w:tcBorders>
          </w:tcPr>
          <w:p w14:paraId="03B9AF0E" w14:textId="77777777" w:rsidR="001E07AE" w:rsidRDefault="001E07AE" w:rsidP="001E07AE">
            <w:pPr>
              <w:spacing w:after="0" w:line="259" w:lineRule="auto"/>
              <w:ind w:left="43" w:right="0" w:firstLine="0"/>
              <w:jc w:val="left"/>
            </w:pPr>
            <w:r>
              <w:t xml:space="preserve">0.047 </w:t>
            </w:r>
          </w:p>
        </w:tc>
        <w:tc>
          <w:tcPr>
            <w:tcW w:w="1662" w:type="dxa"/>
            <w:tcBorders>
              <w:top w:val="nil"/>
              <w:left w:val="nil"/>
              <w:bottom w:val="single" w:sz="4" w:space="0" w:color="000000"/>
              <w:right w:val="nil"/>
            </w:tcBorders>
          </w:tcPr>
          <w:p w14:paraId="057D6A21" w14:textId="77777777" w:rsidR="001E07AE" w:rsidRDefault="001E07AE" w:rsidP="001E07AE">
            <w:pPr>
              <w:spacing w:after="0" w:line="259" w:lineRule="auto"/>
              <w:ind w:left="62" w:right="0" w:firstLine="0"/>
              <w:jc w:val="left"/>
            </w:pPr>
            <w:r>
              <w:t xml:space="preserve">2.412 </w:t>
            </w:r>
          </w:p>
        </w:tc>
        <w:tc>
          <w:tcPr>
            <w:tcW w:w="1066" w:type="dxa"/>
            <w:tcBorders>
              <w:top w:val="nil"/>
              <w:left w:val="nil"/>
              <w:bottom w:val="single" w:sz="4" w:space="0" w:color="000000"/>
              <w:right w:val="nil"/>
            </w:tcBorders>
          </w:tcPr>
          <w:p w14:paraId="375D36C0" w14:textId="77777777" w:rsidR="001E07AE" w:rsidRDefault="001E07AE" w:rsidP="001E07AE">
            <w:pPr>
              <w:spacing w:after="0" w:line="259" w:lineRule="auto"/>
              <w:ind w:left="0" w:right="0" w:firstLine="0"/>
              <w:jc w:val="left"/>
            </w:pPr>
            <w:r>
              <w:t xml:space="preserve">0.016 </w:t>
            </w:r>
          </w:p>
        </w:tc>
      </w:tr>
    </w:tbl>
    <w:p w14:paraId="3900C601" w14:textId="77777777" w:rsidR="00DE0C75" w:rsidRPr="00592A53" w:rsidRDefault="00DE0C75" w:rsidP="005A2364">
      <w:pPr>
        <w:pStyle w:val="Heading3"/>
        <w:spacing w:before="0" w:after="120" w:line="240" w:lineRule="auto"/>
        <w:ind w:left="0" w:right="0"/>
        <w:rPr>
          <w:rFonts w:ascii="Times New Roman" w:hAnsi="Times New Roman" w:cs="Times New Roman"/>
          <w:color w:val="auto"/>
        </w:rPr>
      </w:pPr>
      <w:r w:rsidRPr="00E13CDA">
        <w:rPr>
          <w:rFonts w:ascii="Times New Roman" w:hAnsi="Times New Roman" w:cs="Times New Roman"/>
          <w:color w:val="auto"/>
        </w:rPr>
        <w:t>Source</w:t>
      </w:r>
      <w:r w:rsidRPr="00E13CDA">
        <w:rPr>
          <w:rFonts w:ascii="Times New Roman" w:hAnsi="Times New Roman" w:cs="Times New Roman"/>
          <w:b/>
          <w:color w:val="auto"/>
        </w:rPr>
        <w:t>:</w:t>
      </w:r>
      <w:r w:rsidRPr="00E13CDA">
        <w:rPr>
          <w:rFonts w:ascii="Times New Roman" w:hAnsi="Times New Roman" w:cs="Times New Roman"/>
          <w:color w:val="auto"/>
        </w:rPr>
        <w:t xml:space="preserve"> Author’s Output 2024, SPSS Version 23 </w:t>
      </w:r>
    </w:p>
    <w:p w14:paraId="6DB8E249" w14:textId="77777777" w:rsidR="00DE0C75" w:rsidRPr="00AE51D7" w:rsidRDefault="00DE0C75" w:rsidP="005A2364">
      <w:pPr>
        <w:spacing w:after="120" w:line="240" w:lineRule="auto"/>
        <w:ind w:left="720" w:right="0" w:hanging="720"/>
        <w:rPr>
          <w:color w:val="auto"/>
          <w:szCs w:val="24"/>
        </w:rPr>
      </w:pPr>
      <w:r w:rsidRPr="00AE51D7">
        <w:rPr>
          <w:b/>
          <w:bCs/>
          <w:color w:val="auto"/>
          <w:szCs w:val="24"/>
        </w:rPr>
        <w:t>Ho</w:t>
      </w:r>
      <w:r w:rsidRPr="00AE51D7">
        <w:rPr>
          <w:b/>
          <w:bCs/>
          <w:color w:val="auto"/>
          <w:szCs w:val="24"/>
          <w:vertAlign w:val="subscript"/>
        </w:rPr>
        <w:t>1</w:t>
      </w:r>
      <w:r w:rsidRPr="00AE51D7">
        <w:rPr>
          <w:b/>
          <w:bCs/>
          <w:color w:val="auto"/>
          <w:szCs w:val="24"/>
        </w:rPr>
        <w:t xml:space="preserve">: </w:t>
      </w:r>
      <w:r w:rsidR="005A2364">
        <w:rPr>
          <w:b/>
          <w:bCs/>
          <w:color w:val="auto"/>
          <w:szCs w:val="24"/>
        </w:rPr>
        <w:tab/>
      </w:r>
      <w:r w:rsidR="002D53C8">
        <w:rPr>
          <w:i/>
          <w:iCs/>
          <w:color w:val="auto"/>
          <w:szCs w:val="24"/>
        </w:rPr>
        <w:t>Accounting and Auditing Skills</w:t>
      </w:r>
      <w:r w:rsidRPr="00AE51D7">
        <w:rPr>
          <w:i/>
          <w:iCs/>
          <w:color w:val="auto"/>
          <w:szCs w:val="24"/>
        </w:rPr>
        <w:t xml:space="preserve"> (</w:t>
      </w:r>
      <w:r w:rsidR="002D53C8">
        <w:rPr>
          <w:i/>
          <w:iCs/>
          <w:color w:val="auto"/>
          <w:szCs w:val="24"/>
        </w:rPr>
        <w:t>AAS</w:t>
      </w:r>
      <w:r w:rsidRPr="00AE51D7">
        <w:rPr>
          <w:i/>
          <w:iCs/>
          <w:color w:val="auto"/>
          <w:szCs w:val="24"/>
        </w:rPr>
        <w:t xml:space="preserve">) have no significant effect on the fraud </w:t>
      </w:r>
      <w:r w:rsidR="002D53C8">
        <w:rPr>
          <w:i/>
          <w:iCs/>
          <w:color w:val="auto"/>
          <w:szCs w:val="24"/>
        </w:rPr>
        <w:t>management</w:t>
      </w:r>
      <w:r w:rsidRPr="00AE51D7">
        <w:rPr>
          <w:i/>
          <w:iCs/>
          <w:color w:val="auto"/>
          <w:szCs w:val="24"/>
        </w:rPr>
        <w:t xml:space="preserve"> (F</w:t>
      </w:r>
      <w:r w:rsidR="002D53C8">
        <w:rPr>
          <w:i/>
          <w:iCs/>
          <w:color w:val="auto"/>
          <w:szCs w:val="24"/>
        </w:rPr>
        <w:t>MGT</w:t>
      </w:r>
      <w:r w:rsidRPr="00AE51D7">
        <w:rPr>
          <w:i/>
          <w:iCs/>
          <w:color w:val="auto"/>
          <w:szCs w:val="24"/>
        </w:rPr>
        <w:t>) of selected federal ministries, departments, and agencies (MDAs) in Nigeria.</w:t>
      </w:r>
    </w:p>
    <w:p w14:paraId="68CE0720" w14:textId="77777777" w:rsidR="002D5064" w:rsidRPr="002D5064" w:rsidRDefault="002D5064" w:rsidP="002D5064">
      <w:pPr>
        <w:spacing w:after="120" w:line="240" w:lineRule="auto"/>
        <w:ind w:left="0" w:right="0" w:firstLine="0"/>
        <w:rPr>
          <w:color w:val="auto"/>
          <w:szCs w:val="24"/>
        </w:rPr>
      </w:pPr>
      <w:r w:rsidRPr="002D5064">
        <w:rPr>
          <w:color w:val="auto"/>
          <w:szCs w:val="24"/>
        </w:rPr>
        <w:t xml:space="preserve">The Accounting and Auditing Skills (AAS) t-calculated value is 35.104 greater than the critical value of 2.000 in the regression analysis table above, and the P-value indicates a value of 0.000 less than 5%, which is the threshold of significance. This implies that any increase in accounting and auditing skills will also result in an increase in fraud prevention, and vice versa. This suggests that accounting and auditing skills (AAS) have a positive and significant effect on fraud management (FMGT). Based on the result, the study rejects the null hypothesis (Ho) and accepts alternate hypothesis 1, which states that accounting and auditing skills (AAS) have a significant effect on the fraud management (FMGT) of selected federal ministries, departments, and agencies (MDAs) in Nigeria. The findings of this study agreed with </w:t>
      </w:r>
      <w:proofErr w:type="spellStart"/>
      <w:r w:rsidRPr="002D5064">
        <w:rPr>
          <w:color w:val="auto"/>
          <w:szCs w:val="24"/>
        </w:rPr>
        <w:t>Sumartono</w:t>
      </w:r>
      <w:proofErr w:type="spellEnd"/>
      <w:r w:rsidRPr="002D5064">
        <w:rPr>
          <w:color w:val="auto"/>
          <w:szCs w:val="24"/>
        </w:rPr>
        <w:t xml:space="preserve"> et al. (2020), Ewa (2022), and Olaniyan et al. (2021), while Farah et al. (2021) and </w:t>
      </w:r>
      <w:proofErr w:type="spellStart"/>
      <w:r w:rsidRPr="002D5064">
        <w:rPr>
          <w:color w:val="auto"/>
          <w:szCs w:val="24"/>
        </w:rPr>
        <w:t>Ugbede</w:t>
      </w:r>
      <w:proofErr w:type="spellEnd"/>
      <w:r w:rsidRPr="002D5064">
        <w:rPr>
          <w:color w:val="auto"/>
          <w:szCs w:val="24"/>
        </w:rPr>
        <w:t xml:space="preserve"> et al. (2021) were not in agreement.</w:t>
      </w:r>
    </w:p>
    <w:p w14:paraId="42F43329" w14:textId="77777777" w:rsidR="00DE0C75" w:rsidRPr="00AE51D7" w:rsidRDefault="00DE0C75" w:rsidP="002D5064">
      <w:pPr>
        <w:spacing w:after="120" w:line="240" w:lineRule="auto"/>
        <w:ind w:left="720" w:right="0" w:hanging="720"/>
        <w:rPr>
          <w:color w:val="auto"/>
          <w:szCs w:val="24"/>
        </w:rPr>
      </w:pPr>
      <w:r w:rsidRPr="00AE51D7">
        <w:rPr>
          <w:b/>
          <w:bCs/>
          <w:color w:val="auto"/>
          <w:szCs w:val="24"/>
        </w:rPr>
        <w:t>Ho</w:t>
      </w:r>
      <w:r w:rsidRPr="00AE51D7">
        <w:rPr>
          <w:b/>
          <w:bCs/>
          <w:color w:val="auto"/>
          <w:szCs w:val="24"/>
          <w:vertAlign w:val="subscript"/>
        </w:rPr>
        <w:t>2</w:t>
      </w:r>
      <w:r w:rsidRPr="00AE51D7">
        <w:rPr>
          <w:b/>
          <w:bCs/>
          <w:color w:val="auto"/>
          <w:szCs w:val="24"/>
        </w:rPr>
        <w:t xml:space="preserve">: </w:t>
      </w:r>
      <w:r w:rsidR="005A2364">
        <w:rPr>
          <w:b/>
          <w:bCs/>
          <w:color w:val="auto"/>
          <w:szCs w:val="24"/>
        </w:rPr>
        <w:tab/>
      </w:r>
      <w:r w:rsidR="001E07AE">
        <w:rPr>
          <w:i/>
          <w:iCs/>
          <w:color w:val="auto"/>
          <w:szCs w:val="24"/>
        </w:rPr>
        <w:t>Forensic Investigation Skills (FI</w:t>
      </w:r>
      <w:r w:rsidRPr="00AE51D7">
        <w:rPr>
          <w:i/>
          <w:iCs/>
          <w:color w:val="auto"/>
          <w:szCs w:val="24"/>
        </w:rPr>
        <w:t xml:space="preserve">S) has no significant effect on the fraud </w:t>
      </w:r>
      <w:r w:rsidR="001E07AE">
        <w:rPr>
          <w:i/>
          <w:iCs/>
          <w:color w:val="auto"/>
          <w:szCs w:val="24"/>
        </w:rPr>
        <w:t>management (FMGT)</w:t>
      </w:r>
      <w:r w:rsidRPr="00AE51D7">
        <w:rPr>
          <w:i/>
          <w:iCs/>
          <w:color w:val="auto"/>
          <w:szCs w:val="24"/>
        </w:rPr>
        <w:t xml:space="preserve"> of selected federal ministries, departments, and agencies (MDAs) in Nigeria.</w:t>
      </w:r>
    </w:p>
    <w:p w14:paraId="2D5B923F" w14:textId="5C3E414F" w:rsidR="002D5064" w:rsidRPr="002D5064" w:rsidRDefault="002D5064" w:rsidP="001D69AC">
      <w:pPr>
        <w:spacing w:after="120" w:line="240" w:lineRule="auto"/>
        <w:ind w:left="0" w:right="0" w:firstLine="0"/>
        <w:rPr>
          <w:color w:val="auto"/>
          <w:szCs w:val="24"/>
        </w:rPr>
      </w:pPr>
      <w:r w:rsidRPr="002D5064">
        <w:rPr>
          <w:color w:val="auto"/>
          <w:szCs w:val="24"/>
        </w:rPr>
        <w:t xml:space="preserve">The forensic investigation skills (FIS) t-calculated value is 2.412 greater than the critical value of 2.000 in the regression analysis table above, and the P-value indicates a value of 0.016 less than 5%, which is the threshold of significance. This suggests that forensic investigation skills (FIS) have a positive and significant effect on fraud management (FMGT). This implies that any increase in forensic investigation skills will also result in an increase in fraud management, and vice versa. The study rejects the null hypothesis (Ho) and accepts the alternate hypothesis of hypothesis two, which states that forensic investigation skills (FIS) have a significant effect on the fraud </w:t>
      </w:r>
      <w:r w:rsidR="00077BD4">
        <w:rPr>
          <w:color w:val="auto"/>
          <w:szCs w:val="24"/>
        </w:rPr>
        <w:t>management</w:t>
      </w:r>
      <w:r w:rsidRPr="002D5064">
        <w:rPr>
          <w:color w:val="auto"/>
          <w:szCs w:val="24"/>
        </w:rPr>
        <w:t xml:space="preserve"> of selected federal ministries, departments, and agencies (MDAs) in Nigeria. The findings of this study agreed with </w:t>
      </w:r>
      <w:proofErr w:type="spellStart"/>
      <w:r w:rsidRPr="002D5064">
        <w:rPr>
          <w:color w:val="auto"/>
          <w:szCs w:val="24"/>
        </w:rPr>
        <w:t>Tapang</w:t>
      </w:r>
      <w:proofErr w:type="spellEnd"/>
      <w:r w:rsidRPr="002D5064">
        <w:rPr>
          <w:color w:val="auto"/>
          <w:szCs w:val="24"/>
        </w:rPr>
        <w:t xml:space="preserve"> &amp; </w:t>
      </w:r>
      <w:proofErr w:type="spellStart"/>
      <w:r w:rsidRPr="002D5064">
        <w:rPr>
          <w:color w:val="auto"/>
          <w:szCs w:val="24"/>
        </w:rPr>
        <w:t>Ihendinihu</w:t>
      </w:r>
      <w:proofErr w:type="spellEnd"/>
      <w:r w:rsidRPr="002D5064">
        <w:rPr>
          <w:color w:val="auto"/>
          <w:szCs w:val="24"/>
        </w:rPr>
        <w:t xml:space="preserve"> (2020) and Okoye &amp; Ndah (2019), while being in contrast with those studied by Bassey (2019).</w:t>
      </w:r>
    </w:p>
    <w:p w14:paraId="2D06595F" w14:textId="5A21EDD5" w:rsidR="00DE0C75" w:rsidRDefault="00DE0C75" w:rsidP="001D69AC">
      <w:pPr>
        <w:pStyle w:val="Heading3"/>
        <w:spacing w:before="0" w:after="120" w:line="240" w:lineRule="auto"/>
        <w:ind w:left="720" w:right="0" w:hanging="720"/>
        <w:rPr>
          <w:rFonts w:ascii="Times New Roman" w:hAnsi="Times New Roman" w:cs="Times New Roman"/>
          <w:color w:val="auto"/>
        </w:rPr>
      </w:pPr>
      <w:r>
        <w:rPr>
          <w:rFonts w:ascii="Times New Roman" w:hAnsi="Times New Roman" w:cs="Times New Roman"/>
          <w:b/>
          <w:color w:val="auto"/>
        </w:rPr>
        <w:lastRenderedPageBreak/>
        <w:t>5.</w:t>
      </w:r>
      <w:r>
        <w:rPr>
          <w:rFonts w:ascii="Times New Roman" w:hAnsi="Times New Roman" w:cs="Times New Roman"/>
          <w:b/>
          <w:color w:val="auto"/>
        </w:rPr>
        <w:tab/>
      </w:r>
      <w:r w:rsidR="00A01D2C">
        <w:rPr>
          <w:rFonts w:ascii="Times New Roman" w:hAnsi="Times New Roman" w:cs="Times New Roman"/>
          <w:b/>
          <w:color w:val="auto"/>
        </w:rPr>
        <w:t xml:space="preserve">Conclusion and </w:t>
      </w:r>
      <w:r w:rsidRPr="00F578B5">
        <w:rPr>
          <w:rFonts w:ascii="Times New Roman" w:hAnsi="Times New Roman" w:cs="Times New Roman"/>
          <w:b/>
          <w:color w:val="auto"/>
        </w:rPr>
        <w:t>Recommendations</w:t>
      </w:r>
      <w:r w:rsidRPr="00DD65FF">
        <w:rPr>
          <w:rFonts w:ascii="Times New Roman" w:hAnsi="Times New Roman" w:cs="Times New Roman"/>
          <w:color w:val="auto"/>
        </w:rPr>
        <w:t xml:space="preserve"> </w:t>
      </w:r>
    </w:p>
    <w:p w14:paraId="1AA0CEA1" w14:textId="77777777" w:rsidR="003B6BAA" w:rsidRDefault="00D87CF3" w:rsidP="003B6BAA">
      <w:r>
        <w:t>Forensic investigation is the use of specialized investigative techniques to carry out an inquiry in such a way that the results will be admissible in court.</w:t>
      </w:r>
      <w:r w:rsidRPr="00D87CF3">
        <w:rPr>
          <w:color w:val="auto"/>
          <w:szCs w:val="24"/>
        </w:rPr>
        <w:t xml:space="preserve"> </w:t>
      </w:r>
      <w:r>
        <w:rPr>
          <w:color w:val="auto"/>
          <w:szCs w:val="24"/>
        </w:rPr>
        <w:t>The study</w:t>
      </w:r>
      <w:r w:rsidRPr="002D5064">
        <w:rPr>
          <w:color w:val="auto"/>
          <w:szCs w:val="24"/>
        </w:rPr>
        <w:t xml:space="preserve"> implies that any increase in forensic investigation skills will also result in an increase in fraud management, and vice versa.</w:t>
      </w:r>
    </w:p>
    <w:p w14:paraId="679F6D39" w14:textId="281722DA" w:rsidR="00DE0C75" w:rsidRPr="003B6BAA" w:rsidRDefault="00DB2539" w:rsidP="003B6BAA">
      <w:r>
        <w:rPr>
          <w:color w:val="auto"/>
          <w:szCs w:val="24"/>
        </w:rPr>
        <w:t>Based on the above findings,</w:t>
      </w:r>
      <w:r w:rsidR="00DE0C75">
        <w:rPr>
          <w:color w:val="auto"/>
          <w:szCs w:val="24"/>
        </w:rPr>
        <w:t xml:space="preserve"> t</w:t>
      </w:r>
      <w:r w:rsidR="00DE0C75" w:rsidRPr="00AE51D7">
        <w:rPr>
          <w:color w:val="auto"/>
          <w:szCs w:val="24"/>
        </w:rPr>
        <w:t xml:space="preserve">he </w:t>
      </w:r>
      <w:r>
        <w:rPr>
          <w:color w:val="auto"/>
          <w:szCs w:val="24"/>
        </w:rPr>
        <w:t>study</w:t>
      </w:r>
      <w:r w:rsidR="00A01D2C">
        <w:rPr>
          <w:color w:val="auto"/>
          <w:szCs w:val="24"/>
        </w:rPr>
        <w:t xml:space="preserve"> concluded</w:t>
      </w:r>
      <w:r w:rsidR="00DE0C75" w:rsidRPr="00AE51D7">
        <w:rPr>
          <w:color w:val="auto"/>
          <w:szCs w:val="24"/>
        </w:rPr>
        <w:t xml:space="preserve"> that:</w:t>
      </w:r>
      <w:r w:rsidR="00DE0C75" w:rsidRPr="00AE51D7">
        <w:rPr>
          <w:b/>
          <w:bCs/>
          <w:color w:val="auto"/>
          <w:szCs w:val="24"/>
        </w:rPr>
        <w:t xml:space="preserve"> </w:t>
      </w:r>
    </w:p>
    <w:p w14:paraId="6A2E0A22" w14:textId="77777777" w:rsidR="00FA28B6" w:rsidRPr="00FA28B6" w:rsidRDefault="00964034" w:rsidP="00FA28B6">
      <w:pPr>
        <w:pStyle w:val="NormalWeb"/>
        <w:spacing w:before="0" w:beforeAutospacing="0" w:after="0" w:afterAutospacing="0"/>
        <w:ind w:left="720" w:hanging="720"/>
        <w:jc w:val="both"/>
      </w:pPr>
      <w:r>
        <w:t>1.</w:t>
      </w:r>
      <w:r>
        <w:tab/>
      </w:r>
      <w:r w:rsidR="00FA28B6" w:rsidRPr="00FA28B6">
        <w:t>The government should provide avenues for training forensic accounting experts. Through the effective performance of forensic accountants in the country, the Nigerian government can restore its integrity both locally and internationally. The curriculum of all regulatory organizations' professional examinations should include forensic fraud expert witness techniques in order to expose them to the gathering of evidence through accounting and auditing. Skills, which could, in layman's terms, include records, data, documents, financial information, and files supporting the prosecution's case, will also be advantageous to the profession.</w:t>
      </w:r>
    </w:p>
    <w:p w14:paraId="03479FCF" w14:textId="77777777" w:rsidR="00FA28B6" w:rsidRDefault="00FA28B6" w:rsidP="00FA28B6">
      <w:pPr>
        <w:numPr>
          <w:ilvl w:val="0"/>
          <w:numId w:val="3"/>
        </w:numPr>
        <w:spacing w:after="0" w:line="240" w:lineRule="auto"/>
        <w:ind w:right="0" w:hanging="720"/>
        <w:rPr>
          <w:color w:val="auto"/>
          <w:szCs w:val="24"/>
        </w:rPr>
      </w:pPr>
      <w:r w:rsidRPr="00FA28B6">
        <w:rPr>
          <w:color w:val="auto"/>
          <w:szCs w:val="24"/>
        </w:rPr>
        <w:t>Government at all levels, including local, state, and federal, should consider the services of forensic accounting using forensic investigation skills, which have been perceived as the most effective method. Further, by strengthening the nation's legal, educational, and governmental structures to keep up with the global trend in fraud management, the government at these levels should create the favorable environment necessary for the forensic accounting profession to flourish in the nation.</w:t>
      </w:r>
    </w:p>
    <w:p w14:paraId="35C38C8F" w14:textId="77777777" w:rsidR="001351B3" w:rsidRDefault="001351B3" w:rsidP="001351B3">
      <w:pPr>
        <w:spacing w:after="0" w:line="240" w:lineRule="auto"/>
        <w:ind w:right="0"/>
        <w:rPr>
          <w:color w:val="auto"/>
          <w:szCs w:val="24"/>
        </w:rPr>
      </w:pPr>
    </w:p>
    <w:p w14:paraId="07B2F8AE" w14:textId="77777777" w:rsidR="001351B3" w:rsidRPr="001351B3" w:rsidRDefault="001351B3" w:rsidP="001351B3">
      <w:pPr>
        <w:spacing w:after="200" w:line="276" w:lineRule="auto"/>
        <w:ind w:left="0" w:right="0" w:firstLine="0"/>
        <w:jc w:val="left"/>
        <w:rPr>
          <w:rFonts w:ascii="Calibri" w:eastAsia="Calibri" w:hAnsi="Calibri"/>
          <w:b/>
          <w:bCs/>
          <w:color w:val="auto"/>
          <w:kern w:val="2"/>
          <w:sz w:val="28"/>
          <w:szCs w:val="28"/>
          <w14:ligatures w14:val="standardContextual"/>
        </w:rPr>
      </w:pPr>
      <w:r w:rsidRPr="001351B3">
        <w:rPr>
          <w:rFonts w:ascii="Calibri" w:eastAsia="Calibri" w:hAnsi="Calibri"/>
          <w:b/>
          <w:bCs/>
          <w:color w:val="auto"/>
          <w:kern w:val="2"/>
          <w:sz w:val="28"/>
          <w:szCs w:val="28"/>
          <w14:ligatures w14:val="standardContextual"/>
        </w:rPr>
        <w:t>Disclaimer (Artificial intelligence)</w:t>
      </w:r>
    </w:p>
    <w:p w14:paraId="77FAF1DE" w14:textId="77777777" w:rsidR="001351B3" w:rsidRPr="001351B3" w:rsidRDefault="001351B3" w:rsidP="001351B3">
      <w:pPr>
        <w:spacing w:after="200" w:line="276" w:lineRule="auto"/>
        <w:ind w:left="0" w:right="0" w:firstLine="0"/>
        <w:jc w:val="left"/>
        <w:rPr>
          <w:rFonts w:ascii="Calibri" w:eastAsia="Calibri" w:hAnsi="Calibri"/>
          <w:color w:val="auto"/>
          <w:kern w:val="2"/>
          <w:sz w:val="22"/>
          <w14:ligatures w14:val="standardContextual"/>
        </w:rPr>
      </w:pPr>
      <w:r w:rsidRPr="001351B3">
        <w:rPr>
          <w:rFonts w:ascii="Calibri" w:eastAsia="Calibri" w:hAnsi="Calibri"/>
          <w:color w:val="auto"/>
          <w:kern w:val="2"/>
          <w:sz w:val="22"/>
          <w14:ligatures w14:val="standardContextual"/>
        </w:rPr>
        <w:t xml:space="preserve">Option 1: </w:t>
      </w:r>
    </w:p>
    <w:p w14:paraId="711DCD7E" w14:textId="77777777" w:rsidR="001351B3" w:rsidRPr="00555AB5" w:rsidRDefault="001351B3" w:rsidP="001351B3">
      <w:pPr>
        <w:spacing w:after="200" w:line="276" w:lineRule="auto"/>
        <w:ind w:left="0" w:right="0" w:firstLine="0"/>
        <w:jc w:val="left"/>
        <w:rPr>
          <w:rFonts w:ascii="Calibri" w:eastAsia="Calibri" w:hAnsi="Calibri"/>
          <w:color w:val="FF0000"/>
          <w:kern w:val="2"/>
          <w:sz w:val="22"/>
          <w14:ligatures w14:val="standardContextual"/>
        </w:rPr>
      </w:pPr>
      <w:r w:rsidRPr="00555AB5">
        <w:rPr>
          <w:rFonts w:ascii="Calibri" w:eastAsia="Calibri" w:hAnsi="Calibri"/>
          <w:color w:val="FF0000"/>
          <w:kern w:val="2"/>
          <w:sz w:val="22"/>
          <w14:ligatures w14:val="standardContextual"/>
        </w:rPr>
        <w:t>Author(s) hereby declare that NO generative AI technologies such as Large Language Models (</w:t>
      </w:r>
      <w:proofErr w:type="spellStart"/>
      <w:r w:rsidRPr="00555AB5">
        <w:rPr>
          <w:rFonts w:ascii="Calibri" w:eastAsia="Calibri" w:hAnsi="Calibri"/>
          <w:color w:val="FF0000"/>
          <w:kern w:val="2"/>
          <w:sz w:val="22"/>
          <w14:ligatures w14:val="standardContextual"/>
        </w:rPr>
        <w:t>ChatGPT</w:t>
      </w:r>
      <w:proofErr w:type="spellEnd"/>
      <w:r w:rsidRPr="00555AB5">
        <w:rPr>
          <w:rFonts w:ascii="Calibri" w:eastAsia="Calibri" w:hAnsi="Calibri"/>
          <w:color w:val="FF0000"/>
          <w:kern w:val="2"/>
          <w:sz w:val="22"/>
          <w14:ligatures w14:val="standardContextual"/>
        </w:rPr>
        <w:t xml:space="preserve">, COPILOT, </w:t>
      </w:r>
      <w:proofErr w:type="spellStart"/>
      <w:r w:rsidRPr="00555AB5">
        <w:rPr>
          <w:rFonts w:ascii="Calibri" w:eastAsia="Calibri" w:hAnsi="Calibri"/>
          <w:color w:val="FF0000"/>
          <w:kern w:val="2"/>
          <w:sz w:val="22"/>
          <w14:ligatures w14:val="standardContextual"/>
        </w:rPr>
        <w:t>etc</w:t>
      </w:r>
      <w:proofErr w:type="spellEnd"/>
      <w:r w:rsidRPr="00555AB5">
        <w:rPr>
          <w:rFonts w:ascii="Calibri" w:eastAsia="Calibri" w:hAnsi="Calibri"/>
          <w:color w:val="FF0000"/>
          <w:kern w:val="2"/>
          <w:sz w:val="22"/>
          <w14:ligatures w14:val="standardContextual"/>
        </w:rPr>
        <w:t xml:space="preserve">) and text-to-image generators have been used during writing or editing of manuscripts. </w:t>
      </w:r>
    </w:p>
    <w:p w14:paraId="1F61556F" w14:textId="77777777" w:rsidR="001351B3" w:rsidRPr="001351B3" w:rsidRDefault="001351B3" w:rsidP="001351B3">
      <w:pPr>
        <w:spacing w:after="200" w:line="276" w:lineRule="auto"/>
        <w:ind w:left="0" w:right="0" w:firstLine="0"/>
        <w:jc w:val="left"/>
        <w:rPr>
          <w:rFonts w:ascii="Calibri" w:eastAsia="Calibri" w:hAnsi="Calibri"/>
          <w:color w:val="auto"/>
          <w:kern w:val="2"/>
          <w:sz w:val="22"/>
          <w14:ligatures w14:val="standardContextual"/>
        </w:rPr>
      </w:pPr>
      <w:r w:rsidRPr="001351B3">
        <w:rPr>
          <w:rFonts w:ascii="Calibri" w:eastAsia="Calibri" w:hAnsi="Calibri"/>
          <w:color w:val="auto"/>
          <w:kern w:val="2"/>
          <w:sz w:val="22"/>
          <w14:ligatures w14:val="standardContextual"/>
        </w:rPr>
        <w:t xml:space="preserve">Option 2: </w:t>
      </w:r>
    </w:p>
    <w:p w14:paraId="74174422" w14:textId="77777777" w:rsidR="001351B3" w:rsidRPr="001351B3" w:rsidRDefault="001351B3" w:rsidP="001351B3">
      <w:pPr>
        <w:spacing w:after="200" w:line="276" w:lineRule="auto"/>
        <w:ind w:left="0" w:right="0" w:firstLine="0"/>
        <w:jc w:val="left"/>
        <w:rPr>
          <w:rFonts w:ascii="Calibri" w:eastAsia="Calibri" w:hAnsi="Calibri"/>
          <w:color w:val="auto"/>
          <w:kern w:val="2"/>
          <w:sz w:val="22"/>
          <w14:ligatures w14:val="standardContextual"/>
        </w:rPr>
      </w:pPr>
      <w:r w:rsidRPr="001351B3">
        <w:rPr>
          <w:rFonts w:ascii="Calibri" w:eastAsia="Calibri" w:hAnsi="Calibri"/>
          <w:color w:val="auto"/>
          <w:kern w:val="2"/>
          <w:sz w:val="22"/>
          <w14:ligatures w14:val="standardContextual"/>
        </w:rPr>
        <w:t xml:space="preserve">Author(s) hereby declare that generative AI technologies such as Large Language Models, </w:t>
      </w:r>
      <w:proofErr w:type="spellStart"/>
      <w:r w:rsidRPr="001351B3">
        <w:rPr>
          <w:rFonts w:ascii="Calibri" w:eastAsia="Calibri" w:hAnsi="Calibri"/>
          <w:color w:val="auto"/>
          <w:kern w:val="2"/>
          <w:sz w:val="22"/>
          <w14:ligatures w14:val="standardContextual"/>
        </w:rPr>
        <w:t>etc</w:t>
      </w:r>
      <w:proofErr w:type="spellEnd"/>
      <w:r w:rsidRPr="001351B3">
        <w:rPr>
          <w:rFonts w:ascii="Calibri" w:eastAsia="Calibri" w:hAnsi="Calibri"/>
          <w:color w:val="auto"/>
          <w:kern w:val="2"/>
          <w:sz w:val="22"/>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3B9DD120" w14:textId="77777777" w:rsidR="001351B3" w:rsidRPr="001351B3" w:rsidRDefault="001351B3" w:rsidP="001351B3">
      <w:pPr>
        <w:spacing w:after="200" w:line="276" w:lineRule="auto"/>
        <w:ind w:left="0" w:right="0" w:firstLine="0"/>
        <w:jc w:val="left"/>
        <w:rPr>
          <w:rFonts w:ascii="Calibri" w:eastAsia="Calibri" w:hAnsi="Calibri"/>
          <w:color w:val="auto"/>
          <w:kern w:val="2"/>
          <w:sz w:val="22"/>
          <w14:ligatures w14:val="standardContextual"/>
        </w:rPr>
      </w:pPr>
      <w:r w:rsidRPr="001351B3">
        <w:rPr>
          <w:rFonts w:ascii="Calibri" w:eastAsia="Calibri" w:hAnsi="Calibri"/>
          <w:color w:val="auto"/>
          <w:kern w:val="2"/>
          <w:sz w:val="22"/>
          <w14:ligatures w14:val="standardContextual"/>
        </w:rPr>
        <w:t>Details of the AI usage are given below:</w:t>
      </w:r>
    </w:p>
    <w:p w14:paraId="306C8D5F" w14:textId="77777777" w:rsidR="001351B3" w:rsidRPr="001351B3" w:rsidRDefault="001351B3" w:rsidP="001351B3">
      <w:pPr>
        <w:spacing w:after="200" w:line="276" w:lineRule="auto"/>
        <w:ind w:left="0" w:right="0" w:firstLine="0"/>
        <w:jc w:val="left"/>
        <w:rPr>
          <w:rFonts w:ascii="Calibri" w:eastAsia="Calibri" w:hAnsi="Calibri"/>
          <w:color w:val="auto"/>
          <w:kern w:val="2"/>
          <w:sz w:val="22"/>
          <w14:ligatures w14:val="standardContextual"/>
        </w:rPr>
      </w:pPr>
      <w:r w:rsidRPr="001351B3">
        <w:rPr>
          <w:rFonts w:ascii="Calibri" w:eastAsia="Calibri" w:hAnsi="Calibri"/>
          <w:color w:val="auto"/>
          <w:kern w:val="2"/>
          <w:sz w:val="22"/>
          <w14:ligatures w14:val="standardContextual"/>
        </w:rPr>
        <w:t>1.</w:t>
      </w:r>
    </w:p>
    <w:p w14:paraId="4F7839B2" w14:textId="77777777" w:rsidR="001351B3" w:rsidRPr="001351B3" w:rsidRDefault="001351B3" w:rsidP="001351B3">
      <w:pPr>
        <w:spacing w:after="200" w:line="276" w:lineRule="auto"/>
        <w:ind w:left="0" w:right="0" w:firstLine="0"/>
        <w:jc w:val="left"/>
        <w:rPr>
          <w:rFonts w:ascii="Calibri" w:eastAsia="Calibri" w:hAnsi="Calibri"/>
          <w:color w:val="auto"/>
          <w:kern w:val="2"/>
          <w:sz w:val="22"/>
          <w14:ligatures w14:val="standardContextual"/>
        </w:rPr>
      </w:pPr>
      <w:r w:rsidRPr="001351B3">
        <w:rPr>
          <w:rFonts w:ascii="Calibri" w:eastAsia="Calibri" w:hAnsi="Calibri"/>
          <w:color w:val="auto"/>
          <w:kern w:val="2"/>
          <w:sz w:val="22"/>
          <w14:ligatures w14:val="standardContextual"/>
        </w:rPr>
        <w:t>2.</w:t>
      </w:r>
    </w:p>
    <w:p w14:paraId="524A46BE" w14:textId="77777777" w:rsidR="001351B3" w:rsidRDefault="001351B3" w:rsidP="001351B3">
      <w:pPr>
        <w:spacing w:after="200" w:line="276" w:lineRule="auto"/>
        <w:ind w:left="0" w:right="0" w:firstLine="0"/>
        <w:jc w:val="left"/>
        <w:rPr>
          <w:rFonts w:ascii="Calibri" w:eastAsia="Calibri" w:hAnsi="Calibri"/>
          <w:color w:val="auto"/>
          <w:kern w:val="2"/>
          <w:sz w:val="22"/>
          <w14:ligatures w14:val="standardContextual"/>
        </w:rPr>
      </w:pPr>
      <w:r w:rsidRPr="001351B3">
        <w:rPr>
          <w:rFonts w:ascii="Calibri" w:eastAsia="Calibri" w:hAnsi="Calibri"/>
          <w:color w:val="auto"/>
          <w:kern w:val="2"/>
          <w:sz w:val="22"/>
          <w14:ligatures w14:val="standardContextual"/>
        </w:rPr>
        <w:t>3.</w:t>
      </w:r>
    </w:p>
    <w:p w14:paraId="6FE07F80" w14:textId="77777777" w:rsidR="00A61687" w:rsidRPr="00A61687" w:rsidRDefault="00A61687" w:rsidP="00A61687">
      <w:pPr>
        <w:spacing w:after="200" w:line="276" w:lineRule="auto"/>
        <w:ind w:left="0" w:right="0" w:firstLine="0"/>
        <w:jc w:val="left"/>
        <w:rPr>
          <w:rFonts w:ascii="Calibri" w:eastAsia="Calibri" w:hAnsi="Calibri"/>
          <w:b/>
          <w:color w:val="auto"/>
          <w:kern w:val="2"/>
          <w:sz w:val="22"/>
          <w14:ligatures w14:val="standardContextual"/>
        </w:rPr>
      </w:pPr>
      <w:r w:rsidRPr="00A61687">
        <w:rPr>
          <w:rFonts w:ascii="Calibri" w:eastAsia="Calibri" w:hAnsi="Calibri"/>
          <w:b/>
          <w:color w:val="auto"/>
          <w:kern w:val="2"/>
          <w:sz w:val="22"/>
          <w14:ligatures w14:val="standardContextual"/>
        </w:rPr>
        <w:t xml:space="preserve">Consent </w:t>
      </w:r>
    </w:p>
    <w:p w14:paraId="12885501" w14:textId="77777777" w:rsidR="00A61687" w:rsidRPr="00A61687" w:rsidRDefault="00A61687" w:rsidP="00A61687">
      <w:pPr>
        <w:spacing w:after="200" w:line="276" w:lineRule="auto"/>
        <w:ind w:left="0" w:right="0" w:firstLine="0"/>
        <w:jc w:val="left"/>
        <w:rPr>
          <w:rFonts w:ascii="Calibri" w:eastAsia="Calibri" w:hAnsi="Calibri"/>
          <w:color w:val="auto"/>
          <w:kern w:val="2"/>
          <w:sz w:val="22"/>
          <w14:ligatures w14:val="standardContextual"/>
        </w:rPr>
      </w:pPr>
      <w:r w:rsidRPr="00A61687">
        <w:rPr>
          <w:rFonts w:ascii="Calibri" w:eastAsia="Calibri" w:hAnsi="Calibri"/>
          <w:color w:val="auto"/>
          <w:kern w:val="2"/>
          <w:sz w:val="22"/>
          <w14:ligatures w14:val="standardContextual"/>
        </w:rPr>
        <w:lastRenderedPageBreak/>
        <w:t>As per international standard or university standard, respondents’ written consent has been collected and preserved by the author(s).</w:t>
      </w:r>
    </w:p>
    <w:p w14:paraId="5FA05EE0" w14:textId="77777777" w:rsidR="00A61687" w:rsidRPr="001351B3" w:rsidRDefault="00A61687" w:rsidP="001351B3">
      <w:pPr>
        <w:spacing w:after="200" w:line="276" w:lineRule="auto"/>
        <w:ind w:left="0" w:right="0" w:firstLine="0"/>
        <w:jc w:val="left"/>
        <w:rPr>
          <w:rFonts w:ascii="Calibri" w:eastAsia="Calibri" w:hAnsi="Calibri"/>
          <w:color w:val="auto"/>
          <w:kern w:val="2"/>
          <w:sz w:val="22"/>
          <w14:ligatures w14:val="standardContextual"/>
        </w:rPr>
      </w:pPr>
    </w:p>
    <w:p w14:paraId="3444DA70" w14:textId="77777777" w:rsidR="001351B3" w:rsidRPr="00FA28B6" w:rsidRDefault="001351B3" w:rsidP="001351B3">
      <w:pPr>
        <w:spacing w:after="0" w:line="240" w:lineRule="auto"/>
        <w:ind w:right="0"/>
        <w:rPr>
          <w:color w:val="auto"/>
          <w:szCs w:val="24"/>
        </w:rPr>
      </w:pPr>
    </w:p>
    <w:p w14:paraId="6DCA796D" w14:textId="77777777" w:rsidR="00DE0C75" w:rsidRDefault="00DE0C75" w:rsidP="00FA28B6">
      <w:pPr>
        <w:spacing w:after="0" w:line="240" w:lineRule="auto"/>
        <w:ind w:left="720" w:right="0" w:hanging="720"/>
      </w:pPr>
      <w:r>
        <w:rPr>
          <w:b/>
        </w:rPr>
        <w:t xml:space="preserve">References </w:t>
      </w:r>
    </w:p>
    <w:p w14:paraId="0BA13168" w14:textId="77777777" w:rsidR="008976EB" w:rsidRDefault="008976EB" w:rsidP="001D69AC">
      <w:pPr>
        <w:spacing w:after="120" w:line="240" w:lineRule="auto"/>
        <w:ind w:left="720" w:right="0" w:hanging="720"/>
      </w:pPr>
      <w:r>
        <w:t xml:space="preserve">Abdinasir, G. A. (2017). The impact of forensic audit services on fraud detection among commercial banks in Kenya. </w:t>
      </w:r>
      <w:r w:rsidRPr="008976EB">
        <w:rPr>
          <w:i/>
        </w:rPr>
        <w:t>Doctoral dissertation</w:t>
      </w:r>
      <w:r>
        <w:t xml:space="preserve">, University of Nairobi.  </w:t>
      </w:r>
    </w:p>
    <w:p w14:paraId="41F10F10" w14:textId="77777777" w:rsidR="00DE0C75" w:rsidRDefault="00DE0C75" w:rsidP="001D69AC">
      <w:pPr>
        <w:spacing w:after="120" w:line="240" w:lineRule="auto"/>
        <w:ind w:left="720" w:right="0" w:hanging="720"/>
      </w:pPr>
      <w:r>
        <w:t xml:space="preserve">Adebayo, A. O., Olagunju, A., &amp; Bankole, O. E. (2022). Fraud risk management and fraud reduction: Evidence from the Nigerian oil and gas sector. </w:t>
      </w:r>
      <w:r>
        <w:rPr>
          <w:i/>
        </w:rPr>
        <w:t>Malaysian Management Journal,</w:t>
      </w:r>
      <w:r>
        <w:t xml:space="preserve"> 26(July), 145-168. </w:t>
      </w:r>
      <w:hyperlink r:id="rId7">
        <w:r>
          <w:rPr>
            <w:u w:val="single" w:color="000000"/>
          </w:rPr>
          <w:t>https://doi.org/10.32890/mmj2022.26.6</w:t>
        </w:r>
      </w:hyperlink>
      <w:hyperlink r:id="rId8">
        <w:r>
          <w:rPr>
            <w:u w:val="single" w:color="000000"/>
          </w:rPr>
          <w:t>.</w:t>
        </w:r>
      </w:hyperlink>
      <w:r>
        <w:t xml:space="preserve"> </w:t>
      </w:r>
    </w:p>
    <w:p w14:paraId="11FBA716" w14:textId="788B1AE4" w:rsidR="006B02DE" w:rsidRDefault="006B02DE" w:rsidP="001D69AC">
      <w:pPr>
        <w:spacing w:after="120" w:line="240" w:lineRule="auto"/>
        <w:ind w:left="720" w:right="0" w:hanging="720"/>
        <w:rPr>
          <w:color w:val="FF0000"/>
        </w:rPr>
      </w:pPr>
      <w:r>
        <w:rPr>
          <w:color w:val="FF0000"/>
        </w:rPr>
        <w:t xml:space="preserve">Agbaje, W.H &amp; Adeniran, B.G (2017). Effect of Forensic Accounting Services on Fraud Reduction in the Nigerian Banking Industry. </w:t>
      </w:r>
      <w:r w:rsidRPr="00C20E72">
        <w:rPr>
          <w:i/>
          <w:color w:val="FF0000"/>
        </w:rPr>
        <w:t>Advances in Social Sciences Research Journal,</w:t>
      </w:r>
      <w:r>
        <w:rPr>
          <w:color w:val="FF0000"/>
        </w:rPr>
        <w:t xml:space="preserve"> 4(12), 53 – 64. Doi.10.14738/assrj.412.3342.</w:t>
      </w:r>
    </w:p>
    <w:p w14:paraId="0B939517" w14:textId="1F24562A" w:rsidR="009E1FB6" w:rsidRDefault="009E1FB6" w:rsidP="001D69AC">
      <w:pPr>
        <w:spacing w:after="120" w:line="240" w:lineRule="auto"/>
        <w:ind w:left="720" w:right="0" w:hanging="720"/>
        <w:rPr>
          <w:color w:val="FF0000"/>
        </w:rPr>
      </w:pPr>
      <w:proofErr w:type="spellStart"/>
      <w:r>
        <w:rPr>
          <w:color w:val="FF0000"/>
        </w:rPr>
        <w:t>Agbata</w:t>
      </w:r>
      <w:proofErr w:type="spellEnd"/>
      <w:r>
        <w:rPr>
          <w:color w:val="FF0000"/>
        </w:rPr>
        <w:t xml:space="preserve">, E.A; Okafor, G.O; </w:t>
      </w:r>
      <w:proofErr w:type="spellStart"/>
      <w:r>
        <w:rPr>
          <w:color w:val="FF0000"/>
        </w:rPr>
        <w:t>Igweze</w:t>
      </w:r>
      <w:proofErr w:type="spellEnd"/>
      <w:r>
        <w:rPr>
          <w:color w:val="FF0000"/>
        </w:rPr>
        <w:t xml:space="preserve">, S.C &amp; </w:t>
      </w:r>
      <w:proofErr w:type="spellStart"/>
      <w:r>
        <w:rPr>
          <w:color w:val="FF0000"/>
        </w:rPr>
        <w:t>Onyinyechukwu</w:t>
      </w:r>
      <w:proofErr w:type="spellEnd"/>
      <w:r>
        <w:rPr>
          <w:color w:val="FF0000"/>
        </w:rPr>
        <w:t xml:space="preserve">, O (2023). Forensic Auditing and Fraud Control: A Study of Economic and Financial Crimes Commission. </w:t>
      </w:r>
      <w:r w:rsidRPr="009E1FB6">
        <w:rPr>
          <w:i/>
          <w:color w:val="FF0000"/>
        </w:rPr>
        <w:t>Proceeding of the 7</w:t>
      </w:r>
      <w:r w:rsidRPr="009E1FB6">
        <w:rPr>
          <w:i/>
          <w:color w:val="FF0000"/>
          <w:vertAlign w:val="superscript"/>
        </w:rPr>
        <w:t>th</w:t>
      </w:r>
      <w:r w:rsidRPr="009E1FB6">
        <w:rPr>
          <w:i/>
          <w:color w:val="FF0000"/>
        </w:rPr>
        <w:t xml:space="preserve"> Annual International Academic Conference on Accounting &amp; Finance Disruptive Technology: Accounting Practices, Financial &amp; Sustainability Reporting</w:t>
      </w:r>
      <w:r>
        <w:rPr>
          <w:color w:val="FF0000"/>
        </w:rPr>
        <w:t>, 1 – 14.</w:t>
      </w:r>
    </w:p>
    <w:p w14:paraId="57DBC010" w14:textId="34F40F4C" w:rsidR="008976EB" w:rsidRPr="006B02DE" w:rsidRDefault="006B02DE" w:rsidP="001D69AC">
      <w:pPr>
        <w:spacing w:after="120" w:line="240" w:lineRule="auto"/>
        <w:ind w:left="720" w:right="0" w:hanging="720"/>
        <w:rPr>
          <w:color w:val="FF0000"/>
        </w:rPr>
      </w:pPr>
      <w:r w:rsidRPr="006B02DE">
        <w:rPr>
          <w:color w:val="FF0000"/>
        </w:rPr>
        <w:t>Ahme</w:t>
      </w:r>
      <w:r w:rsidR="008976EB" w:rsidRPr="006B02DE">
        <w:rPr>
          <w:color w:val="FF0000"/>
        </w:rPr>
        <w:t xml:space="preserve">d M., Emer &amp; Takiah B. M. I. (2020). The impact of Computer Assisted Auditing Techniques (CAATs) on development of audit process: an assessment of Performance Expectancy of by the auditors. </w:t>
      </w:r>
      <w:r w:rsidR="008976EB" w:rsidRPr="006B02DE">
        <w:rPr>
          <w:i/>
          <w:color w:val="FF0000"/>
        </w:rPr>
        <w:t>International Journal of Management and Commerce Innovations,</w:t>
      </w:r>
      <w:r w:rsidR="008976EB" w:rsidRPr="006B02DE">
        <w:rPr>
          <w:color w:val="FF0000"/>
        </w:rPr>
        <w:t xml:space="preserve"> 7(2), 1199-1205, http//</w:t>
      </w:r>
      <w:hyperlink r:id="rId9">
        <w:r w:rsidR="008976EB" w:rsidRPr="006B02DE">
          <w:rPr>
            <w:color w:val="FF0000"/>
          </w:rPr>
          <w:t xml:space="preserve"> </w:t>
        </w:r>
      </w:hyperlink>
      <w:hyperlink r:id="rId10">
        <w:r w:rsidR="008976EB" w:rsidRPr="006B02DE">
          <w:rPr>
            <w:color w:val="FF0000"/>
            <w:u w:val="single" w:color="000000"/>
          </w:rPr>
          <w:t>www.researchpublish.com</w:t>
        </w:r>
      </w:hyperlink>
      <w:hyperlink r:id="rId11">
        <w:r w:rsidR="008976EB" w:rsidRPr="006B02DE">
          <w:rPr>
            <w:color w:val="FF0000"/>
            <w:u w:val="single" w:color="000000"/>
          </w:rPr>
          <w:t>.</w:t>
        </w:r>
      </w:hyperlink>
      <w:r w:rsidR="008976EB" w:rsidRPr="006B02DE">
        <w:rPr>
          <w:color w:val="FF0000"/>
        </w:rPr>
        <w:t xml:space="preserve"> </w:t>
      </w:r>
    </w:p>
    <w:p w14:paraId="24640B31" w14:textId="77777777" w:rsidR="008976EB" w:rsidRDefault="008976EB" w:rsidP="001D69AC">
      <w:pPr>
        <w:spacing w:after="120" w:line="240" w:lineRule="auto"/>
        <w:ind w:left="720" w:right="0" w:hanging="720"/>
      </w:pPr>
      <w:r w:rsidRPr="000E0532">
        <w:rPr>
          <w:lang w:val="de-DE"/>
        </w:rPr>
        <w:t xml:space="preserve">Alazzabi, W. Y. E., Mustafa, H., &amp; Karage, A. I. (2020). </w:t>
      </w:r>
      <w:r>
        <w:t xml:space="preserve">Risk management, top management support, internal audit activities and fraud mitigation. </w:t>
      </w:r>
      <w:r>
        <w:rPr>
          <w:i/>
        </w:rPr>
        <w:t>Journal of Financial Crime,</w:t>
      </w:r>
      <w:r>
        <w:t xml:space="preserve">1(9), 1-9.  </w:t>
      </w:r>
    </w:p>
    <w:p w14:paraId="2D0E276D" w14:textId="77777777" w:rsidR="00DE0C75" w:rsidRDefault="00DE0C75" w:rsidP="001D69AC">
      <w:pPr>
        <w:spacing w:after="120" w:line="240" w:lineRule="auto"/>
        <w:ind w:left="720" w:right="0" w:hanging="720"/>
      </w:pPr>
      <w:proofErr w:type="spellStart"/>
      <w:r>
        <w:t>Asaolu</w:t>
      </w:r>
      <w:proofErr w:type="spellEnd"/>
      <w:r>
        <w:t xml:space="preserve"> T.O., </w:t>
      </w:r>
      <w:proofErr w:type="spellStart"/>
      <w:r>
        <w:t>Akinkoye</w:t>
      </w:r>
      <w:proofErr w:type="spellEnd"/>
      <w:r>
        <w:t xml:space="preserve"> E. Y., &amp; </w:t>
      </w:r>
      <w:proofErr w:type="spellStart"/>
      <w:r>
        <w:t>Akinadewo</w:t>
      </w:r>
      <w:proofErr w:type="spellEnd"/>
      <w:r>
        <w:t xml:space="preserve"> I. S. (2020). Forensic accounting skills and tax evasion detection in Lagos State, Nigeria. </w:t>
      </w:r>
      <w:r>
        <w:rPr>
          <w:i/>
        </w:rPr>
        <w:t>International Journal of Business and Economic Development,</w:t>
      </w:r>
      <w:r>
        <w:t xml:space="preserve"> 8(2), 90-99. </w:t>
      </w:r>
    </w:p>
    <w:p w14:paraId="130B4529" w14:textId="77777777" w:rsidR="006B0E3B" w:rsidRDefault="006B0E3B" w:rsidP="001D69AC">
      <w:pPr>
        <w:spacing w:after="120" w:line="240" w:lineRule="auto"/>
        <w:ind w:left="720" w:right="0" w:hanging="720"/>
      </w:pPr>
      <w:r>
        <w:t xml:space="preserve">Bangura, A. B. (2020). Forensic accounting techniques and fraud prevention in Sierra Leonean deposit money banks. </w:t>
      </w:r>
      <w:r>
        <w:rPr>
          <w:i/>
        </w:rPr>
        <w:t>Asian Journal of Economics, Business and Accounting</w:t>
      </w:r>
      <w:r>
        <w:t xml:space="preserve">, 14(2), 2050. </w:t>
      </w:r>
    </w:p>
    <w:p w14:paraId="3268F117" w14:textId="62673BE7" w:rsidR="00DE0C75" w:rsidRDefault="00DE0C75" w:rsidP="001D69AC">
      <w:pPr>
        <w:spacing w:after="120" w:line="240" w:lineRule="auto"/>
        <w:ind w:left="720" w:right="0" w:hanging="720"/>
      </w:pPr>
      <w:r>
        <w:t xml:space="preserve">Bassey E. B. (2019). Effect of Forensic Accounting on the Management of Fraud in Microfinance Institutions in Cross River State. </w:t>
      </w:r>
      <w:r>
        <w:rPr>
          <w:i/>
        </w:rPr>
        <w:t>IOSR Journal of Economics and Finance (IOSR-JEF)</w:t>
      </w:r>
      <w:r>
        <w:t xml:space="preserve">, 9(4), 79-89. </w:t>
      </w:r>
    </w:p>
    <w:p w14:paraId="2D71F6CB" w14:textId="30193298" w:rsidR="006B02DE" w:rsidRPr="006B02DE" w:rsidRDefault="006B02DE" w:rsidP="001D69AC">
      <w:pPr>
        <w:spacing w:after="120" w:line="240" w:lineRule="auto"/>
        <w:ind w:left="720" w:right="0" w:hanging="720"/>
        <w:rPr>
          <w:color w:val="FF0000"/>
        </w:rPr>
      </w:pPr>
      <w:r w:rsidRPr="006B02DE">
        <w:rPr>
          <w:color w:val="FF0000"/>
        </w:rPr>
        <w:t xml:space="preserve">Bello, A.M; Mohammed, A &amp; Javan, H (2022). Effects of Forensic Audit on Fraud Detection in the Nigerian Banking Sector. </w:t>
      </w:r>
      <w:r w:rsidRPr="006B02DE">
        <w:rPr>
          <w:i/>
          <w:color w:val="FF0000"/>
        </w:rPr>
        <w:t>African Journal of Management and Business Research,</w:t>
      </w:r>
      <w:r w:rsidRPr="006B02DE">
        <w:rPr>
          <w:color w:val="FF0000"/>
        </w:rPr>
        <w:t xml:space="preserve"> 4(1), 10 – 18.</w:t>
      </w:r>
    </w:p>
    <w:p w14:paraId="7EF5C5DC" w14:textId="77777777" w:rsidR="006B0E3B" w:rsidRDefault="006B0E3B" w:rsidP="001D69AC">
      <w:pPr>
        <w:spacing w:after="120" w:line="240" w:lineRule="auto"/>
        <w:ind w:left="720" w:right="0" w:hanging="720"/>
      </w:pPr>
      <w:r>
        <w:t xml:space="preserve">Demeke, T., Kaur, J., &amp; Kansal, R. (2020). The practices and effectiveness of internal auditing among public higher education institutions, Ethiopia. </w:t>
      </w:r>
      <w:r>
        <w:rPr>
          <w:i/>
        </w:rPr>
        <w:t>American Journal of Industrial and Business Management,</w:t>
      </w:r>
      <w:r>
        <w:t xml:space="preserve"> 10(7), 1291-1299.  </w:t>
      </w:r>
    </w:p>
    <w:p w14:paraId="35B48634" w14:textId="77777777" w:rsidR="00DE0C75" w:rsidRDefault="00DE0C75" w:rsidP="001D69AC">
      <w:pPr>
        <w:spacing w:after="120" w:line="240" w:lineRule="auto"/>
        <w:ind w:left="720" w:right="0" w:hanging="720"/>
      </w:pPr>
      <w:r>
        <w:lastRenderedPageBreak/>
        <w:t xml:space="preserve">Ewa U. E. (2022). Forensic Accounting and Fraud Management in Nigeria. </w:t>
      </w:r>
      <w:r>
        <w:rPr>
          <w:i/>
        </w:rPr>
        <w:t xml:space="preserve">Journal of Accounting, </w:t>
      </w:r>
      <w:r>
        <w:rPr>
          <w:i/>
        </w:rPr>
        <w:tab/>
        <w:t xml:space="preserve">Business </w:t>
      </w:r>
      <w:r>
        <w:rPr>
          <w:i/>
        </w:rPr>
        <w:tab/>
        <w:t xml:space="preserve">and </w:t>
      </w:r>
      <w:r>
        <w:rPr>
          <w:i/>
        </w:rPr>
        <w:tab/>
        <w:t xml:space="preserve">Finance </w:t>
      </w:r>
      <w:r>
        <w:rPr>
          <w:i/>
        </w:rPr>
        <w:tab/>
        <w:t xml:space="preserve">Research, </w:t>
      </w:r>
      <w:r>
        <w:rPr>
          <w:i/>
        </w:rPr>
        <w:tab/>
      </w:r>
      <w:r>
        <w:t xml:space="preserve">14(1), </w:t>
      </w:r>
      <w:r>
        <w:tab/>
        <w:t xml:space="preserve">19-29. </w:t>
      </w:r>
      <w:r>
        <w:tab/>
        <w:t xml:space="preserve">https://doi: 10.55217/102.v14i1.505. </w:t>
      </w:r>
    </w:p>
    <w:p w14:paraId="698D4757" w14:textId="77777777" w:rsidR="006B0E3B" w:rsidRDefault="006B0E3B" w:rsidP="001D69AC">
      <w:pPr>
        <w:spacing w:after="120" w:line="240" w:lineRule="auto"/>
        <w:ind w:left="720" w:right="0" w:hanging="720"/>
      </w:pPr>
      <w:r>
        <w:t xml:space="preserve">Farah H. M. H., Siti Noor H. M. Z., </w:t>
      </w:r>
      <w:proofErr w:type="spellStart"/>
      <w:r>
        <w:t>Fatmawati</w:t>
      </w:r>
      <w:proofErr w:type="spellEnd"/>
      <w:r>
        <w:t xml:space="preserve"> J., and </w:t>
      </w:r>
      <w:proofErr w:type="spellStart"/>
      <w:r>
        <w:t>Norfadzilah</w:t>
      </w:r>
      <w:proofErr w:type="spellEnd"/>
      <w:r>
        <w:t xml:space="preserve"> R. (2021). Forensic Accounting Skills and the Effective Identification in Money Laundering Activities – Transaction Monitoring Perspective. </w:t>
      </w:r>
      <w:r>
        <w:rPr>
          <w:i/>
        </w:rPr>
        <w:t>Journal of Contemporary Issues in Business and Government,</w:t>
      </w:r>
      <w:r>
        <w:t xml:space="preserve"> 27(2), 59-65. </w:t>
      </w:r>
      <w:hyperlink r:id="rId12">
        <w:r>
          <w:rPr>
            <w:u w:val="single" w:color="000000"/>
          </w:rPr>
          <w:t>https://cibg.org.au/</w:t>
        </w:r>
      </w:hyperlink>
      <w:hyperlink r:id="rId13">
        <w:r>
          <w:rPr>
            <w:u w:val="single" w:color="000000"/>
          </w:rPr>
          <w:t>.</w:t>
        </w:r>
      </w:hyperlink>
      <w:r>
        <w:t xml:space="preserve"> </w:t>
      </w:r>
    </w:p>
    <w:p w14:paraId="6BF6B543" w14:textId="3E6F85EE" w:rsidR="00DE0C75" w:rsidRDefault="00DE0C75" w:rsidP="001D69AC">
      <w:pPr>
        <w:spacing w:after="120" w:line="240" w:lineRule="auto"/>
        <w:ind w:left="720" w:right="0" w:hanging="720"/>
      </w:pPr>
      <w:r>
        <w:t xml:space="preserve">Hussaini, U., Bakar, A. A., &amp; Yusuf, M. B. (2019). The effect of fraud risk management, risk culture and performance of banking sector: A conceptual framework. </w:t>
      </w:r>
      <w:r>
        <w:rPr>
          <w:i/>
        </w:rPr>
        <w:t>International Journal of Multidisciplinary Research and Development,</w:t>
      </w:r>
      <w:r>
        <w:t xml:space="preserve"> 6(1), 71-80. </w:t>
      </w:r>
    </w:p>
    <w:p w14:paraId="5771D599" w14:textId="74BEFF4A" w:rsidR="0086448C" w:rsidRPr="0086448C" w:rsidRDefault="0086448C" w:rsidP="0086448C">
      <w:pPr>
        <w:pStyle w:val="ListParagraph"/>
        <w:spacing w:before="120" w:after="120" w:line="240" w:lineRule="auto"/>
        <w:ind w:hanging="720"/>
        <w:jc w:val="both"/>
        <w:rPr>
          <w:rFonts w:ascii="Times New Roman" w:hAnsi="Times New Roman"/>
          <w:color w:val="FF0000"/>
          <w:sz w:val="24"/>
          <w:szCs w:val="24"/>
        </w:rPr>
      </w:pPr>
      <w:r w:rsidRPr="0086448C">
        <w:rPr>
          <w:rFonts w:ascii="Times New Roman" w:hAnsi="Times New Roman"/>
          <w:color w:val="FF0000"/>
          <w:sz w:val="24"/>
          <w:szCs w:val="24"/>
        </w:rPr>
        <w:t xml:space="preserve">Ismail, A (2020). Forensic Accounting and Fraud Detection and Prevention in the Nigerian Public Sector. </w:t>
      </w:r>
      <w:r w:rsidRPr="0086448C">
        <w:rPr>
          <w:rFonts w:ascii="Times New Roman" w:hAnsi="Times New Roman"/>
          <w:i/>
          <w:color w:val="FF0000"/>
          <w:sz w:val="24"/>
          <w:szCs w:val="24"/>
        </w:rPr>
        <w:t>International Journal of Accounting Research,</w:t>
      </w:r>
      <w:r w:rsidRPr="0086448C">
        <w:rPr>
          <w:rFonts w:ascii="Times New Roman" w:hAnsi="Times New Roman"/>
          <w:color w:val="FF0000"/>
          <w:sz w:val="24"/>
          <w:szCs w:val="24"/>
        </w:rPr>
        <w:t xml:space="preserve"> 5(4), 108 – 115.</w:t>
      </w:r>
    </w:p>
    <w:p w14:paraId="7294B151" w14:textId="77777777" w:rsidR="00A71C2C" w:rsidRPr="00A71C2C" w:rsidRDefault="00A71C2C" w:rsidP="001D69AC">
      <w:pPr>
        <w:pStyle w:val="ListParagraph"/>
        <w:spacing w:after="120" w:line="240" w:lineRule="auto"/>
        <w:ind w:hanging="720"/>
        <w:jc w:val="both"/>
        <w:rPr>
          <w:rFonts w:ascii="Times New Roman" w:hAnsi="Times New Roman"/>
          <w:sz w:val="24"/>
          <w:szCs w:val="24"/>
        </w:rPr>
      </w:pPr>
      <w:proofErr w:type="spellStart"/>
      <w:r w:rsidRPr="00FC0E27">
        <w:rPr>
          <w:rFonts w:ascii="Times New Roman" w:hAnsi="Times New Roman"/>
          <w:sz w:val="24"/>
          <w:szCs w:val="24"/>
        </w:rPr>
        <w:t>Kaoje</w:t>
      </w:r>
      <w:proofErr w:type="spellEnd"/>
      <w:r w:rsidRPr="00FC0E27">
        <w:rPr>
          <w:rFonts w:ascii="Times New Roman" w:hAnsi="Times New Roman"/>
          <w:sz w:val="24"/>
          <w:szCs w:val="24"/>
        </w:rPr>
        <w:t xml:space="preserve">, A.N; </w:t>
      </w:r>
      <w:proofErr w:type="spellStart"/>
      <w:r w:rsidRPr="00FC0E27">
        <w:rPr>
          <w:rFonts w:ascii="Times New Roman" w:hAnsi="Times New Roman"/>
          <w:sz w:val="24"/>
          <w:szCs w:val="24"/>
        </w:rPr>
        <w:t>Yabo</w:t>
      </w:r>
      <w:proofErr w:type="spellEnd"/>
      <w:r w:rsidRPr="00FC0E27">
        <w:rPr>
          <w:rFonts w:ascii="Times New Roman" w:hAnsi="Times New Roman"/>
          <w:sz w:val="24"/>
          <w:szCs w:val="24"/>
        </w:rPr>
        <w:t xml:space="preserve">, A.S; Modibbo, A &amp; Abdulhadi, N (2020). Forensic Accounting and Firms performance of Cement Companies in Nigeria: A Study of Cement Company of Northern Nigeria. </w:t>
      </w:r>
      <w:r w:rsidRPr="00FC0E27">
        <w:rPr>
          <w:rFonts w:ascii="Times New Roman" w:hAnsi="Times New Roman"/>
          <w:i/>
          <w:sz w:val="24"/>
          <w:szCs w:val="24"/>
        </w:rPr>
        <w:t>International Journal of Research and Innovation in Social Science (IJRISS),</w:t>
      </w:r>
      <w:r w:rsidRPr="00FC0E27">
        <w:rPr>
          <w:rFonts w:ascii="Times New Roman" w:hAnsi="Times New Roman"/>
          <w:sz w:val="24"/>
          <w:szCs w:val="24"/>
        </w:rPr>
        <w:t xml:space="preserve"> 4(1), 6 – 13.</w:t>
      </w:r>
    </w:p>
    <w:p w14:paraId="4D635282" w14:textId="77777777" w:rsidR="00DE0C75" w:rsidRDefault="00DE0C75" w:rsidP="001D69AC">
      <w:pPr>
        <w:spacing w:after="120" w:line="240" w:lineRule="auto"/>
        <w:ind w:left="720" w:right="0" w:hanging="720"/>
      </w:pPr>
      <w:r>
        <w:t xml:space="preserve">Kosgey R. K. &amp; Solomon N. (2022). Independence of Forensic Auditors and Fraud Prevention in Commercial Banks in Kenya: A Case of Nakuru County, </w:t>
      </w:r>
      <w:r>
        <w:rPr>
          <w:i/>
        </w:rPr>
        <w:t>Journal of Economics and Finance.</w:t>
      </w:r>
      <w:r>
        <w:t xml:space="preserve"> 13(3), 1-7: DOI: 10.9790/5933-1303040107. </w:t>
      </w:r>
    </w:p>
    <w:p w14:paraId="76611639" w14:textId="05C47F37" w:rsidR="00DE0C75" w:rsidRDefault="00DE0C75" w:rsidP="001D69AC">
      <w:pPr>
        <w:spacing w:after="120" w:line="240" w:lineRule="auto"/>
        <w:ind w:left="720" w:right="0" w:hanging="720"/>
      </w:pPr>
      <w:proofErr w:type="spellStart"/>
      <w:r>
        <w:t>Madu-Chimau</w:t>
      </w:r>
      <w:proofErr w:type="spellEnd"/>
      <w:r>
        <w:t xml:space="preserve">, L. C., </w:t>
      </w:r>
      <w:proofErr w:type="spellStart"/>
      <w:r>
        <w:t>Egbunike</w:t>
      </w:r>
      <w:proofErr w:type="spellEnd"/>
      <w:r>
        <w:t xml:space="preserve">, A. P., &amp; Okoro, E. G. (2020). Forensic Auditing and Fraud Detection in Nigeria: Evidence from Publicly Quoted Commercial Banks. </w:t>
      </w:r>
      <w:r>
        <w:rPr>
          <w:i/>
        </w:rPr>
        <w:t>Management Economic Research Journal,</w:t>
      </w:r>
      <w:r w:rsidR="0002262D">
        <w:t xml:space="preserve"> 6(4), 17</w:t>
      </w:r>
      <w:r w:rsidR="00E86615">
        <w:t xml:space="preserve">-24. </w:t>
      </w:r>
    </w:p>
    <w:p w14:paraId="5E510565" w14:textId="31EE7078" w:rsidR="006B02DE" w:rsidRPr="00CD52F4" w:rsidRDefault="006B02DE" w:rsidP="001D69AC">
      <w:pPr>
        <w:spacing w:after="120" w:line="240" w:lineRule="auto"/>
        <w:ind w:left="720" w:right="0" w:hanging="720"/>
        <w:rPr>
          <w:color w:val="FF0000"/>
        </w:rPr>
      </w:pPr>
      <w:r w:rsidRPr="00CD52F4">
        <w:rPr>
          <w:color w:val="FF0000"/>
        </w:rPr>
        <w:t xml:space="preserve">Moses, A.I (2019). </w:t>
      </w:r>
      <w:r w:rsidR="00CD52F4" w:rsidRPr="00CD52F4">
        <w:rPr>
          <w:color w:val="FF0000"/>
        </w:rPr>
        <w:t xml:space="preserve">Empirical Analysis of Forensic Accounting Techniques in Curbing Creative Accounting in Nigeria. </w:t>
      </w:r>
      <w:r w:rsidR="00CD52F4" w:rsidRPr="00CD52F4">
        <w:rPr>
          <w:i/>
          <w:color w:val="FF0000"/>
        </w:rPr>
        <w:t>M.Sc. Dissertation</w:t>
      </w:r>
      <w:r w:rsidR="00CD52F4" w:rsidRPr="00CD52F4">
        <w:rPr>
          <w:color w:val="FF0000"/>
        </w:rPr>
        <w:t>, Department of Management Sciences, College of Management and Social Sciences, School of Postgraduate, Salem University Lokoja.</w:t>
      </w:r>
    </w:p>
    <w:p w14:paraId="059E701D" w14:textId="77777777" w:rsidR="00415A7B" w:rsidRDefault="00E86615" w:rsidP="001D69AC">
      <w:pPr>
        <w:spacing w:after="120" w:line="240" w:lineRule="auto"/>
        <w:ind w:left="720" w:right="0" w:hanging="720"/>
      </w:pPr>
      <w:r>
        <w:t xml:space="preserve">Okafor, M.C. &amp; </w:t>
      </w:r>
      <w:proofErr w:type="spellStart"/>
      <w:r>
        <w:t>Agbiogwu</w:t>
      </w:r>
      <w:proofErr w:type="spellEnd"/>
      <w:r>
        <w:t xml:space="preserve">, A.A (2016). Effects of forensic accounting skills on the management of bank fraud in Nigeria. </w:t>
      </w:r>
      <w:r>
        <w:rPr>
          <w:i/>
        </w:rPr>
        <w:t>European Journal of Accounting, Auditing and Finance Research,</w:t>
      </w:r>
      <w:r>
        <w:t xml:space="preserve"> 4, 70-80. </w:t>
      </w:r>
    </w:p>
    <w:p w14:paraId="2A3FAF20" w14:textId="77777777" w:rsidR="00DE0C75" w:rsidRDefault="00DE0C75" w:rsidP="001D69AC">
      <w:pPr>
        <w:spacing w:after="120" w:line="240" w:lineRule="auto"/>
        <w:ind w:left="720" w:right="0" w:hanging="720"/>
      </w:pPr>
      <w:r>
        <w:t xml:space="preserve">Okafor, O. G., Obiora, F. &amp; </w:t>
      </w:r>
      <w:proofErr w:type="spellStart"/>
      <w:r>
        <w:t>Onuora</w:t>
      </w:r>
      <w:proofErr w:type="spellEnd"/>
      <w:r>
        <w:t xml:space="preserve">, J. K. J. (2020). Impact of Forensic Audit and Financial Statement Fraud of Deposit Money Bank in Nigeria. </w:t>
      </w:r>
      <w:r>
        <w:rPr>
          <w:i/>
        </w:rPr>
        <w:t>International Academy Journal of Management, Marketing and Entrepreneurial Studies,</w:t>
      </w:r>
      <w:r>
        <w:t xml:space="preserve"> 9(1), 88-98. </w:t>
      </w:r>
    </w:p>
    <w:p w14:paraId="682E2701" w14:textId="77777777" w:rsidR="00415A7B" w:rsidRPr="00415A7B" w:rsidRDefault="00415A7B" w:rsidP="001D69AC">
      <w:pPr>
        <w:pStyle w:val="ListParagraph"/>
        <w:spacing w:after="120" w:line="240" w:lineRule="auto"/>
        <w:ind w:hanging="720"/>
        <w:jc w:val="both"/>
        <w:rPr>
          <w:rFonts w:ascii="Times New Roman" w:hAnsi="Times New Roman"/>
          <w:sz w:val="24"/>
          <w:szCs w:val="24"/>
        </w:rPr>
      </w:pPr>
      <w:r w:rsidRPr="00FC0E27">
        <w:rPr>
          <w:rFonts w:ascii="Times New Roman" w:hAnsi="Times New Roman"/>
          <w:sz w:val="24"/>
          <w:szCs w:val="24"/>
        </w:rPr>
        <w:t xml:space="preserve">Okoye, E.I; Adeniyi, S.I &amp; </w:t>
      </w:r>
      <w:proofErr w:type="spellStart"/>
      <w:r w:rsidRPr="00FC0E27">
        <w:rPr>
          <w:rFonts w:ascii="Times New Roman" w:hAnsi="Times New Roman"/>
          <w:sz w:val="24"/>
          <w:szCs w:val="24"/>
        </w:rPr>
        <w:t>Oriaifo</w:t>
      </w:r>
      <w:proofErr w:type="spellEnd"/>
      <w:r w:rsidRPr="00FC0E27">
        <w:rPr>
          <w:rFonts w:ascii="Times New Roman" w:hAnsi="Times New Roman"/>
          <w:sz w:val="24"/>
          <w:szCs w:val="24"/>
        </w:rPr>
        <w:t xml:space="preserve">, A.D (2020). Effect of Forensic Accounting Evidence on Litigation Services in the Nigerian Judicial System. </w:t>
      </w:r>
      <w:r w:rsidRPr="00FC0E27">
        <w:rPr>
          <w:rFonts w:ascii="Times New Roman" w:hAnsi="Times New Roman"/>
          <w:i/>
          <w:sz w:val="24"/>
          <w:szCs w:val="24"/>
        </w:rPr>
        <w:t>International Journal of Advanced Studies in Economics and Public Sector Management (IJASEPSM),</w:t>
      </w:r>
      <w:r w:rsidRPr="00FC0E27">
        <w:rPr>
          <w:rFonts w:ascii="Times New Roman" w:hAnsi="Times New Roman"/>
          <w:sz w:val="24"/>
          <w:szCs w:val="24"/>
        </w:rPr>
        <w:t xml:space="preserve"> 8(1), 288 – 302.</w:t>
      </w:r>
    </w:p>
    <w:p w14:paraId="4D9B3D09" w14:textId="77777777" w:rsidR="00415A7B" w:rsidRDefault="00415A7B" w:rsidP="001D69AC">
      <w:pPr>
        <w:autoSpaceDE w:val="0"/>
        <w:autoSpaceDN w:val="0"/>
        <w:adjustRightInd w:val="0"/>
        <w:spacing w:after="120" w:line="240" w:lineRule="auto"/>
        <w:ind w:left="720" w:right="0" w:hanging="720"/>
        <w:rPr>
          <w:szCs w:val="24"/>
        </w:rPr>
      </w:pPr>
      <w:r w:rsidRPr="00FC0E27">
        <w:rPr>
          <w:szCs w:val="24"/>
        </w:rPr>
        <w:t xml:space="preserve">Okoye, E.I. &amp; </w:t>
      </w:r>
      <w:proofErr w:type="spellStart"/>
      <w:r w:rsidRPr="00FC0E27">
        <w:rPr>
          <w:szCs w:val="24"/>
        </w:rPr>
        <w:t>Gbegi</w:t>
      </w:r>
      <w:proofErr w:type="spellEnd"/>
      <w:r w:rsidRPr="00FC0E27">
        <w:rPr>
          <w:szCs w:val="24"/>
        </w:rPr>
        <w:t xml:space="preserve">, D.O. (2013). Forensic accounting: A tool for fraud detection and Prevention in the public sector in Nigeria: A study of selected ministries in Kogi state. </w:t>
      </w:r>
      <w:r w:rsidRPr="00FC0E27">
        <w:rPr>
          <w:i/>
          <w:iCs/>
          <w:szCs w:val="24"/>
        </w:rPr>
        <w:t xml:space="preserve">International Journal of Academic Research in Business and Social Sciences, </w:t>
      </w:r>
      <w:r>
        <w:rPr>
          <w:szCs w:val="24"/>
        </w:rPr>
        <w:t>3(3) 2222-6990.</w:t>
      </w:r>
    </w:p>
    <w:p w14:paraId="57815CC8" w14:textId="77777777" w:rsidR="00415A7B" w:rsidRPr="00415A7B" w:rsidRDefault="00415A7B" w:rsidP="001D69AC">
      <w:pPr>
        <w:pStyle w:val="ListParagraph"/>
        <w:spacing w:after="120" w:line="240" w:lineRule="auto"/>
        <w:ind w:hanging="720"/>
        <w:jc w:val="both"/>
        <w:rPr>
          <w:rFonts w:ascii="Times New Roman" w:hAnsi="Times New Roman"/>
          <w:sz w:val="24"/>
          <w:szCs w:val="24"/>
        </w:rPr>
      </w:pPr>
      <w:r w:rsidRPr="000E0532">
        <w:rPr>
          <w:rFonts w:ascii="Times New Roman" w:hAnsi="Times New Roman"/>
          <w:sz w:val="24"/>
          <w:szCs w:val="24"/>
          <w:lang w:val="de-DE"/>
        </w:rPr>
        <w:t xml:space="preserve">Okoye, E &amp; Ndah, E.N (2019). </w:t>
      </w:r>
      <w:r w:rsidRPr="00FC0E27">
        <w:rPr>
          <w:rFonts w:ascii="Times New Roman" w:hAnsi="Times New Roman"/>
          <w:sz w:val="24"/>
          <w:szCs w:val="24"/>
        </w:rPr>
        <w:t xml:space="preserve">Forensic Accounting and Fraud Prevention in Manufacturing Companies in Nigeria. </w:t>
      </w:r>
      <w:r w:rsidRPr="00FC0E27">
        <w:rPr>
          <w:rFonts w:ascii="Times New Roman" w:hAnsi="Times New Roman"/>
          <w:i/>
          <w:sz w:val="24"/>
          <w:szCs w:val="24"/>
        </w:rPr>
        <w:t>International Journal of Innovative Finance and Economics Research,</w:t>
      </w:r>
      <w:r w:rsidRPr="00FC0E27">
        <w:rPr>
          <w:rFonts w:ascii="Times New Roman" w:hAnsi="Times New Roman"/>
          <w:sz w:val="24"/>
          <w:szCs w:val="24"/>
        </w:rPr>
        <w:t xml:space="preserve"> 7(1), 107 – 116.</w:t>
      </w:r>
    </w:p>
    <w:p w14:paraId="18D14EAF" w14:textId="77777777" w:rsidR="00DE0C75" w:rsidRDefault="00DE0C75" w:rsidP="001D69AC">
      <w:pPr>
        <w:spacing w:after="120" w:line="240" w:lineRule="auto"/>
        <w:ind w:left="720" w:right="0" w:hanging="720"/>
      </w:pPr>
      <w:r>
        <w:lastRenderedPageBreak/>
        <w:t xml:space="preserve">Olaniyan N. O. &amp; Awe S. O. (2021). Forensic Accounting as a Tool for Fraud Detection and Prevention in Public Sector: Moderating on MDAs. </w:t>
      </w:r>
      <w:r>
        <w:rPr>
          <w:i/>
        </w:rPr>
        <w:t>International Business Management,</w:t>
      </w:r>
      <w:r>
        <w:t xml:space="preserve"> 15 (1), 1-8. </w:t>
      </w:r>
    </w:p>
    <w:p w14:paraId="30C443E0" w14:textId="77777777" w:rsidR="00E86615" w:rsidRDefault="00E86615" w:rsidP="001D69AC">
      <w:pPr>
        <w:spacing w:after="120" w:line="240" w:lineRule="auto"/>
        <w:ind w:left="720" w:right="0" w:hanging="720"/>
      </w:pPr>
      <w:proofErr w:type="spellStart"/>
      <w:r>
        <w:t>Oyedokun</w:t>
      </w:r>
      <w:proofErr w:type="spellEnd"/>
      <w:r>
        <w:t xml:space="preserve">, G. E. (2015). Integrity of Financial Statements and Forensic Accounting Techniques in Internal Control of Business </w:t>
      </w:r>
      <w:proofErr w:type="spellStart"/>
      <w:r>
        <w:t>Organisations</w:t>
      </w:r>
      <w:proofErr w:type="spellEnd"/>
      <w:r>
        <w:t xml:space="preserve">. </w:t>
      </w:r>
      <w:r>
        <w:rPr>
          <w:i/>
        </w:rPr>
        <w:t>M.Sc.</w:t>
      </w:r>
      <w:r w:rsidRPr="00E86615">
        <w:rPr>
          <w:i/>
        </w:rPr>
        <w:t xml:space="preserve"> Dissertation</w:t>
      </w:r>
      <w:r>
        <w:t xml:space="preserve">, Babcock University, </w:t>
      </w:r>
      <w:proofErr w:type="spellStart"/>
      <w:r>
        <w:t>Ilishan</w:t>
      </w:r>
      <w:proofErr w:type="spellEnd"/>
      <w:r>
        <w:t xml:space="preserve"> Remo, Ogun State, Nigeria. </w:t>
      </w:r>
    </w:p>
    <w:p w14:paraId="746CB9F8" w14:textId="77777777" w:rsidR="00DE0C75" w:rsidRDefault="00DE0C75" w:rsidP="001D69AC">
      <w:pPr>
        <w:spacing w:after="120" w:line="240" w:lineRule="auto"/>
        <w:ind w:left="720" w:right="0" w:hanging="720"/>
      </w:pPr>
      <w:proofErr w:type="spellStart"/>
      <w:r>
        <w:t>Oyedokun</w:t>
      </w:r>
      <w:proofErr w:type="spellEnd"/>
      <w:r>
        <w:t xml:space="preserve">, G. E. (2017). Forensic accounting techniques, tax justice and federally collected tax revenue in Nigeria (2000-2016). </w:t>
      </w:r>
      <w:r w:rsidRPr="00A86142">
        <w:rPr>
          <w:i/>
        </w:rPr>
        <w:t>Unpublished PhD Thesis</w:t>
      </w:r>
      <w:r>
        <w:t xml:space="preserve">, Babcock University. </w:t>
      </w:r>
    </w:p>
    <w:p w14:paraId="0A2757E2" w14:textId="77777777" w:rsidR="00AF64D9" w:rsidRPr="00AF64D9" w:rsidRDefault="00AF64D9" w:rsidP="001D69AC">
      <w:pPr>
        <w:pStyle w:val="ListParagraph"/>
        <w:spacing w:after="120" w:line="240" w:lineRule="auto"/>
        <w:ind w:hanging="720"/>
        <w:jc w:val="both"/>
        <w:rPr>
          <w:rFonts w:ascii="Times New Roman" w:hAnsi="Times New Roman"/>
          <w:sz w:val="24"/>
          <w:szCs w:val="24"/>
        </w:rPr>
      </w:pPr>
      <w:r w:rsidRPr="00FC0E27">
        <w:rPr>
          <w:rFonts w:ascii="Times New Roman" w:hAnsi="Times New Roman"/>
          <w:sz w:val="24"/>
          <w:szCs w:val="24"/>
        </w:rPr>
        <w:t xml:space="preserve">Pollock, J &amp; </w:t>
      </w:r>
      <w:proofErr w:type="spellStart"/>
      <w:r w:rsidRPr="00FC0E27">
        <w:rPr>
          <w:rFonts w:ascii="Times New Roman" w:hAnsi="Times New Roman"/>
          <w:sz w:val="24"/>
          <w:szCs w:val="24"/>
        </w:rPr>
        <w:t>Amemic</w:t>
      </w:r>
      <w:proofErr w:type="spellEnd"/>
      <w:r w:rsidRPr="00FC0E27">
        <w:rPr>
          <w:rFonts w:ascii="Times New Roman" w:hAnsi="Times New Roman"/>
          <w:sz w:val="24"/>
          <w:szCs w:val="24"/>
        </w:rPr>
        <w:t xml:space="preserve">, J (1981). An examination of Professional Commitment in Public Accounting. </w:t>
      </w:r>
      <w:r w:rsidRPr="00FC0E27">
        <w:rPr>
          <w:rFonts w:ascii="Times New Roman" w:hAnsi="Times New Roman"/>
          <w:i/>
          <w:sz w:val="24"/>
          <w:szCs w:val="24"/>
        </w:rPr>
        <w:t xml:space="preserve">Accounting, </w:t>
      </w:r>
      <w:proofErr w:type="spellStart"/>
      <w:r w:rsidRPr="00FC0E27">
        <w:rPr>
          <w:rFonts w:ascii="Times New Roman" w:hAnsi="Times New Roman"/>
          <w:i/>
          <w:sz w:val="24"/>
          <w:szCs w:val="24"/>
        </w:rPr>
        <w:t>Organisations</w:t>
      </w:r>
      <w:proofErr w:type="spellEnd"/>
      <w:r w:rsidRPr="00FC0E27">
        <w:rPr>
          <w:rFonts w:ascii="Times New Roman" w:hAnsi="Times New Roman"/>
          <w:i/>
          <w:sz w:val="24"/>
          <w:szCs w:val="24"/>
        </w:rPr>
        <w:t xml:space="preserve"> and Society</w:t>
      </w:r>
      <w:r w:rsidRPr="00FC0E27">
        <w:rPr>
          <w:rFonts w:ascii="Times New Roman" w:hAnsi="Times New Roman"/>
          <w:sz w:val="24"/>
          <w:szCs w:val="24"/>
        </w:rPr>
        <w:t>, 6(4), 271 – 280.</w:t>
      </w:r>
    </w:p>
    <w:p w14:paraId="22632516" w14:textId="77777777" w:rsidR="00DE0C75" w:rsidRDefault="00DE0C75" w:rsidP="001D69AC">
      <w:pPr>
        <w:spacing w:after="120" w:line="240" w:lineRule="auto"/>
        <w:ind w:left="720" w:right="0" w:hanging="720"/>
      </w:pPr>
      <w:proofErr w:type="spellStart"/>
      <w:r>
        <w:t>Siddik</w:t>
      </w:r>
      <w:proofErr w:type="spellEnd"/>
      <w:r>
        <w:t xml:space="preserve">, M. N. A. (2021). </w:t>
      </w:r>
      <w:r w:rsidRPr="00A86142">
        <w:rPr>
          <w:i/>
        </w:rPr>
        <w:t>Forensic Audit for Financial Frauds in Banks: The Case of Bangladesh. In Handbook of Research on Theory and Practice of Financial Crimes</w:t>
      </w:r>
      <w:r>
        <w:t xml:space="preserve">. IGI Global.  </w:t>
      </w:r>
    </w:p>
    <w:p w14:paraId="5092885F" w14:textId="77777777" w:rsidR="00A972A4" w:rsidRDefault="00A972A4" w:rsidP="001D69AC">
      <w:pPr>
        <w:spacing w:after="120" w:line="240" w:lineRule="auto"/>
        <w:ind w:left="720" w:right="0" w:hanging="720"/>
      </w:pPr>
      <w:r>
        <w:t xml:space="preserve">Sudhir, Y. &amp; Sushama, Y. (2013). Forensic accounting: A new dynamic approach to investigate fraud cases. </w:t>
      </w:r>
      <w:r>
        <w:rPr>
          <w:i/>
        </w:rPr>
        <w:t>International Journal of Multidisciplinary Management Studies</w:t>
      </w:r>
      <w:r>
        <w:t xml:space="preserve">, 3(7), 1124. </w:t>
      </w:r>
    </w:p>
    <w:p w14:paraId="20867403" w14:textId="77777777" w:rsidR="00FA40E3" w:rsidRDefault="00FA40E3" w:rsidP="001D69AC">
      <w:pPr>
        <w:spacing w:after="120" w:line="240" w:lineRule="auto"/>
        <w:ind w:left="720" w:right="0" w:hanging="720"/>
      </w:pPr>
      <w:proofErr w:type="spellStart"/>
      <w:r>
        <w:t>Sumartono</w:t>
      </w:r>
      <w:proofErr w:type="spellEnd"/>
      <w:r>
        <w:t xml:space="preserve">, </w:t>
      </w:r>
      <w:proofErr w:type="spellStart"/>
      <w:r>
        <w:t>Urusamah</w:t>
      </w:r>
      <w:proofErr w:type="spellEnd"/>
      <w:r>
        <w:t xml:space="preserve">, D., &amp; Hamdani, R. (2020). Skills of the Forensic Accountants in Public Sector Reveal Fraud in Indonesia: An Empirical Investigation. </w:t>
      </w:r>
      <w:r>
        <w:rPr>
          <w:i/>
        </w:rPr>
        <w:t>Journal of Accounting and Investment,</w:t>
      </w:r>
      <w:r>
        <w:t xml:space="preserve"> 21(1), 180-194. </w:t>
      </w:r>
    </w:p>
    <w:p w14:paraId="611D6636" w14:textId="77777777" w:rsidR="00DE0C75" w:rsidRDefault="00DE0C75" w:rsidP="001D69AC">
      <w:pPr>
        <w:spacing w:after="120" w:line="240" w:lineRule="auto"/>
        <w:ind w:left="720" w:right="0" w:hanging="720"/>
      </w:pPr>
      <w:r>
        <w:t xml:space="preserve">Taiya H. M., </w:t>
      </w:r>
      <w:proofErr w:type="spellStart"/>
      <w:r>
        <w:t>Jugu</w:t>
      </w:r>
      <w:proofErr w:type="spellEnd"/>
      <w:r>
        <w:t xml:space="preserve"> Y. G., &amp; </w:t>
      </w:r>
      <w:proofErr w:type="spellStart"/>
      <w:r>
        <w:t>Ojaide</w:t>
      </w:r>
      <w:proofErr w:type="spellEnd"/>
      <w:r>
        <w:t xml:space="preserve"> F. (2021).   Forensic Accounting Techniques: Tools for Preventing Revenue Leakages in Nigerian Federal Universities. </w:t>
      </w:r>
      <w:r>
        <w:rPr>
          <w:i/>
        </w:rPr>
        <w:t>International Journal of Innovative Science and Research Technology,</w:t>
      </w:r>
      <w:r>
        <w:t xml:space="preserve"> 6(5), 1383-1393.</w:t>
      </w:r>
    </w:p>
    <w:p w14:paraId="3FE71EA0" w14:textId="77777777" w:rsidR="00AF64D9" w:rsidRPr="00AF64D9" w:rsidRDefault="00AF64D9" w:rsidP="001D69AC">
      <w:pPr>
        <w:pStyle w:val="ListParagraph"/>
        <w:spacing w:after="120" w:line="240" w:lineRule="auto"/>
        <w:ind w:hanging="720"/>
        <w:jc w:val="both"/>
        <w:rPr>
          <w:rFonts w:ascii="Times New Roman" w:hAnsi="Times New Roman"/>
          <w:sz w:val="24"/>
          <w:szCs w:val="24"/>
        </w:rPr>
      </w:pPr>
      <w:proofErr w:type="spellStart"/>
      <w:r w:rsidRPr="00FC0E27">
        <w:rPr>
          <w:rFonts w:ascii="Times New Roman" w:hAnsi="Times New Roman"/>
          <w:sz w:val="24"/>
          <w:szCs w:val="24"/>
        </w:rPr>
        <w:t>Tapang</w:t>
      </w:r>
      <w:proofErr w:type="spellEnd"/>
      <w:r w:rsidRPr="00FC0E27">
        <w:rPr>
          <w:rFonts w:ascii="Times New Roman" w:hAnsi="Times New Roman"/>
          <w:sz w:val="24"/>
          <w:szCs w:val="24"/>
        </w:rPr>
        <w:t xml:space="preserve">, A.T &amp; </w:t>
      </w:r>
      <w:proofErr w:type="spellStart"/>
      <w:r w:rsidRPr="00FC0E27">
        <w:rPr>
          <w:rFonts w:ascii="Times New Roman" w:hAnsi="Times New Roman"/>
          <w:sz w:val="24"/>
          <w:szCs w:val="24"/>
        </w:rPr>
        <w:t>Ihendinihu</w:t>
      </w:r>
      <w:proofErr w:type="spellEnd"/>
      <w:r w:rsidRPr="00FC0E27">
        <w:rPr>
          <w:rFonts w:ascii="Times New Roman" w:hAnsi="Times New Roman"/>
          <w:sz w:val="24"/>
          <w:szCs w:val="24"/>
        </w:rPr>
        <w:t xml:space="preserve">, J.U (2020). Effect of Forensic Accounting Services on Unethical Practices in Nigerian Banking Industry. </w:t>
      </w:r>
      <w:r w:rsidRPr="00FC0E27">
        <w:rPr>
          <w:rFonts w:ascii="Times New Roman" w:hAnsi="Times New Roman"/>
          <w:i/>
          <w:sz w:val="24"/>
          <w:szCs w:val="24"/>
        </w:rPr>
        <w:t>Journal of Accounting and Management,</w:t>
      </w:r>
      <w:r w:rsidRPr="00FC0E27">
        <w:rPr>
          <w:rFonts w:ascii="Times New Roman" w:hAnsi="Times New Roman"/>
          <w:sz w:val="24"/>
          <w:szCs w:val="24"/>
        </w:rPr>
        <w:t xml:space="preserve"> 10(1), 69 – 78.</w:t>
      </w:r>
    </w:p>
    <w:p w14:paraId="208EC761" w14:textId="77777777" w:rsidR="00DE0C75" w:rsidRDefault="00DE0C75" w:rsidP="001D69AC">
      <w:pPr>
        <w:spacing w:after="120" w:line="240" w:lineRule="auto"/>
        <w:ind w:left="720" w:right="0" w:hanging="720"/>
      </w:pPr>
      <w:proofErr w:type="spellStart"/>
      <w:r>
        <w:t>Ugbede</w:t>
      </w:r>
      <w:proofErr w:type="spellEnd"/>
      <w:r>
        <w:t xml:space="preserve">, J., </w:t>
      </w:r>
      <w:proofErr w:type="spellStart"/>
      <w:r>
        <w:t>Ekpete</w:t>
      </w:r>
      <w:proofErr w:type="spellEnd"/>
      <w:r>
        <w:t xml:space="preserve">, C. &amp; Yahaya, A. (2021). Forensic Accounting as a Tool for Fraud Prevention in the Deposit Money Bank in Nigeria. </w:t>
      </w:r>
      <w:r>
        <w:rPr>
          <w:i/>
        </w:rPr>
        <w:t>Journal of Applied Management and Advanced Research,</w:t>
      </w:r>
      <w:r w:rsidR="006863B2">
        <w:t xml:space="preserve"> 3(2), 50-59. </w:t>
      </w:r>
    </w:p>
    <w:sectPr w:rsidR="00DE0C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F45B1" w14:textId="77777777" w:rsidR="0038718E" w:rsidRDefault="0038718E" w:rsidP="00D066F3">
      <w:pPr>
        <w:spacing w:after="0" w:line="240" w:lineRule="auto"/>
      </w:pPr>
      <w:r>
        <w:separator/>
      </w:r>
    </w:p>
  </w:endnote>
  <w:endnote w:type="continuationSeparator" w:id="0">
    <w:p w14:paraId="68D5F0C1" w14:textId="77777777" w:rsidR="0038718E" w:rsidRDefault="0038718E" w:rsidP="00D0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E468" w14:textId="77777777" w:rsidR="000E0532" w:rsidRDefault="000E0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659098"/>
      <w:docPartObj>
        <w:docPartGallery w:val="Page Numbers (Bottom of Page)"/>
        <w:docPartUnique/>
      </w:docPartObj>
    </w:sdtPr>
    <w:sdtEndPr>
      <w:rPr>
        <w:noProof/>
      </w:rPr>
    </w:sdtEndPr>
    <w:sdtContent>
      <w:p w14:paraId="1157028D" w14:textId="186685CD" w:rsidR="00DB2539" w:rsidRDefault="00DB2539">
        <w:pPr>
          <w:pStyle w:val="Footer"/>
          <w:jc w:val="center"/>
        </w:pPr>
        <w:r>
          <w:fldChar w:fldCharType="begin"/>
        </w:r>
        <w:r>
          <w:instrText xml:space="preserve"> PAGE   \* MERGEFORMAT </w:instrText>
        </w:r>
        <w:r>
          <w:fldChar w:fldCharType="separate"/>
        </w:r>
        <w:r w:rsidR="00C913E1">
          <w:rPr>
            <w:noProof/>
          </w:rPr>
          <w:t>13</w:t>
        </w:r>
        <w:r>
          <w:rPr>
            <w:noProof/>
          </w:rPr>
          <w:fldChar w:fldCharType="end"/>
        </w:r>
      </w:p>
    </w:sdtContent>
  </w:sdt>
  <w:p w14:paraId="5209A181" w14:textId="77777777" w:rsidR="00DB2539" w:rsidRDefault="00DB2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E87E" w14:textId="77777777" w:rsidR="000E0532" w:rsidRDefault="000E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71645" w14:textId="77777777" w:rsidR="0038718E" w:rsidRDefault="0038718E" w:rsidP="00D066F3">
      <w:pPr>
        <w:spacing w:after="0" w:line="240" w:lineRule="auto"/>
      </w:pPr>
      <w:r>
        <w:separator/>
      </w:r>
    </w:p>
  </w:footnote>
  <w:footnote w:type="continuationSeparator" w:id="0">
    <w:p w14:paraId="497E60A5" w14:textId="77777777" w:rsidR="0038718E" w:rsidRDefault="0038718E" w:rsidP="00D06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08CBD" w14:textId="290127EF" w:rsidR="000E0532" w:rsidRDefault="00874435">
    <w:pPr>
      <w:pStyle w:val="Header"/>
    </w:pPr>
    <w:r>
      <w:rPr>
        <w:noProof/>
      </w:rPr>
      <w:pict w14:anchorId="50640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77704"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3AF0" w14:textId="064C51C7" w:rsidR="000E0532" w:rsidRDefault="00874435">
    <w:pPr>
      <w:pStyle w:val="Header"/>
    </w:pPr>
    <w:r>
      <w:rPr>
        <w:noProof/>
      </w:rPr>
      <w:pict w14:anchorId="7E2FA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77705"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F945" w14:textId="60A642A0" w:rsidR="000E0532" w:rsidRDefault="00874435">
    <w:pPr>
      <w:pStyle w:val="Header"/>
    </w:pPr>
    <w:r>
      <w:rPr>
        <w:noProof/>
      </w:rPr>
      <w:pict w14:anchorId="67CA8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77703"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B6957"/>
    <w:multiLevelType w:val="multilevel"/>
    <w:tmpl w:val="D4DA4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0E58C2"/>
    <w:multiLevelType w:val="multilevel"/>
    <w:tmpl w:val="9D7C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126280"/>
    <w:multiLevelType w:val="multilevel"/>
    <w:tmpl w:val="1474F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A0E"/>
    <w:rsid w:val="0002262D"/>
    <w:rsid w:val="00043B7E"/>
    <w:rsid w:val="000444FA"/>
    <w:rsid w:val="00057D4A"/>
    <w:rsid w:val="000703E5"/>
    <w:rsid w:val="00074A01"/>
    <w:rsid w:val="00077BD4"/>
    <w:rsid w:val="00087AF0"/>
    <w:rsid w:val="000B1687"/>
    <w:rsid w:val="000B4D5E"/>
    <w:rsid w:val="000E0532"/>
    <w:rsid w:val="00102B73"/>
    <w:rsid w:val="00115FB3"/>
    <w:rsid w:val="001202D6"/>
    <w:rsid w:val="001205D0"/>
    <w:rsid w:val="001351B3"/>
    <w:rsid w:val="00175AA0"/>
    <w:rsid w:val="001A1434"/>
    <w:rsid w:val="001C2D5F"/>
    <w:rsid w:val="001D69AC"/>
    <w:rsid w:val="001E07AE"/>
    <w:rsid w:val="002022CA"/>
    <w:rsid w:val="00211DFA"/>
    <w:rsid w:val="002125EB"/>
    <w:rsid w:val="002176C8"/>
    <w:rsid w:val="00234371"/>
    <w:rsid w:val="002351D4"/>
    <w:rsid w:val="00256D67"/>
    <w:rsid w:val="00276397"/>
    <w:rsid w:val="00276BAD"/>
    <w:rsid w:val="002D5064"/>
    <w:rsid w:val="002D53C8"/>
    <w:rsid w:val="00307BCE"/>
    <w:rsid w:val="00330FD1"/>
    <w:rsid w:val="0034046A"/>
    <w:rsid w:val="003461D7"/>
    <w:rsid w:val="0038718E"/>
    <w:rsid w:val="00393B24"/>
    <w:rsid w:val="0039729F"/>
    <w:rsid w:val="003A3981"/>
    <w:rsid w:val="003B4E7D"/>
    <w:rsid w:val="003B6BAA"/>
    <w:rsid w:val="00415A7B"/>
    <w:rsid w:val="00430C85"/>
    <w:rsid w:val="004502CF"/>
    <w:rsid w:val="004A7878"/>
    <w:rsid w:val="004C327F"/>
    <w:rsid w:val="004D169C"/>
    <w:rsid w:val="004F6F70"/>
    <w:rsid w:val="005031C5"/>
    <w:rsid w:val="00516519"/>
    <w:rsid w:val="00520053"/>
    <w:rsid w:val="00526E52"/>
    <w:rsid w:val="0054103F"/>
    <w:rsid w:val="005458B9"/>
    <w:rsid w:val="00555AB5"/>
    <w:rsid w:val="00594953"/>
    <w:rsid w:val="005A2364"/>
    <w:rsid w:val="005A6D41"/>
    <w:rsid w:val="005F7DD2"/>
    <w:rsid w:val="00647187"/>
    <w:rsid w:val="006516BB"/>
    <w:rsid w:val="006567CF"/>
    <w:rsid w:val="00667AD1"/>
    <w:rsid w:val="006863B2"/>
    <w:rsid w:val="0068798E"/>
    <w:rsid w:val="006B02DE"/>
    <w:rsid w:val="006B0E3B"/>
    <w:rsid w:val="006B780D"/>
    <w:rsid w:val="006F01E6"/>
    <w:rsid w:val="007107E8"/>
    <w:rsid w:val="00722E2D"/>
    <w:rsid w:val="0075354C"/>
    <w:rsid w:val="00762BBA"/>
    <w:rsid w:val="00765A46"/>
    <w:rsid w:val="007A7366"/>
    <w:rsid w:val="007D7777"/>
    <w:rsid w:val="007E7927"/>
    <w:rsid w:val="007F4620"/>
    <w:rsid w:val="008070ED"/>
    <w:rsid w:val="00827184"/>
    <w:rsid w:val="00834050"/>
    <w:rsid w:val="0086448C"/>
    <w:rsid w:val="00867F97"/>
    <w:rsid w:val="00874435"/>
    <w:rsid w:val="00883E7F"/>
    <w:rsid w:val="008976EB"/>
    <w:rsid w:val="008B05F3"/>
    <w:rsid w:val="008D0496"/>
    <w:rsid w:val="008D2354"/>
    <w:rsid w:val="008F6EAA"/>
    <w:rsid w:val="00900E11"/>
    <w:rsid w:val="0092504D"/>
    <w:rsid w:val="00937D14"/>
    <w:rsid w:val="00955CE9"/>
    <w:rsid w:val="00964034"/>
    <w:rsid w:val="009870AD"/>
    <w:rsid w:val="009B44E5"/>
    <w:rsid w:val="009B6E2E"/>
    <w:rsid w:val="009E1FB6"/>
    <w:rsid w:val="009E2D65"/>
    <w:rsid w:val="00A01D2C"/>
    <w:rsid w:val="00A06F0A"/>
    <w:rsid w:val="00A162B2"/>
    <w:rsid w:val="00A177BE"/>
    <w:rsid w:val="00A22A59"/>
    <w:rsid w:val="00A27838"/>
    <w:rsid w:val="00A30CDB"/>
    <w:rsid w:val="00A36186"/>
    <w:rsid w:val="00A473BF"/>
    <w:rsid w:val="00A47F1D"/>
    <w:rsid w:val="00A50112"/>
    <w:rsid w:val="00A50F30"/>
    <w:rsid w:val="00A52803"/>
    <w:rsid w:val="00A61687"/>
    <w:rsid w:val="00A71C2C"/>
    <w:rsid w:val="00A972A4"/>
    <w:rsid w:val="00AA65DA"/>
    <w:rsid w:val="00AB63BD"/>
    <w:rsid w:val="00AE5423"/>
    <w:rsid w:val="00AF64D9"/>
    <w:rsid w:val="00B115AD"/>
    <w:rsid w:val="00B73BAC"/>
    <w:rsid w:val="00BB09F3"/>
    <w:rsid w:val="00BC3449"/>
    <w:rsid w:val="00BF41C0"/>
    <w:rsid w:val="00C12A39"/>
    <w:rsid w:val="00C20E72"/>
    <w:rsid w:val="00C33C0F"/>
    <w:rsid w:val="00C5486A"/>
    <w:rsid w:val="00C913E1"/>
    <w:rsid w:val="00C966FC"/>
    <w:rsid w:val="00CA1BEA"/>
    <w:rsid w:val="00CB1C82"/>
    <w:rsid w:val="00CB53A9"/>
    <w:rsid w:val="00CB6ED2"/>
    <w:rsid w:val="00CD52F4"/>
    <w:rsid w:val="00D066F3"/>
    <w:rsid w:val="00D10CDF"/>
    <w:rsid w:val="00D2133B"/>
    <w:rsid w:val="00D82E39"/>
    <w:rsid w:val="00D87CF3"/>
    <w:rsid w:val="00DA3A5B"/>
    <w:rsid w:val="00DB100D"/>
    <w:rsid w:val="00DB2539"/>
    <w:rsid w:val="00DE01AA"/>
    <w:rsid w:val="00DE0C75"/>
    <w:rsid w:val="00DF2696"/>
    <w:rsid w:val="00E03201"/>
    <w:rsid w:val="00E86615"/>
    <w:rsid w:val="00EB515D"/>
    <w:rsid w:val="00ED77A6"/>
    <w:rsid w:val="00EE52D1"/>
    <w:rsid w:val="00EF3A0E"/>
    <w:rsid w:val="00EF3EFD"/>
    <w:rsid w:val="00F03DE1"/>
    <w:rsid w:val="00F60FA6"/>
    <w:rsid w:val="00F67C7B"/>
    <w:rsid w:val="00FA28B6"/>
    <w:rsid w:val="00FA38A6"/>
    <w:rsid w:val="00FA40E3"/>
    <w:rsid w:val="00FC12BB"/>
    <w:rsid w:val="00FC6F4E"/>
    <w:rsid w:val="00FD6705"/>
    <w:rsid w:val="00FD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FD73"/>
  <w15:chartTrackingRefBased/>
  <w15:docId w15:val="{0D4CD2D0-9CA5-4EDC-8B3E-44785C52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A0E"/>
    <w:pPr>
      <w:spacing w:after="236" w:line="248" w:lineRule="auto"/>
      <w:ind w:left="10" w:right="5"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EF3A0E"/>
    <w:pPr>
      <w:keepNext/>
      <w:keepLines/>
      <w:spacing w:after="246" w:line="265" w:lineRule="auto"/>
      <w:ind w:left="284"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DE0C7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CB53A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E0C7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A0E"/>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115FB3"/>
    <w:rPr>
      <w:color w:val="0563C1" w:themeColor="hyperlink"/>
      <w:u w:val="single"/>
    </w:rPr>
  </w:style>
  <w:style w:type="character" w:customStyle="1" w:styleId="Heading3Char">
    <w:name w:val="Heading 3 Char"/>
    <w:basedOn w:val="DefaultParagraphFont"/>
    <w:link w:val="Heading3"/>
    <w:uiPriority w:val="9"/>
    <w:rsid w:val="00DE0C75"/>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DE0C75"/>
    <w:rPr>
      <w:rFonts w:asciiTheme="majorHAnsi" w:eastAsiaTheme="majorEastAsia" w:hAnsiTheme="majorHAnsi" w:cstheme="majorBidi"/>
      <w:color w:val="2E74B5" w:themeColor="accent1" w:themeShade="BF"/>
      <w:sz w:val="24"/>
    </w:rPr>
  </w:style>
  <w:style w:type="table" w:customStyle="1" w:styleId="TableGrid">
    <w:name w:val="TableGrid"/>
    <w:rsid w:val="00DE0C75"/>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DE0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C75"/>
    <w:pPr>
      <w:spacing w:after="200" w:line="276" w:lineRule="auto"/>
      <w:ind w:left="720" w:right="0" w:firstLine="0"/>
      <w:contextualSpacing/>
      <w:jc w:val="left"/>
    </w:pPr>
    <w:rPr>
      <w:rFonts w:ascii="Calibri" w:eastAsia="Calibri" w:hAnsi="Calibri"/>
      <w:color w:val="auto"/>
      <w:sz w:val="22"/>
    </w:rPr>
  </w:style>
  <w:style w:type="paragraph" w:styleId="NormalWeb">
    <w:name w:val="Normal (Web)"/>
    <w:basedOn w:val="Normal"/>
    <w:uiPriority w:val="99"/>
    <w:unhideWhenUsed/>
    <w:rsid w:val="00DE0C75"/>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DE0C75"/>
    <w:rPr>
      <w:b/>
      <w:bCs/>
    </w:rPr>
  </w:style>
  <w:style w:type="paragraph" w:styleId="Header">
    <w:name w:val="header"/>
    <w:basedOn w:val="Normal"/>
    <w:link w:val="HeaderChar"/>
    <w:uiPriority w:val="99"/>
    <w:unhideWhenUsed/>
    <w:rsid w:val="00D06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F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06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F3"/>
    <w:rPr>
      <w:rFonts w:ascii="Times New Roman" w:eastAsia="Times New Roman" w:hAnsi="Times New Roman" w:cs="Times New Roman"/>
      <w:color w:val="000000"/>
      <w:sz w:val="24"/>
    </w:rPr>
  </w:style>
  <w:style w:type="character" w:customStyle="1" w:styleId="Heading4Char">
    <w:name w:val="Heading 4 Char"/>
    <w:basedOn w:val="DefaultParagraphFont"/>
    <w:link w:val="Heading4"/>
    <w:uiPriority w:val="9"/>
    <w:rsid w:val="00CB53A9"/>
    <w:rPr>
      <w:rFonts w:asciiTheme="majorHAnsi" w:eastAsiaTheme="majorEastAsia" w:hAnsiTheme="majorHAnsi" w:cstheme="majorBidi"/>
      <w:i/>
      <w:iCs/>
      <w:color w:val="2E74B5" w:themeColor="accent1" w:themeShade="BF"/>
      <w:sz w:val="24"/>
    </w:rPr>
  </w:style>
  <w:style w:type="character" w:customStyle="1" w:styleId="UnresolvedMention1">
    <w:name w:val="Unresolved Mention1"/>
    <w:basedOn w:val="DefaultParagraphFont"/>
    <w:uiPriority w:val="99"/>
    <w:semiHidden/>
    <w:unhideWhenUsed/>
    <w:rsid w:val="008D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9628">
      <w:bodyDiv w:val="1"/>
      <w:marLeft w:val="0"/>
      <w:marRight w:val="0"/>
      <w:marTop w:val="0"/>
      <w:marBottom w:val="0"/>
      <w:divBdr>
        <w:top w:val="none" w:sz="0" w:space="0" w:color="auto"/>
        <w:left w:val="none" w:sz="0" w:space="0" w:color="auto"/>
        <w:bottom w:val="none" w:sz="0" w:space="0" w:color="auto"/>
        <w:right w:val="none" w:sz="0" w:space="0" w:color="auto"/>
      </w:divBdr>
    </w:div>
    <w:div w:id="61755799">
      <w:bodyDiv w:val="1"/>
      <w:marLeft w:val="0"/>
      <w:marRight w:val="0"/>
      <w:marTop w:val="0"/>
      <w:marBottom w:val="0"/>
      <w:divBdr>
        <w:top w:val="none" w:sz="0" w:space="0" w:color="auto"/>
        <w:left w:val="none" w:sz="0" w:space="0" w:color="auto"/>
        <w:bottom w:val="none" w:sz="0" w:space="0" w:color="auto"/>
        <w:right w:val="none" w:sz="0" w:space="0" w:color="auto"/>
      </w:divBdr>
    </w:div>
    <w:div w:id="287056320">
      <w:bodyDiv w:val="1"/>
      <w:marLeft w:val="0"/>
      <w:marRight w:val="0"/>
      <w:marTop w:val="0"/>
      <w:marBottom w:val="0"/>
      <w:divBdr>
        <w:top w:val="none" w:sz="0" w:space="0" w:color="auto"/>
        <w:left w:val="none" w:sz="0" w:space="0" w:color="auto"/>
        <w:bottom w:val="none" w:sz="0" w:space="0" w:color="auto"/>
        <w:right w:val="none" w:sz="0" w:space="0" w:color="auto"/>
      </w:divBdr>
    </w:div>
    <w:div w:id="320432365">
      <w:bodyDiv w:val="1"/>
      <w:marLeft w:val="0"/>
      <w:marRight w:val="0"/>
      <w:marTop w:val="0"/>
      <w:marBottom w:val="0"/>
      <w:divBdr>
        <w:top w:val="none" w:sz="0" w:space="0" w:color="auto"/>
        <w:left w:val="none" w:sz="0" w:space="0" w:color="auto"/>
        <w:bottom w:val="none" w:sz="0" w:space="0" w:color="auto"/>
        <w:right w:val="none" w:sz="0" w:space="0" w:color="auto"/>
      </w:divBdr>
    </w:div>
    <w:div w:id="389960463">
      <w:bodyDiv w:val="1"/>
      <w:marLeft w:val="0"/>
      <w:marRight w:val="0"/>
      <w:marTop w:val="0"/>
      <w:marBottom w:val="0"/>
      <w:divBdr>
        <w:top w:val="none" w:sz="0" w:space="0" w:color="auto"/>
        <w:left w:val="none" w:sz="0" w:space="0" w:color="auto"/>
        <w:bottom w:val="none" w:sz="0" w:space="0" w:color="auto"/>
        <w:right w:val="none" w:sz="0" w:space="0" w:color="auto"/>
      </w:divBdr>
    </w:div>
    <w:div w:id="437408343">
      <w:bodyDiv w:val="1"/>
      <w:marLeft w:val="0"/>
      <w:marRight w:val="0"/>
      <w:marTop w:val="0"/>
      <w:marBottom w:val="0"/>
      <w:divBdr>
        <w:top w:val="none" w:sz="0" w:space="0" w:color="auto"/>
        <w:left w:val="none" w:sz="0" w:space="0" w:color="auto"/>
        <w:bottom w:val="none" w:sz="0" w:space="0" w:color="auto"/>
        <w:right w:val="none" w:sz="0" w:space="0" w:color="auto"/>
      </w:divBdr>
    </w:div>
    <w:div w:id="464812444">
      <w:bodyDiv w:val="1"/>
      <w:marLeft w:val="0"/>
      <w:marRight w:val="0"/>
      <w:marTop w:val="0"/>
      <w:marBottom w:val="0"/>
      <w:divBdr>
        <w:top w:val="none" w:sz="0" w:space="0" w:color="auto"/>
        <w:left w:val="none" w:sz="0" w:space="0" w:color="auto"/>
        <w:bottom w:val="none" w:sz="0" w:space="0" w:color="auto"/>
        <w:right w:val="none" w:sz="0" w:space="0" w:color="auto"/>
      </w:divBdr>
    </w:div>
    <w:div w:id="476343990">
      <w:bodyDiv w:val="1"/>
      <w:marLeft w:val="0"/>
      <w:marRight w:val="0"/>
      <w:marTop w:val="0"/>
      <w:marBottom w:val="0"/>
      <w:divBdr>
        <w:top w:val="none" w:sz="0" w:space="0" w:color="auto"/>
        <w:left w:val="none" w:sz="0" w:space="0" w:color="auto"/>
        <w:bottom w:val="none" w:sz="0" w:space="0" w:color="auto"/>
        <w:right w:val="none" w:sz="0" w:space="0" w:color="auto"/>
      </w:divBdr>
    </w:div>
    <w:div w:id="514079002">
      <w:bodyDiv w:val="1"/>
      <w:marLeft w:val="0"/>
      <w:marRight w:val="0"/>
      <w:marTop w:val="0"/>
      <w:marBottom w:val="0"/>
      <w:divBdr>
        <w:top w:val="none" w:sz="0" w:space="0" w:color="auto"/>
        <w:left w:val="none" w:sz="0" w:space="0" w:color="auto"/>
        <w:bottom w:val="none" w:sz="0" w:space="0" w:color="auto"/>
        <w:right w:val="none" w:sz="0" w:space="0" w:color="auto"/>
      </w:divBdr>
    </w:div>
    <w:div w:id="550724638">
      <w:bodyDiv w:val="1"/>
      <w:marLeft w:val="0"/>
      <w:marRight w:val="0"/>
      <w:marTop w:val="0"/>
      <w:marBottom w:val="0"/>
      <w:divBdr>
        <w:top w:val="none" w:sz="0" w:space="0" w:color="auto"/>
        <w:left w:val="none" w:sz="0" w:space="0" w:color="auto"/>
        <w:bottom w:val="none" w:sz="0" w:space="0" w:color="auto"/>
        <w:right w:val="none" w:sz="0" w:space="0" w:color="auto"/>
      </w:divBdr>
    </w:div>
    <w:div w:id="551429456">
      <w:bodyDiv w:val="1"/>
      <w:marLeft w:val="0"/>
      <w:marRight w:val="0"/>
      <w:marTop w:val="0"/>
      <w:marBottom w:val="0"/>
      <w:divBdr>
        <w:top w:val="none" w:sz="0" w:space="0" w:color="auto"/>
        <w:left w:val="none" w:sz="0" w:space="0" w:color="auto"/>
        <w:bottom w:val="none" w:sz="0" w:space="0" w:color="auto"/>
        <w:right w:val="none" w:sz="0" w:space="0" w:color="auto"/>
      </w:divBdr>
    </w:div>
    <w:div w:id="658386203">
      <w:bodyDiv w:val="1"/>
      <w:marLeft w:val="0"/>
      <w:marRight w:val="0"/>
      <w:marTop w:val="0"/>
      <w:marBottom w:val="0"/>
      <w:divBdr>
        <w:top w:val="none" w:sz="0" w:space="0" w:color="auto"/>
        <w:left w:val="none" w:sz="0" w:space="0" w:color="auto"/>
        <w:bottom w:val="none" w:sz="0" w:space="0" w:color="auto"/>
        <w:right w:val="none" w:sz="0" w:space="0" w:color="auto"/>
      </w:divBdr>
    </w:div>
    <w:div w:id="729495772">
      <w:bodyDiv w:val="1"/>
      <w:marLeft w:val="0"/>
      <w:marRight w:val="0"/>
      <w:marTop w:val="0"/>
      <w:marBottom w:val="0"/>
      <w:divBdr>
        <w:top w:val="none" w:sz="0" w:space="0" w:color="auto"/>
        <w:left w:val="none" w:sz="0" w:space="0" w:color="auto"/>
        <w:bottom w:val="none" w:sz="0" w:space="0" w:color="auto"/>
        <w:right w:val="none" w:sz="0" w:space="0" w:color="auto"/>
      </w:divBdr>
    </w:div>
    <w:div w:id="917523451">
      <w:bodyDiv w:val="1"/>
      <w:marLeft w:val="0"/>
      <w:marRight w:val="0"/>
      <w:marTop w:val="0"/>
      <w:marBottom w:val="0"/>
      <w:divBdr>
        <w:top w:val="none" w:sz="0" w:space="0" w:color="auto"/>
        <w:left w:val="none" w:sz="0" w:space="0" w:color="auto"/>
        <w:bottom w:val="none" w:sz="0" w:space="0" w:color="auto"/>
        <w:right w:val="none" w:sz="0" w:space="0" w:color="auto"/>
      </w:divBdr>
    </w:div>
    <w:div w:id="965282227">
      <w:bodyDiv w:val="1"/>
      <w:marLeft w:val="0"/>
      <w:marRight w:val="0"/>
      <w:marTop w:val="0"/>
      <w:marBottom w:val="0"/>
      <w:divBdr>
        <w:top w:val="none" w:sz="0" w:space="0" w:color="auto"/>
        <w:left w:val="none" w:sz="0" w:space="0" w:color="auto"/>
        <w:bottom w:val="none" w:sz="0" w:space="0" w:color="auto"/>
        <w:right w:val="none" w:sz="0" w:space="0" w:color="auto"/>
      </w:divBdr>
    </w:div>
    <w:div w:id="965891041">
      <w:bodyDiv w:val="1"/>
      <w:marLeft w:val="0"/>
      <w:marRight w:val="0"/>
      <w:marTop w:val="0"/>
      <w:marBottom w:val="0"/>
      <w:divBdr>
        <w:top w:val="none" w:sz="0" w:space="0" w:color="auto"/>
        <w:left w:val="none" w:sz="0" w:space="0" w:color="auto"/>
        <w:bottom w:val="none" w:sz="0" w:space="0" w:color="auto"/>
        <w:right w:val="none" w:sz="0" w:space="0" w:color="auto"/>
      </w:divBdr>
    </w:div>
    <w:div w:id="1046180587">
      <w:bodyDiv w:val="1"/>
      <w:marLeft w:val="0"/>
      <w:marRight w:val="0"/>
      <w:marTop w:val="0"/>
      <w:marBottom w:val="0"/>
      <w:divBdr>
        <w:top w:val="none" w:sz="0" w:space="0" w:color="auto"/>
        <w:left w:val="none" w:sz="0" w:space="0" w:color="auto"/>
        <w:bottom w:val="none" w:sz="0" w:space="0" w:color="auto"/>
        <w:right w:val="none" w:sz="0" w:space="0" w:color="auto"/>
      </w:divBdr>
    </w:div>
    <w:div w:id="1093668571">
      <w:bodyDiv w:val="1"/>
      <w:marLeft w:val="0"/>
      <w:marRight w:val="0"/>
      <w:marTop w:val="0"/>
      <w:marBottom w:val="0"/>
      <w:divBdr>
        <w:top w:val="none" w:sz="0" w:space="0" w:color="auto"/>
        <w:left w:val="none" w:sz="0" w:space="0" w:color="auto"/>
        <w:bottom w:val="none" w:sz="0" w:space="0" w:color="auto"/>
        <w:right w:val="none" w:sz="0" w:space="0" w:color="auto"/>
      </w:divBdr>
    </w:div>
    <w:div w:id="1126049271">
      <w:bodyDiv w:val="1"/>
      <w:marLeft w:val="0"/>
      <w:marRight w:val="0"/>
      <w:marTop w:val="0"/>
      <w:marBottom w:val="0"/>
      <w:divBdr>
        <w:top w:val="none" w:sz="0" w:space="0" w:color="auto"/>
        <w:left w:val="none" w:sz="0" w:space="0" w:color="auto"/>
        <w:bottom w:val="none" w:sz="0" w:space="0" w:color="auto"/>
        <w:right w:val="none" w:sz="0" w:space="0" w:color="auto"/>
      </w:divBdr>
    </w:div>
    <w:div w:id="1140268603">
      <w:bodyDiv w:val="1"/>
      <w:marLeft w:val="0"/>
      <w:marRight w:val="0"/>
      <w:marTop w:val="0"/>
      <w:marBottom w:val="0"/>
      <w:divBdr>
        <w:top w:val="none" w:sz="0" w:space="0" w:color="auto"/>
        <w:left w:val="none" w:sz="0" w:space="0" w:color="auto"/>
        <w:bottom w:val="none" w:sz="0" w:space="0" w:color="auto"/>
        <w:right w:val="none" w:sz="0" w:space="0" w:color="auto"/>
      </w:divBdr>
    </w:div>
    <w:div w:id="1148547531">
      <w:bodyDiv w:val="1"/>
      <w:marLeft w:val="0"/>
      <w:marRight w:val="0"/>
      <w:marTop w:val="0"/>
      <w:marBottom w:val="0"/>
      <w:divBdr>
        <w:top w:val="none" w:sz="0" w:space="0" w:color="auto"/>
        <w:left w:val="none" w:sz="0" w:space="0" w:color="auto"/>
        <w:bottom w:val="none" w:sz="0" w:space="0" w:color="auto"/>
        <w:right w:val="none" w:sz="0" w:space="0" w:color="auto"/>
      </w:divBdr>
    </w:div>
    <w:div w:id="1166048625">
      <w:bodyDiv w:val="1"/>
      <w:marLeft w:val="0"/>
      <w:marRight w:val="0"/>
      <w:marTop w:val="0"/>
      <w:marBottom w:val="0"/>
      <w:divBdr>
        <w:top w:val="none" w:sz="0" w:space="0" w:color="auto"/>
        <w:left w:val="none" w:sz="0" w:space="0" w:color="auto"/>
        <w:bottom w:val="none" w:sz="0" w:space="0" w:color="auto"/>
        <w:right w:val="none" w:sz="0" w:space="0" w:color="auto"/>
      </w:divBdr>
    </w:div>
    <w:div w:id="1206604171">
      <w:bodyDiv w:val="1"/>
      <w:marLeft w:val="0"/>
      <w:marRight w:val="0"/>
      <w:marTop w:val="0"/>
      <w:marBottom w:val="0"/>
      <w:divBdr>
        <w:top w:val="none" w:sz="0" w:space="0" w:color="auto"/>
        <w:left w:val="none" w:sz="0" w:space="0" w:color="auto"/>
        <w:bottom w:val="none" w:sz="0" w:space="0" w:color="auto"/>
        <w:right w:val="none" w:sz="0" w:space="0" w:color="auto"/>
      </w:divBdr>
    </w:div>
    <w:div w:id="1289777893">
      <w:bodyDiv w:val="1"/>
      <w:marLeft w:val="0"/>
      <w:marRight w:val="0"/>
      <w:marTop w:val="0"/>
      <w:marBottom w:val="0"/>
      <w:divBdr>
        <w:top w:val="none" w:sz="0" w:space="0" w:color="auto"/>
        <w:left w:val="none" w:sz="0" w:space="0" w:color="auto"/>
        <w:bottom w:val="none" w:sz="0" w:space="0" w:color="auto"/>
        <w:right w:val="none" w:sz="0" w:space="0" w:color="auto"/>
      </w:divBdr>
    </w:div>
    <w:div w:id="1335649390">
      <w:bodyDiv w:val="1"/>
      <w:marLeft w:val="0"/>
      <w:marRight w:val="0"/>
      <w:marTop w:val="0"/>
      <w:marBottom w:val="0"/>
      <w:divBdr>
        <w:top w:val="none" w:sz="0" w:space="0" w:color="auto"/>
        <w:left w:val="none" w:sz="0" w:space="0" w:color="auto"/>
        <w:bottom w:val="none" w:sz="0" w:space="0" w:color="auto"/>
        <w:right w:val="none" w:sz="0" w:space="0" w:color="auto"/>
      </w:divBdr>
    </w:div>
    <w:div w:id="1523937001">
      <w:bodyDiv w:val="1"/>
      <w:marLeft w:val="0"/>
      <w:marRight w:val="0"/>
      <w:marTop w:val="0"/>
      <w:marBottom w:val="0"/>
      <w:divBdr>
        <w:top w:val="none" w:sz="0" w:space="0" w:color="auto"/>
        <w:left w:val="none" w:sz="0" w:space="0" w:color="auto"/>
        <w:bottom w:val="none" w:sz="0" w:space="0" w:color="auto"/>
        <w:right w:val="none" w:sz="0" w:space="0" w:color="auto"/>
      </w:divBdr>
    </w:div>
    <w:div w:id="1546066771">
      <w:bodyDiv w:val="1"/>
      <w:marLeft w:val="0"/>
      <w:marRight w:val="0"/>
      <w:marTop w:val="0"/>
      <w:marBottom w:val="0"/>
      <w:divBdr>
        <w:top w:val="none" w:sz="0" w:space="0" w:color="auto"/>
        <w:left w:val="none" w:sz="0" w:space="0" w:color="auto"/>
        <w:bottom w:val="none" w:sz="0" w:space="0" w:color="auto"/>
        <w:right w:val="none" w:sz="0" w:space="0" w:color="auto"/>
      </w:divBdr>
    </w:div>
    <w:div w:id="1550460675">
      <w:bodyDiv w:val="1"/>
      <w:marLeft w:val="0"/>
      <w:marRight w:val="0"/>
      <w:marTop w:val="0"/>
      <w:marBottom w:val="0"/>
      <w:divBdr>
        <w:top w:val="none" w:sz="0" w:space="0" w:color="auto"/>
        <w:left w:val="none" w:sz="0" w:space="0" w:color="auto"/>
        <w:bottom w:val="none" w:sz="0" w:space="0" w:color="auto"/>
        <w:right w:val="none" w:sz="0" w:space="0" w:color="auto"/>
      </w:divBdr>
    </w:div>
    <w:div w:id="1567180346">
      <w:bodyDiv w:val="1"/>
      <w:marLeft w:val="0"/>
      <w:marRight w:val="0"/>
      <w:marTop w:val="0"/>
      <w:marBottom w:val="0"/>
      <w:divBdr>
        <w:top w:val="none" w:sz="0" w:space="0" w:color="auto"/>
        <w:left w:val="none" w:sz="0" w:space="0" w:color="auto"/>
        <w:bottom w:val="none" w:sz="0" w:space="0" w:color="auto"/>
        <w:right w:val="none" w:sz="0" w:space="0" w:color="auto"/>
      </w:divBdr>
    </w:div>
    <w:div w:id="1568570419">
      <w:bodyDiv w:val="1"/>
      <w:marLeft w:val="0"/>
      <w:marRight w:val="0"/>
      <w:marTop w:val="0"/>
      <w:marBottom w:val="0"/>
      <w:divBdr>
        <w:top w:val="none" w:sz="0" w:space="0" w:color="auto"/>
        <w:left w:val="none" w:sz="0" w:space="0" w:color="auto"/>
        <w:bottom w:val="none" w:sz="0" w:space="0" w:color="auto"/>
        <w:right w:val="none" w:sz="0" w:space="0" w:color="auto"/>
      </w:divBdr>
    </w:div>
    <w:div w:id="1568957038">
      <w:bodyDiv w:val="1"/>
      <w:marLeft w:val="0"/>
      <w:marRight w:val="0"/>
      <w:marTop w:val="0"/>
      <w:marBottom w:val="0"/>
      <w:divBdr>
        <w:top w:val="none" w:sz="0" w:space="0" w:color="auto"/>
        <w:left w:val="none" w:sz="0" w:space="0" w:color="auto"/>
        <w:bottom w:val="none" w:sz="0" w:space="0" w:color="auto"/>
        <w:right w:val="none" w:sz="0" w:space="0" w:color="auto"/>
      </w:divBdr>
    </w:div>
    <w:div w:id="1627273256">
      <w:bodyDiv w:val="1"/>
      <w:marLeft w:val="0"/>
      <w:marRight w:val="0"/>
      <w:marTop w:val="0"/>
      <w:marBottom w:val="0"/>
      <w:divBdr>
        <w:top w:val="none" w:sz="0" w:space="0" w:color="auto"/>
        <w:left w:val="none" w:sz="0" w:space="0" w:color="auto"/>
        <w:bottom w:val="none" w:sz="0" w:space="0" w:color="auto"/>
        <w:right w:val="none" w:sz="0" w:space="0" w:color="auto"/>
      </w:divBdr>
    </w:div>
    <w:div w:id="1674147157">
      <w:bodyDiv w:val="1"/>
      <w:marLeft w:val="0"/>
      <w:marRight w:val="0"/>
      <w:marTop w:val="0"/>
      <w:marBottom w:val="0"/>
      <w:divBdr>
        <w:top w:val="none" w:sz="0" w:space="0" w:color="auto"/>
        <w:left w:val="none" w:sz="0" w:space="0" w:color="auto"/>
        <w:bottom w:val="none" w:sz="0" w:space="0" w:color="auto"/>
        <w:right w:val="none" w:sz="0" w:space="0" w:color="auto"/>
      </w:divBdr>
    </w:div>
    <w:div w:id="1703172125">
      <w:bodyDiv w:val="1"/>
      <w:marLeft w:val="0"/>
      <w:marRight w:val="0"/>
      <w:marTop w:val="0"/>
      <w:marBottom w:val="0"/>
      <w:divBdr>
        <w:top w:val="none" w:sz="0" w:space="0" w:color="auto"/>
        <w:left w:val="none" w:sz="0" w:space="0" w:color="auto"/>
        <w:bottom w:val="none" w:sz="0" w:space="0" w:color="auto"/>
        <w:right w:val="none" w:sz="0" w:space="0" w:color="auto"/>
      </w:divBdr>
    </w:div>
    <w:div w:id="1832021463">
      <w:bodyDiv w:val="1"/>
      <w:marLeft w:val="0"/>
      <w:marRight w:val="0"/>
      <w:marTop w:val="0"/>
      <w:marBottom w:val="0"/>
      <w:divBdr>
        <w:top w:val="none" w:sz="0" w:space="0" w:color="auto"/>
        <w:left w:val="none" w:sz="0" w:space="0" w:color="auto"/>
        <w:bottom w:val="none" w:sz="0" w:space="0" w:color="auto"/>
        <w:right w:val="none" w:sz="0" w:space="0" w:color="auto"/>
      </w:divBdr>
    </w:div>
    <w:div w:id="1838496236">
      <w:bodyDiv w:val="1"/>
      <w:marLeft w:val="0"/>
      <w:marRight w:val="0"/>
      <w:marTop w:val="0"/>
      <w:marBottom w:val="0"/>
      <w:divBdr>
        <w:top w:val="none" w:sz="0" w:space="0" w:color="auto"/>
        <w:left w:val="none" w:sz="0" w:space="0" w:color="auto"/>
        <w:bottom w:val="none" w:sz="0" w:space="0" w:color="auto"/>
        <w:right w:val="none" w:sz="0" w:space="0" w:color="auto"/>
      </w:divBdr>
    </w:div>
    <w:div w:id="1893496873">
      <w:bodyDiv w:val="1"/>
      <w:marLeft w:val="0"/>
      <w:marRight w:val="0"/>
      <w:marTop w:val="0"/>
      <w:marBottom w:val="0"/>
      <w:divBdr>
        <w:top w:val="none" w:sz="0" w:space="0" w:color="auto"/>
        <w:left w:val="none" w:sz="0" w:space="0" w:color="auto"/>
        <w:bottom w:val="none" w:sz="0" w:space="0" w:color="auto"/>
        <w:right w:val="none" w:sz="0" w:space="0" w:color="auto"/>
      </w:divBdr>
    </w:div>
    <w:div w:id="1941067518">
      <w:bodyDiv w:val="1"/>
      <w:marLeft w:val="0"/>
      <w:marRight w:val="0"/>
      <w:marTop w:val="0"/>
      <w:marBottom w:val="0"/>
      <w:divBdr>
        <w:top w:val="none" w:sz="0" w:space="0" w:color="auto"/>
        <w:left w:val="none" w:sz="0" w:space="0" w:color="auto"/>
        <w:bottom w:val="none" w:sz="0" w:space="0" w:color="auto"/>
        <w:right w:val="none" w:sz="0" w:space="0" w:color="auto"/>
      </w:divBdr>
    </w:div>
    <w:div w:id="1960529288">
      <w:bodyDiv w:val="1"/>
      <w:marLeft w:val="0"/>
      <w:marRight w:val="0"/>
      <w:marTop w:val="0"/>
      <w:marBottom w:val="0"/>
      <w:divBdr>
        <w:top w:val="none" w:sz="0" w:space="0" w:color="auto"/>
        <w:left w:val="none" w:sz="0" w:space="0" w:color="auto"/>
        <w:bottom w:val="none" w:sz="0" w:space="0" w:color="auto"/>
        <w:right w:val="none" w:sz="0" w:space="0" w:color="auto"/>
      </w:divBdr>
    </w:div>
    <w:div w:id="2050032538">
      <w:bodyDiv w:val="1"/>
      <w:marLeft w:val="0"/>
      <w:marRight w:val="0"/>
      <w:marTop w:val="0"/>
      <w:marBottom w:val="0"/>
      <w:divBdr>
        <w:top w:val="none" w:sz="0" w:space="0" w:color="auto"/>
        <w:left w:val="none" w:sz="0" w:space="0" w:color="auto"/>
        <w:bottom w:val="none" w:sz="0" w:space="0" w:color="auto"/>
        <w:right w:val="none" w:sz="0" w:space="0" w:color="auto"/>
      </w:divBdr>
    </w:div>
    <w:div w:id="2137024880">
      <w:bodyDiv w:val="1"/>
      <w:marLeft w:val="0"/>
      <w:marRight w:val="0"/>
      <w:marTop w:val="0"/>
      <w:marBottom w:val="0"/>
      <w:divBdr>
        <w:top w:val="none" w:sz="0" w:space="0" w:color="auto"/>
        <w:left w:val="none" w:sz="0" w:space="0" w:color="auto"/>
        <w:bottom w:val="none" w:sz="0" w:space="0" w:color="auto"/>
        <w:right w:val="none" w:sz="0" w:space="0" w:color="auto"/>
      </w:divBdr>
    </w:div>
    <w:div w:id="2143768463">
      <w:bodyDiv w:val="1"/>
      <w:marLeft w:val="0"/>
      <w:marRight w:val="0"/>
      <w:marTop w:val="0"/>
      <w:marBottom w:val="0"/>
      <w:divBdr>
        <w:top w:val="none" w:sz="0" w:space="0" w:color="auto"/>
        <w:left w:val="none" w:sz="0" w:space="0" w:color="auto"/>
        <w:bottom w:val="none" w:sz="0" w:space="0" w:color="auto"/>
        <w:right w:val="none" w:sz="0" w:space="0" w:color="auto"/>
      </w:divBdr>
    </w:div>
    <w:div w:id="21463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890/mmj2022.26.6" TargetMode="External"/><Relationship Id="rId13" Type="http://schemas.openxmlformats.org/officeDocument/2006/relationships/hyperlink" Target="https://cibg.org.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2890/mmj2022.26.6" TargetMode="External"/><Relationship Id="rId12" Type="http://schemas.openxmlformats.org/officeDocument/2006/relationships/hyperlink" Target="https://cibg.org.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archpublish.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esearchpublish.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researchpublish.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A58C39-495E-4C9C-8CCC-1A2FA9AF312F}">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598</TotalTime>
  <Pages>13</Pages>
  <Words>6199</Words>
  <Characters>35337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96</cp:revision>
  <dcterms:created xsi:type="dcterms:W3CDTF">2024-06-04T10:31:00Z</dcterms:created>
  <dcterms:modified xsi:type="dcterms:W3CDTF">2024-07-31T09:27:00Z</dcterms:modified>
</cp:coreProperties>
</file>