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AF22E" w14:textId="43DCF100" w:rsidR="00DA1053" w:rsidRDefault="003C5822" w:rsidP="003C5822">
      <w:pPr>
        <w:spacing w:before="100" w:beforeAutospacing="1" w:after="100" w:afterAutospacing="1" w:line="240" w:lineRule="auto"/>
        <w:jc w:val="center"/>
        <w:rPr>
          <w:rFonts w:ascii="Times New Roman" w:eastAsia="Times New Roman" w:hAnsi="Times New Roman"/>
          <w:b/>
          <w:sz w:val="24"/>
          <w:szCs w:val="24"/>
        </w:rPr>
      </w:pPr>
      <w:r w:rsidRPr="003C5822">
        <w:rPr>
          <w:rFonts w:ascii="Times New Roman" w:eastAsia="Times New Roman" w:hAnsi="Times New Roman"/>
          <w:b/>
          <w:sz w:val="24"/>
          <w:szCs w:val="24"/>
        </w:rPr>
        <w:t xml:space="preserve">Assessment of the Comparative Effect of Sodium Benzoate, </w:t>
      </w:r>
      <w:r w:rsidR="00CD4255">
        <w:rPr>
          <w:rFonts w:ascii="Times New Roman" w:eastAsia="Times New Roman" w:hAnsi="Times New Roman"/>
          <w:b/>
          <w:sz w:val="24"/>
          <w:szCs w:val="24"/>
        </w:rPr>
        <w:t>Ascorbic</w:t>
      </w:r>
      <w:r w:rsidR="00132BF2">
        <w:rPr>
          <w:rFonts w:ascii="Times New Roman" w:eastAsia="Times New Roman" w:hAnsi="Times New Roman"/>
          <w:b/>
          <w:sz w:val="24"/>
          <w:szCs w:val="24"/>
        </w:rPr>
        <w:t xml:space="preserve"> Acid</w:t>
      </w:r>
      <w:r w:rsidRPr="003C5822">
        <w:rPr>
          <w:rFonts w:ascii="Times New Roman" w:eastAsia="Times New Roman" w:hAnsi="Times New Roman"/>
          <w:b/>
          <w:sz w:val="24"/>
          <w:szCs w:val="24"/>
        </w:rPr>
        <w:t xml:space="preserve">, and their Combination on Glucose Levels, Lipid Profile, and </w:t>
      </w:r>
      <w:r w:rsidR="00734AAD">
        <w:rPr>
          <w:rFonts w:ascii="Times New Roman" w:eastAsia="Times New Roman" w:hAnsi="Times New Roman"/>
          <w:b/>
          <w:sz w:val="24"/>
          <w:szCs w:val="24"/>
        </w:rPr>
        <w:t>Some Cardiovascular</w:t>
      </w:r>
      <w:r w:rsidR="0012500E" w:rsidRPr="0012500E">
        <w:rPr>
          <w:rFonts w:ascii="Times New Roman" w:eastAsia="Times New Roman" w:hAnsi="Times New Roman"/>
          <w:b/>
          <w:sz w:val="24"/>
          <w:szCs w:val="24"/>
        </w:rPr>
        <w:t xml:space="preserve"> </w:t>
      </w:r>
      <w:r w:rsidR="008A1BD2">
        <w:rPr>
          <w:rFonts w:ascii="Times New Roman" w:eastAsia="Times New Roman" w:hAnsi="Times New Roman"/>
          <w:b/>
          <w:sz w:val="24"/>
          <w:szCs w:val="24"/>
        </w:rPr>
        <w:t xml:space="preserve">Risk </w:t>
      </w:r>
      <w:r w:rsidR="0012500E">
        <w:rPr>
          <w:rFonts w:ascii="Times New Roman" w:eastAsia="Times New Roman" w:hAnsi="Times New Roman"/>
          <w:b/>
          <w:sz w:val="24"/>
          <w:szCs w:val="24"/>
        </w:rPr>
        <w:t>M</w:t>
      </w:r>
      <w:r w:rsidR="0012500E" w:rsidRPr="0012500E">
        <w:rPr>
          <w:rFonts w:ascii="Times New Roman" w:eastAsia="Times New Roman" w:hAnsi="Times New Roman"/>
          <w:b/>
          <w:sz w:val="24"/>
          <w:szCs w:val="24"/>
        </w:rPr>
        <w:t xml:space="preserve">arkers </w:t>
      </w:r>
      <w:r w:rsidRPr="003C5822">
        <w:rPr>
          <w:rFonts w:ascii="Times New Roman" w:eastAsia="Times New Roman" w:hAnsi="Times New Roman"/>
          <w:b/>
          <w:sz w:val="24"/>
          <w:szCs w:val="24"/>
        </w:rPr>
        <w:t>in Albino Rats</w:t>
      </w:r>
    </w:p>
    <w:p w14:paraId="43CBA94B" w14:textId="772A6980" w:rsidR="00577536" w:rsidRDefault="00577536" w:rsidP="003C5822">
      <w:pPr>
        <w:spacing w:before="100" w:beforeAutospacing="1" w:after="100" w:afterAutospacing="1" w:line="240" w:lineRule="auto"/>
        <w:jc w:val="center"/>
        <w:rPr>
          <w:rFonts w:ascii="Times New Roman" w:eastAsia="Times New Roman" w:hAnsi="Times New Roman"/>
          <w:b/>
          <w:sz w:val="24"/>
          <w:szCs w:val="24"/>
        </w:rPr>
      </w:pPr>
    </w:p>
    <w:p w14:paraId="74192E50" w14:textId="77777777" w:rsidR="00DA1053" w:rsidRDefault="00DA1053" w:rsidP="00DA1053">
      <w:pPr>
        <w:spacing w:before="100" w:beforeAutospacing="1" w:after="100" w:afterAutospacing="1" w:line="240" w:lineRule="auto"/>
        <w:jc w:val="both"/>
        <w:rPr>
          <w:rFonts w:ascii="Times New Roman" w:hAnsi="Times New Roman" w:cs="Times New Roman"/>
          <w:b/>
          <w:bCs/>
          <w:sz w:val="24"/>
          <w:szCs w:val="24"/>
        </w:rPr>
      </w:pPr>
    </w:p>
    <w:p w14:paraId="342BFFC6" w14:textId="79030EFC" w:rsidR="005D5A2D" w:rsidRPr="005D5A2D" w:rsidRDefault="005D5A2D" w:rsidP="005D5A2D">
      <w:pPr>
        <w:spacing w:before="100" w:beforeAutospacing="1" w:after="100" w:afterAutospacing="1" w:line="240" w:lineRule="auto"/>
        <w:jc w:val="center"/>
        <w:rPr>
          <w:rFonts w:ascii="Times New Roman" w:hAnsi="Times New Roman" w:cs="Times New Roman"/>
          <w:b/>
          <w:bCs/>
          <w:sz w:val="24"/>
          <w:szCs w:val="24"/>
        </w:rPr>
      </w:pPr>
      <w:r w:rsidRPr="005D5A2D">
        <w:rPr>
          <w:rFonts w:ascii="Times New Roman" w:hAnsi="Times New Roman" w:cs="Times New Roman"/>
          <w:b/>
          <w:bCs/>
          <w:sz w:val="24"/>
          <w:szCs w:val="24"/>
        </w:rPr>
        <w:t>ABSTRACT</w:t>
      </w:r>
    </w:p>
    <w:p w14:paraId="7E5E0302" w14:textId="4A9F142D" w:rsidR="00C77459" w:rsidRPr="00C77459" w:rsidRDefault="00DC758E" w:rsidP="00DA1053">
      <w:pPr>
        <w:spacing w:before="100" w:beforeAutospacing="1" w:after="100" w:afterAutospacing="1" w:line="240" w:lineRule="auto"/>
        <w:jc w:val="both"/>
        <w:rPr>
          <w:rFonts w:ascii="Times New Roman" w:hAnsi="Times New Roman" w:cs="Times New Roman"/>
          <w:sz w:val="24"/>
          <w:szCs w:val="24"/>
        </w:rPr>
      </w:pPr>
      <w:r w:rsidRPr="00DC758E">
        <w:rPr>
          <w:rFonts w:ascii="Times New Roman" w:hAnsi="Times New Roman" w:cs="Times New Roman"/>
          <w:sz w:val="24"/>
          <w:szCs w:val="24"/>
        </w:rPr>
        <w:t xml:space="preserve">The widespread use of preservatives like sodium benzoate (SB) and ascorbic acid (vitamin C) in processed foods and beverages necessitates assessing their potential health risks. This study examined the effects of sodium benzoate, vitamin C, and their combination on glucose levels, lipid profile, and cardiovascular markers in albino rats. </w:t>
      </w:r>
      <w:r w:rsidR="00CE095D">
        <w:rPr>
          <w:rFonts w:ascii="Times New Roman" w:hAnsi="Times New Roman" w:cs="Times New Roman"/>
          <w:sz w:val="24"/>
          <w:szCs w:val="24"/>
        </w:rPr>
        <w:t>A total of t</w:t>
      </w:r>
      <w:r w:rsidRPr="00DC758E">
        <w:rPr>
          <w:rFonts w:ascii="Times New Roman" w:hAnsi="Times New Roman" w:cs="Times New Roman"/>
          <w:sz w:val="24"/>
          <w:szCs w:val="24"/>
        </w:rPr>
        <w:t xml:space="preserve">hirty-six rats were divided into six groups: a control group (Group I), two groups receiving sodium benzoate at 120 mg/kg (Group II; low-dose SB) and 240 mg/kg (Group III; high-dose SB), a vitamin C group receiving 100 mg/kg (Group IV), and two combination groups administered low-dose SB + vitamin C (Group V) and high-dose SB + vitamin C (Group VI); treatments were given orally for 28 days. At the end of the study, the rats were </w:t>
      </w:r>
      <w:r w:rsidR="00CE095D">
        <w:rPr>
          <w:rFonts w:ascii="Times New Roman" w:hAnsi="Times New Roman" w:cs="Times New Roman"/>
          <w:sz w:val="24"/>
          <w:szCs w:val="24"/>
        </w:rPr>
        <w:t xml:space="preserve">allowed to fast overnight, and </w:t>
      </w:r>
      <w:r w:rsidRPr="00DC758E">
        <w:rPr>
          <w:rFonts w:ascii="Times New Roman" w:hAnsi="Times New Roman" w:cs="Times New Roman"/>
          <w:sz w:val="24"/>
          <w:szCs w:val="24"/>
        </w:rPr>
        <w:t>anesthetized</w:t>
      </w:r>
      <w:r w:rsidR="00CE095D">
        <w:rPr>
          <w:rFonts w:ascii="Times New Roman" w:hAnsi="Times New Roman" w:cs="Times New Roman"/>
          <w:sz w:val="24"/>
          <w:szCs w:val="24"/>
        </w:rPr>
        <w:t xml:space="preserve"> </w:t>
      </w:r>
      <w:r w:rsidR="00CE095D">
        <w:rPr>
          <w:rFonts w:ascii="Times New Roman" w:hAnsi="Times New Roman" w:cs="Times New Roman"/>
          <w:sz w:val="24"/>
          <w:szCs w:val="24"/>
        </w:rPr>
        <w:t xml:space="preserve">in a </w:t>
      </w:r>
      <w:r w:rsidR="00CE095D">
        <w:rPr>
          <w:rFonts w:ascii="Times New Roman" w:hAnsi="Times New Roman" w:cs="Times New Roman"/>
          <w:sz w:val="24"/>
          <w:szCs w:val="24"/>
        </w:rPr>
        <w:t xml:space="preserve">closed </w:t>
      </w:r>
      <w:r w:rsidR="00CE095D">
        <w:rPr>
          <w:rFonts w:ascii="Times New Roman" w:hAnsi="Times New Roman" w:cs="Times New Roman"/>
          <w:sz w:val="24"/>
          <w:szCs w:val="24"/>
        </w:rPr>
        <w:t>jar</w:t>
      </w:r>
      <w:r w:rsidR="00CE095D">
        <w:rPr>
          <w:rFonts w:ascii="Times New Roman" w:hAnsi="Times New Roman" w:cs="Times New Roman"/>
          <w:sz w:val="24"/>
          <w:szCs w:val="24"/>
        </w:rPr>
        <w:t xml:space="preserve"> containing chloroform-soaked cotton wool. This was followed by the collection of</w:t>
      </w:r>
      <w:r w:rsidRPr="00DC758E">
        <w:rPr>
          <w:rFonts w:ascii="Times New Roman" w:hAnsi="Times New Roman" w:cs="Times New Roman"/>
          <w:sz w:val="24"/>
          <w:szCs w:val="24"/>
        </w:rPr>
        <w:t xml:space="preserve"> fasting blood s</w:t>
      </w:r>
      <w:r w:rsidR="00CE095D">
        <w:rPr>
          <w:rFonts w:ascii="Times New Roman" w:hAnsi="Times New Roman" w:cs="Times New Roman"/>
          <w:sz w:val="24"/>
          <w:szCs w:val="24"/>
        </w:rPr>
        <w:t>pecimens</w:t>
      </w:r>
      <w:r w:rsidRPr="00DC758E">
        <w:rPr>
          <w:rFonts w:ascii="Times New Roman" w:hAnsi="Times New Roman" w:cs="Times New Roman"/>
          <w:sz w:val="24"/>
          <w:szCs w:val="24"/>
        </w:rPr>
        <w:t xml:space="preserve"> via cardiac puncture for glucose and lipid profile analysis. The results showed </w:t>
      </w:r>
      <w:r w:rsidR="00B6783B">
        <w:rPr>
          <w:rFonts w:ascii="Times New Roman" w:hAnsi="Times New Roman" w:cs="Times New Roman"/>
          <w:sz w:val="24"/>
          <w:szCs w:val="24"/>
        </w:rPr>
        <w:t>FBG</w:t>
      </w:r>
      <w:r w:rsidR="00B6783B" w:rsidRPr="00B6783B">
        <w:rPr>
          <w:rFonts w:ascii="Times New Roman" w:hAnsi="Times New Roman" w:cs="Times New Roman"/>
          <w:sz w:val="24"/>
          <w:szCs w:val="24"/>
        </w:rPr>
        <w:t xml:space="preserve"> and total cholesterol showed no significant differences among groups (p &gt; 0.05). </w:t>
      </w:r>
      <w:r w:rsidR="000059BE" w:rsidRPr="000059BE">
        <w:rPr>
          <w:rFonts w:ascii="Times New Roman" w:hAnsi="Times New Roman" w:cs="Times New Roman"/>
          <w:sz w:val="24"/>
          <w:szCs w:val="24"/>
        </w:rPr>
        <w:t>Compared to the control, triglycerides and LDL-c were higher in Group VI (p &lt; 0.05), while HDL-c was lower in Groups V and VI (p &lt; 0.05). The LDL/HDL ratio increased in Group VI (p &lt; 0.05), and non-HDL-c was elevated in Groups II, III, V, and VI.</w:t>
      </w:r>
      <w:r w:rsidRPr="00DC758E">
        <w:rPr>
          <w:rFonts w:ascii="Times New Roman" w:hAnsi="Times New Roman" w:cs="Times New Roman"/>
          <w:sz w:val="24"/>
          <w:szCs w:val="24"/>
        </w:rPr>
        <w:t xml:space="preserve"> </w:t>
      </w:r>
      <w:r w:rsidR="00CE095D" w:rsidRPr="00CE095D">
        <w:rPr>
          <w:rFonts w:ascii="Times New Roman" w:hAnsi="Times New Roman" w:cs="Times New Roman"/>
          <w:sz w:val="24"/>
          <w:szCs w:val="24"/>
        </w:rPr>
        <w:t>These findings indicate that sodium benzoate, particularly at higher doses and when combined with vitamin C, disrupts lipid metabolism by elevating triglycerides, LDL-c, LDL/HDL ratio, and non-HDL-c while reducing HDL-c in rats. Since these alterations are key cardiovascular risk factors, frequent consumption of such preservatives in processed foods may contribute to cardiovascular disease.</w:t>
      </w:r>
      <w:r w:rsidR="00573DFC">
        <w:rPr>
          <w:rFonts w:ascii="Times New Roman" w:hAnsi="Times New Roman" w:cs="Times New Roman"/>
          <w:sz w:val="24"/>
          <w:szCs w:val="24"/>
        </w:rPr>
        <w:t xml:space="preserve"> </w:t>
      </w:r>
      <w:r w:rsidRPr="00DC758E">
        <w:rPr>
          <w:rFonts w:ascii="Times New Roman" w:hAnsi="Times New Roman" w:cs="Times New Roman"/>
          <w:sz w:val="24"/>
          <w:szCs w:val="24"/>
        </w:rPr>
        <w:t>Further studies are needed to assess the long-term health effects of these food additives in humans.</w:t>
      </w:r>
    </w:p>
    <w:p w14:paraId="0F98C410" w14:textId="084C9E35" w:rsidR="00912099" w:rsidRDefault="00F738E3" w:rsidP="00DA1053">
      <w:pPr>
        <w:spacing w:before="100" w:beforeAutospacing="1" w:after="100" w:afterAutospacing="1" w:line="240" w:lineRule="auto"/>
        <w:jc w:val="both"/>
        <w:rPr>
          <w:rFonts w:ascii="Times New Roman" w:hAnsi="Times New Roman" w:cs="Times New Roman"/>
          <w:b/>
          <w:bCs/>
          <w:sz w:val="24"/>
          <w:szCs w:val="24"/>
        </w:rPr>
      </w:pPr>
      <w:r w:rsidRPr="00F738E3">
        <w:rPr>
          <w:rFonts w:ascii="Times New Roman" w:hAnsi="Times New Roman" w:cs="Times New Roman"/>
          <w:b/>
          <w:bCs/>
          <w:sz w:val="24"/>
          <w:szCs w:val="24"/>
        </w:rPr>
        <w:t>Keywords:</w:t>
      </w:r>
      <w:r w:rsidRPr="00F738E3">
        <w:rPr>
          <w:rFonts w:ascii="Times New Roman" w:hAnsi="Times New Roman" w:cs="Times New Roman"/>
          <w:sz w:val="24"/>
          <w:szCs w:val="24"/>
        </w:rPr>
        <w:t xml:space="preserve"> </w:t>
      </w:r>
      <w:r w:rsidRPr="00F738E3">
        <w:rPr>
          <w:rFonts w:ascii="Times New Roman" w:hAnsi="Times New Roman" w:cs="Times New Roman"/>
          <w:i/>
          <w:iCs/>
          <w:sz w:val="24"/>
          <w:szCs w:val="24"/>
        </w:rPr>
        <w:t xml:space="preserve">Sodium benzoate, Ascorbic acid, Lipid metabolism, Cardiovascular risk, </w:t>
      </w:r>
    </w:p>
    <w:p w14:paraId="6BE2A2D8" w14:textId="77777777" w:rsidR="00912099" w:rsidRDefault="00912099" w:rsidP="00DA1053">
      <w:pPr>
        <w:spacing w:before="100" w:beforeAutospacing="1" w:after="100" w:afterAutospacing="1" w:line="240" w:lineRule="auto"/>
        <w:jc w:val="both"/>
        <w:rPr>
          <w:rFonts w:ascii="Times New Roman" w:hAnsi="Times New Roman" w:cs="Times New Roman"/>
          <w:b/>
          <w:bCs/>
          <w:sz w:val="24"/>
          <w:szCs w:val="24"/>
        </w:rPr>
      </w:pPr>
    </w:p>
    <w:p w14:paraId="78972009" w14:textId="49FC374F" w:rsidR="00DA1053" w:rsidRPr="001161A2" w:rsidRDefault="00DA1053" w:rsidP="00DA1053">
      <w:pPr>
        <w:spacing w:before="100" w:beforeAutospacing="1" w:after="100" w:afterAutospacing="1" w:line="240" w:lineRule="auto"/>
        <w:jc w:val="both"/>
        <w:rPr>
          <w:rFonts w:ascii="Times New Roman" w:hAnsi="Times New Roman" w:cs="Times New Roman"/>
          <w:b/>
          <w:bCs/>
          <w:sz w:val="24"/>
          <w:szCs w:val="24"/>
        </w:rPr>
      </w:pPr>
      <w:r w:rsidRPr="001161A2">
        <w:rPr>
          <w:rFonts w:ascii="Times New Roman" w:hAnsi="Times New Roman" w:cs="Times New Roman"/>
          <w:b/>
          <w:bCs/>
          <w:sz w:val="24"/>
          <w:szCs w:val="24"/>
        </w:rPr>
        <w:t>1.0</w:t>
      </w:r>
      <w:r w:rsidRPr="001161A2">
        <w:rPr>
          <w:rFonts w:ascii="Times New Roman" w:hAnsi="Times New Roman" w:cs="Times New Roman"/>
          <w:b/>
          <w:bCs/>
          <w:sz w:val="24"/>
          <w:szCs w:val="24"/>
        </w:rPr>
        <w:tab/>
        <w:t>INTRODUCTION</w:t>
      </w:r>
    </w:p>
    <w:p w14:paraId="0D73B4F0" w14:textId="77777777" w:rsidR="00F404BE" w:rsidRPr="00F404BE" w:rsidRDefault="00F404BE" w:rsidP="00F404BE">
      <w:pPr>
        <w:spacing w:after="0" w:line="240" w:lineRule="auto"/>
        <w:jc w:val="both"/>
        <w:rPr>
          <w:rFonts w:ascii="Times New Roman" w:hAnsi="Times New Roman" w:cs="Times New Roman"/>
          <w:sz w:val="24"/>
          <w:szCs w:val="24"/>
        </w:rPr>
      </w:pPr>
      <w:r w:rsidRPr="00F404BE">
        <w:rPr>
          <w:rFonts w:ascii="Times New Roman" w:hAnsi="Times New Roman" w:cs="Times New Roman"/>
          <w:sz w:val="24"/>
          <w:szCs w:val="24"/>
        </w:rPr>
        <w:t>The growing need to preserve food and beverages for extended shelf life has resulted in the extensive use of preservatives, which play a crucial role in regulating enzymatic activities and microbial growth throughout packaging, storage, distribution, retail, and consumption to prevent spoilage [1]. Food preservatives are primarily classified into two categories: antioxidants and antimicrobials [2]. While antioxidants slow down or prevent oxidative degradation, preserving both the quality and nutritional value of food, antimicrobial agents inhibit the proliferation of spoilage-causing and pathogenic microorganisms, thereby enhancing food safety and longevity [3]. Among the widely used preservatives are sodium benzoate and ascorbic acid.</w:t>
      </w:r>
    </w:p>
    <w:p w14:paraId="2AF10466" w14:textId="77777777" w:rsidR="00F404BE" w:rsidRPr="00F404BE" w:rsidRDefault="00F404BE" w:rsidP="00F404BE">
      <w:pPr>
        <w:spacing w:after="0" w:line="240" w:lineRule="auto"/>
        <w:jc w:val="both"/>
        <w:rPr>
          <w:rFonts w:ascii="Times New Roman" w:hAnsi="Times New Roman" w:cs="Times New Roman"/>
          <w:sz w:val="24"/>
          <w:szCs w:val="24"/>
        </w:rPr>
      </w:pPr>
    </w:p>
    <w:p w14:paraId="7B429325" w14:textId="77777777" w:rsidR="00F404BE" w:rsidRPr="00F404BE" w:rsidRDefault="00F404BE" w:rsidP="00F404BE">
      <w:pPr>
        <w:spacing w:after="0" w:line="240" w:lineRule="auto"/>
        <w:jc w:val="both"/>
        <w:rPr>
          <w:rFonts w:ascii="Times New Roman" w:hAnsi="Times New Roman" w:cs="Times New Roman"/>
          <w:sz w:val="24"/>
          <w:szCs w:val="24"/>
        </w:rPr>
      </w:pPr>
      <w:r w:rsidRPr="00F404BE">
        <w:rPr>
          <w:rFonts w:ascii="Times New Roman" w:hAnsi="Times New Roman" w:cs="Times New Roman"/>
          <w:sz w:val="24"/>
          <w:szCs w:val="24"/>
        </w:rPr>
        <w:lastRenderedPageBreak/>
        <w:t>Sodium benzoate (SB), a commonly utilized preservative, effectively restricts microbial growth even at minimal concentrations and is recognized as safe for food preservation [4]. In Europe, it is labeled as E211 and is a water-soluble, odorless, and tasteless salt known for its antifungal and antibacterial properties [5]. The FDA has approved its use, categorizing it as generally recognized as safe (GRAS) at levels up to 0.1%, making it a frequent ingredient in carbonated beverages, sauces, and jams [6]. On the other hand, ascorbic acid (vitamin C) is a natural preservative with antioxidant properties, preventing oxidative spoilage by limiting oxygen-related reactions in food, thereby maintaining its quality [7]. It extends shelf life by minimizing the formation of harmful compounds and is particularly effective in preserving fruits, vegetables, and meats. Additionally, ascorbic acid is essential for collagen synthesis, immune function, and neutralizing reactive oxygen species (ROS), which helps mitigate oxidative stress [8].</w:t>
      </w:r>
    </w:p>
    <w:p w14:paraId="4413E754" w14:textId="77777777" w:rsidR="00F404BE" w:rsidRPr="00F404BE" w:rsidRDefault="00F404BE" w:rsidP="00F404BE">
      <w:pPr>
        <w:spacing w:after="0" w:line="240" w:lineRule="auto"/>
        <w:jc w:val="both"/>
        <w:rPr>
          <w:rFonts w:ascii="Times New Roman" w:hAnsi="Times New Roman" w:cs="Times New Roman"/>
          <w:sz w:val="24"/>
          <w:szCs w:val="24"/>
        </w:rPr>
      </w:pPr>
    </w:p>
    <w:p w14:paraId="4A9E6924" w14:textId="77777777" w:rsidR="00F404BE" w:rsidRPr="00F404BE" w:rsidRDefault="00F404BE" w:rsidP="00F404BE">
      <w:pPr>
        <w:spacing w:after="0" w:line="240" w:lineRule="auto"/>
        <w:jc w:val="both"/>
        <w:rPr>
          <w:rFonts w:ascii="Times New Roman" w:hAnsi="Times New Roman" w:cs="Times New Roman"/>
          <w:sz w:val="24"/>
          <w:szCs w:val="24"/>
        </w:rPr>
      </w:pPr>
      <w:r w:rsidRPr="00F404BE">
        <w:rPr>
          <w:rFonts w:ascii="Times New Roman" w:hAnsi="Times New Roman" w:cs="Times New Roman"/>
          <w:sz w:val="24"/>
          <w:szCs w:val="24"/>
        </w:rPr>
        <w:t>Despite its widespread use, sodium benzoate in processed foods and beverages has been subject to scrutiny due to potential health risks. Upon metabolism, sodium benzoate is converted into benzoic acid, which undergoes glycine conjugation in the liver to form hippuric acid, later excreted through the kidneys. This metabolic process can impose a significant burden on renal excretion, particularly with prolonged or excessive intake. Moreover, studies have reported its association with cancer and genotoxic effects [9]. Such adverse outcomes are especially concerning when sodium benzoate is consumed in large quantities or in combination with other substances.</w:t>
      </w:r>
    </w:p>
    <w:p w14:paraId="3A346BEF" w14:textId="77777777" w:rsidR="00F404BE" w:rsidRPr="00F404BE" w:rsidRDefault="00F404BE" w:rsidP="00F404BE">
      <w:pPr>
        <w:spacing w:after="0" w:line="240" w:lineRule="auto"/>
        <w:jc w:val="both"/>
        <w:rPr>
          <w:rFonts w:ascii="Times New Roman" w:hAnsi="Times New Roman" w:cs="Times New Roman"/>
          <w:sz w:val="24"/>
          <w:szCs w:val="24"/>
        </w:rPr>
      </w:pPr>
    </w:p>
    <w:p w14:paraId="7EB5879E" w14:textId="10BD386F" w:rsidR="00EA3D7B" w:rsidRPr="00EA3D7B" w:rsidRDefault="00F404BE" w:rsidP="00EA3D7B">
      <w:pPr>
        <w:spacing w:after="0" w:line="240" w:lineRule="auto"/>
        <w:jc w:val="both"/>
        <w:rPr>
          <w:rFonts w:ascii="Times New Roman" w:hAnsi="Times New Roman" w:cs="Times New Roman"/>
          <w:sz w:val="24"/>
          <w:szCs w:val="24"/>
        </w:rPr>
      </w:pPr>
      <w:r w:rsidRPr="00F404BE">
        <w:rPr>
          <w:rFonts w:ascii="Times New Roman" w:hAnsi="Times New Roman" w:cs="Times New Roman"/>
          <w:sz w:val="24"/>
          <w:szCs w:val="24"/>
        </w:rPr>
        <w:t xml:space="preserve">Certain food and beverage products contain both sodium benzoate and ascorbic acid as preservatives (as depicted in Figure 1), and their interaction has raised concerns regarding the possible formation of benzene, a known carcinogen, when exposed to light or high temperatures [10]. </w:t>
      </w:r>
      <w:r w:rsidR="00EA3D7B" w:rsidRPr="00EA3D7B">
        <w:rPr>
          <w:rFonts w:ascii="Times New Roman" w:hAnsi="Times New Roman" w:cs="Times New Roman"/>
          <w:sz w:val="24"/>
          <w:szCs w:val="24"/>
        </w:rPr>
        <w:t xml:space="preserve">Benzene is a known carcinogen and pro-oxidant that contributes to oxidative stress by generating reactive oxygen species (ROS), leading to cellular damage. This oxidative damage can initiate inflammatory responses, potentially increasing the risk of metabolic and cardiovascular disorders </w:t>
      </w:r>
      <w:r w:rsidR="00EA3D7B" w:rsidRPr="00DE2457">
        <w:rPr>
          <w:rFonts w:ascii="Times New Roman" w:hAnsi="Times New Roman" w:cs="Times New Roman"/>
          <w:sz w:val="24"/>
          <w:szCs w:val="24"/>
        </w:rPr>
        <w:t>[1</w:t>
      </w:r>
      <w:r w:rsidR="00EA3D7B">
        <w:rPr>
          <w:rFonts w:ascii="Times New Roman" w:hAnsi="Times New Roman" w:cs="Times New Roman"/>
          <w:sz w:val="24"/>
          <w:szCs w:val="24"/>
        </w:rPr>
        <w:t>1</w:t>
      </w:r>
      <w:r w:rsidR="00EA3D7B" w:rsidRPr="00DE2457">
        <w:rPr>
          <w:rFonts w:ascii="Times New Roman" w:hAnsi="Times New Roman" w:cs="Times New Roman"/>
          <w:sz w:val="24"/>
          <w:szCs w:val="24"/>
        </w:rPr>
        <w:t>].</w:t>
      </w:r>
      <w:r w:rsidR="00EA3D7B">
        <w:rPr>
          <w:rFonts w:ascii="Times New Roman" w:hAnsi="Times New Roman" w:cs="Times New Roman"/>
          <w:sz w:val="24"/>
          <w:szCs w:val="24"/>
        </w:rPr>
        <w:t xml:space="preserve"> </w:t>
      </w:r>
      <w:r w:rsidR="00EA3D7B" w:rsidRPr="00EA3D7B">
        <w:rPr>
          <w:rFonts w:ascii="Times New Roman" w:hAnsi="Times New Roman" w:cs="Times New Roman"/>
          <w:sz w:val="24"/>
          <w:szCs w:val="24"/>
        </w:rPr>
        <w:t xml:space="preserve">Oxidative stress occurs when the balance between ROS production and antioxidant </w:t>
      </w:r>
      <w:r w:rsidR="00EA3D7B" w:rsidRPr="00EA3D7B">
        <w:rPr>
          <w:rFonts w:ascii="Times New Roman" w:hAnsi="Times New Roman" w:cs="Times New Roman"/>
          <w:sz w:val="24"/>
          <w:szCs w:val="24"/>
        </w:rPr>
        <w:t>defenses</w:t>
      </w:r>
      <w:r w:rsidR="00EA3D7B" w:rsidRPr="00EA3D7B">
        <w:rPr>
          <w:rFonts w:ascii="Times New Roman" w:hAnsi="Times New Roman" w:cs="Times New Roman"/>
          <w:sz w:val="24"/>
          <w:szCs w:val="24"/>
        </w:rPr>
        <w:t xml:space="preserve"> is disrupted, resulting in lipid peroxidation, protein oxidation, and DNA damage</w:t>
      </w:r>
      <w:r w:rsidR="00EA3D7B">
        <w:rPr>
          <w:rFonts w:ascii="Times New Roman" w:hAnsi="Times New Roman" w:cs="Times New Roman"/>
          <w:sz w:val="24"/>
          <w:szCs w:val="24"/>
        </w:rPr>
        <w:t xml:space="preserve"> [12]</w:t>
      </w:r>
      <w:r w:rsidR="00EA3D7B" w:rsidRPr="00EA3D7B">
        <w:rPr>
          <w:rFonts w:ascii="Times New Roman" w:hAnsi="Times New Roman" w:cs="Times New Roman"/>
          <w:sz w:val="24"/>
          <w:szCs w:val="24"/>
        </w:rPr>
        <w:t>. Sodium benzoate alone has been shown to induce oxidative damage in various tissues, including the liver and brain, by depleting glutathione (GSH) and impairing antioxidant enzyme activity</w:t>
      </w:r>
      <w:r w:rsidR="00EA3D7B">
        <w:rPr>
          <w:rFonts w:ascii="Times New Roman" w:hAnsi="Times New Roman" w:cs="Times New Roman"/>
          <w:sz w:val="24"/>
          <w:szCs w:val="24"/>
        </w:rPr>
        <w:t xml:space="preserve"> [6]</w:t>
      </w:r>
      <w:r w:rsidR="00EA3D7B" w:rsidRPr="00EA3D7B">
        <w:rPr>
          <w:rFonts w:ascii="Times New Roman" w:hAnsi="Times New Roman" w:cs="Times New Roman"/>
          <w:sz w:val="24"/>
          <w:szCs w:val="24"/>
        </w:rPr>
        <w:t xml:space="preserve">. When combined with ascorbic acid, the formation of benzene further worsens oxidative stress by promoting lipid peroxidation and mitochondrial dysfunction </w:t>
      </w:r>
      <w:r w:rsidR="00EA3D7B">
        <w:rPr>
          <w:rFonts w:ascii="Times New Roman" w:hAnsi="Times New Roman" w:cs="Times New Roman"/>
          <w:sz w:val="24"/>
          <w:szCs w:val="24"/>
        </w:rPr>
        <w:t>[6]</w:t>
      </w:r>
      <w:r w:rsidR="00EA3D7B" w:rsidRPr="00EA3D7B">
        <w:rPr>
          <w:rFonts w:ascii="Times New Roman" w:hAnsi="Times New Roman" w:cs="Times New Roman"/>
          <w:sz w:val="24"/>
          <w:szCs w:val="24"/>
        </w:rPr>
        <w:t>.</w:t>
      </w:r>
    </w:p>
    <w:p w14:paraId="1520BC46" w14:textId="77777777" w:rsidR="00EA3D7B" w:rsidRPr="00EA3D7B" w:rsidRDefault="00EA3D7B" w:rsidP="00EA3D7B">
      <w:pPr>
        <w:spacing w:after="0" w:line="240" w:lineRule="auto"/>
        <w:jc w:val="both"/>
        <w:rPr>
          <w:rFonts w:ascii="Times New Roman" w:hAnsi="Times New Roman" w:cs="Times New Roman"/>
          <w:sz w:val="24"/>
          <w:szCs w:val="24"/>
        </w:rPr>
      </w:pPr>
    </w:p>
    <w:p w14:paraId="06C84F34" w14:textId="45A67C53" w:rsidR="00EA3D7B" w:rsidRDefault="00EA3D7B" w:rsidP="00EA3D7B">
      <w:pPr>
        <w:spacing w:after="0" w:line="240" w:lineRule="auto"/>
        <w:jc w:val="both"/>
        <w:rPr>
          <w:rFonts w:ascii="Times New Roman" w:hAnsi="Times New Roman" w:cs="Times New Roman"/>
          <w:sz w:val="24"/>
          <w:szCs w:val="24"/>
        </w:rPr>
      </w:pPr>
      <w:r w:rsidRPr="00EA3D7B">
        <w:rPr>
          <w:rFonts w:ascii="Times New Roman" w:hAnsi="Times New Roman" w:cs="Times New Roman"/>
          <w:sz w:val="24"/>
          <w:szCs w:val="24"/>
        </w:rPr>
        <w:t>Inflammation is closely linked to oxidative stress, as increased ROS levels can activate nuclear factor kappa B (NF-</w:t>
      </w:r>
      <w:proofErr w:type="spellStart"/>
      <w:r w:rsidRPr="00EA3D7B">
        <w:rPr>
          <w:rFonts w:ascii="Times New Roman" w:hAnsi="Times New Roman" w:cs="Times New Roman"/>
          <w:sz w:val="24"/>
          <w:szCs w:val="24"/>
        </w:rPr>
        <w:t>κB</w:t>
      </w:r>
      <w:proofErr w:type="spellEnd"/>
      <w:r w:rsidRPr="00EA3D7B">
        <w:rPr>
          <w:rFonts w:ascii="Times New Roman" w:hAnsi="Times New Roman" w:cs="Times New Roman"/>
          <w:sz w:val="24"/>
          <w:szCs w:val="24"/>
        </w:rPr>
        <w:t>), a key transcription factor involved in the upregulation of pro-inflammatory cytokines such as tumor necrosis factor-alpha (TNF-α) and interleukins (IL-6, IL-1β)</w:t>
      </w:r>
      <w:r>
        <w:rPr>
          <w:rFonts w:ascii="Times New Roman" w:hAnsi="Times New Roman" w:cs="Times New Roman"/>
          <w:sz w:val="24"/>
          <w:szCs w:val="24"/>
        </w:rPr>
        <w:t xml:space="preserve"> [11]</w:t>
      </w:r>
      <w:r w:rsidRPr="00EA3D7B">
        <w:rPr>
          <w:rFonts w:ascii="Times New Roman" w:hAnsi="Times New Roman" w:cs="Times New Roman"/>
          <w:sz w:val="24"/>
          <w:szCs w:val="24"/>
        </w:rPr>
        <w:t xml:space="preserve">. Experimental studies suggest that sodium benzoate exposure enhances inflammatory signaling pathways, leading to systemic inflammation and potential organ toxicity </w:t>
      </w:r>
      <w:r>
        <w:rPr>
          <w:rFonts w:ascii="Times New Roman" w:hAnsi="Times New Roman" w:cs="Times New Roman"/>
          <w:sz w:val="24"/>
          <w:szCs w:val="24"/>
        </w:rPr>
        <w:t>[6]</w:t>
      </w:r>
      <w:r w:rsidRPr="00EA3D7B">
        <w:rPr>
          <w:rFonts w:ascii="Times New Roman" w:hAnsi="Times New Roman" w:cs="Times New Roman"/>
          <w:sz w:val="24"/>
          <w:szCs w:val="24"/>
        </w:rPr>
        <w:t xml:space="preserve">. This inflammatory response </w:t>
      </w:r>
      <w:r>
        <w:rPr>
          <w:rFonts w:ascii="Times New Roman" w:hAnsi="Times New Roman" w:cs="Times New Roman"/>
          <w:sz w:val="24"/>
          <w:szCs w:val="24"/>
        </w:rPr>
        <w:t>may be</w:t>
      </w:r>
      <w:r w:rsidRPr="00EA3D7B">
        <w:rPr>
          <w:rFonts w:ascii="Times New Roman" w:hAnsi="Times New Roman" w:cs="Times New Roman"/>
          <w:sz w:val="24"/>
          <w:szCs w:val="24"/>
        </w:rPr>
        <w:t xml:space="preserve"> further intensified by </w:t>
      </w:r>
      <w:r>
        <w:rPr>
          <w:rFonts w:ascii="Times New Roman" w:hAnsi="Times New Roman" w:cs="Times New Roman"/>
          <w:sz w:val="24"/>
          <w:szCs w:val="24"/>
        </w:rPr>
        <w:t xml:space="preserve">the </w:t>
      </w:r>
      <w:r w:rsidRPr="00EA3D7B">
        <w:rPr>
          <w:rFonts w:ascii="Times New Roman" w:hAnsi="Times New Roman" w:cs="Times New Roman"/>
          <w:sz w:val="24"/>
          <w:szCs w:val="24"/>
        </w:rPr>
        <w:t>oxidative stress triggered by benzene formation, highlighting the potential risks associated with the combined consumption of sodium benzoate and ascorbic acid in processed foods.</w:t>
      </w:r>
    </w:p>
    <w:p w14:paraId="443776A2" w14:textId="77777777" w:rsidR="00DE2457" w:rsidRDefault="00DE2457" w:rsidP="00F404BE">
      <w:pPr>
        <w:spacing w:after="0" w:line="240" w:lineRule="auto"/>
        <w:jc w:val="both"/>
        <w:rPr>
          <w:rFonts w:ascii="Times New Roman" w:hAnsi="Times New Roman" w:cs="Times New Roman"/>
          <w:sz w:val="24"/>
          <w:szCs w:val="24"/>
        </w:rPr>
      </w:pPr>
    </w:p>
    <w:p w14:paraId="46713B66" w14:textId="77777777" w:rsidR="00F404BE" w:rsidRDefault="00F404BE" w:rsidP="00F404BE">
      <w:pPr>
        <w:spacing w:after="0" w:line="240" w:lineRule="auto"/>
        <w:jc w:val="both"/>
        <w:rPr>
          <w:rFonts w:ascii="Times New Roman" w:hAnsi="Times New Roman" w:cs="Times New Roman"/>
          <w:sz w:val="24"/>
          <w:szCs w:val="24"/>
        </w:rPr>
      </w:pPr>
    </w:p>
    <w:p w14:paraId="5D68536B" w14:textId="7967731C" w:rsidR="00DA1053" w:rsidRPr="00573605" w:rsidRDefault="00DA1053" w:rsidP="00F404BE">
      <w:pPr>
        <w:spacing w:after="0" w:line="240" w:lineRule="auto"/>
        <w:jc w:val="both"/>
        <w:rPr>
          <w:rFonts w:ascii="Times New Roman" w:hAnsi="Times New Roman" w:cs="Times New Roman"/>
          <w:b/>
          <w:bCs/>
          <w:sz w:val="24"/>
          <w:szCs w:val="24"/>
        </w:rPr>
      </w:pPr>
      <w:r w:rsidRPr="00573605">
        <w:rPr>
          <w:rFonts w:ascii="Times New Roman" w:hAnsi="Times New Roman" w:cs="Times New Roman"/>
          <w:b/>
          <w:bCs/>
          <w:noProof/>
          <w:sz w:val="24"/>
          <w:szCs w:val="24"/>
        </w:rPr>
        <w:lastRenderedPageBreak/>
        <w:drawing>
          <wp:inline distT="0" distB="0" distL="0" distR="0" wp14:anchorId="2DE2570D" wp14:editId="5F3246BE">
            <wp:extent cx="2942991" cy="2905125"/>
            <wp:effectExtent l="19050" t="19050" r="0" b="0"/>
            <wp:docPr id="2231717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2342" cy="2924227"/>
                    </a:xfrm>
                    <a:prstGeom prst="rect">
                      <a:avLst/>
                    </a:prstGeom>
                    <a:noFill/>
                    <a:ln>
                      <a:solidFill>
                        <a:schemeClr val="tx1"/>
                      </a:solidFill>
                    </a:ln>
                  </pic:spPr>
                </pic:pic>
              </a:graphicData>
            </a:graphic>
          </wp:inline>
        </w:drawing>
      </w:r>
      <w:r w:rsidRPr="00573605">
        <w:rPr>
          <w:rFonts w:ascii="Times New Roman" w:hAnsi="Times New Roman" w:cs="Times New Roman"/>
          <w:b/>
          <w:bCs/>
          <w:sz w:val="24"/>
          <w:szCs w:val="24"/>
        </w:rPr>
        <w:t xml:space="preserve">  </w:t>
      </w:r>
      <w:r w:rsidRPr="00573605">
        <w:rPr>
          <w:rFonts w:ascii="Times New Roman" w:hAnsi="Times New Roman" w:cs="Times New Roman"/>
          <w:b/>
          <w:bCs/>
          <w:noProof/>
          <w:sz w:val="24"/>
          <w:szCs w:val="24"/>
        </w:rPr>
        <w:drawing>
          <wp:inline distT="0" distB="0" distL="0" distR="0" wp14:anchorId="26D0C9A2" wp14:editId="6C601731">
            <wp:extent cx="2647950" cy="2898140"/>
            <wp:effectExtent l="0" t="0" r="0" b="0"/>
            <wp:docPr id="14912001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8506" cy="2997252"/>
                    </a:xfrm>
                    <a:prstGeom prst="rect">
                      <a:avLst/>
                    </a:prstGeom>
                    <a:noFill/>
                  </pic:spPr>
                </pic:pic>
              </a:graphicData>
            </a:graphic>
          </wp:inline>
        </w:drawing>
      </w:r>
    </w:p>
    <w:p w14:paraId="0655175A" w14:textId="77777777" w:rsidR="00DA1053" w:rsidRDefault="00DA1053" w:rsidP="00DA1053">
      <w:pPr>
        <w:spacing w:after="0" w:line="240" w:lineRule="auto"/>
        <w:ind w:left="1440" w:firstLine="720"/>
        <w:jc w:val="both"/>
        <w:rPr>
          <w:rFonts w:ascii="Times New Roman" w:hAnsi="Times New Roman" w:cs="Times New Roman"/>
          <w:sz w:val="24"/>
          <w:szCs w:val="24"/>
        </w:rPr>
      </w:pPr>
      <w:r w:rsidRPr="00573605">
        <w:rPr>
          <w:rFonts w:ascii="Times New Roman" w:hAnsi="Times New Roman" w:cs="Times New Roman"/>
          <w:b/>
          <w:bCs/>
          <w:sz w:val="24"/>
          <w:szCs w:val="24"/>
        </w:rPr>
        <w:t>A</w:t>
      </w:r>
      <w:r w:rsidRPr="00573605">
        <w:rPr>
          <w:rFonts w:ascii="Times New Roman" w:hAnsi="Times New Roman" w:cs="Times New Roman"/>
          <w:b/>
          <w:bCs/>
          <w:sz w:val="24"/>
          <w:szCs w:val="24"/>
        </w:rPr>
        <w:tab/>
      </w:r>
      <w:r w:rsidRPr="00573605">
        <w:rPr>
          <w:rFonts w:ascii="Times New Roman" w:hAnsi="Times New Roman" w:cs="Times New Roman"/>
          <w:b/>
          <w:bCs/>
          <w:sz w:val="24"/>
          <w:szCs w:val="24"/>
        </w:rPr>
        <w:tab/>
      </w:r>
      <w:r w:rsidRPr="00573605">
        <w:rPr>
          <w:rFonts w:ascii="Times New Roman" w:hAnsi="Times New Roman" w:cs="Times New Roman"/>
          <w:b/>
          <w:bCs/>
          <w:sz w:val="24"/>
          <w:szCs w:val="24"/>
        </w:rPr>
        <w:tab/>
      </w:r>
      <w:r w:rsidRPr="00573605">
        <w:rPr>
          <w:rFonts w:ascii="Times New Roman" w:hAnsi="Times New Roman" w:cs="Times New Roman"/>
          <w:b/>
          <w:bCs/>
          <w:sz w:val="24"/>
          <w:szCs w:val="24"/>
        </w:rPr>
        <w:tab/>
      </w:r>
      <w:r w:rsidRPr="00573605">
        <w:rPr>
          <w:rFonts w:ascii="Times New Roman" w:hAnsi="Times New Roman" w:cs="Times New Roman"/>
          <w:b/>
          <w:bCs/>
          <w:sz w:val="24"/>
          <w:szCs w:val="24"/>
        </w:rPr>
        <w:tab/>
      </w:r>
      <w:r w:rsidRPr="00573605">
        <w:rPr>
          <w:rFonts w:ascii="Times New Roman" w:hAnsi="Times New Roman" w:cs="Times New Roman"/>
          <w:b/>
          <w:bCs/>
          <w:sz w:val="24"/>
          <w:szCs w:val="24"/>
        </w:rPr>
        <w:tab/>
      </w:r>
      <w:r w:rsidRPr="00573605">
        <w:rPr>
          <w:rFonts w:ascii="Times New Roman" w:hAnsi="Times New Roman" w:cs="Times New Roman"/>
          <w:b/>
          <w:bCs/>
          <w:sz w:val="24"/>
          <w:szCs w:val="24"/>
        </w:rPr>
        <w:tab/>
        <w:t>B</w:t>
      </w:r>
      <w:r w:rsidRPr="00573605">
        <w:rPr>
          <w:rFonts w:ascii="Times New Roman" w:hAnsi="Times New Roman" w:cs="Times New Roman"/>
          <w:b/>
          <w:bCs/>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096D8541" w14:textId="5159447F" w:rsidR="00DA1053" w:rsidRPr="00F404BE" w:rsidRDefault="00DA1053" w:rsidP="00DA1053">
      <w:pPr>
        <w:spacing w:before="100" w:beforeAutospacing="1" w:after="100" w:afterAutospacing="1" w:line="240" w:lineRule="auto"/>
        <w:jc w:val="both"/>
        <w:rPr>
          <w:rFonts w:ascii="Times New Roman" w:hAnsi="Times New Roman" w:cs="Times New Roman"/>
          <w:sz w:val="24"/>
          <w:szCs w:val="24"/>
        </w:rPr>
      </w:pPr>
      <w:r w:rsidRPr="00573605">
        <w:rPr>
          <w:rFonts w:ascii="Times New Roman" w:hAnsi="Times New Roman" w:cs="Times New Roman"/>
          <w:b/>
          <w:bCs/>
          <w:sz w:val="24"/>
          <w:szCs w:val="24"/>
        </w:rPr>
        <w:t xml:space="preserve">Figure 1A and 1B: </w:t>
      </w:r>
      <w:r w:rsidR="00F404BE" w:rsidRPr="00F404BE">
        <w:rPr>
          <w:rFonts w:ascii="Times New Roman" w:hAnsi="Times New Roman" w:cs="Times New Roman"/>
          <w:b/>
          <w:bCs/>
          <w:sz w:val="24"/>
          <w:szCs w:val="24"/>
        </w:rPr>
        <w:t>Labels on Carbonated Beverages Indicating the Presence of Sodium Benzoate and Ascorbic Acid</w:t>
      </w:r>
      <w:r w:rsidR="00F404BE">
        <w:rPr>
          <w:rFonts w:ascii="Times New Roman" w:hAnsi="Times New Roman" w:cs="Times New Roman"/>
          <w:b/>
          <w:bCs/>
          <w:sz w:val="24"/>
          <w:szCs w:val="24"/>
        </w:rPr>
        <w:t xml:space="preserve">. </w:t>
      </w:r>
      <w:r w:rsidR="00F404BE" w:rsidRPr="00F404BE">
        <w:rPr>
          <w:rFonts w:ascii="Times New Roman" w:hAnsi="Times New Roman" w:cs="Times New Roman"/>
          <w:sz w:val="24"/>
          <w:szCs w:val="24"/>
        </w:rPr>
        <w:t>Adapted from Ibama et al. [1</w:t>
      </w:r>
      <w:r w:rsidR="00EA3D7B">
        <w:rPr>
          <w:rFonts w:ascii="Times New Roman" w:hAnsi="Times New Roman" w:cs="Times New Roman"/>
          <w:sz w:val="24"/>
          <w:szCs w:val="24"/>
        </w:rPr>
        <w:t>3</w:t>
      </w:r>
      <w:r w:rsidR="00F404BE" w:rsidRPr="00F404BE">
        <w:rPr>
          <w:rFonts w:ascii="Times New Roman" w:hAnsi="Times New Roman" w:cs="Times New Roman"/>
          <w:sz w:val="24"/>
          <w:szCs w:val="24"/>
        </w:rPr>
        <w:t>]</w:t>
      </w:r>
    </w:p>
    <w:p w14:paraId="499DD2DF" w14:textId="77777777" w:rsidR="00DA1053" w:rsidRDefault="00DA1053" w:rsidP="00DA1053">
      <w:pPr>
        <w:spacing w:before="100" w:beforeAutospacing="1" w:after="100" w:afterAutospacing="1" w:line="240" w:lineRule="auto"/>
        <w:jc w:val="both"/>
        <w:rPr>
          <w:rFonts w:ascii="Times New Roman" w:hAnsi="Times New Roman" w:cs="Times New Roman"/>
          <w:sz w:val="24"/>
          <w:szCs w:val="24"/>
        </w:rPr>
      </w:pPr>
    </w:p>
    <w:p w14:paraId="46AFA10F" w14:textId="1D8455AA" w:rsidR="00DA1053" w:rsidRDefault="00DA1053" w:rsidP="00DA1053">
      <w:pPr>
        <w:spacing w:before="100" w:beforeAutospacing="1" w:after="100" w:afterAutospacing="1" w:line="240" w:lineRule="auto"/>
        <w:jc w:val="both"/>
        <w:rPr>
          <w:rFonts w:ascii="Times New Roman" w:hAnsi="Times New Roman" w:cs="Times New Roman"/>
          <w:sz w:val="24"/>
          <w:szCs w:val="24"/>
        </w:rPr>
      </w:pPr>
      <w:r w:rsidRPr="001161A2">
        <w:rPr>
          <w:rFonts w:ascii="Times New Roman" w:hAnsi="Times New Roman" w:cs="Times New Roman"/>
          <w:sz w:val="24"/>
          <w:szCs w:val="24"/>
        </w:rPr>
        <w:t xml:space="preserve">Research on the </w:t>
      </w:r>
      <w:r w:rsidR="00DE2457">
        <w:rPr>
          <w:rFonts w:ascii="Times New Roman" w:hAnsi="Times New Roman" w:cs="Times New Roman"/>
          <w:sz w:val="24"/>
          <w:szCs w:val="24"/>
        </w:rPr>
        <w:t xml:space="preserve">individual and </w:t>
      </w:r>
      <w:r w:rsidRPr="001161A2">
        <w:rPr>
          <w:rFonts w:ascii="Times New Roman" w:hAnsi="Times New Roman" w:cs="Times New Roman"/>
          <w:sz w:val="24"/>
          <w:szCs w:val="24"/>
        </w:rPr>
        <w:t xml:space="preserve">combined effects of sodium benzoate and ascorbic acid </w:t>
      </w:r>
      <w:r w:rsidR="002E4E66">
        <w:rPr>
          <w:rFonts w:ascii="Times New Roman" w:hAnsi="Times New Roman" w:cs="Times New Roman"/>
          <w:sz w:val="24"/>
          <w:szCs w:val="24"/>
        </w:rPr>
        <w:t xml:space="preserve">(vitamin C) </w:t>
      </w:r>
      <w:r w:rsidRPr="001161A2">
        <w:rPr>
          <w:rFonts w:ascii="Times New Roman" w:hAnsi="Times New Roman" w:cs="Times New Roman"/>
          <w:sz w:val="24"/>
          <w:szCs w:val="24"/>
        </w:rPr>
        <w:t xml:space="preserve">on </w:t>
      </w:r>
      <w:r w:rsidR="00DE2457">
        <w:rPr>
          <w:rFonts w:ascii="Times New Roman" w:hAnsi="Times New Roman" w:cs="Times New Roman"/>
          <w:sz w:val="24"/>
          <w:szCs w:val="24"/>
        </w:rPr>
        <w:t>the g</w:t>
      </w:r>
      <w:r w:rsidR="00DE2457" w:rsidRPr="00DE2457">
        <w:rPr>
          <w:rFonts w:ascii="Times New Roman" w:hAnsi="Times New Roman" w:cs="Times New Roman"/>
          <w:sz w:val="24"/>
          <w:szCs w:val="24"/>
        </w:rPr>
        <w:t xml:space="preserve">lucose </w:t>
      </w:r>
      <w:r w:rsidR="00DE2457">
        <w:rPr>
          <w:rFonts w:ascii="Times New Roman" w:hAnsi="Times New Roman" w:cs="Times New Roman"/>
          <w:sz w:val="24"/>
          <w:szCs w:val="24"/>
        </w:rPr>
        <w:t>l</w:t>
      </w:r>
      <w:r w:rsidR="00DE2457" w:rsidRPr="00DE2457">
        <w:rPr>
          <w:rFonts w:ascii="Times New Roman" w:hAnsi="Times New Roman" w:cs="Times New Roman"/>
          <w:sz w:val="24"/>
          <w:szCs w:val="24"/>
        </w:rPr>
        <w:t xml:space="preserve">evels, </w:t>
      </w:r>
      <w:r w:rsidR="00DE2457">
        <w:rPr>
          <w:rFonts w:ascii="Times New Roman" w:hAnsi="Times New Roman" w:cs="Times New Roman"/>
          <w:sz w:val="24"/>
          <w:szCs w:val="24"/>
        </w:rPr>
        <w:t>l</w:t>
      </w:r>
      <w:r w:rsidR="00DE2457" w:rsidRPr="00DE2457">
        <w:rPr>
          <w:rFonts w:ascii="Times New Roman" w:hAnsi="Times New Roman" w:cs="Times New Roman"/>
          <w:sz w:val="24"/>
          <w:szCs w:val="24"/>
        </w:rPr>
        <w:t xml:space="preserve">ipid </w:t>
      </w:r>
      <w:r w:rsidR="00DE2457">
        <w:rPr>
          <w:rFonts w:ascii="Times New Roman" w:hAnsi="Times New Roman" w:cs="Times New Roman"/>
          <w:sz w:val="24"/>
          <w:szCs w:val="24"/>
        </w:rPr>
        <w:t>p</w:t>
      </w:r>
      <w:r w:rsidR="00DE2457" w:rsidRPr="00DE2457">
        <w:rPr>
          <w:rFonts w:ascii="Times New Roman" w:hAnsi="Times New Roman" w:cs="Times New Roman"/>
          <w:sz w:val="24"/>
          <w:szCs w:val="24"/>
        </w:rPr>
        <w:t xml:space="preserve">rofile </w:t>
      </w:r>
      <w:r w:rsidR="0039184F">
        <w:rPr>
          <w:rFonts w:ascii="Times New Roman" w:hAnsi="Times New Roman" w:cs="Times New Roman"/>
          <w:sz w:val="24"/>
          <w:szCs w:val="24"/>
        </w:rPr>
        <w:t xml:space="preserve">and </w:t>
      </w:r>
      <w:r w:rsidR="0039184F" w:rsidRPr="0039184F">
        <w:rPr>
          <w:rFonts w:ascii="Times New Roman" w:hAnsi="Times New Roman" w:cs="Times New Roman"/>
          <w:sz w:val="24"/>
          <w:szCs w:val="24"/>
        </w:rPr>
        <w:t xml:space="preserve">lipid ratio markers </w:t>
      </w:r>
      <w:r w:rsidR="00DE2457" w:rsidRPr="00DE2457">
        <w:rPr>
          <w:rFonts w:ascii="Times New Roman" w:hAnsi="Times New Roman" w:cs="Times New Roman"/>
          <w:sz w:val="24"/>
          <w:szCs w:val="24"/>
        </w:rPr>
        <w:t xml:space="preserve">in </w:t>
      </w:r>
      <w:r w:rsidR="00DE2457">
        <w:rPr>
          <w:rFonts w:ascii="Times New Roman" w:hAnsi="Times New Roman" w:cs="Times New Roman"/>
          <w:sz w:val="24"/>
          <w:szCs w:val="24"/>
        </w:rPr>
        <w:t>a</w:t>
      </w:r>
      <w:r w:rsidR="00DE2457" w:rsidRPr="00DE2457">
        <w:rPr>
          <w:rFonts w:ascii="Times New Roman" w:hAnsi="Times New Roman" w:cs="Times New Roman"/>
          <w:sz w:val="24"/>
          <w:szCs w:val="24"/>
        </w:rPr>
        <w:t xml:space="preserve">lbino </w:t>
      </w:r>
      <w:r w:rsidR="00DE2457">
        <w:rPr>
          <w:rFonts w:ascii="Times New Roman" w:hAnsi="Times New Roman" w:cs="Times New Roman"/>
          <w:sz w:val="24"/>
          <w:szCs w:val="24"/>
        </w:rPr>
        <w:t>r</w:t>
      </w:r>
      <w:r w:rsidR="00DE2457" w:rsidRPr="00DE2457">
        <w:rPr>
          <w:rFonts w:ascii="Times New Roman" w:hAnsi="Times New Roman" w:cs="Times New Roman"/>
          <w:sz w:val="24"/>
          <w:szCs w:val="24"/>
        </w:rPr>
        <w:t>ats</w:t>
      </w:r>
      <w:r w:rsidR="00DE2457">
        <w:rPr>
          <w:rFonts w:ascii="Times New Roman" w:hAnsi="Times New Roman" w:cs="Times New Roman"/>
          <w:sz w:val="24"/>
          <w:szCs w:val="24"/>
        </w:rPr>
        <w:t xml:space="preserve"> </w:t>
      </w:r>
      <w:r w:rsidRPr="001161A2">
        <w:rPr>
          <w:rFonts w:ascii="Times New Roman" w:hAnsi="Times New Roman" w:cs="Times New Roman"/>
          <w:sz w:val="24"/>
          <w:szCs w:val="24"/>
        </w:rPr>
        <w:t xml:space="preserve">is limited but crucial, given the widespread use of these compounds in the food industry. While </w:t>
      </w:r>
      <w:r>
        <w:rPr>
          <w:rFonts w:ascii="Times New Roman" w:hAnsi="Times New Roman" w:cs="Times New Roman"/>
          <w:sz w:val="24"/>
          <w:szCs w:val="24"/>
        </w:rPr>
        <w:t xml:space="preserve">the </w:t>
      </w:r>
      <w:r w:rsidRPr="001161A2">
        <w:rPr>
          <w:rFonts w:ascii="Times New Roman" w:hAnsi="Times New Roman" w:cs="Times New Roman"/>
          <w:sz w:val="24"/>
          <w:szCs w:val="24"/>
        </w:rPr>
        <w:t xml:space="preserve">antioxidant properties </w:t>
      </w:r>
      <w:r>
        <w:rPr>
          <w:rFonts w:ascii="Times New Roman" w:hAnsi="Times New Roman" w:cs="Times New Roman"/>
          <w:sz w:val="24"/>
          <w:szCs w:val="24"/>
        </w:rPr>
        <w:t xml:space="preserve">of </w:t>
      </w:r>
      <w:r w:rsidRPr="001161A2">
        <w:rPr>
          <w:rFonts w:ascii="Times New Roman" w:hAnsi="Times New Roman" w:cs="Times New Roman"/>
          <w:sz w:val="24"/>
          <w:szCs w:val="24"/>
        </w:rPr>
        <w:t>vitamin C</w:t>
      </w:r>
      <w:r>
        <w:rPr>
          <w:rFonts w:ascii="Times New Roman" w:hAnsi="Times New Roman" w:cs="Times New Roman"/>
          <w:sz w:val="24"/>
          <w:szCs w:val="24"/>
        </w:rPr>
        <w:t xml:space="preserve"> </w:t>
      </w:r>
      <w:r w:rsidRPr="001161A2">
        <w:rPr>
          <w:rFonts w:ascii="Times New Roman" w:hAnsi="Times New Roman" w:cs="Times New Roman"/>
          <w:sz w:val="24"/>
          <w:szCs w:val="24"/>
        </w:rPr>
        <w:t>are believed to counteract oxidative stress, its interaction with sodium benzoate may lead to conflicting outcomes depending on dose, duration of exposure, and underlying physiological conditions.</w:t>
      </w:r>
      <w:r>
        <w:rPr>
          <w:rFonts w:ascii="Times New Roman" w:hAnsi="Times New Roman" w:cs="Times New Roman"/>
          <w:sz w:val="24"/>
          <w:szCs w:val="24"/>
        </w:rPr>
        <w:t xml:space="preserve"> Hence, t</w:t>
      </w:r>
      <w:r w:rsidRPr="001161A2">
        <w:rPr>
          <w:rFonts w:ascii="Times New Roman" w:hAnsi="Times New Roman" w:cs="Times New Roman"/>
          <w:sz w:val="24"/>
          <w:szCs w:val="24"/>
        </w:rPr>
        <w:t>h</w:t>
      </w:r>
      <w:r>
        <w:rPr>
          <w:rFonts w:ascii="Times New Roman" w:hAnsi="Times New Roman" w:cs="Times New Roman"/>
          <w:sz w:val="24"/>
          <w:szCs w:val="24"/>
        </w:rPr>
        <w:t>is</w:t>
      </w:r>
      <w:r w:rsidRPr="001161A2">
        <w:rPr>
          <w:rFonts w:ascii="Times New Roman" w:hAnsi="Times New Roman" w:cs="Times New Roman"/>
          <w:sz w:val="24"/>
          <w:szCs w:val="24"/>
        </w:rPr>
        <w:t xml:space="preserve"> study </w:t>
      </w:r>
      <w:r>
        <w:rPr>
          <w:rFonts w:ascii="Times New Roman" w:hAnsi="Times New Roman" w:cs="Times New Roman"/>
          <w:sz w:val="24"/>
          <w:szCs w:val="24"/>
        </w:rPr>
        <w:t xml:space="preserve">aimed </w:t>
      </w:r>
      <w:r w:rsidR="00DE2457">
        <w:rPr>
          <w:rFonts w:ascii="Times New Roman" w:hAnsi="Times New Roman" w:cs="Times New Roman"/>
          <w:sz w:val="24"/>
          <w:szCs w:val="24"/>
        </w:rPr>
        <w:t xml:space="preserve">to evaluate </w:t>
      </w:r>
      <w:r w:rsidR="00DE2457" w:rsidRPr="00DE2457">
        <w:rPr>
          <w:rFonts w:ascii="Times New Roman" w:hAnsi="Times New Roman" w:cs="Times New Roman"/>
          <w:sz w:val="24"/>
          <w:szCs w:val="24"/>
        </w:rPr>
        <w:t>the comparative effect</w:t>
      </w:r>
      <w:r w:rsidR="00DE2457">
        <w:rPr>
          <w:rFonts w:ascii="Times New Roman" w:hAnsi="Times New Roman" w:cs="Times New Roman"/>
          <w:sz w:val="24"/>
          <w:szCs w:val="24"/>
        </w:rPr>
        <w:t>s</w:t>
      </w:r>
      <w:r w:rsidR="00DE2457" w:rsidRPr="00DE2457">
        <w:rPr>
          <w:rFonts w:ascii="Times New Roman" w:hAnsi="Times New Roman" w:cs="Times New Roman"/>
          <w:sz w:val="24"/>
          <w:szCs w:val="24"/>
        </w:rPr>
        <w:t xml:space="preserve"> of sodium benzoate, </w:t>
      </w:r>
      <w:r w:rsidR="002E4E66">
        <w:rPr>
          <w:rFonts w:ascii="Times New Roman" w:hAnsi="Times New Roman" w:cs="Times New Roman"/>
          <w:sz w:val="24"/>
          <w:szCs w:val="24"/>
        </w:rPr>
        <w:t>ascorbic acid</w:t>
      </w:r>
      <w:r w:rsidR="00DE2457" w:rsidRPr="00DE2457">
        <w:rPr>
          <w:rFonts w:ascii="Times New Roman" w:hAnsi="Times New Roman" w:cs="Times New Roman"/>
          <w:sz w:val="24"/>
          <w:szCs w:val="24"/>
        </w:rPr>
        <w:t xml:space="preserve">, and their combination on glucose levels, lipid profile, and </w:t>
      </w:r>
      <w:r w:rsidR="00F06D32">
        <w:rPr>
          <w:rFonts w:ascii="Times New Roman" w:hAnsi="Times New Roman" w:cs="Times New Roman"/>
          <w:sz w:val="24"/>
          <w:szCs w:val="24"/>
        </w:rPr>
        <w:t>s</w:t>
      </w:r>
      <w:r w:rsidR="00F06D32" w:rsidRPr="00F06D32">
        <w:rPr>
          <w:rFonts w:ascii="Times New Roman" w:hAnsi="Times New Roman" w:cs="Times New Roman"/>
          <w:sz w:val="24"/>
          <w:szCs w:val="24"/>
        </w:rPr>
        <w:t xml:space="preserve">ome </w:t>
      </w:r>
      <w:r w:rsidR="00F06D32">
        <w:rPr>
          <w:rFonts w:ascii="Times New Roman" w:hAnsi="Times New Roman" w:cs="Times New Roman"/>
          <w:sz w:val="24"/>
          <w:szCs w:val="24"/>
        </w:rPr>
        <w:t>c</w:t>
      </w:r>
      <w:r w:rsidR="00F06D32" w:rsidRPr="00F06D32">
        <w:rPr>
          <w:rFonts w:ascii="Times New Roman" w:hAnsi="Times New Roman" w:cs="Times New Roman"/>
          <w:sz w:val="24"/>
          <w:szCs w:val="24"/>
        </w:rPr>
        <w:t xml:space="preserve">ardiovascular </w:t>
      </w:r>
      <w:r w:rsidR="0039184F" w:rsidRPr="0039184F">
        <w:rPr>
          <w:rFonts w:ascii="Times New Roman" w:hAnsi="Times New Roman" w:cs="Times New Roman"/>
          <w:sz w:val="24"/>
          <w:szCs w:val="24"/>
        </w:rPr>
        <w:t xml:space="preserve">markers </w:t>
      </w:r>
      <w:r w:rsidR="00DE2457" w:rsidRPr="00DE2457">
        <w:rPr>
          <w:rFonts w:ascii="Times New Roman" w:hAnsi="Times New Roman" w:cs="Times New Roman"/>
          <w:sz w:val="24"/>
          <w:szCs w:val="24"/>
        </w:rPr>
        <w:t>in albino rats</w:t>
      </w:r>
      <w:r w:rsidR="00DE2457">
        <w:rPr>
          <w:rFonts w:ascii="Times New Roman" w:hAnsi="Times New Roman" w:cs="Times New Roman"/>
          <w:sz w:val="24"/>
          <w:szCs w:val="24"/>
        </w:rPr>
        <w:t>.</w:t>
      </w:r>
    </w:p>
    <w:p w14:paraId="5AC29371" w14:textId="77777777" w:rsidR="00DA1053" w:rsidRDefault="00DA1053" w:rsidP="00DA1053">
      <w:pPr>
        <w:spacing w:before="100" w:beforeAutospacing="1" w:after="100" w:afterAutospacing="1" w:line="240" w:lineRule="auto"/>
        <w:jc w:val="both"/>
        <w:rPr>
          <w:rFonts w:ascii="Times New Roman" w:hAnsi="Times New Roman" w:cs="Times New Roman"/>
          <w:b/>
          <w:bCs/>
          <w:sz w:val="24"/>
          <w:szCs w:val="24"/>
        </w:rPr>
      </w:pPr>
      <w:r w:rsidRPr="005E7567">
        <w:rPr>
          <w:rFonts w:ascii="Times New Roman" w:hAnsi="Times New Roman" w:cs="Times New Roman"/>
          <w:b/>
          <w:bCs/>
          <w:sz w:val="24"/>
          <w:szCs w:val="24"/>
        </w:rPr>
        <w:t>2.0</w:t>
      </w:r>
      <w:r w:rsidRPr="005E7567">
        <w:rPr>
          <w:rFonts w:ascii="Times New Roman" w:hAnsi="Times New Roman" w:cs="Times New Roman"/>
          <w:b/>
          <w:bCs/>
          <w:sz w:val="24"/>
          <w:szCs w:val="24"/>
        </w:rPr>
        <w:tab/>
        <w:t>MATERIALS AND METHODS</w:t>
      </w:r>
    </w:p>
    <w:p w14:paraId="759F2B77" w14:textId="77777777" w:rsidR="00DA1053" w:rsidRPr="00F358C8" w:rsidRDefault="00DA1053" w:rsidP="00DA1053">
      <w:pPr>
        <w:spacing w:before="100" w:beforeAutospacing="1" w:after="100" w:afterAutospacing="1" w:line="240" w:lineRule="auto"/>
        <w:jc w:val="both"/>
        <w:rPr>
          <w:rFonts w:ascii="Times New Roman" w:hAnsi="Times New Roman" w:cs="Times New Roman"/>
          <w:b/>
          <w:bCs/>
          <w:sz w:val="24"/>
          <w:szCs w:val="24"/>
        </w:rPr>
      </w:pPr>
      <w:r w:rsidRPr="00F358C8">
        <w:rPr>
          <w:rFonts w:ascii="Times New Roman" w:hAnsi="Times New Roman" w:cs="Times New Roman"/>
          <w:b/>
          <w:bCs/>
          <w:sz w:val="24"/>
          <w:szCs w:val="24"/>
        </w:rPr>
        <w:t>2.1</w:t>
      </w:r>
      <w:r w:rsidRPr="00F358C8">
        <w:rPr>
          <w:rFonts w:ascii="Times New Roman" w:hAnsi="Times New Roman" w:cs="Times New Roman"/>
          <w:b/>
          <w:bCs/>
          <w:sz w:val="24"/>
          <w:szCs w:val="24"/>
        </w:rPr>
        <w:tab/>
        <w:t>Procurement of Materials</w:t>
      </w:r>
    </w:p>
    <w:p w14:paraId="76537721" w14:textId="77777777" w:rsidR="00DA1053" w:rsidRDefault="00DA1053" w:rsidP="00DA1053">
      <w:pPr>
        <w:spacing w:before="100" w:beforeAutospacing="1" w:after="100" w:afterAutospacing="1" w:line="240" w:lineRule="auto"/>
        <w:jc w:val="both"/>
        <w:rPr>
          <w:rFonts w:ascii="Times New Roman" w:hAnsi="Times New Roman" w:cs="Times New Roman"/>
          <w:sz w:val="24"/>
          <w:szCs w:val="24"/>
        </w:rPr>
      </w:pPr>
      <w:r w:rsidRPr="00F358C8">
        <w:rPr>
          <w:rFonts w:ascii="Times New Roman" w:hAnsi="Times New Roman" w:cs="Times New Roman"/>
          <w:sz w:val="24"/>
          <w:szCs w:val="24"/>
        </w:rPr>
        <w:t xml:space="preserve">Sodium benzoate, sterile bottles, lithium heparin, plain bottles, and filter paper were procured from </w:t>
      </w:r>
      <w:proofErr w:type="spellStart"/>
      <w:r w:rsidRPr="00F358C8">
        <w:rPr>
          <w:rFonts w:ascii="Times New Roman" w:hAnsi="Times New Roman" w:cs="Times New Roman"/>
          <w:sz w:val="24"/>
          <w:szCs w:val="24"/>
        </w:rPr>
        <w:t>Nexidon</w:t>
      </w:r>
      <w:proofErr w:type="spellEnd"/>
      <w:r w:rsidRPr="00F358C8">
        <w:rPr>
          <w:rFonts w:ascii="Times New Roman" w:hAnsi="Times New Roman" w:cs="Times New Roman"/>
          <w:sz w:val="24"/>
          <w:szCs w:val="24"/>
        </w:rPr>
        <w:t xml:space="preserve"> Nigeria Limited reagent store, while syringes, hand gloves, and cotton wool were obtained from Lloyd’s Pharmacy in Port Harcourt.</w:t>
      </w:r>
    </w:p>
    <w:p w14:paraId="7B0E1369" w14:textId="77777777" w:rsidR="00DA1053" w:rsidRPr="00F358C8" w:rsidRDefault="00DA1053" w:rsidP="00DA1053">
      <w:pPr>
        <w:spacing w:before="100" w:beforeAutospacing="1" w:after="100" w:afterAutospacing="1" w:line="240" w:lineRule="auto"/>
        <w:jc w:val="both"/>
        <w:rPr>
          <w:rFonts w:ascii="Times New Roman" w:hAnsi="Times New Roman" w:cs="Times New Roman"/>
          <w:b/>
          <w:bCs/>
          <w:sz w:val="24"/>
          <w:szCs w:val="24"/>
        </w:rPr>
      </w:pPr>
      <w:r w:rsidRPr="00F358C8">
        <w:rPr>
          <w:rFonts w:ascii="Times New Roman" w:hAnsi="Times New Roman" w:cs="Times New Roman"/>
          <w:b/>
          <w:bCs/>
          <w:sz w:val="24"/>
          <w:szCs w:val="24"/>
        </w:rPr>
        <w:t>2.2</w:t>
      </w:r>
      <w:r w:rsidRPr="00F358C8">
        <w:rPr>
          <w:rFonts w:ascii="Times New Roman" w:hAnsi="Times New Roman" w:cs="Times New Roman"/>
          <w:b/>
          <w:bCs/>
          <w:sz w:val="24"/>
          <w:szCs w:val="24"/>
        </w:rPr>
        <w:tab/>
        <w:t xml:space="preserve">Ethical Considerations </w:t>
      </w:r>
    </w:p>
    <w:p w14:paraId="6F9FCA91" w14:textId="1F45DCE4" w:rsidR="00F06D32" w:rsidRPr="002C414B" w:rsidRDefault="00DA1053" w:rsidP="00DA1053">
      <w:pPr>
        <w:spacing w:before="100" w:beforeAutospacing="1" w:after="100" w:afterAutospacing="1" w:line="240" w:lineRule="auto"/>
        <w:jc w:val="both"/>
        <w:rPr>
          <w:rFonts w:ascii="Times New Roman" w:hAnsi="Times New Roman" w:cs="Times New Roman"/>
          <w:sz w:val="24"/>
          <w:szCs w:val="24"/>
        </w:rPr>
      </w:pPr>
      <w:r w:rsidRPr="00F358C8">
        <w:rPr>
          <w:rFonts w:ascii="Times New Roman" w:hAnsi="Times New Roman" w:cs="Times New Roman"/>
          <w:sz w:val="24"/>
          <w:szCs w:val="24"/>
        </w:rPr>
        <w:t>The internationally accepted National Institutes of Health (NIH) Guide for Care and Use of Laboratory Animals were observed.</w:t>
      </w:r>
    </w:p>
    <w:p w14:paraId="5BE2E991" w14:textId="78D71DD1" w:rsidR="00DA1053" w:rsidRPr="00F358C8" w:rsidRDefault="00DA1053" w:rsidP="00DA1053">
      <w:pPr>
        <w:spacing w:before="100" w:beforeAutospacing="1" w:after="100" w:afterAutospacing="1" w:line="240" w:lineRule="auto"/>
        <w:jc w:val="both"/>
        <w:rPr>
          <w:rFonts w:ascii="Times New Roman" w:hAnsi="Times New Roman" w:cs="Times New Roman"/>
          <w:b/>
          <w:bCs/>
          <w:sz w:val="24"/>
          <w:szCs w:val="24"/>
        </w:rPr>
      </w:pPr>
      <w:r w:rsidRPr="00F358C8">
        <w:rPr>
          <w:rFonts w:ascii="Times New Roman" w:hAnsi="Times New Roman" w:cs="Times New Roman"/>
          <w:b/>
          <w:bCs/>
          <w:sz w:val="24"/>
          <w:szCs w:val="24"/>
        </w:rPr>
        <w:t>2.2</w:t>
      </w:r>
      <w:r w:rsidRPr="00F358C8">
        <w:rPr>
          <w:rFonts w:ascii="Times New Roman" w:hAnsi="Times New Roman" w:cs="Times New Roman"/>
          <w:b/>
          <w:bCs/>
          <w:sz w:val="24"/>
          <w:szCs w:val="24"/>
        </w:rPr>
        <w:tab/>
        <w:t>Experimental Animals</w:t>
      </w:r>
    </w:p>
    <w:p w14:paraId="77A756ED" w14:textId="77777777" w:rsidR="00D067BB" w:rsidRDefault="00D067BB" w:rsidP="00DA1053">
      <w:pPr>
        <w:spacing w:before="100" w:beforeAutospacing="1" w:after="100" w:afterAutospacing="1" w:line="240" w:lineRule="auto"/>
        <w:jc w:val="both"/>
        <w:rPr>
          <w:rFonts w:ascii="Times New Roman" w:hAnsi="Times New Roman" w:cs="Times New Roman"/>
          <w:sz w:val="24"/>
          <w:szCs w:val="24"/>
        </w:rPr>
      </w:pPr>
      <w:r w:rsidRPr="00D067BB">
        <w:rPr>
          <w:rFonts w:ascii="Times New Roman" w:hAnsi="Times New Roman" w:cs="Times New Roman"/>
          <w:sz w:val="24"/>
          <w:szCs w:val="24"/>
        </w:rPr>
        <w:lastRenderedPageBreak/>
        <w:t>A total of 36 albino rats, weighing between 140 and 250 g, were randomly chosen for the study. The animals were obtained from the Department of Anatomy, College of Medical Sciences, Rivers State University, and transported in a well-ventilated wire cage to the animal house at the Department of Animal and Environmental Sciences, Rivers State University, Port Harcourt. They were housed under a 12-hour light/dark cycle with unrestricted access to solid poultry chow and water. Before the commencement of the study, the rats were acclimatized for two weeks under standard laboratory conditions and subsequently assigned to six groups.</w:t>
      </w:r>
    </w:p>
    <w:p w14:paraId="1B7D0720" w14:textId="494BAFE2" w:rsidR="00DA1053" w:rsidRPr="00F358C8" w:rsidRDefault="00DA1053" w:rsidP="00DA1053">
      <w:pPr>
        <w:spacing w:before="100" w:beforeAutospacing="1" w:after="100" w:afterAutospacing="1" w:line="240" w:lineRule="auto"/>
        <w:jc w:val="both"/>
        <w:rPr>
          <w:rFonts w:ascii="Times New Roman" w:hAnsi="Times New Roman" w:cs="Times New Roman"/>
          <w:b/>
          <w:bCs/>
          <w:sz w:val="24"/>
          <w:szCs w:val="24"/>
        </w:rPr>
      </w:pPr>
      <w:r w:rsidRPr="00F358C8">
        <w:rPr>
          <w:rFonts w:ascii="Times New Roman" w:hAnsi="Times New Roman" w:cs="Times New Roman"/>
          <w:b/>
          <w:bCs/>
          <w:sz w:val="24"/>
          <w:szCs w:val="24"/>
        </w:rPr>
        <w:t>2.3</w:t>
      </w:r>
      <w:r w:rsidRPr="00F358C8">
        <w:rPr>
          <w:rFonts w:ascii="Times New Roman" w:hAnsi="Times New Roman" w:cs="Times New Roman"/>
          <w:b/>
          <w:bCs/>
          <w:sz w:val="24"/>
          <w:szCs w:val="24"/>
        </w:rPr>
        <w:tab/>
        <w:t>Acute Toxicity Study</w:t>
      </w:r>
    </w:p>
    <w:p w14:paraId="3013628D" w14:textId="350F9721" w:rsidR="00570EC2" w:rsidRDefault="00570EC2" w:rsidP="00DA1053">
      <w:pPr>
        <w:spacing w:before="100" w:beforeAutospacing="1" w:after="100" w:afterAutospacing="1" w:line="240" w:lineRule="auto"/>
        <w:jc w:val="both"/>
        <w:rPr>
          <w:rFonts w:ascii="Times New Roman" w:hAnsi="Times New Roman" w:cs="Times New Roman"/>
          <w:sz w:val="24"/>
          <w:szCs w:val="24"/>
        </w:rPr>
      </w:pPr>
      <w:r w:rsidRPr="00570EC2">
        <w:rPr>
          <w:rFonts w:ascii="Times New Roman" w:hAnsi="Times New Roman" w:cs="Times New Roman"/>
          <w:sz w:val="24"/>
          <w:szCs w:val="24"/>
        </w:rPr>
        <w:t>The study utilized the Fixed Dose Procedure [1</w:t>
      </w:r>
      <w:r w:rsidR="00EA3D7B">
        <w:rPr>
          <w:rFonts w:ascii="Times New Roman" w:hAnsi="Times New Roman" w:cs="Times New Roman"/>
          <w:sz w:val="24"/>
          <w:szCs w:val="24"/>
        </w:rPr>
        <w:t>4</w:t>
      </w:r>
      <w:r w:rsidRPr="00570EC2">
        <w:rPr>
          <w:rFonts w:ascii="Times New Roman" w:hAnsi="Times New Roman" w:cs="Times New Roman"/>
          <w:sz w:val="24"/>
          <w:szCs w:val="24"/>
        </w:rPr>
        <w:t>] and was carried out in two phases. In the initial phase, three rats were orally administered sodium benzoate at a dosage of 700 mg/kg body weight via gavage and observed for toxicity symptoms over a 14-day period. In the subsequent phase, a different set of three rats received a reduced dose of 300 mg/kg body weight through oral gavage, with toxicity assessments conducted over the same 14-day duration.</w:t>
      </w:r>
    </w:p>
    <w:p w14:paraId="29F6A6F1" w14:textId="0108222A" w:rsidR="00DA1053" w:rsidRPr="00F358C8" w:rsidRDefault="00DA1053" w:rsidP="00DA1053">
      <w:pPr>
        <w:spacing w:before="100" w:beforeAutospacing="1" w:after="100" w:afterAutospacing="1" w:line="240" w:lineRule="auto"/>
        <w:jc w:val="both"/>
        <w:rPr>
          <w:rFonts w:ascii="Times New Roman" w:hAnsi="Times New Roman" w:cs="Times New Roman"/>
          <w:b/>
          <w:bCs/>
          <w:sz w:val="24"/>
          <w:szCs w:val="24"/>
        </w:rPr>
      </w:pPr>
      <w:r w:rsidRPr="00F358C8">
        <w:rPr>
          <w:rFonts w:ascii="Times New Roman" w:hAnsi="Times New Roman" w:cs="Times New Roman"/>
          <w:b/>
          <w:bCs/>
          <w:sz w:val="24"/>
          <w:szCs w:val="24"/>
        </w:rPr>
        <w:t>2.4</w:t>
      </w:r>
      <w:r w:rsidRPr="00F358C8">
        <w:rPr>
          <w:rFonts w:ascii="Times New Roman" w:hAnsi="Times New Roman" w:cs="Times New Roman"/>
          <w:b/>
          <w:bCs/>
          <w:sz w:val="24"/>
          <w:szCs w:val="24"/>
        </w:rPr>
        <w:tab/>
        <w:t>Dose Determination</w:t>
      </w:r>
    </w:p>
    <w:p w14:paraId="21CC4CC9" w14:textId="089B1E06" w:rsidR="00DA1053" w:rsidRPr="00570EC2" w:rsidRDefault="00DA1053" w:rsidP="00DA1053">
      <w:pPr>
        <w:spacing w:before="100" w:beforeAutospacing="1" w:after="100" w:afterAutospacing="1" w:line="240" w:lineRule="auto"/>
        <w:jc w:val="both"/>
        <w:rPr>
          <w:rFonts w:ascii="Times New Roman" w:hAnsi="Times New Roman" w:cs="Times New Roman"/>
          <w:sz w:val="24"/>
          <w:szCs w:val="24"/>
        </w:rPr>
      </w:pPr>
      <w:r w:rsidRPr="00F358C8">
        <w:rPr>
          <w:rFonts w:ascii="Times New Roman" w:hAnsi="Times New Roman" w:cs="Times New Roman"/>
          <w:sz w:val="24"/>
          <w:szCs w:val="24"/>
        </w:rPr>
        <w:t>Following the results of the acute toxicity study, two doses of sodium benzoate were selected: a low dose (120 mg/kg) and a high dose (240 mg/kg). Both doses were below the threshold that caused observable acute toxicity.</w:t>
      </w:r>
    </w:p>
    <w:p w14:paraId="35AA6F18" w14:textId="77777777" w:rsidR="00DA1053" w:rsidRPr="00B95059" w:rsidRDefault="00DA1053" w:rsidP="00DA1053">
      <w:pPr>
        <w:spacing w:before="100" w:beforeAutospacing="1" w:after="100" w:afterAutospacing="1" w:line="240" w:lineRule="auto"/>
        <w:jc w:val="both"/>
        <w:rPr>
          <w:rFonts w:ascii="Times New Roman" w:hAnsi="Times New Roman" w:cs="Times New Roman"/>
          <w:b/>
          <w:bCs/>
          <w:sz w:val="24"/>
          <w:szCs w:val="24"/>
        </w:rPr>
      </w:pPr>
      <w:r w:rsidRPr="00B95059">
        <w:rPr>
          <w:rFonts w:ascii="Times New Roman" w:hAnsi="Times New Roman" w:cs="Times New Roman"/>
          <w:b/>
          <w:bCs/>
          <w:sz w:val="24"/>
          <w:szCs w:val="24"/>
        </w:rPr>
        <w:t>2.4.1</w:t>
      </w:r>
      <w:r w:rsidRPr="00B95059">
        <w:rPr>
          <w:rFonts w:ascii="Times New Roman" w:hAnsi="Times New Roman" w:cs="Times New Roman"/>
          <w:b/>
          <w:bCs/>
          <w:sz w:val="24"/>
          <w:szCs w:val="24"/>
        </w:rPr>
        <w:tab/>
        <w:t>Low Dose of Sodium Benzoate</w:t>
      </w:r>
    </w:p>
    <w:p w14:paraId="6674CEC6" w14:textId="77777777" w:rsidR="00DA1053" w:rsidRPr="00B95059" w:rsidRDefault="00DA1053" w:rsidP="00DA1053">
      <w:pPr>
        <w:spacing w:before="100" w:beforeAutospacing="1" w:after="100" w:afterAutospacing="1" w:line="240" w:lineRule="auto"/>
        <w:jc w:val="both"/>
        <w:rPr>
          <w:rFonts w:ascii="Times New Roman" w:hAnsi="Times New Roman" w:cs="Times New Roman"/>
          <w:sz w:val="24"/>
          <w:szCs w:val="24"/>
        </w:rPr>
      </w:pPr>
      <w:r w:rsidRPr="00B95059">
        <w:rPr>
          <w:rFonts w:ascii="Times New Roman" w:hAnsi="Times New Roman" w:cs="Times New Roman"/>
          <w:sz w:val="24"/>
          <w:szCs w:val="24"/>
        </w:rPr>
        <w:t>To determine the low dose of sodium benzoate, a dosage of 120 mg/kg body weight was calculated. For instance, for a rat weighing 234 g, the calculation proceeded as follows:</w:t>
      </w:r>
    </w:p>
    <w:p w14:paraId="2A2D60B7" w14:textId="77777777" w:rsidR="00DA1053" w:rsidRPr="00B95059" w:rsidRDefault="00DA1053" w:rsidP="00DA1053">
      <w:pPr>
        <w:spacing w:before="100" w:beforeAutospacing="1" w:after="100" w:afterAutospacing="1" w:line="240" w:lineRule="auto"/>
        <w:jc w:val="both"/>
        <w:rPr>
          <w:rFonts w:ascii="Times New Roman" w:hAnsi="Times New Roman" w:cs="Times New Roman"/>
          <w:sz w:val="24"/>
          <w:szCs w:val="24"/>
        </w:rPr>
      </w:pPr>
      <w:r w:rsidRPr="00B95059">
        <w:rPr>
          <w:rFonts w:ascii="Times New Roman" w:hAnsi="Times New Roman" w:cs="Times New Roman"/>
          <w:sz w:val="24"/>
          <w:szCs w:val="24"/>
        </w:rPr>
        <w:t>Since 120 mg of sodium benzoate is required for a 1 kg (1000 g) rat, the dose for a 234 g rat was calculated using the formula:</w:t>
      </w:r>
    </w:p>
    <w:p w14:paraId="29E41DB4" w14:textId="77777777" w:rsidR="00DA1053" w:rsidRPr="00B95059" w:rsidRDefault="00DA1053" w:rsidP="00DA1053">
      <w:pPr>
        <w:spacing w:before="100" w:beforeAutospacing="1" w:after="100" w:afterAutospacing="1" w:line="240" w:lineRule="auto"/>
        <w:jc w:val="both"/>
        <w:rPr>
          <w:rFonts w:ascii="Times New Roman" w:hAnsi="Times New Roman" w:cs="Times New Roman"/>
          <w:sz w:val="24"/>
          <w:szCs w:val="24"/>
        </w:rPr>
      </w:pPr>
      <w:r w:rsidRPr="00F70713">
        <w:rPr>
          <w:rFonts w:ascii="Times New Roman" w:hAnsi="Times New Roman" w:cs="Times New Roman"/>
          <w:sz w:val="24"/>
          <w:szCs w:val="24"/>
        </w:rPr>
        <w:t xml:space="preserve">Dose </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120mg</m:t>
            </m:r>
          </m:num>
          <m:den>
            <m:r>
              <w:rPr>
                <w:rFonts w:ascii="Cambria Math" w:hAnsi="Cambria Math" w:cs="Times New Roman"/>
                <w:sz w:val="24"/>
                <w:szCs w:val="24"/>
              </w:rPr>
              <m:t>1000g</m:t>
            </m:r>
          </m:den>
        </m:f>
        <m:r>
          <w:rPr>
            <w:rFonts w:ascii="Cambria Math" w:hAnsi="Cambria Math" w:cs="Times New Roman"/>
            <w:sz w:val="24"/>
            <w:szCs w:val="24"/>
          </w:rPr>
          <m:t>x 234g</m:t>
        </m:r>
      </m:oMath>
      <w:r>
        <w:rPr>
          <w:rFonts w:ascii="Times New Roman" w:eastAsiaTheme="minorEastAsia" w:hAnsi="Times New Roman" w:cs="Times New Roman"/>
          <w:sz w:val="24"/>
          <w:szCs w:val="24"/>
        </w:rPr>
        <w:t xml:space="preserve">  = </w:t>
      </w:r>
      <w:r w:rsidRPr="005076D5">
        <w:rPr>
          <w:rFonts w:ascii="Times New Roman" w:eastAsiaTheme="minorEastAsia" w:hAnsi="Times New Roman" w:cs="Times New Roman"/>
          <w:b/>
          <w:bCs/>
          <w:sz w:val="24"/>
          <w:szCs w:val="24"/>
        </w:rPr>
        <w:t>28.08</w:t>
      </w:r>
      <w:r>
        <w:rPr>
          <w:rFonts w:ascii="Times New Roman" w:eastAsiaTheme="minorEastAsia" w:hAnsi="Times New Roman" w:cs="Times New Roman"/>
          <w:b/>
          <w:bCs/>
          <w:sz w:val="24"/>
          <w:szCs w:val="24"/>
        </w:rPr>
        <w:t xml:space="preserve"> </w:t>
      </w:r>
      <w:r w:rsidRPr="005076D5">
        <w:rPr>
          <w:rFonts w:ascii="Times New Roman" w:eastAsiaTheme="minorEastAsia" w:hAnsi="Times New Roman" w:cs="Times New Roman"/>
          <w:b/>
          <w:bCs/>
          <w:sz w:val="24"/>
          <w:szCs w:val="24"/>
        </w:rPr>
        <w:t>mg</w:t>
      </w:r>
    </w:p>
    <w:p w14:paraId="138F7F95" w14:textId="602B0F64" w:rsidR="00570EC2" w:rsidRPr="00F06D32" w:rsidRDefault="00DA1053" w:rsidP="00DA1053">
      <w:pPr>
        <w:spacing w:before="100" w:beforeAutospacing="1" w:after="100" w:afterAutospacing="1" w:line="240" w:lineRule="auto"/>
        <w:jc w:val="both"/>
        <w:rPr>
          <w:rFonts w:ascii="Times New Roman" w:hAnsi="Times New Roman" w:cs="Times New Roman"/>
          <w:sz w:val="24"/>
          <w:szCs w:val="24"/>
        </w:rPr>
      </w:pPr>
      <w:r w:rsidRPr="00B95059">
        <w:rPr>
          <w:rFonts w:ascii="Times New Roman" w:hAnsi="Times New Roman" w:cs="Times New Roman"/>
          <w:sz w:val="24"/>
          <w:szCs w:val="24"/>
        </w:rPr>
        <w:t xml:space="preserve">Following the </w:t>
      </w:r>
      <w:r w:rsidRPr="00F70713">
        <w:rPr>
          <w:rFonts w:ascii="Times New Roman" w:hAnsi="Times New Roman" w:cs="Times New Roman"/>
          <w:sz w:val="24"/>
          <w:szCs w:val="24"/>
        </w:rPr>
        <w:t xml:space="preserve">Organization for Economic Co-operation and Development </w:t>
      </w:r>
      <w:r>
        <w:rPr>
          <w:rFonts w:ascii="Times New Roman" w:hAnsi="Times New Roman" w:cs="Times New Roman"/>
          <w:sz w:val="24"/>
          <w:szCs w:val="24"/>
        </w:rPr>
        <w:t>(</w:t>
      </w:r>
      <w:r w:rsidRPr="00B95059">
        <w:rPr>
          <w:rFonts w:ascii="Times New Roman" w:hAnsi="Times New Roman" w:cs="Times New Roman"/>
          <w:sz w:val="24"/>
          <w:szCs w:val="24"/>
        </w:rPr>
        <w:t>OECD</w:t>
      </w:r>
      <w:r>
        <w:rPr>
          <w:rFonts w:ascii="Times New Roman" w:hAnsi="Times New Roman" w:cs="Times New Roman"/>
          <w:sz w:val="24"/>
          <w:szCs w:val="24"/>
        </w:rPr>
        <w:t>)</w:t>
      </w:r>
      <w:r w:rsidRPr="00B95059">
        <w:rPr>
          <w:rFonts w:ascii="Times New Roman" w:hAnsi="Times New Roman" w:cs="Times New Roman"/>
          <w:sz w:val="24"/>
          <w:szCs w:val="24"/>
        </w:rPr>
        <w:t xml:space="preserve"> guidelines for volume selection </w:t>
      </w:r>
      <w:r>
        <w:rPr>
          <w:rFonts w:ascii="Times New Roman" w:hAnsi="Times New Roman" w:cs="Times New Roman"/>
          <w:sz w:val="24"/>
          <w:szCs w:val="24"/>
        </w:rPr>
        <w:t>[1</w:t>
      </w:r>
      <w:r w:rsidR="00570EC2">
        <w:rPr>
          <w:rFonts w:ascii="Times New Roman" w:hAnsi="Times New Roman" w:cs="Times New Roman"/>
          <w:sz w:val="24"/>
          <w:szCs w:val="24"/>
        </w:rPr>
        <w:t>3</w:t>
      </w:r>
      <w:r>
        <w:rPr>
          <w:rFonts w:ascii="Times New Roman" w:hAnsi="Times New Roman" w:cs="Times New Roman"/>
          <w:sz w:val="24"/>
          <w:szCs w:val="24"/>
        </w:rPr>
        <w:t>]</w:t>
      </w:r>
      <w:r w:rsidRPr="00B95059">
        <w:rPr>
          <w:rFonts w:ascii="Times New Roman" w:hAnsi="Times New Roman" w:cs="Times New Roman"/>
          <w:sz w:val="24"/>
          <w:szCs w:val="24"/>
        </w:rPr>
        <w:t>, this 28.08 mg of sodium benzoate was dissolved in 2.34 ml of distilled water, ensuring accurate administration.</w:t>
      </w:r>
    </w:p>
    <w:p w14:paraId="51CD9BD4" w14:textId="36311215" w:rsidR="00DA1053" w:rsidRPr="005076D5" w:rsidRDefault="00DA1053" w:rsidP="00DA1053">
      <w:pPr>
        <w:spacing w:before="100" w:beforeAutospacing="1" w:after="100" w:afterAutospacing="1" w:line="240" w:lineRule="auto"/>
        <w:jc w:val="both"/>
        <w:rPr>
          <w:rFonts w:ascii="Times New Roman" w:hAnsi="Times New Roman" w:cs="Times New Roman"/>
          <w:b/>
          <w:bCs/>
          <w:sz w:val="24"/>
          <w:szCs w:val="24"/>
        </w:rPr>
      </w:pPr>
      <w:r w:rsidRPr="005076D5">
        <w:rPr>
          <w:rFonts w:ascii="Times New Roman" w:hAnsi="Times New Roman" w:cs="Times New Roman"/>
          <w:b/>
          <w:bCs/>
          <w:sz w:val="24"/>
          <w:szCs w:val="24"/>
        </w:rPr>
        <w:t>2.4.2</w:t>
      </w:r>
      <w:r w:rsidRPr="005076D5">
        <w:rPr>
          <w:rFonts w:ascii="Times New Roman" w:hAnsi="Times New Roman" w:cs="Times New Roman"/>
          <w:b/>
          <w:bCs/>
          <w:sz w:val="24"/>
          <w:szCs w:val="24"/>
        </w:rPr>
        <w:tab/>
        <w:t>High Dose of Sodium Benzoate</w:t>
      </w:r>
    </w:p>
    <w:p w14:paraId="57E003E2" w14:textId="77777777" w:rsidR="00DA1053" w:rsidRDefault="00DA1053" w:rsidP="00DA1053">
      <w:pPr>
        <w:spacing w:before="100" w:beforeAutospacing="1" w:after="100" w:afterAutospacing="1" w:line="240" w:lineRule="auto"/>
        <w:jc w:val="both"/>
        <w:rPr>
          <w:rFonts w:ascii="Times New Roman" w:hAnsi="Times New Roman" w:cs="Times New Roman"/>
          <w:sz w:val="24"/>
          <w:szCs w:val="24"/>
        </w:rPr>
      </w:pPr>
      <w:r w:rsidRPr="00B95059">
        <w:rPr>
          <w:rFonts w:ascii="Times New Roman" w:hAnsi="Times New Roman" w:cs="Times New Roman"/>
          <w:sz w:val="24"/>
          <w:szCs w:val="24"/>
        </w:rPr>
        <w:t>To determine the low dose of sodium benzoate, a dosage of 2</w:t>
      </w:r>
      <w:r>
        <w:rPr>
          <w:rFonts w:ascii="Times New Roman" w:hAnsi="Times New Roman" w:cs="Times New Roman"/>
          <w:sz w:val="24"/>
          <w:szCs w:val="24"/>
        </w:rPr>
        <w:t>4</w:t>
      </w:r>
      <w:r w:rsidRPr="00B95059">
        <w:rPr>
          <w:rFonts w:ascii="Times New Roman" w:hAnsi="Times New Roman" w:cs="Times New Roman"/>
          <w:sz w:val="24"/>
          <w:szCs w:val="24"/>
        </w:rPr>
        <w:t>0 mg/kg body weight was calculated. For instance, for a rat weighing 234 g, the calculation proceeded as follows:</w:t>
      </w:r>
    </w:p>
    <w:p w14:paraId="4801D635" w14:textId="77777777" w:rsidR="00DA1053" w:rsidRDefault="00DA1053" w:rsidP="00DA1053">
      <w:pPr>
        <w:spacing w:before="100" w:beforeAutospacing="1" w:after="100" w:afterAutospacing="1" w:line="240" w:lineRule="auto"/>
        <w:jc w:val="both"/>
        <w:rPr>
          <w:rFonts w:ascii="Times New Roman" w:eastAsiaTheme="minorEastAsia" w:hAnsi="Times New Roman" w:cs="Times New Roman"/>
          <w:b/>
          <w:bCs/>
          <w:sz w:val="24"/>
          <w:szCs w:val="24"/>
        </w:rPr>
      </w:pPr>
      <w:r w:rsidRPr="00F70713">
        <w:rPr>
          <w:rFonts w:ascii="Times New Roman" w:hAnsi="Times New Roman" w:cs="Times New Roman"/>
          <w:sz w:val="24"/>
          <w:szCs w:val="24"/>
        </w:rPr>
        <w:t>Dose =</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240mg</m:t>
            </m:r>
          </m:num>
          <m:den>
            <m:r>
              <w:rPr>
                <w:rFonts w:ascii="Cambria Math" w:hAnsi="Cambria Math" w:cs="Times New Roman"/>
                <w:sz w:val="24"/>
                <w:szCs w:val="24"/>
              </w:rPr>
              <m:t>1000g</m:t>
            </m:r>
          </m:den>
        </m:f>
        <m:r>
          <w:rPr>
            <w:rFonts w:ascii="Cambria Math" w:hAnsi="Cambria Math" w:cs="Times New Roman"/>
            <w:sz w:val="24"/>
            <w:szCs w:val="24"/>
          </w:rPr>
          <m:t>x 234g</m:t>
        </m:r>
      </m:oMath>
      <w:r>
        <w:rPr>
          <w:rFonts w:ascii="Times New Roman" w:eastAsiaTheme="minorEastAsia" w:hAnsi="Times New Roman" w:cs="Times New Roman"/>
          <w:sz w:val="24"/>
          <w:szCs w:val="24"/>
        </w:rPr>
        <w:t xml:space="preserve">  = </w:t>
      </w:r>
      <w:r>
        <w:rPr>
          <w:rFonts w:ascii="Times New Roman" w:eastAsiaTheme="minorEastAsia" w:hAnsi="Times New Roman" w:cs="Times New Roman"/>
          <w:b/>
          <w:bCs/>
          <w:sz w:val="24"/>
          <w:szCs w:val="24"/>
        </w:rPr>
        <w:t>56</w:t>
      </w:r>
      <w:r w:rsidRPr="005076D5">
        <w:rPr>
          <w:rFonts w:ascii="Times New Roman" w:eastAsiaTheme="minorEastAsia" w:hAnsi="Times New Roman" w:cs="Times New Roman"/>
          <w:b/>
          <w:bCs/>
          <w:sz w:val="24"/>
          <w:szCs w:val="24"/>
        </w:rPr>
        <w:t>.</w:t>
      </w:r>
      <w:r>
        <w:rPr>
          <w:rFonts w:ascii="Times New Roman" w:eastAsiaTheme="minorEastAsia" w:hAnsi="Times New Roman" w:cs="Times New Roman"/>
          <w:b/>
          <w:bCs/>
          <w:sz w:val="24"/>
          <w:szCs w:val="24"/>
        </w:rPr>
        <w:t xml:space="preserve">16 </w:t>
      </w:r>
      <w:r w:rsidRPr="005076D5">
        <w:rPr>
          <w:rFonts w:ascii="Times New Roman" w:eastAsiaTheme="minorEastAsia" w:hAnsi="Times New Roman" w:cs="Times New Roman"/>
          <w:b/>
          <w:bCs/>
          <w:sz w:val="24"/>
          <w:szCs w:val="24"/>
        </w:rPr>
        <w:t>mg</w:t>
      </w:r>
    </w:p>
    <w:p w14:paraId="098398AF" w14:textId="67F6F646" w:rsidR="00DA1053" w:rsidRPr="00F70713" w:rsidRDefault="00DA1053" w:rsidP="00DA1053">
      <w:pPr>
        <w:spacing w:before="100" w:beforeAutospacing="1" w:after="100" w:afterAutospacing="1" w:line="240" w:lineRule="auto"/>
        <w:jc w:val="both"/>
        <w:rPr>
          <w:rFonts w:ascii="Times New Roman" w:hAnsi="Times New Roman" w:cs="Times New Roman"/>
          <w:sz w:val="24"/>
          <w:szCs w:val="24"/>
        </w:rPr>
      </w:pPr>
      <w:r w:rsidRPr="00B95059">
        <w:rPr>
          <w:rFonts w:ascii="Times New Roman" w:hAnsi="Times New Roman" w:cs="Times New Roman"/>
          <w:sz w:val="24"/>
          <w:szCs w:val="24"/>
        </w:rPr>
        <w:t xml:space="preserve">Following the OECD guidelines for volume selection </w:t>
      </w:r>
      <w:r>
        <w:rPr>
          <w:rFonts w:ascii="Times New Roman" w:hAnsi="Times New Roman" w:cs="Times New Roman"/>
          <w:sz w:val="24"/>
          <w:szCs w:val="24"/>
        </w:rPr>
        <w:t>[1</w:t>
      </w:r>
      <w:r w:rsidR="00EA3D7B">
        <w:rPr>
          <w:rFonts w:ascii="Times New Roman" w:hAnsi="Times New Roman" w:cs="Times New Roman"/>
          <w:sz w:val="24"/>
          <w:szCs w:val="24"/>
        </w:rPr>
        <w:t>4</w:t>
      </w:r>
      <w:r>
        <w:rPr>
          <w:rFonts w:ascii="Times New Roman" w:hAnsi="Times New Roman" w:cs="Times New Roman"/>
          <w:sz w:val="24"/>
          <w:szCs w:val="24"/>
        </w:rPr>
        <w:t>]</w:t>
      </w:r>
      <w:r w:rsidRPr="00B95059">
        <w:rPr>
          <w:rFonts w:ascii="Times New Roman" w:hAnsi="Times New Roman" w:cs="Times New Roman"/>
          <w:sz w:val="24"/>
          <w:szCs w:val="24"/>
        </w:rPr>
        <w:t xml:space="preserve">, this </w:t>
      </w:r>
      <w:r>
        <w:rPr>
          <w:rFonts w:ascii="Times New Roman" w:hAnsi="Times New Roman" w:cs="Times New Roman"/>
          <w:sz w:val="24"/>
          <w:szCs w:val="24"/>
        </w:rPr>
        <w:t>56.16</w:t>
      </w:r>
      <w:r w:rsidRPr="00B95059">
        <w:rPr>
          <w:rFonts w:ascii="Times New Roman" w:hAnsi="Times New Roman" w:cs="Times New Roman"/>
          <w:sz w:val="24"/>
          <w:szCs w:val="24"/>
        </w:rPr>
        <w:t xml:space="preserve"> mg of sodium benzoate was dissolved in 2.34 ml of distilled water, ensuring accurate administration.</w:t>
      </w:r>
    </w:p>
    <w:p w14:paraId="1885147E" w14:textId="7C0AA9DA" w:rsidR="00DA1053" w:rsidRPr="005076D5" w:rsidRDefault="00DA1053" w:rsidP="00DA1053">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w:t>
      </w:r>
      <w:r w:rsidRPr="005076D5">
        <w:rPr>
          <w:rFonts w:ascii="Times New Roman" w:hAnsi="Times New Roman" w:cs="Times New Roman"/>
          <w:b/>
          <w:bCs/>
          <w:sz w:val="24"/>
          <w:szCs w:val="24"/>
        </w:rPr>
        <w:t>.4.3</w:t>
      </w:r>
      <w:r w:rsidRPr="005076D5">
        <w:rPr>
          <w:rFonts w:ascii="Times New Roman" w:hAnsi="Times New Roman" w:cs="Times New Roman"/>
          <w:b/>
          <w:bCs/>
          <w:sz w:val="24"/>
          <w:szCs w:val="24"/>
        </w:rPr>
        <w:tab/>
        <w:t xml:space="preserve">Dose Calculation for </w:t>
      </w:r>
      <w:r w:rsidR="002E4E66">
        <w:rPr>
          <w:rFonts w:ascii="Times New Roman" w:hAnsi="Times New Roman" w:cs="Times New Roman"/>
          <w:b/>
          <w:bCs/>
          <w:sz w:val="24"/>
          <w:szCs w:val="24"/>
        </w:rPr>
        <w:t>Ascorbic Acid (</w:t>
      </w:r>
      <w:r w:rsidRPr="005076D5">
        <w:rPr>
          <w:rFonts w:ascii="Times New Roman" w:hAnsi="Times New Roman" w:cs="Times New Roman"/>
          <w:b/>
          <w:bCs/>
          <w:sz w:val="24"/>
          <w:szCs w:val="24"/>
        </w:rPr>
        <w:t>Vitamin C</w:t>
      </w:r>
      <w:r w:rsidR="002E4E66">
        <w:rPr>
          <w:rFonts w:ascii="Times New Roman" w:hAnsi="Times New Roman" w:cs="Times New Roman"/>
          <w:b/>
          <w:bCs/>
          <w:sz w:val="24"/>
          <w:szCs w:val="24"/>
        </w:rPr>
        <w:t>)</w:t>
      </w:r>
    </w:p>
    <w:p w14:paraId="446FF1FA" w14:textId="6B70822A" w:rsidR="00DA1053" w:rsidRPr="005076D5" w:rsidRDefault="00DA1053" w:rsidP="00DA1053">
      <w:pPr>
        <w:spacing w:before="100" w:beforeAutospacing="1" w:after="100" w:afterAutospacing="1" w:line="240" w:lineRule="auto"/>
        <w:jc w:val="both"/>
        <w:rPr>
          <w:rFonts w:ascii="Times New Roman" w:hAnsi="Times New Roman" w:cs="Times New Roman"/>
          <w:sz w:val="24"/>
          <w:szCs w:val="24"/>
        </w:rPr>
      </w:pPr>
      <w:r w:rsidRPr="005076D5">
        <w:rPr>
          <w:rFonts w:ascii="Times New Roman" w:hAnsi="Times New Roman" w:cs="Times New Roman"/>
          <w:sz w:val="24"/>
          <w:szCs w:val="24"/>
        </w:rPr>
        <w:t xml:space="preserve">The dosage of vitamin C used in this study was 100 mg/kg, as adopted from the methodology of Kumar et al. </w:t>
      </w:r>
      <w:r>
        <w:rPr>
          <w:rFonts w:ascii="Times New Roman" w:hAnsi="Times New Roman" w:cs="Times New Roman"/>
          <w:sz w:val="24"/>
          <w:szCs w:val="24"/>
        </w:rPr>
        <w:t>[1</w:t>
      </w:r>
      <w:r w:rsidR="00EA3D7B">
        <w:rPr>
          <w:rFonts w:ascii="Times New Roman" w:hAnsi="Times New Roman" w:cs="Times New Roman"/>
          <w:sz w:val="24"/>
          <w:szCs w:val="24"/>
        </w:rPr>
        <w:t>5</w:t>
      </w:r>
      <w:r>
        <w:rPr>
          <w:rFonts w:ascii="Times New Roman" w:hAnsi="Times New Roman" w:cs="Times New Roman"/>
          <w:sz w:val="24"/>
          <w:szCs w:val="24"/>
        </w:rPr>
        <w:t>]</w:t>
      </w:r>
      <w:r w:rsidRPr="005076D5">
        <w:rPr>
          <w:rFonts w:ascii="Times New Roman" w:hAnsi="Times New Roman" w:cs="Times New Roman"/>
          <w:sz w:val="24"/>
          <w:szCs w:val="24"/>
        </w:rPr>
        <w:t>. For a rat weighing 234 g, the dosage was calculated as follows:</w:t>
      </w:r>
    </w:p>
    <w:p w14:paraId="15A2D33F" w14:textId="77777777" w:rsidR="00DA1053" w:rsidRDefault="00DA1053" w:rsidP="00DA1053">
      <w:pPr>
        <w:spacing w:before="100" w:beforeAutospacing="1" w:after="100" w:afterAutospacing="1" w:line="240" w:lineRule="auto"/>
        <w:jc w:val="both"/>
        <w:rPr>
          <w:rFonts w:ascii="Times New Roman" w:hAnsi="Times New Roman" w:cs="Times New Roman"/>
          <w:sz w:val="24"/>
          <w:szCs w:val="24"/>
        </w:rPr>
      </w:pPr>
      <w:r w:rsidRPr="005076D5">
        <w:rPr>
          <w:rFonts w:ascii="Times New Roman" w:hAnsi="Times New Roman" w:cs="Times New Roman"/>
          <w:sz w:val="24"/>
          <w:szCs w:val="24"/>
        </w:rPr>
        <w:t>Since 100 mg of vitamin C is required for a 1 kg (1000 g) rat, the dose for a 234 g rat was determined using the formula:</w:t>
      </w:r>
    </w:p>
    <w:p w14:paraId="228EE00B" w14:textId="77777777" w:rsidR="00DA1053" w:rsidRDefault="00DA1053" w:rsidP="00DA1053">
      <w:pPr>
        <w:spacing w:before="100" w:beforeAutospacing="1" w:after="100" w:afterAutospacing="1" w:line="240" w:lineRule="auto"/>
        <w:jc w:val="both"/>
        <w:rPr>
          <w:rFonts w:ascii="Times New Roman" w:eastAsiaTheme="minorEastAsia" w:hAnsi="Times New Roman" w:cs="Times New Roman"/>
          <w:b/>
          <w:bCs/>
          <w:sz w:val="24"/>
          <w:szCs w:val="24"/>
        </w:rPr>
      </w:pPr>
      <w:r w:rsidRPr="005076D5">
        <w:rPr>
          <w:rFonts w:ascii="Times New Roman" w:hAnsi="Times New Roman" w:cs="Times New Roman"/>
          <w:b/>
          <w:bCs/>
          <w:sz w:val="24"/>
          <w:szCs w:val="24"/>
        </w:rPr>
        <w:t>Dose</w:t>
      </w:r>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100mg</m:t>
            </m:r>
          </m:num>
          <m:den>
            <m:r>
              <w:rPr>
                <w:rFonts w:ascii="Cambria Math" w:hAnsi="Cambria Math" w:cs="Times New Roman"/>
                <w:sz w:val="24"/>
                <w:szCs w:val="24"/>
              </w:rPr>
              <m:t>1000g</m:t>
            </m:r>
          </m:den>
        </m:f>
        <m:r>
          <w:rPr>
            <w:rFonts w:ascii="Cambria Math" w:hAnsi="Cambria Math" w:cs="Times New Roman"/>
            <w:sz w:val="24"/>
            <w:szCs w:val="24"/>
          </w:rPr>
          <m:t>x 234g</m:t>
        </m:r>
      </m:oMath>
      <w:r>
        <w:rPr>
          <w:rFonts w:ascii="Times New Roman" w:eastAsiaTheme="minorEastAsia" w:hAnsi="Times New Roman" w:cs="Times New Roman"/>
          <w:sz w:val="24"/>
          <w:szCs w:val="24"/>
        </w:rPr>
        <w:t xml:space="preserve">  = </w:t>
      </w:r>
      <w:r>
        <w:rPr>
          <w:rFonts w:ascii="Times New Roman" w:eastAsiaTheme="minorEastAsia" w:hAnsi="Times New Roman" w:cs="Times New Roman"/>
          <w:b/>
          <w:bCs/>
          <w:sz w:val="24"/>
          <w:szCs w:val="24"/>
        </w:rPr>
        <w:t xml:space="preserve">23.4 </w:t>
      </w:r>
      <w:r w:rsidRPr="005076D5">
        <w:rPr>
          <w:rFonts w:ascii="Times New Roman" w:eastAsiaTheme="minorEastAsia" w:hAnsi="Times New Roman" w:cs="Times New Roman"/>
          <w:b/>
          <w:bCs/>
          <w:sz w:val="24"/>
          <w:szCs w:val="24"/>
        </w:rPr>
        <w:t>mg</w:t>
      </w:r>
    </w:p>
    <w:p w14:paraId="5E35DCC3" w14:textId="327F8C12" w:rsidR="00DA1053" w:rsidRPr="00F70713" w:rsidRDefault="00DA1053" w:rsidP="00DA1053">
      <w:pPr>
        <w:spacing w:before="100" w:beforeAutospacing="1" w:after="100" w:afterAutospacing="1" w:line="240" w:lineRule="auto"/>
        <w:jc w:val="both"/>
        <w:rPr>
          <w:rFonts w:ascii="Times New Roman" w:hAnsi="Times New Roman" w:cs="Times New Roman"/>
          <w:sz w:val="24"/>
          <w:szCs w:val="24"/>
        </w:rPr>
      </w:pPr>
      <w:r w:rsidRPr="00B95059">
        <w:rPr>
          <w:rFonts w:ascii="Times New Roman" w:hAnsi="Times New Roman" w:cs="Times New Roman"/>
          <w:sz w:val="24"/>
          <w:szCs w:val="24"/>
        </w:rPr>
        <w:t xml:space="preserve">Following the OECD guidelines for volume selection </w:t>
      </w:r>
      <w:r>
        <w:rPr>
          <w:rFonts w:ascii="Times New Roman" w:hAnsi="Times New Roman" w:cs="Times New Roman"/>
          <w:sz w:val="24"/>
          <w:szCs w:val="24"/>
        </w:rPr>
        <w:t>[1</w:t>
      </w:r>
      <w:r w:rsidR="00EA3D7B">
        <w:rPr>
          <w:rFonts w:ascii="Times New Roman" w:hAnsi="Times New Roman" w:cs="Times New Roman"/>
          <w:sz w:val="24"/>
          <w:szCs w:val="24"/>
        </w:rPr>
        <w:t>4</w:t>
      </w:r>
      <w:r>
        <w:rPr>
          <w:rFonts w:ascii="Times New Roman" w:hAnsi="Times New Roman" w:cs="Times New Roman"/>
          <w:sz w:val="24"/>
          <w:szCs w:val="24"/>
        </w:rPr>
        <w:t>]</w:t>
      </w:r>
      <w:r w:rsidRPr="00B95059">
        <w:rPr>
          <w:rFonts w:ascii="Times New Roman" w:hAnsi="Times New Roman" w:cs="Times New Roman"/>
          <w:sz w:val="24"/>
          <w:szCs w:val="24"/>
        </w:rPr>
        <w:t>, this 2</w:t>
      </w:r>
      <w:r>
        <w:rPr>
          <w:rFonts w:ascii="Times New Roman" w:hAnsi="Times New Roman" w:cs="Times New Roman"/>
          <w:sz w:val="24"/>
          <w:szCs w:val="24"/>
        </w:rPr>
        <w:t>3.4</w:t>
      </w:r>
      <w:r w:rsidRPr="00B95059">
        <w:rPr>
          <w:rFonts w:ascii="Times New Roman" w:hAnsi="Times New Roman" w:cs="Times New Roman"/>
          <w:sz w:val="24"/>
          <w:szCs w:val="24"/>
        </w:rPr>
        <w:t xml:space="preserve"> mg of </w:t>
      </w:r>
      <w:r>
        <w:rPr>
          <w:rFonts w:ascii="Times New Roman" w:hAnsi="Times New Roman" w:cs="Times New Roman"/>
          <w:sz w:val="24"/>
          <w:szCs w:val="24"/>
        </w:rPr>
        <w:t>vitamin C</w:t>
      </w:r>
      <w:r w:rsidRPr="00B95059">
        <w:rPr>
          <w:rFonts w:ascii="Times New Roman" w:hAnsi="Times New Roman" w:cs="Times New Roman"/>
          <w:sz w:val="24"/>
          <w:szCs w:val="24"/>
        </w:rPr>
        <w:t xml:space="preserve"> was dissolved in 2.34 ml of distilled water, ensuring accurate administration.</w:t>
      </w:r>
    </w:p>
    <w:p w14:paraId="53630BB7" w14:textId="77777777" w:rsidR="00DA1053" w:rsidRPr="005076D5" w:rsidRDefault="00DA1053" w:rsidP="00DA1053">
      <w:pPr>
        <w:spacing w:before="100" w:beforeAutospacing="1" w:after="100" w:afterAutospacing="1" w:line="240" w:lineRule="auto"/>
        <w:jc w:val="both"/>
        <w:rPr>
          <w:rFonts w:ascii="Times New Roman" w:hAnsi="Times New Roman" w:cs="Times New Roman"/>
          <w:b/>
          <w:bCs/>
          <w:sz w:val="24"/>
          <w:szCs w:val="24"/>
        </w:rPr>
      </w:pPr>
      <w:r w:rsidRPr="005076D5">
        <w:rPr>
          <w:rFonts w:ascii="Times New Roman" w:hAnsi="Times New Roman" w:cs="Times New Roman"/>
          <w:b/>
          <w:bCs/>
          <w:sz w:val="24"/>
          <w:szCs w:val="24"/>
        </w:rPr>
        <w:t>2.5</w:t>
      </w:r>
      <w:r w:rsidRPr="005076D5">
        <w:rPr>
          <w:rFonts w:ascii="Times New Roman" w:hAnsi="Times New Roman" w:cs="Times New Roman"/>
          <w:b/>
          <w:bCs/>
          <w:sz w:val="24"/>
          <w:szCs w:val="24"/>
        </w:rPr>
        <w:tab/>
        <w:t>Experimental Study Design</w:t>
      </w:r>
    </w:p>
    <w:p w14:paraId="760A2883" w14:textId="0899F286" w:rsidR="00570EC2" w:rsidRPr="00570EC2" w:rsidRDefault="00570EC2" w:rsidP="00570EC2">
      <w:pPr>
        <w:spacing w:before="100" w:beforeAutospacing="1" w:after="100" w:afterAutospacing="1" w:line="240" w:lineRule="auto"/>
        <w:jc w:val="both"/>
        <w:rPr>
          <w:rFonts w:ascii="Times New Roman" w:hAnsi="Times New Roman" w:cs="Times New Roman"/>
          <w:sz w:val="24"/>
          <w:szCs w:val="24"/>
        </w:rPr>
      </w:pPr>
      <w:r w:rsidRPr="00570EC2">
        <w:rPr>
          <w:rFonts w:ascii="Times New Roman" w:hAnsi="Times New Roman" w:cs="Times New Roman"/>
          <w:sz w:val="24"/>
          <w:szCs w:val="24"/>
        </w:rPr>
        <w:t>Following a 14-day acclimatization period, 36 rats were categorized into six groups of six rats each based on their body weight. Group 1 served as the control, receiving standard food, water, and 1.8 ml of distilled water orally once per day for 28 days. Group 2 was administered a low dose of sodium benzoate (120 mg/kg body weight) orally each day for 28 days, while Group 3 received a higher dose of sodium benzoate (240 mg/kg body weight) under identical conditions. Group 4 was given vitamin C at a dose of 100 mg/kg body weight via oral administration once daily for 28 days. Group 5 received a combination of the low dose of sodium benzoate (120 mg/kg) and vitamin C (100 mg/kg) daily for 28 days, whereas Group 6 was treated with the high dose of sodium benzoate (240 mg/kg) alongside vitamin C (100 mg/kg) following the same daily regimen.</w:t>
      </w:r>
    </w:p>
    <w:p w14:paraId="4242F277" w14:textId="0D8095E7" w:rsidR="00DA1053" w:rsidRPr="00B729F9" w:rsidRDefault="00DA1053" w:rsidP="00DA1053">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Pr="00B729F9">
        <w:rPr>
          <w:rFonts w:ascii="Times New Roman" w:hAnsi="Times New Roman" w:cs="Times New Roman"/>
          <w:b/>
          <w:bCs/>
          <w:sz w:val="24"/>
          <w:szCs w:val="24"/>
        </w:rPr>
        <w:t>.6</w:t>
      </w:r>
      <w:r w:rsidRPr="00B729F9">
        <w:rPr>
          <w:rFonts w:ascii="Times New Roman" w:hAnsi="Times New Roman" w:cs="Times New Roman"/>
          <w:b/>
          <w:bCs/>
          <w:sz w:val="24"/>
          <w:szCs w:val="24"/>
        </w:rPr>
        <w:tab/>
        <w:t>Specimen Collection</w:t>
      </w:r>
      <w:r w:rsidR="00063E3A">
        <w:rPr>
          <w:rFonts w:ascii="Times New Roman" w:hAnsi="Times New Roman" w:cs="Times New Roman"/>
          <w:b/>
          <w:bCs/>
          <w:sz w:val="24"/>
          <w:szCs w:val="24"/>
        </w:rPr>
        <w:t>,</w:t>
      </w:r>
      <w:r w:rsidRPr="00B729F9">
        <w:rPr>
          <w:rFonts w:ascii="Times New Roman" w:hAnsi="Times New Roman" w:cs="Times New Roman"/>
          <w:b/>
          <w:bCs/>
          <w:sz w:val="24"/>
          <w:szCs w:val="24"/>
        </w:rPr>
        <w:t xml:space="preserve"> Preparation</w:t>
      </w:r>
      <w:r w:rsidR="00063E3A">
        <w:rPr>
          <w:rFonts w:ascii="Times New Roman" w:hAnsi="Times New Roman" w:cs="Times New Roman"/>
          <w:b/>
          <w:bCs/>
          <w:sz w:val="24"/>
          <w:szCs w:val="24"/>
        </w:rPr>
        <w:t xml:space="preserve">, and </w:t>
      </w:r>
      <w:r w:rsidR="00063E3A" w:rsidRPr="00B729F9">
        <w:rPr>
          <w:rFonts w:ascii="Times New Roman" w:hAnsi="Times New Roman" w:cs="Times New Roman"/>
          <w:b/>
          <w:bCs/>
          <w:sz w:val="24"/>
          <w:szCs w:val="24"/>
        </w:rPr>
        <w:t>Analysis</w:t>
      </w:r>
    </w:p>
    <w:p w14:paraId="0174D526" w14:textId="0FA90450" w:rsidR="00EA3D7B" w:rsidRPr="005953AE" w:rsidRDefault="00AA6E31" w:rsidP="00DA1053">
      <w:pPr>
        <w:spacing w:before="100" w:beforeAutospacing="1" w:after="100" w:afterAutospacing="1" w:line="240" w:lineRule="auto"/>
        <w:jc w:val="both"/>
        <w:rPr>
          <w:rFonts w:ascii="Times New Roman" w:hAnsi="Times New Roman" w:cs="Times New Roman"/>
          <w:sz w:val="24"/>
          <w:szCs w:val="24"/>
        </w:rPr>
      </w:pPr>
      <w:r w:rsidRPr="00AA6E31">
        <w:rPr>
          <w:rFonts w:ascii="Times New Roman" w:hAnsi="Times New Roman" w:cs="Times New Roman"/>
          <w:sz w:val="24"/>
          <w:szCs w:val="24"/>
        </w:rPr>
        <w:t>After the 28-day experimental period, the rats were fasted overnight and anesthetized in a jar containing chloroform-soaked cotton wool. Whole blood samples (5 mL) were aseptically collected via cardiac puncture using sterile syringes and needles. A 2 mL portion was placed in a fluoride oxalate bottle, while the remaining 3 mL was transferred into a plain bottle and allowed to clot. The sample in the fluoride oxalate bottle was centrifuged at 3000 rpm for 5 minutes to obtain plasma, which was analyzed for fasting glucose concentration using the glucose oxidase method. Meanwhile, the clotted blood in the plain bottle was centrifuged under the same conditions to obtain serum, which was used for fasting lipid profile analysis. Additionally, lipid ratio markers, such as the LDL/HDL ratio and non-HDL cholesterol, were calculated based on the lipid parameters.</w:t>
      </w:r>
    </w:p>
    <w:p w14:paraId="5FEBE21D" w14:textId="622D5DD0" w:rsidR="00DA1053" w:rsidRPr="00B263F5" w:rsidRDefault="00DA1053" w:rsidP="00DA1053">
      <w:pPr>
        <w:spacing w:before="100" w:beforeAutospacing="1" w:after="100" w:afterAutospacing="1" w:line="240" w:lineRule="auto"/>
        <w:jc w:val="both"/>
        <w:rPr>
          <w:rFonts w:ascii="Times New Roman" w:hAnsi="Times New Roman" w:cs="Times New Roman"/>
          <w:b/>
          <w:bCs/>
          <w:sz w:val="24"/>
          <w:szCs w:val="24"/>
        </w:rPr>
      </w:pPr>
      <w:r w:rsidRPr="00B263F5">
        <w:rPr>
          <w:rFonts w:ascii="Times New Roman" w:hAnsi="Times New Roman" w:cs="Times New Roman"/>
          <w:b/>
          <w:bCs/>
          <w:sz w:val="24"/>
          <w:szCs w:val="24"/>
        </w:rPr>
        <w:t>2.</w:t>
      </w:r>
      <w:r w:rsidR="00965D1A">
        <w:rPr>
          <w:rFonts w:ascii="Times New Roman" w:hAnsi="Times New Roman" w:cs="Times New Roman"/>
          <w:b/>
          <w:bCs/>
          <w:sz w:val="24"/>
          <w:szCs w:val="24"/>
        </w:rPr>
        <w:t>7</w:t>
      </w:r>
      <w:r w:rsidRPr="00B263F5">
        <w:rPr>
          <w:rFonts w:ascii="Times New Roman" w:hAnsi="Times New Roman" w:cs="Times New Roman"/>
          <w:b/>
          <w:bCs/>
          <w:sz w:val="24"/>
          <w:szCs w:val="24"/>
        </w:rPr>
        <w:t xml:space="preserve"> </w:t>
      </w:r>
      <w:r w:rsidRPr="00B263F5">
        <w:rPr>
          <w:rFonts w:ascii="Times New Roman" w:hAnsi="Times New Roman" w:cs="Times New Roman"/>
          <w:b/>
          <w:bCs/>
          <w:sz w:val="24"/>
          <w:szCs w:val="24"/>
        </w:rPr>
        <w:tab/>
        <w:t xml:space="preserve">Statistical Analysis </w:t>
      </w:r>
    </w:p>
    <w:p w14:paraId="774E4C4C" w14:textId="77777777" w:rsidR="00DA1053" w:rsidRDefault="00DA1053" w:rsidP="00DA1053">
      <w:pPr>
        <w:spacing w:before="100" w:beforeAutospacing="1" w:after="100" w:afterAutospacing="1" w:line="240" w:lineRule="auto"/>
        <w:jc w:val="both"/>
        <w:rPr>
          <w:rFonts w:ascii="Times New Roman" w:hAnsi="Times New Roman" w:cs="Times New Roman"/>
          <w:sz w:val="24"/>
          <w:szCs w:val="24"/>
        </w:rPr>
      </w:pPr>
      <w:r w:rsidRPr="00F358C8">
        <w:rPr>
          <w:rFonts w:ascii="Times New Roman" w:hAnsi="Times New Roman" w:cs="Times New Roman"/>
          <w:sz w:val="24"/>
          <w:szCs w:val="24"/>
        </w:rPr>
        <w:t>The data generated from the analysis were expressed as Mean ± standard deviation, and analysed using the Statistical Package for Social Science (SPSS) version 24. Comparison of the mean and standard deviation values were made for the various parameters for the various groups using the one-way ANOVA and Tukey test. Results were considered statistically significant at 95% confidence interval (p≤0.05).</w:t>
      </w:r>
    </w:p>
    <w:p w14:paraId="11D1F0AE" w14:textId="77777777" w:rsidR="00DA1053" w:rsidRDefault="00DA1053" w:rsidP="00DA1053">
      <w:pPr>
        <w:spacing w:before="100" w:beforeAutospacing="1" w:after="100" w:afterAutospacing="1" w:line="240" w:lineRule="auto"/>
        <w:jc w:val="both"/>
        <w:rPr>
          <w:rFonts w:ascii="Times New Roman" w:hAnsi="Times New Roman" w:cs="Times New Roman"/>
          <w:b/>
          <w:bCs/>
          <w:sz w:val="24"/>
          <w:szCs w:val="24"/>
        </w:rPr>
      </w:pPr>
      <w:r w:rsidRPr="002333F3">
        <w:rPr>
          <w:rFonts w:ascii="Times New Roman" w:hAnsi="Times New Roman" w:cs="Times New Roman"/>
          <w:b/>
          <w:bCs/>
          <w:sz w:val="24"/>
          <w:szCs w:val="24"/>
        </w:rPr>
        <w:lastRenderedPageBreak/>
        <w:t>3.0</w:t>
      </w:r>
      <w:r w:rsidRPr="002333F3">
        <w:rPr>
          <w:rFonts w:ascii="Times New Roman" w:hAnsi="Times New Roman" w:cs="Times New Roman"/>
          <w:b/>
          <w:bCs/>
          <w:sz w:val="24"/>
          <w:szCs w:val="24"/>
        </w:rPr>
        <w:tab/>
        <w:t>RESULTS</w:t>
      </w:r>
    </w:p>
    <w:p w14:paraId="3E0AFA6F" w14:textId="77777777" w:rsidR="00DA1053" w:rsidRPr="00140508" w:rsidRDefault="00DA1053" w:rsidP="00DA1053">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Acute</w:t>
      </w:r>
      <w:r w:rsidRPr="00140508">
        <w:rPr>
          <w:rFonts w:ascii="Times New Roman" w:hAnsi="Times New Roman" w:cs="Times New Roman"/>
          <w:b/>
          <w:bCs/>
          <w:sz w:val="24"/>
          <w:szCs w:val="24"/>
        </w:rPr>
        <w:t xml:space="preserve"> </w:t>
      </w:r>
      <w:r>
        <w:rPr>
          <w:rFonts w:ascii="Times New Roman" w:hAnsi="Times New Roman" w:cs="Times New Roman"/>
          <w:b/>
          <w:bCs/>
          <w:sz w:val="24"/>
          <w:szCs w:val="24"/>
        </w:rPr>
        <w:t>T</w:t>
      </w:r>
      <w:r w:rsidRPr="00140508">
        <w:rPr>
          <w:rFonts w:ascii="Times New Roman" w:hAnsi="Times New Roman" w:cs="Times New Roman"/>
          <w:b/>
          <w:bCs/>
          <w:sz w:val="24"/>
          <w:szCs w:val="24"/>
        </w:rPr>
        <w:t xml:space="preserve">oxicity </w:t>
      </w:r>
      <w:r>
        <w:rPr>
          <w:rFonts w:ascii="Times New Roman" w:hAnsi="Times New Roman" w:cs="Times New Roman"/>
          <w:b/>
          <w:bCs/>
          <w:sz w:val="24"/>
          <w:szCs w:val="24"/>
        </w:rPr>
        <w:t>S</w:t>
      </w:r>
      <w:r w:rsidRPr="00140508">
        <w:rPr>
          <w:rFonts w:ascii="Times New Roman" w:hAnsi="Times New Roman" w:cs="Times New Roman"/>
          <w:b/>
          <w:bCs/>
          <w:sz w:val="24"/>
          <w:szCs w:val="24"/>
        </w:rPr>
        <w:t xml:space="preserve">tudy of </w:t>
      </w:r>
      <w:r>
        <w:rPr>
          <w:rFonts w:ascii="Times New Roman" w:hAnsi="Times New Roman" w:cs="Times New Roman"/>
          <w:b/>
          <w:bCs/>
          <w:sz w:val="24"/>
          <w:szCs w:val="24"/>
        </w:rPr>
        <w:t>Sodium Benzoate</w:t>
      </w:r>
    </w:p>
    <w:p w14:paraId="46364925" w14:textId="77777777" w:rsidR="00DA1053" w:rsidRPr="00750EDF" w:rsidRDefault="00DA1053" w:rsidP="00DA1053">
      <w:pPr>
        <w:spacing w:before="100" w:beforeAutospacing="1" w:after="100" w:afterAutospacing="1" w:line="240" w:lineRule="auto"/>
        <w:jc w:val="both"/>
        <w:rPr>
          <w:rFonts w:ascii="Times New Roman" w:hAnsi="Times New Roman" w:cs="Times New Roman"/>
          <w:sz w:val="24"/>
          <w:szCs w:val="24"/>
        </w:rPr>
      </w:pPr>
      <w:r w:rsidRPr="00750EDF">
        <w:rPr>
          <w:rFonts w:ascii="Times New Roman" w:hAnsi="Times New Roman" w:cs="Times New Roman"/>
          <w:sz w:val="24"/>
          <w:szCs w:val="24"/>
        </w:rPr>
        <w:t>The acute toxicity study results for sodium benzoate are shown in Tables 1a and 1b. Table 1a demonstrates that administering 700 mg/kg of sodium benzoate to rats led to visible signs of toxicity, such as wounds, lesions, and decreased activity, although no fatalities were observed. In contrast, Table 1b reveals that treatment with 300 mg/kg of sodium benzoate showed no signs of toxicity or mortality in the rats.</w:t>
      </w:r>
    </w:p>
    <w:p w14:paraId="2BA0DB99" w14:textId="77777777" w:rsidR="00DA1053" w:rsidRDefault="00DA1053" w:rsidP="00DA1053">
      <w:pPr>
        <w:rPr>
          <w:rFonts w:ascii="Times New Roman" w:hAnsi="Times New Roman" w:cs="Times New Roman"/>
          <w:b/>
          <w:bCs/>
          <w:sz w:val="24"/>
          <w:szCs w:val="24"/>
        </w:rPr>
      </w:pPr>
      <w:r w:rsidRPr="00140508">
        <w:rPr>
          <w:rFonts w:ascii="Times New Roman" w:hAnsi="Times New Roman" w:cs="Times New Roman"/>
          <w:b/>
          <w:bCs/>
          <w:sz w:val="24"/>
          <w:szCs w:val="24"/>
        </w:rPr>
        <w:t xml:space="preserve">Table </w:t>
      </w:r>
      <w:r>
        <w:rPr>
          <w:rFonts w:ascii="Times New Roman" w:hAnsi="Times New Roman" w:cs="Times New Roman"/>
          <w:b/>
          <w:bCs/>
          <w:sz w:val="24"/>
          <w:szCs w:val="24"/>
        </w:rPr>
        <w:t>1</w:t>
      </w:r>
      <w:r w:rsidRPr="00140508">
        <w:rPr>
          <w:rFonts w:ascii="Times New Roman" w:hAnsi="Times New Roman" w:cs="Times New Roman"/>
          <w:b/>
          <w:bCs/>
          <w:sz w:val="24"/>
          <w:szCs w:val="24"/>
        </w:rPr>
        <w:t xml:space="preserve">: Results of </w:t>
      </w:r>
      <w:r>
        <w:rPr>
          <w:rFonts w:ascii="Times New Roman" w:hAnsi="Times New Roman" w:cs="Times New Roman"/>
          <w:b/>
          <w:bCs/>
          <w:sz w:val="24"/>
          <w:szCs w:val="24"/>
        </w:rPr>
        <w:t xml:space="preserve">Acute </w:t>
      </w:r>
      <w:r w:rsidRPr="00140508">
        <w:rPr>
          <w:rFonts w:ascii="Times New Roman" w:hAnsi="Times New Roman" w:cs="Times New Roman"/>
          <w:b/>
          <w:bCs/>
          <w:sz w:val="24"/>
          <w:szCs w:val="24"/>
        </w:rPr>
        <w:t>Toxicity Study</w:t>
      </w:r>
    </w:p>
    <w:p w14:paraId="5515372D" w14:textId="77777777" w:rsidR="00DA1053" w:rsidRPr="00DE58FF" w:rsidRDefault="00DA1053" w:rsidP="00DA1053">
      <w:pPr>
        <w:ind w:left="360"/>
        <w:rPr>
          <w:rFonts w:ascii="Times New Roman" w:hAnsi="Times New Roman" w:cs="Times New Roman"/>
          <w:b/>
          <w:bCs/>
          <w:sz w:val="24"/>
          <w:szCs w:val="24"/>
        </w:rPr>
      </w:pPr>
      <w:r>
        <w:rPr>
          <w:rFonts w:ascii="Times New Roman" w:hAnsi="Times New Roman" w:cs="Times New Roman"/>
          <w:b/>
          <w:bCs/>
          <w:sz w:val="24"/>
          <w:szCs w:val="24"/>
        </w:rPr>
        <w:t xml:space="preserve">1a. </w:t>
      </w:r>
      <w:r w:rsidRPr="00DE58FF">
        <w:rPr>
          <w:rFonts w:ascii="Times New Roman" w:hAnsi="Times New Roman" w:cs="Times New Roman"/>
          <w:b/>
          <w:bCs/>
          <w:sz w:val="24"/>
          <w:szCs w:val="24"/>
        </w:rPr>
        <w:t>Phase I</w:t>
      </w:r>
    </w:p>
    <w:tbl>
      <w:tblPr>
        <w:tblStyle w:val="TableGrid"/>
        <w:tblW w:w="0" w:type="auto"/>
        <w:tblLook w:val="04A0" w:firstRow="1" w:lastRow="0" w:firstColumn="1" w:lastColumn="0" w:noHBand="0" w:noVBand="1"/>
      </w:tblPr>
      <w:tblGrid>
        <w:gridCol w:w="2358"/>
        <w:gridCol w:w="6694"/>
      </w:tblGrid>
      <w:tr w:rsidR="00DA1053" w:rsidRPr="00140508" w14:paraId="16D1A729" w14:textId="77777777" w:rsidTr="007122A3">
        <w:trPr>
          <w:trHeight w:val="277"/>
        </w:trPr>
        <w:tc>
          <w:tcPr>
            <w:tcW w:w="2358" w:type="dxa"/>
          </w:tcPr>
          <w:p w14:paraId="29F294D6" w14:textId="77777777" w:rsidR="00DA1053" w:rsidRPr="00140508" w:rsidRDefault="00DA1053" w:rsidP="007122A3">
            <w:pPr>
              <w:spacing w:before="100" w:beforeAutospacing="1" w:after="100" w:afterAutospacing="1" w:line="480" w:lineRule="auto"/>
              <w:jc w:val="both"/>
              <w:rPr>
                <w:rFonts w:ascii="Times New Roman" w:hAnsi="Times New Roman" w:cs="Times New Roman"/>
                <w:b/>
                <w:bCs/>
                <w:sz w:val="24"/>
                <w:szCs w:val="24"/>
              </w:rPr>
            </w:pPr>
            <w:r w:rsidRPr="00140508">
              <w:rPr>
                <w:rFonts w:ascii="Times New Roman" w:hAnsi="Times New Roman" w:cs="Times New Roman"/>
                <w:b/>
                <w:bCs/>
                <w:sz w:val="24"/>
                <w:szCs w:val="24"/>
              </w:rPr>
              <w:t>Dose (mg/kg)</w:t>
            </w:r>
          </w:p>
        </w:tc>
        <w:tc>
          <w:tcPr>
            <w:tcW w:w="6694" w:type="dxa"/>
          </w:tcPr>
          <w:p w14:paraId="5A44A743" w14:textId="77777777" w:rsidR="00DA1053" w:rsidRPr="00140508" w:rsidRDefault="00DA1053" w:rsidP="007122A3">
            <w:pPr>
              <w:spacing w:before="100" w:beforeAutospacing="1" w:after="100" w:afterAutospacing="1" w:line="480" w:lineRule="auto"/>
              <w:jc w:val="center"/>
              <w:rPr>
                <w:rFonts w:ascii="Times New Roman" w:hAnsi="Times New Roman" w:cs="Times New Roman"/>
                <w:b/>
                <w:bCs/>
                <w:sz w:val="24"/>
                <w:szCs w:val="24"/>
              </w:rPr>
            </w:pPr>
            <w:r w:rsidRPr="00140508">
              <w:rPr>
                <w:rFonts w:ascii="Times New Roman" w:hAnsi="Times New Roman" w:cs="Times New Roman"/>
                <w:b/>
                <w:bCs/>
                <w:sz w:val="24"/>
                <w:szCs w:val="24"/>
              </w:rPr>
              <w:t>Observation</w:t>
            </w:r>
          </w:p>
        </w:tc>
      </w:tr>
      <w:tr w:rsidR="00DA1053" w:rsidRPr="00140508" w14:paraId="4A6F3862" w14:textId="77777777" w:rsidTr="007122A3">
        <w:trPr>
          <w:trHeight w:val="263"/>
        </w:trPr>
        <w:tc>
          <w:tcPr>
            <w:tcW w:w="2358" w:type="dxa"/>
          </w:tcPr>
          <w:p w14:paraId="04068001" w14:textId="77777777" w:rsidR="00DA1053" w:rsidRPr="00140508" w:rsidRDefault="00DA1053" w:rsidP="007122A3">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7</w:t>
            </w:r>
            <w:r w:rsidRPr="00140508">
              <w:rPr>
                <w:rFonts w:ascii="Times New Roman" w:hAnsi="Times New Roman" w:cs="Times New Roman"/>
                <w:sz w:val="24"/>
                <w:szCs w:val="24"/>
              </w:rPr>
              <w:t>00</w:t>
            </w:r>
          </w:p>
        </w:tc>
        <w:tc>
          <w:tcPr>
            <w:tcW w:w="6694" w:type="dxa"/>
          </w:tcPr>
          <w:p w14:paraId="08694B02" w14:textId="77777777" w:rsidR="00DA1053" w:rsidRPr="00140508" w:rsidRDefault="00DA1053" w:rsidP="007122A3">
            <w:pPr>
              <w:spacing w:before="100" w:beforeAutospacing="1" w:after="100" w:afterAutospacing="1"/>
              <w:rPr>
                <w:rFonts w:ascii="Times New Roman" w:hAnsi="Times New Roman" w:cs="Times New Roman"/>
                <w:sz w:val="24"/>
                <w:szCs w:val="24"/>
              </w:rPr>
            </w:pPr>
            <w:r>
              <w:rPr>
                <w:rFonts w:ascii="Times New Roman" w:hAnsi="Times New Roman" w:cs="Times New Roman"/>
                <w:sz w:val="24"/>
                <w:szCs w:val="24"/>
              </w:rPr>
              <w:t>Presence of signs of toxicity such as w</w:t>
            </w:r>
            <w:r w:rsidRPr="008837C6">
              <w:rPr>
                <w:rFonts w:ascii="Times New Roman" w:hAnsi="Times New Roman" w:cs="Times New Roman"/>
                <w:sz w:val="24"/>
                <w:szCs w:val="24"/>
              </w:rPr>
              <w:t xml:space="preserve">ounds </w:t>
            </w:r>
            <w:r>
              <w:rPr>
                <w:rFonts w:ascii="Times New Roman" w:hAnsi="Times New Roman" w:cs="Times New Roman"/>
                <w:sz w:val="24"/>
                <w:szCs w:val="24"/>
              </w:rPr>
              <w:t>and</w:t>
            </w:r>
            <w:r w:rsidRPr="008837C6">
              <w:rPr>
                <w:rFonts w:ascii="Times New Roman" w:hAnsi="Times New Roman" w:cs="Times New Roman"/>
                <w:sz w:val="24"/>
                <w:szCs w:val="24"/>
              </w:rPr>
              <w:t xml:space="preserve"> </w:t>
            </w:r>
            <w:r>
              <w:rPr>
                <w:rFonts w:ascii="Times New Roman" w:hAnsi="Times New Roman" w:cs="Times New Roman"/>
                <w:sz w:val="24"/>
                <w:szCs w:val="24"/>
              </w:rPr>
              <w:t>l</w:t>
            </w:r>
            <w:r w:rsidRPr="008837C6">
              <w:rPr>
                <w:rFonts w:ascii="Times New Roman" w:hAnsi="Times New Roman" w:cs="Times New Roman"/>
                <w:sz w:val="24"/>
                <w:szCs w:val="24"/>
              </w:rPr>
              <w:t>esions</w:t>
            </w:r>
            <w:r>
              <w:rPr>
                <w:rFonts w:ascii="Times New Roman" w:hAnsi="Times New Roman" w:cs="Times New Roman"/>
                <w:sz w:val="24"/>
                <w:szCs w:val="24"/>
              </w:rPr>
              <w:t xml:space="preserve">, and reduced activity. </w:t>
            </w:r>
            <w:r w:rsidRPr="00140508">
              <w:rPr>
                <w:rFonts w:ascii="Times New Roman" w:hAnsi="Times New Roman" w:cs="Times New Roman"/>
                <w:sz w:val="24"/>
                <w:szCs w:val="24"/>
              </w:rPr>
              <w:t>No mortality</w:t>
            </w:r>
          </w:p>
        </w:tc>
      </w:tr>
    </w:tbl>
    <w:p w14:paraId="27D2EB55" w14:textId="77777777" w:rsidR="00DA1053" w:rsidRDefault="00DA1053" w:rsidP="00DA1053">
      <w:pPr>
        <w:tabs>
          <w:tab w:val="left" w:pos="2605"/>
        </w:tabs>
        <w:rPr>
          <w:rFonts w:ascii="Times New Roman" w:hAnsi="Times New Roman" w:cs="Times New Roman"/>
          <w:b/>
          <w:bCs/>
          <w:sz w:val="24"/>
          <w:szCs w:val="24"/>
        </w:rPr>
      </w:pPr>
    </w:p>
    <w:p w14:paraId="619AECA6" w14:textId="77777777" w:rsidR="00DA1053" w:rsidRDefault="00DA1053" w:rsidP="00DA1053">
      <w:pPr>
        <w:rPr>
          <w:rFonts w:ascii="Times New Roman" w:hAnsi="Times New Roman" w:cs="Times New Roman"/>
          <w:b/>
          <w:bCs/>
          <w:sz w:val="24"/>
          <w:szCs w:val="24"/>
        </w:rPr>
      </w:pPr>
    </w:p>
    <w:p w14:paraId="0F75952B" w14:textId="77777777" w:rsidR="00DA1053" w:rsidRDefault="00DA1053" w:rsidP="00DA1053">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A30889B" wp14:editId="02F54FA5">
            <wp:extent cx="2799715" cy="3216579"/>
            <wp:effectExtent l="0" t="0" r="0" b="0"/>
            <wp:docPr id="1579018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9205" cy="3273438"/>
                    </a:xfrm>
                    <a:prstGeom prst="rect">
                      <a:avLst/>
                    </a:prstGeom>
                    <a:noFill/>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17FD1C4D" wp14:editId="643361A8">
            <wp:extent cx="3057525" cy="3218180"/>
            <wp:effectExtent l="0" t="0" r="0" b="0"/>
            <wp:docPr id="18203974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6904" cy="3280679"/>
                    </a:xfrm>
                    <a:prstGeom prst="rect">
                      <a:avLst/>
                    </a:prstGeom>
                    <a:noFill/>
                  </pic:spPr>
                </pic:pic>
              </a:graphicData>
            </a:graphic>
          </wp:inline>
        </w:drawing>
      </w:r>
    </w:p>
    <w:p w14:paraId="2CE84593" w14:textId="77777777" w:rsidR="00DA1053" w:rsidRDefault="00DA1053" w:rsidP="00DA1053">
      <w:pPr>
        <w:jc w:val="both"/>
        <w:rPr>
          <w:rFonts w:ascii="Times New Roman" w:hAnsi="Times New Roman" w:cs="Times New Roman"/>
          <w:b/>
          <w:bCs/>
          <w:sz w:val="24"/>
          <w:szCs w:val="24"/>
        </w:rPr>
      </w:pPr>
      <w:r w:rsidRPr="00F21906">
        <w:rPr>
          <w:rFonts w:ascii="Times New Roman" w:hAnsi="Times New Roman" w:cs="Times New Roman"/>
          <w:b/>
          <w:bCs/>
          <w:sz w:val="24"/>
          <w:szCs w:val="24"/>
        </w:rPr>
        <w:t xml:space="preserve">Figure </w:t>
      </w:r>
      <w:r>
        <w:rPr>
          <w:rFonts w:ascii="Times New Roman" w:hAnsi="Times New Roman" w:cs="Times New Roman"/>
          <w:b/>
          <w:bCs/>
          <w:sz w:val="24"/>
          <w:szCs w:val="24"/>
        </w:rPr>
        <w:t>2</w:t>
      </w:r>
      <w:r w:rsidRPr="00F21906">
        <w:rPr>
          <w:rFonts w:ascii="Times New Roman" w:hAnsi="Times New Roman" w:cs="Times New Roman"/>
          <w:b/>
          <w:bCs/>
          <w:sz w:val="24"/>
          <w:szCs w:val="24"/>
        </w:rPr>
        <w:t>: Photographs Showing Wounds and Lesions on the Skin of Rats Administered 700 mg/kg of Sodium</w:t>
      </w:r>
      <w:r w:rsidRPr="00EB1E70">
        <w:rPr>
          <w:rFonts w:ascii="Times New Roman" w:hAnsi="Times New Roman" w:cs="Times New Roman"/>
          <w:b/>
          <w:bCs/>
          <w:sz w:val="24"/>
          <w:szCs w:val="24"/>
        </w:rPr>
        <w:t xml:space="preserve"> Benzoate During Phase I of the Acute Toxicity Study</w:t>
      </w:r>
    </w:p>
    <w:p w14:paraId="65C1DFA8" w14:textId="77777777" w:rsidR="00DA1053" w:rsidRDefault="00DA1053" w:rsidP="00DA1053">
      <w:pPr>
        <w:rPr>
          <w:rFonts w:ascii="Times New Roman" w:hAnsi="Times New Roman" w:cs="Times New Roman"/>
          <w:sz w:val="24"/>
          <w:szCs w:val="24"/>
        </w:rPr>
      </w:pPr>
    </w:p>
    <w:p w14:paraId="59AE2644" w14:textId="77777777" w:rsidR="00DA1053" w:rsidRPr="00C16149" w:rsidRDefault="00DA1053" w:rsidP="00DA1053">
      <w:pPr>
        <w:ind w:left="360"/>
        <w:rPr>
          <w:rFonts w:ascii="Times New Roman" w:hAnsi="Times New Roman" w:cs="Times New Roman"/>
          <w:b/>
          <w:bCs/>
          <w:sz w:val="24"/>
          <w:szCs w:val="24"/>
        </w:rPr>
      </w:pPr>
      <w:r>
        <w:rPr>
          <w:rFonts w:ascii="Times New Roman" w:hAnsi="Times New Roman" w:cs="Times New Roman"/>
          <w:b/>
          <w:bCs/>
          <w:sz w:val="24"/>
          <w:szCs w:val="24"/>
        </w:rPr>
        <w:t xml:space="preserve">1b. </w:t>
      </w:r>
      <w:r w:rsidRPr="00C16149">
        <w:rPr>
          <w:rFonts w:ascii="Times New Roman" w:hAnsi="Times New Roman" w:cs="Times New Roman"/>
          <w:b/>
          <w:bCs/>
          <w:sz w:val="24"/>
          <w:szCs w:val="24"/>
        </w:rPr>
        <w:t>Phase II</w:t>
      </w:r>
    </w:p>
    <w:tbl>
      <w:tblPr>
        <w:tblStyle w:val="TableGrid"/>
        <w:tblW w:w="0" w:type="auto"/>
        <w:tblLook w:val="04A0" w:firstRow="1" w:lastRow="0" w:firstColumn="1" w:lastColumn="0" w:noHBand="0" w:noVBand="1"/>
      </w:tblPr>
      <w:tblGrid>
        <w:gridCol w:w="2358"/>
        <w:gridCol w:w="6694"/>
      </w:tblGrid>
      <w:tr w:rsidR="00DA1053" w:rsidRPr="00140508" w14:paraId="071161CF" w14:textId="77777777" w:rsidTr="007122A3">
        <w:trPr>
          <w:trHeight w:val="277"/>
        </w:trPr>
        <w:tc>
          <w:tcPr>
            <w:tcW w:w="2358" w:type="dxa"/>
          </w:tcPr>
          <w:p w14:paraId="08FEF0AC" w14:textId="77777777" w:rsidR="00DA1053" w:rsidRPr="00140508" w:rsidRDefault="00DA1053" w:rsidP="007122A3">
            <w:pPr>
              <w:spacing w:before="100" w:beforeAutospacing="1" w:after="100" w:afterAutospacing="1"/>
              <w:jc w:val="both"/>
              <w:rPr>
                <w:rFonts w:ascii="Times New Roman" w:hAnsi="Times New Roman" w:cs="Times New Roman"/>
                <w:b/>
                <w:bCs/>
                <w:sz w:val="24"/>
                <w:szCs w:val="24"/>
              </w:rPr>
            </w:pPr>
            <w:r w:rsidRPr="00140508">
              <w:rPr>
                <w:rFonts w:ascii="Times New Roman" w:hAnsi="Times New Roman" w:cs="Times New Roman"/>
                <w:b/>
                <w:bCs/>
                <w:sz w:val="24"/>
                <w:szCs w:val="24"/>
              </w:rPr>
              <w:t>Dose (mg/kg)</w:t>
            </w:r>
          </w:p>
        </w:tc>
        <w:tc>
          <w:tcPr>
            <w:tcW w:w="6694" w:type="dxa"/>
          </w:tcPr>
          <w:p w14:paraId="3763B487" w14:textId="77777777" w:rsidR="00DA1053" w:rsidRPr="00140508" w:rsidRDefault="00DA1053" w:rsidP="007122A3">
            <w:pPr>
              <w:spacing w:before="100" w:beforeAutospacing="1" w:after="100" w:afterAutospacing="1"/>
              <w:jc w:val="center"/>
              <w:rPr>
                <w:rFonts w:ascii="Times New Roman" w:hAnsi="Times New Roman" w:cs="Times New Roman"/>
                <w:b/>
                <w:bCs/>
                <w:sz w:val="24"/>
                <w:szCs w:val="24"/>
              </w:rPr>
            </w:pPr>
            <w:r w:rsidRPr="00140508">
              <w:rPr>
                <w:rFonts w:ascii="Times New Roman" w:hAnsi="Times New Roman" w:cs="Times New Roman"/>
                <w:b/>
                <w:bCs/>
                <w:sz w:val="24"/>
                <w:szCs w:val="24"/>
              </w:rPr>
              <w:t>Observation</w:t>
            </w:r>
          </w:p>
        </w:tc>
      </w:tr>
      <w:tr w:rsidR="00DA1053" w:rsidRPr="00140508" w14:paraId="626AA98F" w14:textId="77777777" w:rsidTr="007122A3">
        <w:trPr>
          <w:trHeight w:val="263"/>
        </w:trPr>
        <w:tc>
          <w:tcPr>
            <w:tcW w:w="2358" w:type="dxa"/>
          </w:tcPr>
          <w:p w14:paraId="40E1EF9B" w14:textId="77777777" w:rsidR="00DA1053" w:rsidRPr="00140508" w:rsidRDefault="00DA1053" w:rsidP="007122A3">
            <w:pPr>
              <w:spacing w:before="100" w:beforeAutospacing="1" w:after="100" w:afterAutospacing="1"/>
              <w:jc w:val="both"/>
              <w:rPr>
                <w:rFonts w:ascii="Times New Roman" w:hAnsi="Times New Roman" w:cs="Times New Roman"/>
                <w:sz w:val="24"/>
                <w:szCs w:val="24"/>
              </w:rPr>
            </w:pPr>
            <w:r>
              <w:rPr>
                <w:rFonts w:ascii="Times New Roman" w:hAnsi="Times New Roman" w:cs="Times New Roman"/>
                <w:sz w:val="24"/>
                <w:szCs w:val="24"/>
              </w:rPr>
              <w:lastRenderedPageBreak/>
              <w:t>3</w:t>
            </w:r>
            <w:r w:rsidRPr="00140508">
              <w:rPr>
                <w:rFonts w:ascii="Times New Roman" w:hAnsi="Times New Roman" w:cs="Times New Roman"/>
                <w:sz w:val="24"/>
                <w:szCs w:val="24"/>
              </w:rPr>
              <w:t>00</w:t>
            </w:r>
          </w:p>
        </w:tc>
        <w:tc>
          <w:tcPr>
            <w:tcW w:w="6694" w:type="dxa"/>
          </w:tcPr>
          <w:p w14:paraId="36B1E9FF" w14:textId="77777777" w:rsidR="00DA1053" w:rsidRPr="00140508" w:rsidRDefault="00DA1053" w:rsidP="007122A3">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 xml:space="preserve">No signs of toxicity. </w:t>
            </w:r>
            <w:r w:rsidRPr="00140508">
              <w:rPr>
                <w:rFonts w:ascii="Times New Roman" w:hAnsi="Times New Roman" w:cs="Times New Roman"/>
                <w:sz w:val="24"/>
                <w:szCs w:val="24"/>
              </w:rPr>
              <w:t>No mortality</w:t>
            </w:r>
          </w:p>
        </w:tc>
      </w:tr>
    </w:tbl>
    <w:p w14:paraId="30F7CF8E" w14:textId="77777777" w:rsidR="00DA1053" w:rsidRDefault="00DA1053" w:rsidP="00DA1053">
      <w:pPr>
        <w:spacing w:before="100" w:beforeAutospacing="1" w:after="100" w:afterAutospacing="1" w:line="240" w:lineRule="auto"/>
        <w:jc w:val="both"/>
        <w:rPr>
          <w:rFonts w:ascii="Times New Roman" w:hAnsi="Times New Roman" w:cs="Times New Roman"/>
          <w:b/>
          <w:bCs/>
          <w:sz w:val="24"/>
          <w:szCs w:val="24"/>
        </w:rPr>
      </w:pPr>
    </w:p>
    <w:p w14:paraId="726F3A1A" w14:textId="35552F89" w:rsidR="00AC4B1C" w:rsidRDefault="00852E6B" w:rsidP="00852E6B">
      <w:pPr>
        <w:ind w:left="720" w:hanging="720"/>
        <w:rPr>
          <w:rFonts w:ascii="Times New Roman" w:hAnsi="Times New Roman"/>
          <w:b/>
          <w:sz w:val="24"/>
          <w:szCs w:val="24"/>
        </w:rPr>
      </w:pPr>
      <w:r>
        <w:rPr>
          <w:rFonts w:ascii="Times New Roman" w:hAnsi="Times New Roman" w:cs="Times New Roman"/>
          <w:b/>
          <w:bCs/>
          <w:sz w:val="24"/>
          <w:szCs w:val="24"/>
        </w:rPr>
        <w:t>3.2</w:t>
      </w:r>
      <w:r>
        <w:rPr>
          <w:rFonts w:ascii="Times New Roman" w:hAnsi="Times New Roman" w:cs="Times New Roman"/>
          <w:b/>
          <w:bCs/>
          <w:sz w:val="24"/>
          <w:szCs w:val="24"/>
        </w:rPr>
        <w:tab/>
      </w:r>
      <w:r w:rsidRPr="00333DC5">
        <w:rPr>
          <w:rFonts w:ascii="Times New Roman" w:hAnsi="Times New Roman"/>
          <w:b/>
          <w:sz w:val="24"/>
          <w:szCs w:val="24"/>
        </w:rPr>
        <w:t>Comparison of the Levels of Fasting Lipid Profile and Glucose of the Control and Test Groups</w:t>
      </w:r>
    </w:p>
    <w:p w14:paraId="200D786F" w14:textId="735BBDE1" w:rsidR="00061ADD" w:rsidRDefault="00754767" w:rsidP="00754767">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T</w:t>
      </w:r>
      <w:r w:rsidRPr="00754767">
        <w:rPr>
          <w:rFonts w:ascii="Times New Roman" w:hAnsi="Times New Roman" w:cs="Times New Roman"/>
          <w:sz w:val="24"/>
          <w:szCs w:val="24"/>
        </w:rPr>
        <w:t xml:space="preserve">able </w:t>
      </w:r>
      <w:r>
        <w:rPr>
          <w:rFonts w:ascii="Times New Roman" w:hAnsi="Times New Roman" w:cs="Times New Roman"/>
          <w:sz w:val="24"/>
          <w:szCs w:val="24"/>
        </w:rPr>
        <w:t xml:space="preserve">2 </w:t>
      </w:r>
      <w:r w:rsidRPr="00754767">
        <w:rPr>
          <w:rFonts w:ascii="Times New Roman" w:hAnsi="Times New Roman" w:cs="Times New Roman"/>
          <w:sz w:val="24"/>
          <w:szCs w:val="24"/>
        </w:rPr>
        <w:t>presents the glucose</w:t>
      </w:r>
      <w:r>
        <w:rPr>
          <w:rFonts w:ascii="Times New Roman" w:hAnsi="Times New Roman" w:cs="Times New Roman"/>
          <w:sz w:val="24"/>
          <w:szCs w:val="24"/>
        </w:rPr>
        <w:t xml:space="preserve"> and </w:t>
      </w:r>
      <w:r w:rsidRPr="00754767">
        <w:rPr>
          <w:rFonts w:ascii="Times New Roman" w:hAnsi="Times New Roman" w:cs="Times New Roman"/>
          <w:sz w:val="24"/>
          <w:szCs w:val="24"/>
        </w:rPr>
        <w:t>lipid profile</w:t>
      </w:r>
      <w:r>
        <w:rPr>
          <w:rFonts w:ascii="Times New Roman" w:hAnsi="Times New Roman" w:cs="Times New Roman"/>
          <w:sz w:val="24"/>
          <w:szCs w:val="24"/>
        </w:rPr>
        <w:t xml:space="preserve"> </w:t>
      </w:r>
      <w:r w:rsidRPr="00754767">
        <w:rPr>
          <w:rFonts w:ascii="Times New Roman" w:hAnsi="Times New Roman" w:cs="Times New Roman"/>
          <w:sz w:val="24"/>
          <w:szCs w:val="24"/>
        </w:rPr>
        <w:t>values across six experimental groups</w:t>
      </w:r>
      <w:r>
        <w:rPr>
          <w:rFonts w:ascii="Times New Roman" w:hAnsi="Times New Roman" w:cs="Times New Roman"/>
          <w:sz w:val="24"/>
          <w:szCs w:val="24"/>
        </w:rPr>
        <w:t xml:space="preserve">. </w:t>
      </w:r>
      <w:r w:rsidRPr="00754767">
        <w:rPr>
          <w:rFonts w:ascii="Times New Roman" w:hAnsi="Times New Roman" w:cs="Times New Roman"/>
          <w:sz w:val="24"/>
          <w:szCs w:val="24"/>
        </w:rPr>
        <w:t xml:space="preserve">Glucose levels showed no significant differences among the groups (p=0.308). Total cholesterol also did not differ significantly (p=0.143). However, triglyceride levels were significantly higher in Group II (1.15 ± 0.27 mmol/L) and Group VI (1.33 ± 0.07 mmol/L) compared to other groups (p=0.000). </w:t>
      </w:r>
      <w:r>
        <w:rPr>
          <w:rFonts w:ascii="Times New Roman" w:hAnsi="Times New Roman" w:cs="Times New Roman"/>
          <w:sz w:val="24"/>
          <w:szCs w:val="24"/>
        </w:rPr>
        <w:t xml:space="preserve">Finally, </w:t>
      </w:r>
      <w:r w:rsidRPr="00754767">
        <w:rPr>
          <w:rFonts w:ascii="Times New Roman" w:hAnsi="Times New Roman" w:cs="Times New Roman"/>
          <w:sz w:val="24"/>
          <w:szCs w:val="24"/>
        </w:rPr>
        <w:t>HDL levels were significantly lower in Group V (1.17 ± 0.29 mmol/L) and Group VI (1.05 ± 0.21 mmol/L) than in other groups (p=0.029). LDL levels were significantly elevated in Group VI (2.87 ± 0.94 mmol/L) compared to the other groups (p=0.002).</w:t>
      </w:r>
    </w:p>
    <w:p w14:paraId="21905B9F" w14:textId="3A17B868" w:rsidR="00C75541" w:rsidRDefault="00C75541" w:rsidP="00754767">
      <w:pPr>
        <w:spacing w:before="100" w:beforeAutospacing="1" w:after="100" w:afterAutospacing="1" w:line="360" w:lineRule="auto"/>
        <w:jc w:val="both"/>
        <w:rPr>
          <w:rFonts w:ascii="Times New Roman" w:hAnsi="Times New Roman" w:cs="Times New Roman"/>
          <w:sz w:val="24"/>
          <w:szCs w:val="24"/>
        </w:rPr>
      </w:pPr>
    </w:p>
    <w:p w14:paraId="79FF3476" w14:textId="1FB2C665" w:rsidR="00C75541" w:rsidRDefault="00C75541" w:rsidP="00754767">
      <w:pPr>
        <w:spacing w:before="100" w:beforeAutospacing="1" w:after="100" w:afterAutospacing="1" w:line="360" w:lineRule="auto"/>
        <w:jc w:val="both"/>
        <w:rPr>
          <w:rFonts w:ascii="Times New Roman" w:hAnsi="Times New Roman" w:cs="Times New Roman"/>
          <w:b/>
          <w:bCs/>
          <w:sz w:val="24"/>
          <w:szCs w:val="24"/>
        </w:rPr>
      </w:pPr>
      <w:r w:rsidRPr="00C75541">
        <w:rPr>
          <w:rFonts w:ascii="Times New Roman" w:hAnsi="Times New Roman" w:cs="Times New Roman"/>
          <w:b/>
          <w:bCs/>
          <w:sz w:val="24"/>
          <w:szCs w:val="24"/>
        </w:rPr>
        <w:t xml:space="preserve">Table 2: Plasma Glucose Levels and Lipid Profile </w:t>
      </w:r>
      <w:r w:rsidR="0032221D">
        <w:rPr>
          <w:rFonts w:ascii="Times New Roman" w:hAnsi="Times New Roman" w:cs="Times New Roman"/>
          <w:b/>
          <w:bCs/>
          <w:sz w:val="24"/>
          <w:szCs w:val="24"/>
        </w:rPr>
        <w:t>in</w:t>
      </w:r>
      <w:r w:rsidRPr="00C75541">
        <w:rPr>
          <w:rFonts w:ascii="Times New Roman" w:hAnsi="Times New Roman" w:cs="Times New Roman"/>
          <w:b/>
          <w:bCs/>
          <w:sz w:val="24"/>
          <w:szCs w:val="24"/>
        </w:rPr>
        <w:t xml:space="preserve"> Control and Treatment Groups</w:t>
      </w:r>
    </w:p>
    <w:tbl>
      <w:tblPr>
        <w:tblW w:w="9360" w:type="dxa"/>
        <w:tblBorders>
          <w:top w:val="single" w:sz="4" w:space="0" w:color="auto"/>
          <w:bottom w:val="single" w:sz="4" w:space="0" w:color="auto"/>
        </w:tblBorders>
        <w:tblLook w:val="04A0" w:firstRow="1" w:lastRow="0" w:firstColumn="1" w:lastColumn="0" w:noHBand="0" w:noVBand="1"/>
      </w:tblPr>
      <w:tblGrid>
        <w:gridCol w:w="1620"/>
        <w:gridCol w:w="1541"/>
        <w:gridCol w:w="1485"/>
        <w:gridCol w:w="1585"/>
        <w:gridCol w:w="1753"/>
        <w:gridCol w:w="1376"/>
      </w:tblGrid>
      <w:tr w:rsidR="00C75541" w:rsidRPr="00751AAE" w14:paraId="5FA20C14" w14:textId="77777777" w:rsidTr="00751AAE">
        <w:trPr>
          <w:trHeight w:val="647"/>
        </w:trPr>
        <w:tc>
          <w:tcPr>
            <w:tcW w:w="1620" w:type="dxa"/>
            <w:tcBorders>
              <w:top w:val="single" w:sz="4" w:space="0" w:color="auto"/>
              <w:bottom w:val="single" w:sz="4" w:space="0" w:color="auto"/>
            </w:tcBorders>
            <w:shd w:val="clear" w:color="auto" w:fill="auto"/>
          </w:tcPr>
          <w:p w14:paraId="09CA53F5" w14:textId="77777777" w:rsidR="00C75541" w:rsidRPr="00751AAE" w:rsidRDefault="00C75541" w:rsidP="00751AAE">
            <w:pPr>
              <w:spacing w:after="0" w:line="240" w:lineRule="auto"/>
              <w:jc w:val="both"/>
              <w:rPr>
                <w:rFonts w:ascii="Times New Roman" w:hAnsi="Times New Roman" w:cs="Times New Roman"/>
                <w:b/>
                <w:kern w:val="2"/>
              </w:rPr>
            </w:pPr>
            <w:r w:rsidRPr="00751AAE">
              <w:rPr>
                <w:rFonts w:ascii="Times New Roman" w:hAnsi="Times New Roman" w:cs="Times New Roman"/>
                <w:b/>
                <w:kern w:val="2"/>
              </w:rPr>
              <w:t>(n=6 per</w:t>
            </w:r>
          </w:p>
          <w:p w14:paraId="320382B8" w14:textId="77777777" w:rsidR="00C75541" w:rsidRPr="00751AAE" w:rsidRDefault="00C75541" w:rsidP="00751AAE">
            <w:pPr>
              <w:spacing w:after="0" w:line="240" w:lineRule="auto"/>
              <w:jc w:val="both"/>
              <w:rPr>
                <w:rFonts w:ascii="Times New Roman" w:hAnsi="Times New Roman" w:cs="Times New Roman"/>
                <w:kern w:val="2"/>
              </w:rPr>
            </w:pPr>
            <w:r w:rsidRPr="00751AAE">
              <w:rPr>
                <w:rFonts w:ascii="Times New Roman" w:hAnsi="Times New Roman"/>
                <w:b/>
                <w:kern w:val="2"/>
              </w:rPr>
              <w:t>G</w:t>
            </w:r>
            <w:r w:rsidRPr="00751AAE">
              <w:rPr>
                <w:rFonts w:ascii="Times New Roman" w:hAnsi="Times New Roman" w:cs="Times New Roman"/>
                <w:b/>
                <w:kern w:val="2"/>
              </w:rPr>
              <w:t>roups</w:t>
            </w:r>
            <w:r w:rsidRPr="00751AAE">
              <w:rPr>
                <w:rFonts w:ascii="Times New Roman" w:hAnsi="Times New Roman"/>
                <w:b/>
                <w:kern w:val="2"/>
              </w:rPr>
              <w:t>)</w:t>
            </w:r>
          </w:p>
        </w:tc>
        <w:tc>
          <w:tcPr>
            <w:tcW w:w="1541" w:type="dxa"/>
            <w:tcBorders>
              <w:top w:val="single" w:sz="4" w:space="0" w:color="auto"/>
              <w:bottom w:val="single" w:sz="4" w:space="0" w:color="auto"/>
            </w:tcBorders>
            <w:shd w:val="clear" w:color="auto" w:fill="auto"/>
          </w:tcPr>
          <w:p w14:paraId="4BBAA6D5" w14:textId="1E98DDC0" w:rsidR="00C75541" w:rsidRPr="00751AAE" w:rsidRDefault="00447B13"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FBG</w:t>
            </w:r>
          </w:p>
          <w:p w14:paraId="529F18FD"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(mmol/L)</w:t>
            </w:r>
          </w:p>
        </w:tc>
        <w:tc>
          <w:tcPr>
            <w:tcW w:w="1485" w:type="dxa"/>
            <w:tcBorders>
              <w:top w:val="single" w:sz="4" w:space="0" w:color="auto"/>
              <w:bottom w:val="single" w:sz="4" w:space="0" w:color="auto"/>
            </w:tcBorders>
            <w:shd w:val="clear" w:color="auto" w:fill="auto"/>
          </w:tcPr>
          <w:p w14:paraId="3C8E730F"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T. Chol (mmol/L)</w:t>
            </w:r>
          </w:p>
        </w:tc>
        <w:tc>
          <w:tcPr>
            <w:tcW w:w="1585" w:type="dxa"/>
            <w:tcBorders>
              <w:top w:val="single" w:sz="4" w:space="0" w:color="auto"/>
              <w:bottom w:val="single" w:sz="4" w:space="0" w:color="auto"/>
            </w:tcBorders>
            <w:shd w:val="clear" w:color="auto" w:fill="auto"/>
          </w:tcPr>
          <w:p w14:paraId="3FE0D56D"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TG</w:t>
            </w:r>
          </w:p>
          <w:p w14:paraId="2F687B4F"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(mmol/L)</w:t>
            </w:r>
          </w:p>
        </w:tc>
        <w:tc>
          <w:tcPr>
            <w:tcW w:w="1753" w:type="dxa"/>
            <w:tcBorders>
              <w:top w:val="single" w:sz="4" w:space="0" w:color="auto"/>
              <w:bottom w:val="single" w:sz="4" w:space="0" w:color="auto"/>
            </w:tcBorders>
            <w:shd w:val="clear" w:color="auto" w:fill="auto"/>
          </w:tcPr>
          <w:p w14:paraId="564F4ED4"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HDL</w:t>
            </w:r>
          </w:p>
          <w:p w14:paraId="3B8FFFA5"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(mmol/L)</w:t>
            </w:r>
          </w:p>
        </w:tc>
        <w:tc>
          <w:tcPr>
            <w:tcW w:w="1376" w:type="dxa"/>
            <w:tcBorders>
              <w:top w:val="single" w:sz="4" w:space="0" w:color="auto"/>
              <w:bottom w:val="single" w:sz="4" w:space="0" w:color="auto"/>
            </w:tcBorders>
          </w:tcPr>
          <w:p w14:paraId="1E4F349C" w14:textId="77777777" w:rsidR="00C75541" w:rsidRPr="00751AAE" w:rsidRDefault="00C75541" w:rsidP="00751AAE">
            <w:pPr>
              <w:spacing w:after="0" w:line="240" w:lineRule="auto"/>
              <w:jc w:val="center"/>
              <w:rPr>
                <w:rFonts w:ascii="Times New Roman" w:hAnsi="Times New Roman"/>
                <w:b/>
                <w:bCs/>
                <w:kern w:val="2"/>
              </w:rPr>
            </w:pPr>
            <w:r w:rsidRPr="00751AAE">
              <w:rPr>
                <w:rFonts w:ascii="Times New Roman" w:hAnsi="Times New Roman" w:cs="Times New Roman"/>
                <w:b/>
                <w:bCs/>
                <w:kern w:val="2"/>
              </w:rPr>
              <w:t>LDL</w:t>
            </w:r>
            <w:r w:rsidRPr="00751AAE">
              <w:rPr>
                <w:rFonts w:ascii="Times New Roman" w:hAnsi="Times New Roman"/>
                <w:b/>
                <w:bCs/>
                <w:kern w:val="2"/>
              </w:rPr>
              <w:t xml:space="preserve"> </w:t>
            </w:r>
            <w:r w:rsidRPr="00751AAE">
              <w:rPr>
                <w:rFonts w:ascii="Times New Roman" w:hAnsi="Times New Roman" w:cs="Times New Roman"/>
                <w:b/>
                <w:bCs/>
                <w:kern w:val="2"/>
              </w:rPr>
              <w:t>(mmol/L)</w:t>
            </w:r>
          </w:p>
        </w:tc>
      </w:tr>
      <w:tr w:rsidR="00C75541" w:rsidRPr="00751AAE" w14:paraId="49F5FA5D" w14:textId="77777777" w:rsidTr="00751AAE">
        <w:trPr>
          <w:trHeight w:val="526"/>
        </w:trPr>
        <w:tc>
          <w:tcPr>
            <w:tcW w:w="1620" w:type="dxa"/>
            <w:tcBorders>
              <w:top w:val="single" w:sz="4" w:space="0" w:color="auto"/>
            </w:tcBorders>
            <w:shd w:val="clear" w:color="auto" w:fill="auto"/>
          </w:tcPr>
          <w:p w14:paraId="66B63913" w14:textId="18EB93AC" w:rsidR="00C75541" w:rsidRPr="00751AAE" w:rsidRDefault="00751AAE"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rPr>
              <w:t>Control</w:t>
            </w:r>
          </w:p>
        </w:tc>
        <w:tc>
          <w:tcPr>
            <w:tcW w:w="1541" w:type="dxa"/>
            <w:tcBorders>
              <w:top w:val="single" w:sz="4" w:space="0" w:color="auto"/>
            </w:tcBorders>
            <w:shd w:val="clear" w:color="auto" w:fill="auto"/>
          </w:tcPr>
          <w:p w14:paraId="77B877A0"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4.6 ± 0.77329</w:t>
            </w:r>
          </w:p>
        </w:tc>
        <w:tc>
          <w:tcPr>
            <w:tcW w:w="1485" w:type="dxa"/>
            <w:tcBorders>
              <w:top w:val="single" w:sz="4" w:space="0" w:color="auto"/>
            </w:tcBorders>
            <w:shd w:val="clear" w:color="auto" w:fill="auto"/>
          </w:tcPr>
          <w:p w14:paraId="7AD21A46"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3.92 ± 1.17</w:t>
            </w:r>
          </w:p>
        </w:tc>
        <w:tc>
          <w:tcPr>
            <w:tcW w:w="1585" w:type="dxa"/>
            <w:tcBorders>
              <w:top w:val="single" w:sz="4" w:space="0" w:color="auto"/>
            </w:tcBorders>
            <w:shd w:val="clear" w:color="auto" w:fill="auto"/>
          </w:tcPr>
          <w:p w14:paraId="6946F806"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0.88 ± 0.24</w:t>
            </w:r>
            <w:r w:rsidRPr="00751AAE">
              <w:rPr>
                <w:rFonts w:ascii="Times New Roman" w:hAnsi="Times New Roman" w:cs="Times New Roman"/>
                <w:kern w:val="2"/>
                <w:vertAlign w:val="superscript"/>
              </w:rPr>
              <w:t>a</w:t>
            </w:r>
          </w:p>
        </w:tc>
        <w:tc>
          <w:tcPr>
            <w:tcW w:w="1753" w:type="dxa"/>
            <w:tcBorders>
              <w:top w:val="single" w:sz="4" w:space="0" w:color="auto"/>
            </w:tcBorders>
            <w:shd w:val="clear" w:color="auto" w:fill="auto"/>
          </w:tcPr>
          <w:p w14:paraId="62A5DD1D"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1.40 ± 0.14</w:t>
            </w:r>
            <w:r w:rsidRPr="00751AAE">
              <w:rPr>
                <w:rFonts w:ascii="Times New Roman" w:hAnsi="Times New Roman" w:cs="Times New Roman"/>
                <w:kern w:val="2"/>
                <w:vertAlign w:val="superscript"/>
              </w:rPr>
              <w:t>a</w:t>
            </w:r>
          </w:p>
        </w:tc>
        <w:tc>
          <w:tcPr>
            <w:tcW w:w="1376" w:type="dxa"/>
            <w:tcBorders>
              <w:top w:val="single" w:sz="4" w:space="0" w:color="auto"/>
            </w:tcBorders>
          </w:tcPr>
          <w:p w14:paraId="102080B3"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1.12 ± 0.76</w:t>
            </w:r>
            <w:r w:rsidRPr="00751AAE">
              <w:rPr>
                <w:rFonts w:ascii="Times New Roman" w:hAnsi="Times New Roman" w:cs="Times New Roman"/>
                <w:kern w:val="2"/>
                <w:vertAlign w:val="superscript"/>
              </w:rPr>
              <w:t>a</w:t>
            </w:r>
          </w:p>
        </w:tc>
      </w:tr>
      <w:tr w:rsidR="00C75541" w:rsidRPr="00751AAE" w14:paraId="4758CEAF" w14:textId="77777777" w:rsidTr="00751AAE">
        <w:trPr>
          <w:trHeight w:val="508"/>
        </w:trPr>
        <w:tc>
          <w:tcPr>
            <w:tcW w:w="1620" w:type="dxa"/>
            <w:shd w:val="clear" w:color="auto" w:fill="auto"/>
          </w:tcPr>
          <w:p w14:paraId="7C92A97C" w14:textId="6FFD2722" w:rsidR="00C75541" w:rsidRPr="00751AAE" w:rsidRDefault="00751AAE"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rPr>
              <w:t>Low-dose SB</w:t>
            </w:r>
          </w:p>
        </w:tc>
        <w:tc>
          <w:tcPr>
            <w:tcW w:w="1541" w:type="dxa"/>
            <w:shd w:val="clear" w:color="auto" w:fill="auto"/>
          </w:tcPr>
          <w:p w14:paraId="217CE2E0"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4.7 ± 0.71</w:t>
            </w:r>
          </w:p>
        </w:tc>
        <w:tc>
          <w:tcPr>
            <w:tcW w:w="1485" w:type="dxa"/>
            <w:shd w:val="clear" w:color="auto" w:fill="auto"/>
          </w:tcPr>
          <w:p w14:paraId="4F186359"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3.39 ± 0.94</w:t>
            </w:r>
          </w:p>
        </w:tc>
        <w:tc>
          <w:tcPr>
            <w:tcW w:w="1585" w:type="dxa"/>
            <w:shd w:val="clear" w:color="auto" w:fill="auto"/>
          </w:tcPr>
          <w:p w14:paraId="75A81B1B"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1.15 ± 0.27</w:t>
            </w:r>
            <w:r w:rsidRPr="00751AAE">
              <w:rPr>
                <w:rFonts w:ascii="Times New Roman" w:hAnsi="Times New Roman" w:cs="Times New Roman"/>
                <w:kern w:val="2"/>
                <w:vertAlign w:val="superscript"/>
              </w:rPr>
              <w:t>b</w:t>
            </w:r>
          </w:p>
        </w:tc>
        <w:tc>
          <w:tcPr>
            <w:tcW w:w="1753" w:type="dxa"/>
            <w:shd w:val="clear" w:color="auto" w:fill="auto"/>
          </w:tcPr>
          <w:p w14:paraId="4D24C97A"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1.38 ± 0.14</w:t>
            </w:r>
          </w:p>
        </w:tc>
        <w:tc>
          <w:tcPr>
            <w:tcW w:w="1376" w:type="dxa"/>
          </w:tcPr>
          <w:p w14:paraId="1752321A"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1.70 ± 0.71</w:t>
            </w:r>
          </w:p>
        </w:tc>
      </w:tr>
      <w:tr w:rsidR="00C75541" w:rsidRPr="00751AAE" w14:paraId="62FC0BB1" w14:textId="77777777" w:rsidTr="00751AAE">
        <w:trPr>
          <w:trHeight w:val="508"/>
        </w:trPr>
        <w:tc>
          <w:tcPr>
            <w:tcW w:w="1620" w:type="dxa"/>
            <w:shd w:val="clear" w:color="auto" w:fill="auto"/>
          </w:tcPr>
          <w:p w14:paraId="34FDF51A" w14:textId="69F65AB1" w:rsidR="00C75541" w:rsidRPr="00751AAE" w:rsidRDefault="00751AAE"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rPr>
              <w:t>High-dose SB</w:t>
            </w:r>
          </w:p>
        </w:tc>
        <w:tc>
          <w:tcPr>
            <w:tcW w:w="1541" w:type="dxa"/>
            <w:shd w:val="clear" w:color="auto" w:fill="auto"/>
          </w:tcPr>
          <w:p w14:paraId="0DB0C502"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4.3 ± 0.32</w:t>
            </w:r>
          </w:p>
        </w:tc>
        <w:tc>
          <w:tcPr>
            <w:tcW w:w="1485" w:type="dxa"/>
            <w:shd w:val="clear" w:color="auto" w:fill="auto"/>
          </w:tcPr>
          <w:p w14:paraId="51829A0B"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3.00 ± 0.34</w:t>
            </w:r>
          </w:p>
        </w:tc>
        <w:tc>
          <w:tcPr>
            <w:tcW w:w="1585" w:type="dxa"/>
            <w:shd w:val="clear" w:color="auto" w:fill="auto"/>
          </w:tcPr>
          <w:p w14:paraId="1A5C7A4E"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0.81 ± 0.13</w:t>
            </w:r>
            <w:r w:rsidRPr="00751AAE">
              <w:rPr>
                <w:rFonts w:ascii="Times New Roman" w:hAnsi="Times New Roman" w:cs="Times New Roman"/>
                <w:kern w:val="2"/>
                <w:vertAlign w:val="superscript"/>
              </w:rPr>
              <w:t>a</w:t>
            </w:r>
          </w:p>
        </w:tc>
        <w:tc>
          <w:tcPr>
            <w:tcW w:w="1753" w:type="dxa"/>
            <w:shd w:val="clear" w:color="auto" w:fill="auto"/>
          </w:tcPr>
          <w:p w14:paraId="68CCC1CC"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1.29 ± 0.12</w:t>
            </w:r>
            <w:r w:rsidRPr="00751AAE">
              <w:rPr>
                <w:rFonts w:ascii="Times New Roman" w:hAnsi="Times New Roman" w:cs="Times New Roman"/>
                <w:kern w:val="2"/>
                <w:vertAlign w:val="superscript"/>
              </w:rPr>
              <w:t>a</w:t>
            </w:r>
          </w:p>
        </w:tc>
        <w:tc>
          <w:tcPr>
            <w:tcW w:w="1376" w:type="dxa"/>
          </w:tcPr>
          <w:p w14:paraId="1233A98C"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1.53 ± 0.46</w:t>
            </w:r>
          </w:p>
        </w:tc>
      </w:tr>
      <w:tr w:rsidR="00C75541" w:rsidRPr="00751AAE" w14:paraId="51F73EAC" w14:textId="77777777" w:rsidTr="00751AAE">
        <w:trPr>
          <w:trHeight w:val="508"/>
        </w:trPr>
        <w:tc>
          <w:tcPr>
            <w:tcW w:w="1620" w:type="dxa"/>
            <w:shd w:val="clear" w:color="auto" w:fill="auto"/>
          </w:tcPr>
          <w:p w14:paraId="7A59691A" w14:textId="2FBCA0ED" w:rsidR="00C75541" w:rsidRPr="00751AAE" w:rsidRDefault="00751AAE"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rPr>
              <w:t>Vit. C</w:t>
            </w:r>
          </w:p>
        </w:tc>
        <w:tc>
          <w:tcPr>
            <w:tcW w:w="1541" w:type="dxa"/>
            <w:shd w:val="clear" w:color="auto" w:fill="auto"/>
          </w:tcPr>
          <w:p w14:paraId="5322088C"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11.3 ± 13.13</w:t>
            </w:r>
          </w:p>
        </w:tc>
        <w:tc>
          <w:tcPr>
            <w:tcW w:w="1485" w:type="dxa"/>
            <w:shd w:val="clear" w:color="auto" w:fill="auto"/>
          </w:tcPr>
          <w:p w14:paraId="5BAED7AC"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2.47 ± 0.18</w:t>
            </w:r>
          </w:p>
        </w:tc>
        <w:tc>
          <w:tcPr>
            <w:tcW w:w="1585" w:type="dxa"/>
            <w:shd w:val="clear" w:color="auto" w:fill="auto"/>
          </w:tcPr>
          <w:p w14:paraId="5D94C224"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0.81 ± 0.09</w:t>
            </w:r>
            <w:r w:rsidRPr="00751AAE">
              <w:rPr>
                <w:rFonts w:ascii="Times New Roman" w:hAnsi="Times New Roman" w:cs="Times New Roman"/>
                <w:kern w:val="2"/>
                <w:vertAlign w:val="superscript"/>
              </w:rPr>
              <w:t>c</w:t>
            </w:r>
          </w:p>
        </w:tc>
        <w:tc>
          <w:tcPr>
            <w:tcW w:w="1753" w:type="dxa"/>
            <w:shd w:val="clear" w:color="auto" w:fill="auto"/>
          </w:tcPr>
          <w:p w14:paraId="2EE8C50F"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1.11 ± 0.17</w:t>
            </w:r>
          </w:p>
        </w:tc>
        <w:tc>
          <w:tcPr>
            <w:tcW w:w="1376" w:type="dxa"/>
          </w:tcPr>
          <w:p w14:paraId="32DC8C18"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0.81 ± 0.08</w:t>
            </w:r>
            <w:r w:rsidRPr="00751AAE">
              <w:rPr>
                <w:rFonts w:ascii="Times New Roman" w:hAnsi="Times New Roman" w:cs="Times New Roman"/>
                <w:kern w:val="2"/>
                <w:vertAlign w:val="superscript"/>
              </w:rPr>
              <w:t>a</w:t>
            </w:r>
          </w:p>
        </w:tc>
      </w:tr>
      <w:tr w:rsidR="00C75541" w:rsidRPr="00751AAE" w14:paraId="69FC8C70" w14:textId="77777777" w:rsidTr="00751AAE">
        <w:trPr>
          <w:trHeight w:val="702"/>
        </w:trPr>
        <w:tc>
          <w:tcPr>
            <w:tcW w:w="1620" w:type="dxa"/>
            <w:shd w:val="clear" w:color="auto" w:fill="auto"/>
          </w:tcPr>
          <w:p w14:paraId="152C310B" w14:textId="28ECF7FE" w:rsidR="00C75541" w:rsidRPr="00751AAE" w:rsidRDefault="00751AAE"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rPr>
              <w:t>Low-dose SB + Vit. C</w:t>
            </w:r>
          </w:p>
        </w:tc>
        <w:tc>
          <w:tcPr>
            <w:tcW w:w="1541" w:type="dxa"/>
            <w:shd w:val="clear" w:color="auto" w:fill="auto"/>
          </w:tcPr>
          <w:p w14:paraId="5B621D54"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4.3 ± 1.25</w:t>
            </w:r>
          </w:p>
        </w:tc>
        <w:tc>
          <w:tcPr>
            <w:tcW w:w="1485" w:type="dxa"/>
            <w:shd w:val="clear" w:color="auto" w:fill="auto"/>
          </w:tcPr>
          <w:p w14:paraId="5E0C1168"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3.20 ± 0.79</w:t>
            </w:r>
          </w:p>
        </w:tc>
        <w:tc>
          <w:tcPr>
            <w:tcW w:w="1585" w:type="dxa"/>
            <w:shd w:val="clear" w:color="auto" w:fill="auto"/>
          </w:tcPr>
          <w:p w14:paraId="1004A038"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1.08 ± 0.12</w:t>
            </w:r>
          </w:p>
        </w:tc>
        <w:tc>
          <w:tcPr>
            <w:tcW w:w="1753" w:type="dxa"/>
            <w:shd w:val="clear" w:color="auto" w:fill="auto"/>
          </w:tcPr>
          <w:p w14:paraId="1C834B3A"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1.17 ± 0.29</w:t>
            </w:r>
            <w:r w:rsidRPr="00751AAE">
              <w:rPr>
                <w:rFonts w:ascii="Times New Roman" w:hAnsi="Times New Roman" w:cs="Times New Roman"/>
                <w:kern w:val="2"/>
                <w:vertAlign w:val="superscript"/>
              </w:rPr>
              <w:t>b</w:t>
            </w:r>
          </w:p>
        </w:tc>
        <w:tc>
          <w:tcPr>
            <w:tcW w:w="1376" w:type="dxa"/>
          </w:tcPr>
          <w:p w14:paraId="73E9C376"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1.32 ± 0.82</w:t>
            </w:r>
          </w:p>
        </w:tc>
      </w:tr>
      <w:tr w:rsidR="00C75541" w:rsidRPr="00751AAE" w14:paraId="5387758C" w14:textId="77777777" w:rsidTr="00751AAE">
        <w:trPr>
          <w:trHeight w:val="720"/>
        </w:trPr>
        <w:tc>
          <w:tcPr>
            <w:tcW w:w="1620" w:type="dxa"/>
            <w:shd w:val="clear" w:color="auto" w:fill="auto"/>
          </w:tcPr>
          <w:p w14:paraId="18A48739" w14:textId="29098749" w:rsidR="00C75541" w:rsidRPr="00751AAE" w:rsidRDefault="00751AAE"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rPr>
              <w:t>High dose SB + Vit. C</w:t>
            </w:r>
          </w:p>
        </w:tc>
        <w:tc>
          <w:tcPr>
            <w:tcW w:w="1541" w:type="dxa"/>
            <w:shd w:val="clear" w:color="auto" w:fill="auto"/>
          </w:tcPr>
          <w:p w14:paraId="7AE443B6"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5.1140 ± 0.87</w:t>
            </w:r>
          </w:p>
        </w:tc>
        <w:tc>
          <w:tcPr>
            <w:tcW w:w="1485" w:type="dxa"/>
            <w:shd w:val="clear" w:color="auto" w:fill="auto"/>
          </w:tcPr>
          <w:p w14:paraId="22068B30"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3.12 ± 0.83</w:t>
            </w:r>
          </w:p>
        </w:tc>
        <w:tc>
          <w:tcPr>
            <w:tcW w:w="1585" w:type="dxa"/>
            <w:shd w:val="clear" w:color="auto" w:fill="auto"/>
          </w:tcPr>
          <w:p w14:paraId="701683D5"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1.33 ± 0.07</w:t>
            </w:r>
            <w:r w:rsidRPr="00751AAE">
              <w:rPr>
                <w:rFonts w:ascii="Times New Roman" w:hAnsi="Times New Roman" w:cs="Times New Roman"/>
                <w:kern w:val="2"/>
                <w:vertAlign w:val="superscript"/>
              </w:rPr>
              <w:t>b</w:t>
            </w:r>
          </w:p>
        </w:tc>
        <w:tc>
          <w:tcPr>
            <w:tcW w:w="1753" w:type="dxa"/>
            <w:shd w:val="clear" w:color="auto" w:fill="auto"/>
          </w:tcPr>
          <w:p w14:paraId="2ACC6297"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1.05 ± 0.21</w:t>
            </w:r>
            <w:r w:rsidRPr="00751AAE">
              <w:rPr>
                <w:rFonts w:ascii="Times New Roman" w:hAnsi="Times New Roman" w:cs="Times New Roman"/>
                <w:kern w:val="2"/>
                <w:vertAlign w:val="superscript"/>
              </w:rPr>
              <w:t>b</w:t>
            </w:r>
          </w:p>
        </w:tc>
        <w:tc>
          <w:tcPr>
            <w:tcW w:w="1376" w:type="dxa"/>
          </w:tcPr>
          <w:p w14:paraId="7DEEF705"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2.87 ± 0.94</w:t>
            </w:r>
            <w:r w:rsidRPr="00751AAE">
              <w:rPr>
                <w:rFonts w:ascii="Times New Roman" w:hAnsi="Times New Roman" w:cs="Times New Roman"/>
                <w:kern w:val="2"/>
                <w:vertAlign w:val="superscript"/>
              </w:rPr>
              <w:t>b</w:t>
            </w:r>
          </w:p>
        </w:tc>
      </w:tr>
      <w:tr w:rsidR="00C75541" w:rsidRPr="00751AAE" w14:paraId="613500E3" w14:textId="77777777" w:rsidTr="00751AAE">
        <w:trPr>
          <w:trHeight w:val="305"/>
        </w:trPr>
        <w:tc>
          <w:tcPr>
            <w:tcW w:w="1620" w:type="dxa"/>
            <w:shd w:val="clear" w:color="auto" w:fill="auto"/>
          </w:tcPr>
          <w:p w14:paraId="0EB56A15" w14:textId="77777777" w:rsidR="00C75541" w:rsidRPr="00751AAE" w:rsidRDefault="00C75541"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kern w:val="2"/>
              </w:rPr>
              <w:t>F-value</w:t>
            </w:r>
          </w:p>
        </w:tc>
        <w:tc>
          <w:tcPr>
            <w:tcW w:w="1541" w:type="dxa"/>
            <w:shd w:val="clear" w:color="auto" w:fill="auto"/>
          </w:tcPr>
          <w:p w14:paraId="60B36285"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1.271</w:t>
            </w:r>
          </w:p>
        </w:tc>
        <w:tc>
          <w:tcPr>
            <w:tcW w:w="1485" w:type="dxa"/>
            <w:shd w:val="clear" w:color="auto" w:fill="auto"/>
          </w:tcPr>
          <w:p w14:paraId="5CD77FAD"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1.842</w:t>
            </w:r>
          </w:p>
        </w:tc>
        <w:tc>
          <w:tcPr>
            <w:tcW w:w="1585" w:type="dxa"/>
            <w:shd w:val="clear" w:color="auto" w:fill="auto"/>
          </w:tcPr>
          <w:p w14:paraId="5249F73F"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7.550</w:t>
            </w:r>
          </w:p>
        </w:tc>
        <w:tc>
          <w:tcPr>
            <w:tcW w:w="1753" w:type="dxa"/>
            <w:shd w:val="clear" w:color="auto" w:fill="auto"/>
          </w:tcPr>
          <w:p w14:paraId="7A9F1F33"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3.037</w:t>
            </w:r>
          </w:p>
        </w:tc>
        <w:tc>
          <w:tcPr>
            <w:tcW w:w="1376" w:type="dxa"/>
          </w:tcPr>
          <w:p w14:paraId="457CD645"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5.341</w:t>
            </w:r>
          </w:p>
        </w:tc>
      </w:tr>
      <w:tr w:rsidR="00C75541" w:rsidRPr="00751AAE" w14:paraId="11F9E5E0" w14:textId="77777777" w:rsidTr="00751AAE">
        <w:trPr>
          <w:trHeight w:val="508"/>
        </w:trPr>
        <w:tc>
          <w:tcPr>
            <w:tcW w:w="1620" w:type="dxa"/>
            <w:shd w:val="clear" w:color="auto" w:fill="auto"/>
          </w:tcPr>
          <w:p w14:paraId="496FECEA" w14:textId="77777777" w:rsidR="00C75541" w:rsidRPr="00751AAE" w:rsidRDefault="00C75541"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i/>
                <w:iCs/>
                <w:kern w:val="2"/>
              </w:rPr>
              <w:t>P</w:t>
            </w:r>
            <w:r w:rsidRPr="00751AAE">
              <w:rPr>
                <w:rFonts w:ascii="Times New Roman" w:hAnsi="Times New Roman" w:cs="Times New Roman"/>
                <w:b/>
                <w:bCs/>
                <w:kern w:val="2"/>
              </w:rPr>
              <w:t>-value</w:t>
            </w:r>
          </w:p>
        </w:tc>
        <w:tc>
          <w:tcPr>
            <w:tcW w:w="1541" w:type="dxa"/>
            <w:shd w:val="clear" w:color="auto" w:fill="auto"/>
          </w:tcPr>
          <w:p w14:paraId="65E0AECA"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0.308</w:t>
            </w:r>
          </w:p>
        </w:tc>
        <w:tc>
          <w:tcPr>
            <w:tcW w:w="1485" w:type="dxa"/>
            <w:shd w:val="clear" w:color="auto" w:fill="auto"/>
          </w:tcPr>
          <w:p w14:paraId="779E56CB"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0.143</w:t>
            </w:r>
          </w:p>
        </w:tc>
        <w:tc>
          <w:tcPr>
            <w:tcW w:w="1585" w:type="dxa"/>
            <w:shd w:val="clear" w:color="auto" w:fill="auto"/>
          </w:tcPr>
          <w:p w14:paraId="10749AAB"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0.000</w:t>
            </w:r>
          </w:p>
        </w:tc>
        <w:tc>
          <w:tcPr>
            <w:tcW w:w="1753" w:type="dxa"/>
            <w:shd w:val="clear" w:color="auto" w:fill="auto"/>
          </w:tcPr>
          <w:p w14:paraId="645E3B68"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0.029</w:t>
            </w:r>
          </w:p>
        </w:tc>
        <w:tc>
          <w:tcPr>
            <w:tcW w:w="1376" w:type="dxa"/>
          </w:tcPr>
          <w:p w14:paraId="0E19E1D8" w14:textId="77777777" w:rsidR="00C75541" w:rsidRPr="00751AAE" w:rsidRDefault="00C75541" w:rsidP="00751AAE">
            <w:pPr>
              <w:spacing w:after="0" w:line="240" w:lineRule="auto"/>
              <w:jc w:val="center"/>
              <w:rPr>
                <w:rFonts w:ascii="Times New Roman" w:hAnsi="Times New Roman"/>
                <w:kern w:val="2"/>
              </w:rPr>
            </w:pPr>
            <w:r w:rsidRPr="00751AAE">
              <w:rPr>
                <w:rFonts w:ascii="Times New Roman" w:hAnsi="Times New Roman" w:cs="Times New Roman"/>
                <w:kern w:val="2"/>
              </w:rPr>
              <w:t>0.002</w:t>
            </w:r>
          </w:p>
        </w:tc>
      </w:tr>
      <w:tr w:rsidR="00C75541" w:rsidRPr="00751AAE" w14:paraId="5E0787BA" w14:textId="77777777" w:rsidTr="00751AAE">
        <w:trPr>
          <w:trHeight w:val="305"/>
        </w:trPr>
        <w:tc>
          <w:tcPr>
            <w:tcW w:w="1620" w:type="dxa"/>
            <w:shd w:val="clear" w:color="auto" w:fill="auto"/>
          </w:tcPr>
          <w:p w14:paraId="3AF48403" w14:textId="77777777" w:rsidR="00C75541" w:rsidRPr="00751AAE" w:rsidRDefault="00C75541" w:rsidP="00751AAE">
            <w:pPr>
              <w:spacing w:after="0" w:line="240" w:lineRule="auto"/>
              <w:jc w:val="both"/>
              <w:rPr>
                <w:rFonts w:ascii="Times New Roman" w:hAnsi="Times New Roman" w:cs="Times New Roman"/>
                <w:b/>
                <w:bCs/>
                <w:kern w:val="2"/>
              </w:rPr>
            </w:pPr>
            <w:r w:rsidRPr="00751AAE">
              <w:rPr>
                <w:rFonts w:ascii="Times New Roman" w:hAnsi="Times New Roman" w:cs="Times New Roman"/>
                <w:b/>
                <w:bCs/>
                <w:kern w:val="2"/>
              </w:rPr>
              <w:t>Remark</w:t>
            </w:r>
          </w:p>
        </w:tc>
        <w:tc>
          <w:tcPr>
            <w:tcW w:w="1541" w:type="dxa"/>
            <w:shd w:val="clear" w:color="auto" w:fill="auto"/>
          </w:tcPr>
          <w:p w14:paraId="5179456C"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NS</w:t>
            </w:r>
          </w:p>
        </w:tc>
        <w:tc>
          <w:tcPr>
            <w:tcW w:w="1485" w:type="dxa"/>
            <w:shd w:val="clear" w:color="auto" w:fill="auto"/>
          </w:tcPr>
          <w:p w14:paraId="34693460" w14:textId="77777777" w:rsidR="00C75541" w:rsidRPr="00751AAE" w:rsidRDefault="00C75541" w:rsidP="00751AAE">
            <w:pPr>
              <w:spacing w:after="0" w:line="240" w:lineRule="auto"/>
              <w:jc w:val="center"/>
              <w:rPr>
                <w:rFonts w:ascii="Times New Roman" w:hAnsi="Times New Roman" w:cs="Times New Roman"/>
                <w:kern w:val="2"/>
              </w:rPr>
            </w:pPr>
            <w:r w:rsidRPr="00751AAE">
              <w:rPr>
                <w:rFonts w:ascii="Times New Roman" w:hAnsi="Times New Roman" w:cs="Times New Roman"/>
                <w:kern w:val="2"/>
              </w:rPr>
              <w:t>NS</w:t>
            </w:r>
          </w:p>
        </w:tc>
        <w:tc>
          <w:tcPr>
            <w:tcW w:w="1585" w:type="dxa"/>
            <w:shd w:val="clear" w:color="auto" w:fill="auto"/>
          </w:tcPr>
          <w:p w14:paraId="430B0F2E"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S</w:t>
            </w:r>
          </w:p>
        </w:tc>
        <w:tc>
          <w:tcPr>
            <w:tcW w:w="1753" w:type="dxa"/>
            <w:shd w:val="clear" w:color="auto" w:fill="auto"/>
          </w:tcPr>
          <w:p w14:paraId="1A523C6B" w14:textId="77777777" w:rsidR="00C75541" w:rsidRPr="00751AAE" w:rsidRDefault="00C75541" w:rsidP="00751AAE">
            <w:pPr>
              <w:spacing w:after="0" w:line="240" w:lineRule="auto"/>
              <w:jc w:val="center"/>
              <w:rPr>
                <w:rFonts w:ascii="Times New Roman" w:hAnsi="Times New Roman" w:cs="Times New Roman"/>
                <w:b/>
                <w:bCs/>
                <w:kern w:val="2"/>
              </w:rPr>
            </w:pPr>
            <w:r w:rsidRPr="00751AAE">
              <w:rPr>
                <w:rFonts w:ascii="Times New Roman" w:hAnsi="Times New Roman" w:cs="Times New Roman"/>
                <w:b/>
                <w:bCs/>
                <w:kern w:val="2"/>
              </w:rPr>
              <w:t>S</w:t>
            </w:r>
          </w:p>
        </w:tc>
        <w:tc>
          <w:tcPr>
            <w:tcW w:w="1376" w:type="dxa"/>
          </w:tcPr>
          <w:p w14:paraId="5FE48D24" w14:textId="77777777" w:rsidR="00C75541" w:rsidRPr="00751AAE" w:rsidRDefault="00C75541" w:rsidP="00751AAE">
            <w:pPr>
              <w:spacing w:after="0" w:line="240" w:lineRule="auto"/>
              <w:jc w:val="center"/>
              <w:rPr>
                <w:rFonts w:ascii="Times New Roman" w:hAnsi="Times New Roman"/>
                <w:b/>
                <w:bCs/>
                <w:kern w:val="2"/>
              </w:rPr>
            </w:pPr>
            <w:r w:rsidRPr="00751AAE">
              <w:rPr>
                <w:rFonts w:ascii="Times New Roman" w:hAnsi="Times New Roman" w:cs="Times New Roman"/>
                <w:b/>
                <w:bCs/>
                <w:kern w:val="2"/>
              </w:rPr>
              <w:t>S</w:t>
            </w:r>
          </w:p>
        </w:tc>
      </w:tr>
    </w:tbl>
    <w:p w14:paraId="391AAC28" w14:textId="33620B8D" w:rsidR="00C75541" w:rsidRDefault="00C75541" w:rsidP="00C75541">
      <w:pPr>
        <w:spacing w:after="0" w:line="240" w:lineRule="auto"/>
        <w:jc w:val="both"/>
        <w:rPr>
          <w:rFonts w:ascii="Times New Roman" w:hAnsi="Times New Roman" w:cs="Times New Roman"/>
          <w:i/>
          <w:iCs/>
          <w:sz w:val="24"/>
          <w:szCs w:val="24"/>
        </w:rPr>
      </w:pPr>
      <w:r w:rsidRPr="00C75541">
        <w:rPr>
          <w:rFonts w:ascii="Times New Roman" w:hAnsi="Times New Roman" w:cs="Times New Roman"/>
          <w:i/>
          <w:iCs/>
          <w:sz w:val="24"/>
          <w:szCs w:val="24"/>
        </w:rPr>
        <w:t xml:space="preserve">Key: NS = not significant, S = significant, </w:t>
      </w:r>
      <w:r w:rsidR="00447B13">
        <w:rPr>
          <w:rFonts w:ascii="Times New Roman" w:hAnsi="Times New Roman" w:cs="Times New Roman"/>
          <w:i/>
          <w:iCs/>
          <w:sz w:val="24"/>
          <w:szCs w:val="24"/>
        </w:rPr>
        <w:t xml:space="preserve">FBG = fasting blood glucose, </w:t>
      </w:r>
      <w:r w:rsidRPr="00C75541">
        <w:rPr>
          <w:rFonts w:ascii="Times New Roman" w:hAnsi="Times New Roman" w:cs="Times New Roman"/>
          <w:i/>
          <w:iCs/>
          <w:sz w:val="24"/>
          <w:szCs w:val="24"/>
        </w:rPr>
        <w:t>T. Chol = total cholesterol, TG = triglyceride, HDL = high density lipoprotein, LDL = low density lipoprotein. Values with different superscripts are significantly different (p&lt;0.05)</w:t>
      </w:r>
      <w:r w:rsidR="00113B7F">
        <w:rPr>
          <w:rFonts w:ascii="Times New Roman" w:hAnsi="Times New Roman" w:cs="Times New Roman"/>
          <w:i/>
          <w:iCs/>
          <w:sz w:val="24"/>
          <w:szCs w:val="24"/>
        </w:rPr>
        <w:t>, Sodium Benzoate = SB, Vitamin C = Vit. C</w:t>
      </w:r>
    </w:p>
    <w:p w14:paraId="113C9E40" w14:textId="0C95891C" w:rsidR="004A484E" w:rsidRPr="00751AAE" w:rsidRDefault="00113B7F" w:rsidP="00751AAE">
      <w:pPr>
        <w:spacing w:after="0" w:line="240" w:lineRule="auto"/>
        <w:jc w:val="both"/>
        <w:rPr>
          <w:rFonts w:ascii="Times New Roman" w:hAnsi="Times New Roman" w:cs="Times New Roman"/>
          <w:i/>
          <w:iCs/>
          <w:sz w:val="24"/>
          <w:szCs w:val="24"/>
        </w:rPr>
      </w:pPr>
      <w:r w:rsidRPr="00751AAE">
        <w:rPr>
          <w:rFonts w:ascii="Times New Roman" w:hAnsi="Times New Roman" w:cs="Times New Roman"/>
          <w:i/>
          <w:iCs/>
          <w:sz w:val="24"/>
          <w:szCs w:val="24"/>
        </w:rPr>
        <w:lastRenderedPageBreak/>
        <w:t xml:space="preserve">Group </w:t>
      </w:r>
      <w:r w:rsidR="00751AAE" w:rsidRPr="00751AAE">
        <w:rPr>
          <w:rFonts w:ascii="Times New Roman" w:hAnsi="Times New Roman" w:cs="Times New Roman"/>
          <w:i/>
          <w:iCs/>
          <w:sz w:val="24"/>
          <w:szCs w:val="24"/>
        </w:rPr>
        <w:t>I =</w:t>
      </w:r>
      <w:r w:rsidRPr="00751AAE">
        <w:rPr>
          <w:rFonts w:ascii="Times New Roman" w:hAnsi="Times New Roman" w:cs="Times New Roman"/>
          <w:i/>
          <w:iCs/>
          <w:sz w:val="24"/>
          <w:szCs w:val="24"/>
        </w:rPr>
        <w:t xml:space="preserve"> Control, Group II = low-dose SB, Group III = high-dose SB, Group IV = Vit. C,</w:t>
      </w:r>
      <w:r w:rsidR="00751AAE" w:rsidRPr="00751AAE">
        <w:rPr>
          <w:rFonts w:ascii="Times New Roman" w:hAnsi="Times New Roman" w:cs="Times New Roman"/>
          <w:i/>
          <w:iCs/>
          <w:sz w:val="24"/>
          <w:szCs w:val="24"/>
        </w:rPr>
        <w:t xml:space="preserve"> </w:t>
      </w:r>
      <w:r w:rsidRPr="00751AAE">
        <w:rPr>
          <w:rFonts w:ascii="Times New Roman" w:hAnsi="Times New Roman" w:cs="Times New Roman"/>
          <w:i/>
          <w:iCs/>
          <w:sz w:val="24"/>
          <w:szCs w:val="24"/>
        </w:rPr>
        <w:t xml:space="preserve">Group V = low-dose SB + Vit. C, Group VI = high dose SB + Vit. C </w:t>
      </w:r>
    </w:p>
    <w:p w14:paraId="6D561769" w14:textId="1ACD109B" w:rsidR="004A484E" w:rsidRDefault="004A484E" w:rsidP="00C75541">
      <w:pPr>
        <w:spacing w:after="0" w:line="240" w:lineRule="auto"/>
        <w:jc w:val="both"/>
        <w:rPr>
          <w:rFonts w:ascii="Times New Roman" w:hAnsi="Times New Roman" w:cs="Times New Roman"/>
          <w:sz w:val="24"/>
          <w:szCs w:val="24"/>
        </w:rPr>
      </w:pPr>
    </w:p>
    <w:p w14:paraId="4802CEB8" w14:textId="2EC13C77" w:rsidR="004A484E" w:rsidRDefault="004A484E" w:rsidP="00C75541">
      <w:pPr>
        <w:spacing w:after="0" w:line="240" w:lineRule="auto"/>
        <w:jc w:val="both"/>
        <w:rPr>
          <w:rFonts w:ascii="Times New Roman" w:hAnsi="Times New Roman" w:cs="Times New Roman"/>
          <w:sz w:val="24"/>
          <w:szCs w:val="24"/>
        </w:rPr>
      </w:pPr>
    </w:p>
    <w:p w14:paraId="4DD8454E" w14:textId="114A9FC8" w:rsidR="004A484E" w:rsidRDefault="004A484E" w:rsidP="004A484E">
      <w:pPr>
        <w:ind w:left="720" w:hanging="720"/>
        <w:jc w:val="both"/>
        <w:rPr>
          <w:rFonts w:ascii="Times New Roman" w:hAnsi="Times New Roman"/>
          <w:b/>
          <w:sz w:val="24"/>
          <w:szCs w:val="24"/>
        </w:rPr>
      </w:pPr>
      <w:r>
        <w:rPr>
          <w:rFonts w:ascii="Times New Roman" w:hAnsi="Times New Roman" w:cs="Times New Roman"/>
          <w:b/>
          <w:bCs/>
          <w:sz w:val="24"/>
          <w:szCs w:val="24"/>
        </w:rPr>
        <w:t>3.3</w:t>
      </w:r>
      <w:r>
        <w:rPr>
          <w:rFonts w:ascii="Times New Roman" w:hAnsi="Times New Roman"/>
          <w:b/>
          <w:sz w:val="24"/>
          <w:szCs w:val="24"/>
        </w:rPr>
        <w:tab/>
      </w:r>
      <w:r w:rsidRPr="00333DC5">
        <w:rPr>
          <w:rFonts w:ascii="Times New Roman" w:hAnsi="Times New Roman"/>
          <w:b/>
          <w:sz w:val="24"/>
          <w:szCs w:val="24"/>
        </w:rPr>
        <w:t xml:space="preserve">Comparison of the </w:t>
      </w:r>
      <w:r w:rsidR="00232E99">
        <w:rPr>
          <w:rFonts w:ascii="Times New Roman" w:hAnsi="Times New Roman"/>
          <w:b/>
          <w:sz w:val="24"/>
          <w:szCs w:val="24"/>
        </w:rPr>
        <w:t xml:space="preserve">Mean </w:t>
      </w:r>
      <w:r w:rsidR="00BA14E2" w:rsidRPr="00BA14E2">
        <w:rPr>
          <w:rFonts w:ascii="Times New Roman" w:hAnsi="Times New Roman"/>
          <w:b/>
          <w:sz w:val="24"/>
          <w:szCs w:val="24"/>
        </w:rPr>
        <w:t>LDL/HDL Ratio</w:t>
      </w:r>
      <w:r w:rsidR="00BA14E2">
        <w:rPr>
          <w:rFonts w:ascii="Times New Roman" w:hAnsi="Times New Roman"/>
          <w:b/>
          <w:sz w:val="24"/>
          <w:szCs w:val="24"/>
        </w:rPr>
        <w:t xml:space="preserve"> and </w:t>
      </w:r>
      <w:r w:rsidR="00BA14E2" w:rsidRPr="00BA14E2">
        <w:rPr>
          <w:rFonts w:ascii="Times New Roman" w:hAnsi="Times New Roman"/>
          <w:b/>
          <w:sz w:val="24"/>
          <w:szCs w:val="24"/>
        </w:rPr>
        <w:t>Non-HDL Chol</w:t>
      </w:r>
      <w:r w:rsidR="00232E99">
        <w:rPr>
          <w:rFonts w:ascii="Times New Roman" w:hAnsi="Times New Roman"/>
          <w:b/>
          <w:sz w:val="24"/>
          <w:szCs w:val="24"/>
        </w:rPr>
        <w:t>esterol</w:t>
      </w:r>
      <w:r w:rsidRPr="00333DC5">
        <w:rPr>
          <w:rFonts w:ascii="Times New Roman" w:hAnsi="Times New Roman"/>
          <w:b/>
          <w:sz w:val="24"/>
          <w:szCs w:val="24"/>
        </w:rPr>
        <w:t xml:space="preserve"> of the Control and Test Groups</w:t>
      </w:r>
    </w:p>
    <w:p w14:paraId="59567477" w14:textId="6EFA4CC3" w:rsidR="00BA14E2" w:rsidRDefault="00FD405A" w:rsidP="00F06D32">
      <w:pPr>
        <w:spacing w:before="100" w:beforeAutospacing="1" w:after="100" w:afterAutospacing="1" w:line="240" w:lineRule="auto"/>
        <w:jc w:val="both"/>
        <w:rPr>
          <w:rFonts w:ascii="Times New Roman" w:hAnsi="Times New Roman"/>
          <w:b/>
          <w:sz w:val="24"/>
          <w:szCs w:val="24"/>
        </w:rPr>
      </w:pPr>
      <w:r>
        <w:rPr>
          <w:rFonts w:ascii="Times New Roman" w:hAnsi="Times New Roman"/>
          <w:sz w:val="24"/>
          <w:szCs w:val="24"/>
        </w:rPr>
        <w:t>T</w:t>
      </w:r>
      <w:r w:rsidRPr="00FD405A">
        <w:rPr>
          <w:rFonts w:ascii="Times New Roman" w:hAnsi="Times New Roman"/>
          <w:sz w:val="24"/>
          <w:szCs w:val="24"/>
        </w:rPr>
        <w:t xml:space="preserve">able </w:t>
      </w:r>
      <w:r>
        <w:rPr>
          <w:rFonts w:ascii="Times New Roman" w:hAnsi="Times New Roman"/>
          <w:sz w:val="24"/>
          <w:szCs w:val="24"/>
        </w:rPr>
        <w:t xml:space="preserve">3 </w:t>
      </w:r>
      <w:r w:rsidRPr="00FD405A">
        <w:rPr>
          <w:rFonts w:ascii="Times New Roman" w:hAnsi="Times New Roman"/>
          <w:sz w:val="24"/>
          <w:szCs w:val="24"/>
        </w:rPr>
        <w:t>presents the LDL/HDL ratio and non-HDL cholesterol levels across six experimental groups.</w:t>
      </w:r>
      <w:r>
        <w:rPr>
          <w:rFonts w:ascii="Times New Roman" w:hAnsi="Times New Roman"/>
          <w:sz w:val="24"/>
          <w:szCs w:val="24"/>
        </w:rPr>
        <w:t xml:space="preserve"> </w:t>
      </w:r>
      <w:r w:rsidRPr="00FD405A">
        <w:rPr>
          <w:rFonts w:ascii="Times New Roman" w:hAnsi="Times New Roman"/>
          <w:sz w:val="24"/>
          <w:szCs w:val="24"/>
        </w:rPr>
        <w:t xml:space="preserve">The LDL/HDL ratio was significantly higher in Group VI (2.73 ± 0.2) compared to all other groups (p=0.03). </w:t>
      </w:r>
      <w:r>
        <w:rPr>
          <w:rFonts w:ascii="Times New Roman" w:hAnsi="Times New Roman"/>
          <w:sz w:val="24"/>
          <w:szCs w:val="24"/>
        </w:rPr>
        <w:t xml:space="preserve">Additionally, </w:t>
      </w:r>
      <w:r w:rsidRPr="00FD405A">
        <w:rPr>
          <w:rFonts w:ascii="Times New Roman" w:hAnsi="Times New Roman"/>
          <w:sz w:val="24"/>
          <w:szCs w:val="24"/>
        </w:rPr>
        <w:t xml:space="preserve">Groups II, III, V, and VI had significantly higher non-HDL cholesterol levels compared to Group I and Group IV (p=0.001). </w:t>
      </w:r>
    </w:p>
    <w:p w14:paraId="29D3B17F" w14:textId="2914F0E5" w:rsidR="00BA14E2" w:rsidRPr="0032221D" w:rsidRDefault="0032221D" w:rsidP="0032221D">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Table 3: </w:t>
      </w:r>
      <w:r w:rsidR="00030D8D">
        <w:rPr>
          <w:rFonts w:ascii="Times New Roman" w:hAnsi="Times New Roman" w:cs="Times New Roman"/>
          <w:b/>
          <w:bCs/>
          <w:sz w:val="24"/>
          <w:szCs w:val="24"/>
        </w:rPr>
        <w:t xml:space="preserve">Mean </w:t>
      </w:r>
      <w:r w:rsidRPr="0032221D">
        <w:rPr>
          <w:rFonts w:ascii="Times New Roman" w:hAnsi="Times New Roman" w:cs="Times New Roman"/>
          <w:b/>
          <w:bCs/>
          <w:sz w:val="24"/>
          <w:szCs w:val="24"/>
        </w:rPr>
        <w:t>LDL/HDL Rati</w:t>
      </w:r>
      <w:r>
        <w:rPr>
          <w:rFonts w:ascii="Times New Roman" w:hAnsi="Times New Roman" w:cs="Times New Roman"/>
          <w:b/>
          <w:bCs/>
          <w:sz w:val="24"/>
          <w:szCs w:val="24"/>
        </w:rPr>
        <w:t xml:space="preserve">o and </w:t>
      </w:r>
      <w:r w:rsidRPr="0032221D">
        <w:rPr>
          <w:rFonts w:ascii="Times New Roman" w:hAnsi="Times New Roman" w:cs="Times New Roman"/>
          <w:b/>
          <w:bCs/>
          <w:sz w:val="24"/>
          <w:szCs w:val="24"/>
        </w:rPr>
        <w:t>Non-HDL Chol</w:t>
      </w:r>
      <w:r>
        <w:rPr>
          <w:rFonts w:ascii="Times New Roman" w:hAnsi="Times New Roman" w:cs="Times New Roman"/>
          <w:b/>
          <w:bCs/>
          <w:sz w:val="24"/>
          <w:szCs w:val="24"/>
        </w:rPr>
        <w:t xml:space="preserve">esterol </w:t>
      </w:r>
      <w:r w:rsidR="00030D8D">
        <w:rPr>
          <w:rFonts w:ascii="Times New Roman" w:hAnsi="Times New Roman" w:cs="Times New Roman"/>
          <w:b/>
          <w:bCs/>
          <w:sz w:val="24"/>
          <w:szCs w:val="24"/>
        </w:rPr>
        <w:t xml:space="preserve">Levels </w:t>
      </w:r>
      <w:r>
        <w:rPr>
          <w:rFonts w:ascii="Times New Roman" w:hAnsi="Times New Roman" w:cs="Times New Roman"/>
          <w:b/>
          <w:bCs/>
          <w:sz w:val="24"/>
          <w:szCs w:val="24"/>
        </w:rPr>
        <w:t>in</w:t>
      </w:r>
      <w:r w:rsidRPr="00C75541">
        <w:rPr>
          <w:rFonts w:ascii="Times New Roman" w:hAnsi="Times New Roman" w:cs="Times New Roman"/>
          <w:b/>
          <w:bCs/>
          <w:sz w:val="24"/>
          <w:szCs w:val="24"/>
        </w:rPr>
        <w:t xml:space="preserve"> Control and Treatment Groups</w:t>
      </w:r>
    </w:p>
    <w:tbl>
      <w:tblPr>
        <w:tblStyle w:val="TableGrid"/>
        <w:tblW w:w="888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270"/>
        <w:gridCol w:w="3870"/>
        <w:gridCol w:w="2314"/>
      </w:tblGrid>
      <w:tr w:rsidR="00BA14E2" w:rsidRPr="00666CC9" w14:paraId="66424625" w14:textId="77777777" w:rsidTr="00D97692">
        <w:trPr>
          <w:trHeight w:val="505"/>
        </w:trPr>
        <w:tc>
          <w:tcPr>
            <w:tcW w:w="2430" w:type="dxa"/>
            <w:tcBorders>
              <w:top w:val="single" w:sz="4" w:space="0" w:color="auto"/>
              <w:bottom w:val="single" w:sz="4" w:space="0" w:color="auto"/>
            </w:tcBorders>
          </w:tcPr>
          <w:p w14:paraId="4901CAD4" w14:textId="77777777" w:rsidR="00BA14E2" w:rsidRPr="00ED2F2E" w:rsidRDefault="00BA14E2" w:rsidP="00D97692">
            <w:pPr>
              <w:jc w:val="both"/>
              <w:rPr>
                <w:rFonts w:ascii="Times New Roman" w:hAnsi="Times New Roman"/>
                <w:b/>
                <w:kern w:val="2"/>
                <w:sz w:val="24"/>
                <w:szCs w:val="24"/>
              </w:rPr>
            </w:pPr>
            <w:r w:rsidRPr="00666CC9">
              <w:rPr>
                <w:rFonts w:ascii="Times New Roman" w:hAnsi="Times New Roman" w:cs="Times New Roman"/>
                <w:b/>
                <w:kern w:val="2"/>
                <w:sz w:val="24"/>
                <w:szCs w:val="24"/>
              </w:rPr>
              <w:t>(n=6 per</w:t>
            </w:r>
            <w:r>
              <w:rPr>
                <w:rFonts w:ascii="Times New Roman" w:hAnsi="Times New Roman"/>
                <w:b/>
                <w:kern w:val="2"/>
                <w:sz w:val="24"/>
                <w:szCs w:val="24"/>
              </w:rPr>
              <w:t xml:space="preserve"> </w:t>
            </w:r>
            <w:r w:rsidRPr="00666CC9">
              <w:rPr>
                <w:rFonts w:ascii="Times New Roman" w:hAnsi="Times New Roman"/>
                <w:b/>
                <w:kern w:val="2"/>
                <w:sz w:val="24"/>
                <w:szCs w:val="24"/>
              </w:rPr>
              <w:t>G</w:t>
            </w:r>
            <w:r w:rsidRPr="00666CC9">
              <w:rPr>
                <w:rFonts w:ascii="Times New Roman" w:hAnsi="Times New Roman" w:cs="Times New Roman"/>
                <w:b/>
                <w:kern w:val="2"/>
                <w:sz w:val="24"/>
                <w:szCs w:val="24"/>
              </w:rPr>
              <w:t>roups</w:t>
            </w:r>
            <w:r>
              <w:rPr>
                <w:rFonts w:ascii="Times New Roman" w:hAnsi="Times New Roman"/>
                <w:b/>
                <w:kern w:val="2"/>
                <w:sz w:val="24"/>
                <w:szCs w:val="24"/>
              </w:rPr>
              <w:t>)</w:t>
            </w:r>
          </w:p>
        </w:tc>
        <w:tc>
          <w:tcPr>
            <w:tcW w:w="270" w:type="dxa"/>
            <w:tcBorders>
              <w:top w:val="single" w:sz="4" w:space="0" w:color="auto"/>
              <w:bottom w:val="single" w:sz="4" w:space="0" w:color="auto"/>
            </w:tcBorders>
          </w:tcPr>
          <w:p w14:paraId="64CF0619" w14:textId="77777777" w:rsidR="00BA14E2" w:rsidRPr="00666CC9" w:rsidRDefault="00BA14E2" w:rsidP="00D97692">
            <w:pPr>
              <w:jc w:val="center"/>
              <w:rPr>
                <w:rFonts w:ascii="Times New Roman" w:hAnsi="Times New Roman"/>
                <w:b/>
                <w:bCs/>
                <w:color w:val="000000"/>
                <w:sz w:val="24"/>
                <w:szCs w:val="24"/>
              </w:rPr>
            </w:pPr>
          </w:p>
        </w:tc>
        <w:tc>
          <w:tcPr>
            <w:tcW w:w="3870" w:type="dxa"/>
            <w:tcBorders>
              <w:top w:val="single" w:sz="4" w:space="0" w:color="auto"/>
              <w:bottom w:val="single" w:sz="4" w:space="0" w:color="auto"/>
            </w:tcBorders>
          </w:tcPr>
          <w:p w14:paraId="7529DA2D" w14:textId="77777777" w:rsidR="00BA14E2" w:rsidRPr="00666CC9" w:rsidRDefault="00BA14E2" w:rsidP="00D97692">
            <w:pPr>
              <w:jc w:val="center"/>
              <w:rPr>
                <w:rFonts w:ascii="Times New Roman" w:hAnsi="Times New Roman" w:cs="Times New Roman"/>
                <w:sz w:val="24"/>
                <w:szCs w:val="24"/>
              </w:rPr>
            </w:pPr>
            <w:r w:rsidRPr="00666CC9">
              <w:rPr>
                <w:rFonts w:ascii="Times New Roman" w:hAnsi="Times New Roman" w:cs="Times New Roman"/>
                <w:b/>
                <w:bCs/>
                <w:color w:val="000000"/>
                <w:sz w:val="24"/>
                <w:szCs w:val="24"/>
              </w:rPr>
              <w:t>LDL/HDL Ratio</w:t>
            </w:r>
          </w:p>
        </w:tc>
        <w:tc>
          <w:tcPr>
            <w:tcW w:w="2314" w:type="dxa"/>
            <w:tcBorders>
              <w:top w:val="single" w:sz="4" w:space="0" w:color="auto"/>
              <w:bottom w:val="single" w:sz="4" w:space="0" w:color="auto"/>
            </w:tcBorders>
          </w:tcPr>
          <w:p w14:paraId="61A3DC2B" w14:textId="77777777" w:rsidR="00BA14E2" w:rsidRPr="00666CC9" w:rsidRDefault="00BA14E2" w:rsidP="00D97692">
            <w:pPr>
              <w:jc w:val="center"/>
              <w:rPr>
                <w:rFonts w:ascii="Times New Roman" w:hAnsi="Times New Roman" w:cs="Times New Roman"/>
                <w:sz w:val="24"/>
                <w:szCs w:val="24"/>
              </w:rPr>
            </w:pPr>
            <w:r w:rsidRPr="00666CC9">
              <w:rPr>
                <w:rFonts w:ascii="Times New Roman" w:hAnsi="Times New Roman" w:cs="Times New Roman"/>
                <w:b/>
                <w:bCs/>
                <w:color w:val="000000"/>
                <w:sz w:val="24"/>
                <w:szCs w:val="24"/>
              </w:rPr>
              <w:t>Non-HDL Chol (mmol/L)</w:t>
            </w:r>
          </w:p>
        </w:tc>
      </w:tr>
      <w:tr w:rsidR="00D97692" w:rsidRPr="00666CC9" w14:paraId="3FE32EE9" w14:textId="77777777" w:rsidTr="00D97692">
        <w:trPr>
          <w:trHeight w:val="345"/>
        </w:trPr>
        <w:tc>
          <w:tcPr>
            <w:tcW w:w="2430" w:type="dxa"/>
            <w:tcBorders>
              <w:top w:val="single" w:sz="4" w:space="0" w:color="auto"/>
            </w:tcBorders>
          </w:tcPr>
          <w:p w14:paraId="1789E232" w14:textId="7148620C" w:rsidR="00D97692" w:rsidRPr="00666CC9" w:rsidRDefault="00D97692" w:rsidP="00D97692">
            <w:pPr>
              <w:jc w:val="both"/>
              <w:rPr>
                <w:rFonts w:ascii="Times New Roman" w:hAnsi="Times New Roman"/>
                <w:color w:val="000000"/>
                <w:sz w:val="24"/>
                <w:szCs w:val="24"/>
              </w:rPr>
            </w:pPr>
            <w:r w:rsidRPr="00751AAE">
              <w:rPr>
                <w:rFonts w:ascii="Times New Roman" w:hAnsi="Times New Roman" w:cs="Times New Roman"/>
                <w:b/>
                <w:bCs/>
              </w:rPr>
              <w:t>Control</w:t>
            </w:r>
          </w:p>
        </w:tc>
        <w:tc>
          <w:tcPr>
            <w:tcW w:w="270" w:type="dxa"/>
            <w:tcBorders>
              <w:top w:val="single" w:sz="4" w:space="0" w:color="auto"/>
            </w:tcBorders>
          </w:tcPr>
          <w:p w14:paraId="1FB74918" w14:textId="77777777" w:rsidR="00D97692" w:rsidRPr="00666CC9" w:rsidRDefault="00D97692" w:rsidP="00D97692">
            <w:pPr>
              <w:jc w:val="center"/>
              <w:rPr>
                <w:rFonts w:ascii="Times New Roman" w:hAnsi="Times New Roman"/>
                <w:color w:val="000000"/>
                <w:sz w:val="24"/>
                <w:szCs w:val="24"/>
              </w:rPr>
            </w:pPr>
          </w:p>
        </w:tc>
        <w:tc>
          <w:tcPr>
            <w:tcW w:w="3870" w:type="dxa"/>
            <w:tcBorders>
              <w:top w:val="single" w:sz="4" w:space="0" w:color="auto"/>
            </w:tcBorders>
            <w:vAlign w:val="bottom"/>
          </w:tcPr>
          <w:p w14:paraId="557BE8A5" w14:textId="77777777" w:rsidR="00D97692" w:rsidRPr="00666CC9" w:rsidRDefault="00D97692" w:rsidP="00D97692">
            <w:pPr>
              <w:jc w:val="center"/>
              <w:rPr>
                <w:rFonts w:ascii="Times New Roman" w:hAnsi="Times New Roman" w:cs="Times New Roman"/>
                <w:color w:val="000000"/>
                <w:sz w:val="24"/>
                <w:szCs w:val="24"/>
              </w:rPr>
            </w:pPr>
            <w:r w:rsidRPr="00666CC9">
              <w:rPr>
                <w:rFonts w:ascii="Times New Roman" w:hAnsi="Times New Roman" w:cs="Times New Roman"/>
                <w:color w:val="000000"/>
                <w:sz w:val="24"/>
                <w:szCs w:val="24"/>
              </w:rPr>
              <w:t>0.8 ± 0.1</w:t>
            </w:r>
            <w:r w:rsidRPr="00A67163">
              <w:rPr>
                <w:rFonts w:ascii="Times New Roman" w:hAnsi="Times New Roman"/>
                <w:color w:val="000000"/>
                <w:sz w:val="24"/>
                <w:szCs w:val="24"/>
                <w:vertAlign w:val="superscript"/>
              </w:rPr>
              <w:t>a</w:t>
            </w:r>
          </w:p>
        </w:tc>
        <w:tc>
          <w:tcPr>
            <w:tcW w:w="2314" w:type="dxa"/>
            <w:tcBorders>
              <w:top w:val="single" w:sz="4" w:space="0" w:color="auto"/>
            </w:tcBorders>
            <w:vAlign w:val="bottom"/>
          </w:tcPr>
          <w:p w14:paraId="0D98F45C" w14:textId="77777777" w:rsidR="00D97692" w:rsidRPr="00A67163" w:rsidRDefault="00D97692" w:rsidP="00D97692">
            <w:pPr>
              <w:jc w:val="center"/>
              <w:rPr>
                <w:rFonts w:ascii="Times New Roman" w:hAnsi="Times New Roman" w:cs="Times New Roman"/>
                <w:color w:val="000000"/>
                <w:sz w:val="24"/>
                <w:szCs w:val="24"/>
              </w:rPr>
            </w:pPr>
            <w:r w:rsidRPr="00666CC9">
              <w:rPr>
                <w:rFonts w:ascii="Times New Roman" w:hAnsi="Times New Roman" w:cs="Times New Roman"/>
                <w:color w:val="000000"/>
                <w:sz w:val="24"/>
                <w:szCs w:val="24"/>
              </w:rPr>
              <w:t>1.71 ± 0.14</w:t>
            </w:r>
            <w:r w:rsidRPr="00F77599">
              <w:rPr>
                <w:rFonts w:ascii="Times New Roman" w:hAnsi="Times New Roman"/>
                <w:color w:val="000000"/>
                <w:sz w:val="24"/>
                <w:szCs w:val="24"/>
                <w:vertAlign w:val="superscript"/>
              </w:rPr>
              <w:t>a</w:t>
            </w:r>
          </w:p>
        </w:tc>
      </w:tr>
      <w:tr w:rsidR="00D97692" w:rsidRPr="00666CC9" w14:paraId="73D13170" w14:textId="77777777" w:rsidTr="00D97692">
        <w:trPr>
          <w:trHeight w:val="513"/>
        </w:trPr>
        <w:tc>
          <w:tcPr>
            <w:tcW w:w="2430" w:type="dxa"/>
          </w:tcPr>
          <w:p w14:paraId="098B710C" w14:textId="1D9E263D" w:rsidR="00D97692" w:rsidRPr="00666CC9" w:rsidRDefault="00D97692" w:rsidP="00D97692">
            <w:pPr>
              <w:jc w:val="both"/>
              <w:rPr>
                <w:rFonts w:ascii="Times New Roman" w:hAnsi="Times New Roman"/>
                <w:color w:val="000000"/>
                <w:sz w:val="24"/>
                <w:szCs w:val="24"/>
              </w:rPr>
            </w:pPr>
            <w:r w:rsidRPr="00751AAE">
              <w:rPr>
                <w:rFonts w:ascii="Times New Roman" w:hAnsi="Times New Roman" w:cs="Times New Roman"/>
                <w:b/>
                <w:bCs/>
              </w:rPr>
              <w:t>Low-dose SB</w:t>
            </w:r>
          </w:p>
        </w:tc>
        <w:tc>
          <w:tcPr>
            <w:tcW w:w="270" w:type="dxa"/>
          </w:tcPr>
          <w:p w14:paraId="457C8904" w14:textId="77777777" w:rsidR="00D97692" w:rsidRPr="00666CC9" w:rsidRDefault="00D97692" w:rsidP="00D97692">
            <w:pPr>
              <w:jc w:val="center"/>
              <w:rPr>
                <w:rFonts w:ascii="Times New Roman" w:hAnsi="Times New Roman"/>
                <w:color w:val="000000"/>
                <w:sz w:val="24"/>
                <w:szCs w:val="24"/>
              </w:rPr>
            </w:pPr>
          </w:p>
        </w:tc>
        <w:tc>
          <w:tcPr>
            <w:tcW w:w="3870" w:type="dxa"/>
            <w:vAlign w:val="bottom"/>
          </w:tcPr>
          <w:p w14:paraId="55A12602" w14:textId="77777777" w:rsidR="00D97692" w:rsidRPr="00A67163" w:rsidRDefault="00D97692" w:rsidP="00D97692">
            <w:pPr>
              <w:jc w:val="center"/>
              <w:rPr>
                <w:rFonts w:ascii="Times New Roman" w:hAnsi="Times New Roman" w:cs="Times New Roman"/>
                <w:color w:val="000000"/>
                <w:sz w:val="24"/>
                <w:szCs w:val="24"/>
              </w:rPr>
            </w:pPr>
            <w:r w:rsidRPr="00666CC9">
              <w:rPr>
                <w:rFonts w:ascii="Times New Roman" w:hAnsi="Times New Roman" w:cs="Times New Roman"/>
                <w:color w:val="000000"/>
                <w:sz w:val="24"/>
                <w:szCs w:val="24"/>
              </w:rPr>
              <w:t>1.23 ± 0.15</w:t>
            </w:r>
            <w:r w:rsidRPr="00A67163">
              <w:rPr>
                <w:rFonts w:ascii="Times New Roman" w:hAnsi="Times New Roman"/>
                <w:color w:val="000000"/>
                <w:sz w:val="24"/>
                <w:szCs w:val="24"/>
                <w:vertAlign w:val="superscript"/>
              </w:rPr>
              <w:t>b</w:t>
            </w:r>
          </w:p>
        </w:tc>
        <w:tc>
          <w:tcPr>
            <w:tcW w:w="2314" w:type="dxa"/>
            <w:vAlign w:val="bottom"/>
          </w:tcPr>
          <w:p w14:paraId="223C067A" w14:textId="77777777" w:rsidR="00D97692" w:rsidRPr="00A67163" w:rsidRDefault="00D97692" w:rsidP="00D97692">
            <w:pPr>
              <w:jc w:val="center"/>
              <w:rPr>
                <w:rFonts w:ascii="Times New Roman" w:hAnsi="Times New Roman" w:cs="Times New Roman"/>
                <w:color w:val="000000"/>
                <w:sz w:val="24"/>
                <w:szCs w:val="24"/>
              </w:rPr>
            </w:pPr>
            <w:r w:rsidRPr="00666CC9">
              <w:rPr>
                <w:rFonts w:ascii="Times New Roman" w:hAnsi="Times New Roman" w:cs="Times New Roman"/>
                <w:color w:val="000000"/>
                <w:sz w:val="24"/>
                <w:szCs w:val="24"/>
              </w:rPr>
              <w:t>2.01 ± 0.18</w:t>
            </w:r>
            <w:r w:rsidRPr="00F77599">
              <w:rPr>
                <w:rFonts w:ascii="Times New Roman" w:hAnsi="Times New Roman"/>
                <w:color w:val="000000"/>
                <w:sz w:val="24"/>
                <w:szCs w:val="24"/>
                <w:vertAlign w:val="superscript"/>
              </w:rPr>
              <w:t>b</w:t>
            </w:r>
          </w:p>
        </w:tc>
      </w:tr>
      <w:tr w:rsidR="00D97692" w:rsidRPr="00666CC9" w14:paraId="3E181F52" w14:textId="77777777" w:rsidTr="00D97692">
        <w:trPr>
          <w:trHeight w:val="513"/>
        </w:trPr>
        <w:tc>
          <w:tcPr>
            <w:tcW w:w="2430" w:type="dxa"/>
          </w:tcPr>
          <w:p w14:paraId="3B627B97" w14:textId="121AA322" w:rsidR="00D97692" w:rsidRPr="00666CC9" w:rsidRDefault="00D97692" w:rsidP="00D97692">
            <w:pPr>
              <w:jc w:val="both"/>
              <w:rPr>
                <w:rFonts w:ascii="Times New Roman" w:hAnsi="Times New Roman"/>
                <w:color w:val="000000"/>
                <w:sz w:val="24"/>
                <w:szCs w:val="24"/>
              </w:rPr>
            </w:pPr>
            <w:r w:rsidRPr="00751AAE">
              <w:rPr>
                <w:rFonts w:ascii="Times New Roman" w:hAnsi="Times New Roman" w:cs="Times New Roman"/>
                <w:b/>
                <w:bCs/>
              </w:rPr>
              <w:t>High-dose SB</w:t>
            </w:r>
          </w:p>
        </w:tc>
        <w:tc>
          <w:tcPr>
            <w:tcW w:w="270" w:type="dxa"/>
          </w:tcPr>
          <w:p w14:paraId="4C2C2AE5" w14:textId="77777777" w:rsidR="00D97692" w:rsidRPr="00666CC9" w:rsidRDefault="00D97692" w:rsidP="00D97692">
            <w:pPr>
              <w:jc w:val="center"/>
              <w:rPr>
                <w:rFonts w:ascii="Times New Roman" w:hAnsi="Times New Roman"/>
                <w:color w:val="000000"/>
                <w:sz w:val="24"/>
                <w:szCs w:val="24"/>
              </w:rPr>
            </w:pPr>
          </w:p>
        </w:tc>
        <w:tc>
          <w:tcPr>
            <w:tcW w:w="3870" w:type="dxa"/>
            <w:vAlign w:val="bottom"/>
          </w:tcPr>
          <w:p w14:paraId="55766144"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1.19 ± 0.12</w:t>
            </w:r>
            <w:r w:rsidRPr="00A67163">
              <w:rPr>
                <w:rFonts w:ascii="Times New Roman" w:hAnsi="Times New Roman"/>
                <w:color w:val="000000"/>
                <w:sz w:val="24"/>
                <w:szCs w:val="24"/>
                <w:vertAlign w:val="superscript"/>
              </w:rPr>
              <w:t>b</w:t>
            </w:r>
          </w:p>
        </w:tc>
        <w:tc>
          <w:tcPr>
            <w:tcW w:w="2314" w:type="dxa"/>
            <w:vAlign w:val="bottom"/>
          </w:tcPr>
          <w:p w14:paraId="397E51E2"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2.03 ± 0.19</w:t>
            </w:r>
            <w:r w:rsidRPr="00F77599">
              <w:rPr>
                <w:rFonts w:ascii="Times New Roman" w:hAnsi="Times New Roman"/>
                <w:color w:val="000000"/>
                <w:sz w:val="24"/>
                <w:szCs w:val="24"/>
                <w:vertAlign w:val="superscript"/>
              </w:rPr>
              <w:t>b</w:t>
            </w:r>
          </w:p>
        </w:tc>
      </w:tr>
      <w:tr w:rsidR="00D97692" w:rsidRPr="00666CC9" w14:paraId="2BAF8A23" w14:textId="77777777" w:rsidTr="00D97692">
        <w:trPr>
          <w:trHeight w:val="513"/>
        </w:trPr>
        <w:tc>
          <w:tcPr>
            <w:tcW w:w="2430" w:type="dxa"/>
          </w:tcPr>
          <w:p w14:paraId="3E766CEC" w14:textId="16B80624" w:rsidR="00D97692" w:rsidRPr="00666CC9" w:rsidRDefault="00D97692" w:rsidP="00D97692">
            <w:pPr>
              <w:jc w:val="both"/>
              <w:rPr>
                <w:rFonts w:ascii="Times New Roman" w:hAnsi="Times New Roman"/>
                <w:color w:val="000000"/>
                <w:sz w:val="24"/>
                <w:szCs w:val="24"/>
              </w:rPr>
            </w:pPr>
            <w:r w:rsidRPr="00751AAE">
              <w:rPr>
                <w:rFonts w:ascii="Times New Roman" w:hAnsi="Times New Roman" w:cs="Times New Roman"/>
                <w:b/>
                <w:bCs/>
              </w:rPr>
              <w:t>Vit. C</w:t>
            </w:r>
          </w:p>
        </w:tc>
        <w:tc>
          <w:tcPr>
            <w:tcW w:w="270" w:type="dxa"/>
          </w:tcPr>
          <w:p w14:paraId="603D754C" w14:textId="77777777" w:rsidR="00D97692" w:rsidRPr="00666CC9" w:rsidRDefault="00D97692" w:rsidP="00D97692">
            <w:pPr>
              <w:jc w:val="center"/>
              <w:rPr>
                <w:rFonts w:ascii="Times New Roman" w:hAnsi="Times New Roman"/>
                <w:color w:val="000000"/>
                <w:sz w:val="24"/>
                <w:szCs w:val="24"/>
              </w:rPr>
            </w:pPr>
          </w:p>
        </w:tc>
        <w:tc>
          <w:tcPr>
            <w:tcW w:w="3870" w:type="dxa"/>
            <w:vAlign w:val="bottom"/>
          </w:tcPr>
          <w:p w14:paraId="30C9BD1A"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0.73 ± 0.08</w:t>
            </w:r>
            <w:r w:rsidRPr="00A67163">
              <w:rPr>
                <w:rFonts w:ascii="Times New Roman" w:hAnsi="Times New Roman"/>
                <w:color w:val="000000"/>
                <w:sz w:val="24"/>
                <w:szCs w:val="24"/>
                <w:vertAlign w:val="superscript"/>
              </w:rPr>
              <w:t>a</w:t>
            </w:r>
          </w:p>
        </w:tc>
        <w:tc>
          <w:tcPr>
            <w:tcW w:w="2314" w:type="dxa"/>
            <w:vAlign w:val="bottom"/>
          </w:tcPr>
          <w:p w14:paraId="466855C7"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1.36 ± 0.12</w:t>
            </w:r>
            <w:r w:rsidRPr="00F77599">
              <w:rPr>
                <w:rFonts w:ascii="Times New Roman" w:hAnsi="Times New Roman"/>
                <w:color w:val="000000"/>
                <w:sz w:val="24"/>
                <w:szCs w:val="24"/>
                <w:vertAlign w:val="superscript"/>
              </w:rPr>
              <w:t>a</w:t>
            </w:r>
          </w:p>
        </w:tc>
      </w:tr>
      <w:tr w:rsidR="00D97692" w:rsidRPr="00666CC9" w14:paraId="79A82138" w14:textId="77777777" w:rsidTr="00D97692">
        <w:trPr>
          <w:trHeight w:val="513"/>
        </w:trPr>
        <w:tc>
          <w:tcPr>
            <w:tcW w:w="2430" w:type="dxa"/>
          </w:tcPr>
          <w:p w14:paraId="08532833" w14:textId="5B05C150" w:rsidR="00D97692" w:rsidRPr="00666CC9" w:rsidRDefault="00D97692" w:rsidP="00D97692">
            <w:pPr>
              <w:jc w:val="both"/>
              <w:rPr>
                <w:rFonts w:ascii="Times New Roman" w:hAnsi="Times New Roman"/>
                <w:color w:val="000000"/>
                <w:sz w:val="24"/>
                <w:szCs w:val="24"/>
              </w:rPr>
            </w:pPr>
            <w:r w:rsidRPr="00751AAE">
              <w:rPr>
                <w:rFonts w:ascii="Times New Roman" w:hAnsi="Times New Roman" w:cs="Times New Roman"/>
                <w:b/>
                <w:bCs/>
              </w:rPr>
              <w:t>Low-dose SB + Vit.</w:t>
            </w:r>
            <w:r>
              <w:rPr>
                <w:rFonts w:ascii="Times New Roman" w:hAnsi="Times New Roman" w:cs="Times New Roman"/>
                <w:b/>
                <w:bCs/>
              </w:rPr>
              <w:t xml:space="preserve"> </w:t>
            </w:r>
            <w:r w:rsidRPr="00751AAE">
              <w:rPr>
                <w:rFonts w:ascii="Times New Roman" w:hAnsi="Times New Roman" w:cs="Times New Roman"/>
                <w:b/>
                <w:bCs/>
              </w:rPr>
              <w:t>C</w:t>
            </w:r>
          </w:p>
        </w:tc>
        <w:tc>
          <w:tcPr>
            <w:tcW w:w="270" w:type="dxa"/>
          </w:tcPr>
          <w:p w14:paraId="7939EAF0" w14:textId="77777777" w:rsidR="00D97692" w:rsidRPr="00666CC9" w:rsidRDefault="00D97692" w:rsidP="00D97692">
            <w:pPr>
              <w:jc w:val="center"/>
              <w:rPr>
                <w:rFonts w:ascii="Times New Roman" w:hAnsi="Times New Roman"/>
                <w:color w:val="000000"/>
                <w:sz w:val="24"/>
                <w:szCs w:val="24"/>
              </w:rPr>
            </w:pPr>
          </w:p>
        </w:tc>
        <w:tc>
          <w:tcPr>
            <w:tcW w:w="3870" w:type="dxa"/>
            <w:vAlign w:val="bottom"/>
          </w:tcPr>
          <w:p w14:paraId="3DF70527"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1.13 ± 0.11</w:t>
            </w:r>
            <w:r w:rsidRPr="00A67163">
              <w:rPr>
                <w:rFonts w:ascii="Times New Roman" w:hAnsi="Times New Roman"/>
                <w:color w:val="000000"/>
                <w:sz w:val="24"/>
                <w:szCs w:val="24"/>
                <w:vertAlign w:val="superscript"/>
              </w:rPr>
              <w:t>b</w:t>
            </w:r>
          </w:p>
        </w:tc>
        <w:tc>
          <w:tcPr>
            <w:tcW w:w="2314" w:type="dxa"/>
            <w:vAlign w:val="bottom"/>
          </w:tcPr>
          <w:p w14:paraId="488D8EB2"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2.07 ± 0.22</w:t>
            </w:r>
            <w:r w:rsidRPr="00F77599">
              <w:rPr>
                <w:rFonts w:ascii="Times New Roman" w:hAnsi="Times New Roman"/>
                <w:color w:val="000000"/>
                <w:sz w:val="24"/>
                <w:szCs w:val="24"/>
                <w:vertAlign w:val="superscript"/>
              </w:rPr>
              <w:t>b</w:t>
            </w:r>
          </w:p>
        </w:tc>
      </w:tr>
      <w:tr w:rsidR="00D97692" w:rsidRPr="00666CC9" w14:paraId="6811DBBD" w14:textId="77777777" w:rsidTr="00D97692">
        <w:trPr>
          <w:trHeight w:val="478"/>
        </w:trPr>
        <w:tc>
          <w:tcPr>
            <w:tcW w:w="2430" w:type="dxa"/>
          </w:tcPr>
          <w:p w14:paraId="420F6A63" w14:textId="00133F7E" w:rsidR="00D97692" w:rsidRPr="00666CC9" w:rsidRDefault="00D97692" w:rsidP="00D97692">
            <w:pPr>
              <w:jc w:val="both"/>
              <w:rPr>
                <w:rFonts w:ascii="Times New Roman" w:hAnsi="Times New Roman"/>
                <w:color w:val="000000"/>
                <w:sz w:val="24"/>
                <w:szCs w:val="24"/>
              </w:rPr>
            </w:pPr>
            <w:r w:rsidRPr="00751AAE">
              <w:rPr>
                <w:rFonts w:ascii="Times New Roman" w:hAnsi="Times New Roman" w:cs="Times New Roman"/>
                <w:b/>
                <w:bCs/>
              </w:rPr>
              <w:t>High dose SB + Vit. C</w:t>
            </w:r>
          </w:p>
        </w:tc>
        <w:tc>
          <w:tcPr>
            <w:tcW w:w="270" w:type="dxa"/>
          </w:tcPr>
          <w:p w14:paraId="64713A58" w14:textId="77777777" w:rsidR="00D97692" w:rsidRPr="00666CC9" w:rsidRDefault="00D97692" w:rsidP="00D97692">
            <w:pPr>
              <w:jc w:val="center"/>
              <w:rPr>
                <w:rFonts w:ascii="Times New Roman" w:hAnsi="Times New Roman"/>
                <w:color w:val="000000"/>
                <w:sz w:val="24"/>
                <w:szCs w:val="24"/>
              </w:rPr>
            </w:pPr>
          </w:p>
        </w:tc>
        <w:tc>
          <w:tcPr>
            <w:tcW w:w="3870" w:type="dxa"/>
            <w:vAlign w:val="bottom"/>
          </w:tcPr>
          <w:p w14:paraId="66D82EC3"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2.73 ± 0.2</w:t>
            </w:r>
            <w:r w:rsidRPr="00A67163">
              <w:rPr>
                <w:rFonts w:ascii="Times New Roman" w:hAnsi="Times New Roman"/>
                <w:color w:val="000000"/>
                <w:sz w:val="24"/>
                <w:szCs w:val="24"/>
                <w:vertAlign w:val="superscript"/>
              </w:rPr>
              <w:t>c</w:t>
            </w:r>
          </w:p>
        </w:tc>
        <w:tc>
          <w:tcPr>
            <w:tcW w:w="2314" w:type="dxa"/>
            <w:vAlign w:val="bottom"/>
          </w:tcPr>
          <w:p w14:paraId="0E86E528" w14:textId="77777777" w:rsidR="00D97692" w:rsidRPr="00666CC9" w:rsidRDefault="00D97692" w:rsidP="00D97692">
            <w:pPr>
              <w:jc w:val="center"/>
              <w:rPr>
                <w:rFonts w:ascii="Times New Roman" w:hAnsi="Times New Roman" w:cs="Times New Roman"/>
                <w:sz w:val="24"/>
                <w:szCs w:val="24"/>
              </w:rPr>
            </w:pPr>
            <w:r w:rsidRPr="00666CC9">
              <w:rPr>
                <w:rFonts w:ascii="Times New Roman" w:hAnsi="Times New Roman" w:cs="Times New Roman"/>
                <w:color w:val="000000"/>
                <w:sz w:val="24"/>
                <w:szCs w:val="24"/>
              </w:rPr>
              <w:t>2.52 ± 0.2</w:t>
            </w:r>
            <w:r w:rsidRPr="00F77599">
              <w:rPr>
                <w:rFonts w:ascii="Times New Roman" w:hAnsi="Times New Roman"/>
                <w:color w:val="000000"/>
                <w:sz w:val="24"/>
                <w:szCs w:val="24"/>
                <w:vertAlign w:val="superscript"/>
              </w:rPr>
              <w:t>c</w:t>
            </w:r>
          </w:p>
        </w:tc>
      </w:tr>
      <w:tr w:rsidR="00BA14E2" w:rsidRPr="00666CC9" w14:paraId="373D3BEF" w14:textId="77777777" w:rsidTr="00D97692">
        <w:trPr>
          <w:trHeight w:val="513"/>
        </w:trPr>
        <w:tc>
          <w:tcPr>
            <w:tcW w:w="2430" w:type="dxa"/>
          </w:tcPr>
          <w:p w14:paraId="1027C1F2" w14:textId="77777777" w:rsidR="00BA14E2" w:rsidRDefault="00BA14E2" w:rsidP="00D97692">
            <w:pPr>
              <w:rPr>
                <w:rFonts w:ascii="Times New Roman" w:hAnsi="Times New Roman"/>
                <w:sz w:val="24"/>
                <w:szCs w:val="24"/>
              </w:rPr>
            </w:pPr>
            <w:r w:rsidRPr="00666CC9">
              <w:rPr>
                <w:rFonts w:ascii="Times New Roman" w:hAnsi="Times New Roman" w:cs="Times New Roman"/>
                <w:b/>
                <w:bCs/>
                <w:kern w:val="2"/>
                <w:sz w:val="24"/>
                <w:szCs w:val="24"/>
              </w:rPr>
              <w:t>F-value</w:t>
            </w:r>
          </w:p>
        </w:tc>
        <w:tc>
          <w:tcPr>
            <w:tcW w:w="270" w:type="dxa"/>
          </w:tcPr>
          <w:p w14:paraId="6048240C" w14:textId="77777777" w:rsidR="00BA14E2" w:rsidRDefault="00BA14E2" w:rsidP="00D97692">
            <w:pPr>
              <w:jc w:val="center"/>
              <w:rPr>
                <w:rFonts w:ascii="Times New Roman" w:hAnsi="Times New Roman"/>
                <w:sz w:val="24"/>
                <w:szCs w:val="24"/>
              </w:rPr>
            </w:pPr>
          </w:p>
        </w:tc>
        <w:tc>
          <w:tcPr>
            <w:tcW w:w="3870" w:type="dxa"/>
          </w:tcPr>
          <w:p w14:paraId="4A9BD6F8" w14:textId="77777777" w:rsidR="00BA14E2" w:rsidRPr="00666CC9" w:rsidRDefault="00BA14E2" w:rsidP="00D97692">
            <w:pPr>
              <w:jc w:val="center"/>
              <w:rPr>
                <w:rFonts w:ascii="Times New Roman" w:hAnsi="Times New Roman" w:cs="Times New Roman"/>
                <w:sz w:val="24"/>
                <w:szCs w:val="24"/>
              </w:rPr>
            </w:pPr>
            <w:r>
              <w:rPr>
                <w:rFonts w:ascii="Times New Roman" w:hAnsi="Times New Roman"/>
                <w:sz w:val="24"/>
                <w:szCs w:val="24"/>
              </w:rPr>
              <w:t>8.492</w:t>
            </w:r>
          </w:p>
        </w:tc>
        <w:tc>
          <w:tcPr>
            <w:tcW w:w="2314" w:type="dxa"/>
          </w:tcPr>
          <w:p w14:paraId="5792D689" w14:textId="77777777" w:rsidR="00BA14E2" w:rsidRPr="00666CC9" w:rsidRDefault="00BA14E2" w:rsidP="00D97692">
            <w:pPr>
              <w:jc w:val="center"/>
              <w:rPr>
                <w:rFonts w:ascii="Times New Roman" w:hAnsi="Times New Roman" w:cs="Times New Roman"/>
                <w:sz w:val="24"/>
                <w:szCs w:val="24"/>
              </w:rPr>
            </w:pPr>
            <w:r>
              <w:rPr>
                <w:rFonts w:ascii="Times New Roman" w:hAnsi="Times New Roman"/>
                <w:sz w:val="24"/>
                <w:szCs w:val="24"/>
              </w:rPr>
              <w:t>10.129</w:t>
            </w:r>
          </w:p>
        </w:tc>
      </w:tr>
      <w:tr w:rsidR="00BA14E2" w:rsidRPr="00666CC9" w14:paraId="632F930F" w14:textId="77777777" w:rsidTr="00D97692">
        <w:trPr>
          <w:trHeight w:val="513"/>
        </w:trPr>
        <w:tc>
          <w:tcPr>
            <w:tcW w:w="2430" w:type="dxa"/>
          </w:tcPr>
          <w:p w14:paraId="43310475" w14:textId="77777777" w:rsidR="00BA14E2" w:rsidRDefault="00BA14E2" w:rsidP="00D97692">
            <w:pPr>
              <w:rPr>
                <w:rFonts w:ascii="Times New Roman" w:hAnsi="Times New Roman"/>
                <w:sz w:val="24"/>
                <w:szCs w:val="24"/>
              </w:rPr>
            </w:pPr>
            <w:r w:rsidRPr="00666CC9">
              <w:rPr>
                <w:rFonts w:ascii="Times New Roman" w:hAnsi="Times New Roman" w:cs="Times New Roman"/>
                <w:b/>
                <w:bCs/>
                <w:i/>
                <w:iCs/>
                <w:kern w:val="2"/>
                <w:sz w:val="24"/>
                <w:szCs w:val="24"/>
              </w:rPr>
              <w:t>P</w:t>
            </w:r>
            <w:r w:rsidRPr="00666CC9">
              <w:rPr>
                <w:rFonts w:ascii="Times New Roman" w:hAnsi="Times New Roman" w:cs="Times New Roman"/>
                <w:b/>
                <w:bCs/>
                <w:kern w:val="2"/>
                <w:sz w:val="24"/>
                <w:szCs w:val="24"/>
              </w:rPr>
              <w:t>-value</w:t>
            </w:r>
          </w:p>
        </w:tc>
        <w:tc>
          <w:tcPr>
            <w:tcW w:w="270" w:type="dxa"/>
          </w:tcPr>
          <w:p w14:paraId="4A84E507" w14:textId="77777777" w:rsidR="00BA14E2" w:rsidRDefault="00BA14E2" w:rsidP="00D97692">
            <w:pPr>
              <w:jc w:val="center"/>
              <w:rPr>
                <w:rFonts w:ascii="Times New Roman" w:hAnsi="Times New Roman"/>
                <w:sz w:val="24"/>
                <w:szCs w:val="24"/>
              </w:rPr>
            </w:pPr>
          </w:p>
        </w:tc>
        <w:tc>
          <w:tcPr>
            <w:tcW w:w="3870" w:type="dxa"/>
          </w:tcPr>
          <w:p w14:paraId="6753264A" w14:textId="77777777" w:rsidR="00BA14E2" w:rsidRPr="00666CC9" w:rsidRDefault="00BA14E2" w:rsidP="00D97692">
            <w:pPr>
              <w:jc w:val="center"/>
              <w:rPr>
                <w:rFonts w:ascii="Times New Roman" w:hAnsi="Times New Roman" w:cs="Times New Roman"/>
                <w:sz w:val="24"/>
                <w:szCs w:val="24"/>
              </w:rPr>
            </w:pPr>
            <w:r>
              <w:rPr>
                <w:rFonts w:ascii="Times New Roman" w:hAnsi="Times New Roman"/>
                <w:sz w:val="24"/>
                <w:szCs w:val="24"/>
              </w:rPr>
              <w:t>0.03</w:t>
            </w:r>
          </w:p>
        </w:tc>
        <w:tc>
          <w:tcPr>
            <w:tcW w:w="2314" w:type="dxa"/>
          </w:tcPr>
          <w:p w14:paraId="7BF0E289" w14:textId="77777777" w:rsidR="00BA14E2" w:rsidRPr="00666CC9" w:rsidRDefault="00BA14E2" w:rsidP="00D97692">
            <w:pPr>
              <w:jc w:val="center"/>
              <w:rPr>
                <w:rFonts w:ascii="Times New Roman" w:hAnsi="Times New Roman" w:cs="Times New Roman"/>
                <w:sz w:val="24"/>
                <w:szCs w:val="24"/>
              </w:rPr>
            </w:pPr>
            <w:r>
              <w:rPr>
                <w:rFonts w:ascii="Times New Roman" w:hAnsi="Times New Roman"/>
                <w:sz w:val="24"/>
                <w:szCs w:val="24"/>
              </w:rPr>
              <w:t>0.001</w:t>
            </w:r>
          </w:p>
        </w:tc>
      </w:tr>
      <w:tr w:rsidR="00BA14E2" w:rsidRPr="00666CC9" w14:paraId="3427C225" w14:textId="77777777" w:rsidTr="00D97692">
        <w:trPr>
          <w:trHeight w:val="180"/>
        </w:trPr>
        <w:tc>
          <w:tcPr>
            <w:tcW w:w="2430" w:type="dxa"/>
          </w:tcPr>
          <w:p w14:paraId="332998DE" w14:textId="77777777" w:rsidR="00BA14E2" w:rsidRPr="00ED2F2E" w:rsidRDefault="00BA14E2" w:rsidP="00D97692">
            <w:pPr>
              <w:rPr>
                <w:rFonts w:ascii="Times New Roman" w:hAnsi="Times New Roman"/>
                <w:b/>
                <w:bCs/>
                <w:sz w:val="24"/>
                <w:szCs w:val="24"/>
              </w:rPr>
            </w:pPr>
            <w:r w:rsidRPr="00666CC9">
              <w:rPr>
                <w:rFonts w:ascii="Times New Roman" w:hAnsi="Times New Roman" w:cs="Times New Roman"/>
                <w:b/>
                <w:bCs/>
                <w:kern w:val="2"/>
                <w:sz w:val="24"/>
                <w:szCs w:val="24"/>
              </w:rPr>
              <w:t>Remark</w:t>
            </w:r>
          </w:p>
        </w:tc>
        <w:tc>
          <w:tcPr>
            <w:tcW w:w="270" w:type="dxa"/>
          </w:tcPr>
          <w:p w14:paraId="5DDA3E22" w14:textId="77777777" w:rsidR="00BA14E2" w:rsidRPr="00ED2F2E" w:rsidRDefault="00BA14E2" w:rsidP="00D97692">
            <w:pPr>
              <w:jc w:val="center"/>
              <w:rPr>
                <w:rFonts w:ascii="Times New Roman" w:hAnsi="Times New Roman"/>
                <w:b/>
                <w:bCs/>
                <w:sz w:val="24"/>
                <w:szCs w:val="24"/>
              </w:rPr>
            </w:pPr>
          </w:p>
        </w:tc>
        <w:tc>
          <w:tcPr>
            <w:tcW w:w="3870" w:type="dxa"/>
          </w:tcPr>
          <w:p w14:paraId="188E951E" w14:textId="77777777" w:rsidR="00BA14E2" w:rsidRPr="00ED2F2E" w:rsidRDefault="00BA14E2" w:rsidP="00D97692">
            <w:pPr>
              <w:jc w:val="center"/>
              <w:rPr>
                <w:rFonts w:ascii="Times New Roman" w:hAnsi="Times New Roman" w:cs="Times New Roman"/>
                <w:b/>
                <w:bCs/>
                <w:sz w:val="24"/>
                <w:szCs w:val="24"/>
              </w:rPr>
            </w:pPr>
            <w:r w:rsidRPr="00ED2F2E">
              <w:rPr>
                <w:rFonts w:ascii="Times New Roman" w:hAnsi="Times New Roman"/>
                <w:b/>
                <w:bCs/>
                <w:sz w:val="24"/>
                <w:szCs w:val="24"/>
              </w:rPr>
              <w:t>S</w:t>
            </w:r>
          </w:p>
        </w:tc>
        <w:tc>
          <w:tcPr>
            <w:tcW w:w="2314" w:type="dxa"/>
          </w:tcPr>
          <w:p w14:paraId="30FB4F8E" w14:textId="77777777" w:rsidR="00BA14E2" w:rsidRPr="00ED2F2E" w:rsidRDefault="00BA14E2" w:rsidP="00D97692">
            <w:pPr>
              <w:jc w:val="center"/>
              <w:rPr>
                <w:rFonts w:ascii="Times New Roman" w:hAnsi="Times New Roman" w:cs="Times New Roman"/>
                <w:b/>
                <w:bCs/>
                <w:sz w:val="24"/>
                <w:szCs w:val="24"/>
              </w:rPr>
            </w:pPr>
            <w:r w:rsidRPr="00ED2F2E">
              <w:rPr>
                <w:rFonts w:ascii="Times New Roman" w:hAnsi="Times New Roman"/>
                <w:b/>
                <w:bCs/>
                <w:sz w:val="24"/>
                <w:szCs w:val="24"/>
              </w:rPr>
              <w:t>S</w:t>
            </w:r>
          </w:p>
        </w:tc>
      </w:tr>
    </w:tbl>
    <w:p w14:paraId="5012FF63" w14:textId="77777777" w:rsidR="00751AAE" w:rsidRPr="00751AAE" w:rsidRDefault="00751AAE" w:rsidP="00751AAE">
      <w:pPr>
        <w:spacing w:after="0" w:line="240" w:lineRule="auto"/>
        <w:jc w:val="both"/>
        <w:rPr>
          <w:rFonts w:ascii="Times New Roman" w:hAnsi="Times New Roman" w:cs="Times New Roman"/>
          <w:i/>
          <w:iCs/>
          <w:sz w:val="24"/>
          <w:szCs w:val="24"/>
        </w:rPr>
      </w:pPr>
      <w:r w:rsidRPr="00751AAE">
        <w:rPr>
          <w:rFonts w:ascii="Times New Roman" w:hAnsi="Times New Roman"/>
          <w:b/>
          <w:i/>
          <w:iCs/>
          <w:sz w:val="24"/>
          <w:szCs w:val="24"/>
        </w:rPr>
        <w:t>Key:</w:t>
      </w:r>
      <w:r>
        <w:rPr>
          <w:rFonts w:ascii="Times New Roman" w:hAnsi="Times New Roman"/>
          <w:b/>
          <w:sz w:val="24"/>
          <w:szCs w:val="24"/>
        </w:rPr>
        <w:t xml:space="preserve"> </w:t>
      </w:r>
      <w:r w:rsidRPr="00751AAE">
        <w:rPr>
          <w:rFonts w:ascii="Times New Roman" w:hAnsi="Times New Roman" w:cs="Times New Roman"/>
          <w:i/>
          <w:iCs/>
          <w:sz w:val="24"/>
          <w:szCs w:val="24"/>
        </w:rPr>
        <w:t xml:space="preserve">Group I = Control, Group II = low-dose SB, Group III = high-dose SB, Group IV = Vit. C, Group V = low-dose SB + Vit. C, Group VI = high dose SB + Vit. C </w:t>
      </w:r>
    </w:p>
    <w:p w14:paraId="5B25823A" w14:textId="03DC4B51" w:rsidR="00BA14E2" w:rsidRDefault="00BA14E2" w:rsidP="004A484E">
      <w:pPr>
        <w:ind w:left="720" w:hanging="720"/>
        <w:jc w:val="both"/>
        <w:rPr>
          <w:rFonts w:ascii="Times New Roman" w:hAnsi="Times New Roman"/>
          <w:b/>
          <w:sz w:val="24"/>
          <w:szCs w:val="24"/>
        </w:rPr>
      </w:pPr>
    </w:p>
    <w:p w14:paraId="2489C65A" w14:textId="135FC217" w:rsidR="004A484E" w:rsidRDefault="004A484E" w:rsidP="004A484E">
      <w:pPr>
        <w:ind w:left="720" w:hanging="720"/>
        <w:rPr>
          <w:rFonts w:ascii="Times New Roman" w:hAnsi="Times New Roman"/>
          <w:b/>
          <w:sz w:val="24"/>
          <w:szCs w:val="24"/>
        </w:rPr>
      </w:pPr>
    </w:p>
    <w:p w14:paraId="5BA59989" w14:textId="7B000AE9" w:rsidR="00F06D32" w:rsidRDefault="00F06D32" w:rsidP="004A484E">
      <w:pPr>
        <w:ind w:left="720" w:hanging="720"/>
        <w:rPr>
          <w:rFonts w:ascii="Times New Roman" w:hAnsi="Times New Roman"/>
          <w:b/>
          <w:sz w:val="24"/>
          <w:szCs w:val="24"/>
        </w:rPr>
      </w:pPr>
    </w:p>
    <w:p w14:paraId="4BAF8D4C" w14:textId="77777777" w:rsidR="00F06D32" w:rsidRDefault="00F06D32" w:rsidP="004A484E">
      <w:pPr>
        <w:ind w:left="720" w:hanging="720"/>
        <w:rPr>
          <w:rFonts w:ascii="Times New Roman" w:hAnsi="Times New Roman"/>
          <w:b/>
          <w:sz w:val="24"/>
          <w:szCs w:val="24"/>
        </w:rPr>
      </w:pPr>
    </w:p>
    <w:p w14:paraId="46396FFB" w14:textId="74FCEDB0" w:rsidR="004A484E" w:rsidRDefault="001106A6" w:rsidP="001106A6">
      <w:pPr>
        <w:spacing w:before="100" w:beforeAutospacing="1" w:after="100" w:afterAutospacing="1" w:line="240" w:lineRule="auto"/>
        <w:jc w:val="both"/>
        <w:rPr>
          <w:rFonts w:ascii="Times New Roman" w:hAnsi="Times New Roman" w:cs="Times New Roman"/>
          <w:b/>
          <w:bCs/>
          <w:sz w:val="24"/>
          <w:szCs w:val="24"/>
        </w:rPr>
      </w:pPr>
      <w:r w:rsidRPr="001106A6">
        <w:rPr>
          <w:rFonts w:ascii="Times New Roman" w:hAnsi="Times New Roman" w:cs="Times New Roman"/>
          <w:b/>
          <w:bCs/>
          <w:sz w:val="24"/>
          <w:szCs w:val="24"/>
        </w:rPr>
        <w:t>4.0</w:t>
      </w:r>
      <w:r w:rsidRPr="001106A6">
        <w:rPr>
          <w:rFonts w:ascii="Times New Roman" w:hAnsi="Times New Roman" w:cs="Times New Roman"/>
          <w:b/>
          <w:bCs/>
          <w:sz w:val="24"/>
          <w:szCs w:val="24"/>
        </w:rPr>
        <w:tab/>
        <w:t>DISCUSSION</w:t>
      </w:r>
    </w:p>
    <w:p w14:paraId="34DB0120" w14:textId="3793996E" w:rsidR="001E7CF3" w:rsidRDefault="001106A6" w:rsidP="001D7FE8">
      <w:pPr>
        <w:spacing w:before="100" w:beforeAutospacing="1" w:after="100" w:afterAutospacing="1" w:line="240" w:lineRule="auto"/>
        <w:jc w:val="both"/>
        <w:rPr>
          <w:rFonts w:ascii="Times New Roman" w:hAnsi="Times New Roman" w:cs="Times New Roman"/>
          <w:sz w:val="24"/>
          <w:szCs w:val="24"/>
        </w:rPr>
      </w:pPr>
      <w:r w:rsidRPr="001106A6">
        <w:rPr>
          <w:rFonts w:ascii="Times New Roman" w:hAnsi="Times New Roman" w:cs="Times New Roman"/>
          <w:sz w:val="24"/>
          <w:szCs w:val="24"/>
        </w:rPr>
        <w:t>This study aimed to assess the</w:t>
      </w:r>
      <w:r>
        <w:rPr>
          <w:rFonts w:ascii="Times New Roman" w:hAnsi="Times New Roman" w:cs="Times New Roman"/>
          <w:sz w:val="24"/>
          <w:szCs w:val="24"/>
        </w:rPr>
        <w:t xml:space="preserve"> </w:t>
      </w:r>
      <w:r w:rsidRPr="001106A6">
        <w:rPr>
          <w:rFonts w:ascii="Times New Roman" w:hAnsi="Times New Roman" w:cs="Times New Roman"/>
          <w:sz w:val="24"/>
          <w:szCs w:val="24"/>
        </w:rPr>
        <w:t>comparative effect</w:t>
      </w:r>
      <w:r>
        <w:rPr>
          <w:rFonts w:ascii="Times New Roman" w:hAnsi="Times New Roman" w:cs="Times New Roman"/>
          <w:sz w:val="24"/>
          <w:szCs w:val="24"/>
        </w:rPr>
        <w:t xml:space="preserve">s </w:t>
      </w:r>
      <w:r w:rsidRPr="001106A6">
        <w:rPr>
          <w:rFonts w:ascii="Times New Roman" w:hAnsi="Times New Roman" w:cs="Times New Roman"/>
          <w:sz w:val="24"/>
          <w:szCs w:val="24"/>
        </w:rPr>
        <w:t xml:space="preserve">of sodium benzoate, </w:t>
      </w:r>
      <w:r w:rsidR="00A430A7">
        <w:rPr>
          <w:rFonts w:ascii="Times New Roman" w:hAnsi="Times New Roman" w:cs="Times New Roman"/>
          <w:sz w:val="24"/>
          <w:szCs w:val="24"/>
        </w:rPr>
        <w:t>ascorbic acid (</w:t>
      </w:r>
      <w:r w:rsidRPr="001106A6">
        <w:rPr>
          <w:rFonts w:ascii="Times New Roman" w:hAnsi="Times New Roman" w:cs="Times New Roman"/>
          <w:sz w:val="24"/>
          <w:szCs w:val="24"/>
        </w:rPr>
        <w:t xml:space="preserve">vitamin </w:t>
      </w:r>
      <w:r>
        <w:rPr>
          <w:rFonts w:ascii="Times New Roman" w:hAnsi="Times New Roman" w:cs="Times New Roman"/>
          <w:sz w:val="24"/>
          <w:szCs w:val="24"/>
        </w:rPr>
        <w:t>C</w:t>
      </w:r>
      <w:r w:rsidR="00A430A7">
        <w:rPr>
          <w:rFonts w:ascii="Times New Roman" w:hAnsi="Times New Roman" w:cs="Times New Roman"/>
          <w:sz w:val="24"/>
          <w:szCs w:val="24"/>
        </w:rPr>
        <w:t>)</w:t>
      </w:r>
      <w:r w:rsidRPr="001106A6">
        <w:rPr>
          <w:rFonts w:ascii="Times New Roman" w:hAnsi="Times New Roman" w:cs="Times New Roman"/>
          <w:sz w:val="24"/>
          <w:szCs w:val="24"/>
        </w:rPr>
        <w:t xml:space="preserve">, and their combination on glucose levels, lipid profile, </w:t>
      </w:r>
      <w:r w:rsidR="00F06D32">
        <w:rPr>
          <w:rFonts w:ascii="Times New Roman" w:hAnsi="Times New Roman" w:cs="Times New Roman"/>
          <w:sz w:val="24"/>
          <w:szCs w:val="24"/>
        </w:rPr>
        <w:t>s</w:t>
      </w:r>
      <w:r w:rsidR="00F06D32" w:rsidRPr="00F06D32">
        <w:rPr>
          <w:rFonts w:ascii="Times New Roman" w:hAnsi="Times New Roman" w:cs="Times New Roman"/>
          <w:sz w:val="24"/>
          <w:szCs w:val="24"/>
        </w:rPr>
        <w:t xml:space="preserve">ome </w:t>
      </w:r>
      <w:r w:rsidR="00F06D32">
        <w:rPr>
          <w:rFonts w:ascii="Times New Roman" w:hAnsi="Times New Roman" w:cs="Times New Roman"/>
          <w:sz w:val="24"/>
          <w:szCs w:val="24"/>
        </w:rPr>
        <w:t>c</w:t>
      </w:r>
      <w:r w:rsidR="00F06D32" w:rsidRPr="00F06D32">
        <w:rPr>
          <w:rFonts w:ascii="Times New Roman" w:hAnsi="Times New Roman" w:cs="Times New Roman"/>
          <w:sz w:val="24"/>
          <w:szCs w:val="24"/>
        </w:rPr>
        <w:t xml:space="preserve">ardiovascular </w:t>
      </w:r>
      <w:r w:rsidR="00F06D32">
        <w:rPr>
          <w:rFonts w:ascii="Times New Roman" w:hAnsi="Times New Roman" w:cs="Times New Roman"/>
          <w:sz w:val="24"/>
          <w:szCs w:val="24"/>
        </w:rPr>
        <w:t xml:space="preserve">markers </w:t>
      </w:r>
      <w:r w:rsidRPr="001106A6">
        <w:rPr>
          <w:rFonts w:ascii="Times New Roman" w:hAnsi="Times New Roman" w:cs="Times New Roman"/>
          <w:sz w:val="24"/>
          <w:szCs w:val="24"/>
        </w:rPr>
        <w:t xml:space="preserve">in </w:t>
      </w:r>
      <w:r w:rsidR="00201D68">
        <w:rPr>
          <w:rFonts w:ascii="Times New Roman" w:hAnsi="Times New Roman" w:cs="Times New Roman"/>
          <w:sz w:val="24"/>
          <w:szCs w:val="24"/>
        </w:rPr>
        <w:t>a</w:t>
      </w:r>
      <w:r w:rsidRPr="001106A6">
        <w:rPr>
          <w:rFonts w:ascii="Times New Roman" w:hAnsi="Times New Roman" w:cs="Times New Roman"/>
          <w:sz w:val="24"/>
          <w:szCs w:val="24"/>
        </w:rPr>
        <w:t xml:space="preserve">lbino </w:t>
      </w:r>
      <w:r w:rsidR="00201D68">
        <w:rPr>
          <w:rFonts w:ascii="Times New Roman" w:hAnsi="Times New Roman" w:cs="Times New Roman"/>
          <w:sz w:val="24"/>
          <w:szCs w:val="24"/>
        </w:rPr>
        <w:t>r</w:t>
      </w:r>
      <w:r w:rsidRPr="001106A6">
        <w:rPr>
          <w:rFonts w:ascii="Times New Roman" w:hAnsi="Times New Roman" w:cs="Times New Roman"/>
          <w:sz w:val="24"/>
          <w:szCs w:val="24"/>
        </w:rPr>
        <w:t xml:space="preserve">ats. </w:t>
      </w:r>
      <w:r w:rsidR="001E7CF3" w:rsidRPr="001E7CF3">
        <w:rPr>
          <w:rFonts w:ascii="Times New Roman" w:hAnsi="Times New Roman" w:cs="Times New Roman"/>
          <w:sz w:val="24"/>
          <w:szCs w:val="24"/>
        </w:rPr>
        <w:lastRenderedPageBreak/>
        <w:t>The acute toxicity findings highlight the effects of sodium benzoate on rat health across different dosage levels. At a dose of 700 mg/kg, noticeable signs of toxicity were observed, including wounds, lesions, and reduced activity, although no fatalities occurred. In contrast, the 300 mg/kg dose did not produce any visible signs of toxicity or death. The presence of lesions and decreased activity at the higher dose suggests that sodium benzoate may trigger a stress response or cause specific organ damage, particularly affecting the skin and muscles. However, the absence of fatalities indicates that overall survival was not compromised at this dosage.</w:t>
      </w:r>
    </w:p>
    <w:p w14:paraId="13CF0FBE" w14:textId="082975CD" w:rsidR="00E36240" w:rsidRPr="00E36240" w:rsidRDefault="00E36240" w:rsidP="00E36240">
      <w:pPr>
        <w:spacing w:before="100" w:beforeAutospacing="1" w:after="100" w:afterAutospacing="1" w:line="240" w:lineRule="auto"/>
        <w:jc w:val="both"/>
        <w:rPr>
          <w:rFonts w:ascii="Times New Roman" w:hAnsi="Times New Roman" w:cs="Times New Roman"/>
          <w:sz w:val="24"/>
          <w:szCs w:val="24"/>
        </w:rPr>
      </w:pPr>
      <w:r w:rsidRPr="00E36240">
        <w:rPr>
          <w:rFonts w:ascii="Times New Roman" w:hAnsi="Times New Roman" w:cs="Times New Roman"/>
          <w:sz w:val="24"/>
          <w:szCs w:val="24"/>
        </w:rPr>
        <w:t>The fasting blood glucose levels did not show significant differences among the various treatment groups</w:t>
      </w:r>
      <w:r w:rsidR="00483DD1">
        <w:rPr>
          <w:rFonts w:ascii="Times New Roman" w:hAnsi="Times New Roman" w:cs="Times New Roman"/>
          <w:sz w:val="24"/>
          <w:szCs w:val="24"/>
        </w:rPr>
        <w:t xml:space="preserve"> compared to the control group</w:t>
      </w:r>
      <w:r w:rsidRPr="00E36240">
        <w:rPr>
          <w:rFonts w:ascii="Times New Roman" w:hAnsi="Times New Roman" w:cs="Times New Roman"/>
          <w:sz w:val="24"/>
          <w:szCs w:val="24"/>
        </w:rPr>
        <w:t xml:space="preserve">, indicating that sodium benzoate, vitamin C, and their combination did not substantially affect glucose metabolism in this study. One possible explanation is that the administered doses were insufficient to provoke significant alterations in glucose levels, or that these compounds do not directly influence glucose homeostasis within the context of this experimental model. </w:t>
      </w:r>
    </w:p>
    <w:p w14:paraId="4D0EB3DD" w14:textId="7D86E0E7" w:rsidR="00714659" w:rsidRDefault="00E36240" w:rsidP="00E36240">
      <w:pPr>
        <w:spacing w:before="100" w:beforeAutospacing="1" w:after="100" w:afterAutospacing="1" w:line="240" w:lineRule="auto"/>
        <w:jc w:val="both"/>
        <w:rPr>
          <w:rFonts w:ascii="Times New Roman" w:hAnsi="Times New Roman" w:cs="Times New Roman"/>
          <w:sz w:val="24"/>
          <w:szCs w:val="24"/>
        </w:rPr>
      </w:pPr>
      <w:r w:rsidRPr="00E36240">
        <w:rPr>
          <w:rFonts w:ascii="Times New Roman" w:hAnsi="Times New Roman" w:cs="Times New Roman"/>
          <w:sz w:val="24"/>
          <w:szCs w:val="24"/>
        </w:rPr>
        <w:t xml:space="preserve">Regarding total cholesterol levels, no significant variations were observed across the groups, suggesting that neither sodium benzoate nor vitamin C, alone or in combination, had a considerable impact on cholesterol metabolism. This could be due to the relatively low doses used or the absence of pre-existing lipid disturbances in the experimental animals. </w:t>
      </w:r>
      <w:r w:rsidR="00714659" w:rsidRPr="00714659">
        <w:rPr>
          <w:rFonts w:ascii="Times New Roman" w:hAnsi="Times New Roman" w:cs="Times New Roman"/>
          <w:sz w:val="24"/>
          <w:szCs w:val="24"/>
        </w:rPr>
        <w:t xml:space="preserve">In contrast, a similar study by </w:t>
      </w:r>
      <w:proofErr w:type="spellStart"/>
      <w:r w:rsidR="00714659" w:rsidRPr="00714659">
        <w:rPr>
          <w:rFonts w:ascii="Times New Roman" w:hAnsi="Times New Roman" w:cs="Times New Roman"/>
          <w:sz w:val="24"/>
          <w:szCs w:val="24"/>
        </w:rPr>
        <w:t>Olofinnade</w:t>
      </w:r>
      <w:proofErr w:type="spellEnd"/>
      <w:r w:rsidR="00714659" w:rsidRPr="00714659">
        <w:rPr>
          <w:rFonts w:ascii="Times New Roman" w:hAnsi="Times New Roman" w:cs="Times New Roman"/>
          <w:sz w:val="24"/>
          <w:szCs w:val="24"/>
        </w:rPr>
        <w:t xml:space="preserve"> et al. </w:t>
      </w:r>
      <w:r w:rsidR="00CE72DC">
        <w:rPr>
          <w:rFonts w:ascii="Times New Roman" w:hAnsi="Times New Roman" w:cs="Times New Roman"/>
          <w:sz w:val="24"/>
          <w:szCs w:val="24"/>
        </w:rPr>
        <w:t>[1</w:t>
      </w:r>
      <w:r w:rsidR="00EA3D7B">
        <w:rPr>
          <w:rFonts w:ascii="Times New Roman" w:hAnsi="Times New Roman" w:cs="Times New Roman"/>
          <w:sz w:val="24"/>
          <w:szCs w:val="24"/>
        </w:rPr>
        <w:t>6</w:t>
      </w:r>
      <w:r w:rsidR="00CE72DC">
        <w:rPr>
          <w:rFonts w:ascii="Times New Roman" w:hAnsi="Times New Roman" w:cs="Times New Roman"/>
          <w:sz w:val="24"/>
          <w:szCs w:val="24"/>
        </w:rPr>
        <w:t>]</w:t>
      </w:r>
      <w:r w:rsidR="00714659" w:rsidRPr="00714659">
        <w:rPr>
          <w:rFonts w:ascii="Times New Roman" w:hAnsi="Times New Roman" w:cs="Times New Roman"/>
          <w:sz w:val="24"/>
          <w:szCs w:val="24"/>
        </w:rPr>
        <w:t xml:space="preserve"> found that mice fed a diet containing sodium benzoate experienced a significant reduction in total cholesterol levels compared to the control group that did not receive sodium benzoate.</w:t>
      </w:r>
      <w:r w:rsidR="00714659">
        <w:rPr>
          <w:rFonts w:ascii="Times New Roman" w:hAnsi="Times New Roman" w:cs="Times New Roman"/>
          <w:sz w:val="24"/>
          <w:szCs w:val="24"/>
        </w:rPr>
        <w:t xml:space="preserve"> </w:t>
      </w:r>
      <w:r w:rsidR="00714659" w:rsidRPr="00714659">
        <w:rPr>
          <w:rFonts w:ascii="Times New Roman" w:hAnsi="Times New Roman" w:cs="Times New Roman"/>
          <w:sz w:val="24"/>
          <w:szCs w:val="24"/>
        </w:rPr>
        <w:t>The discrepancy between their findings and those of this study may be due to differences in sodium benzoate dosage or the animal model used, as they conducted their research on mice, whereas this study was performed on rats.</w:t>
      </w:r>
    </w:p>
    <w:p w14:paraId="3F73A619" w14:textId="0EAA9EE0" w:rsidR="00714659" w:rsidRDefault="00E36240" w:rsidP="00E36240">
      <w:pPr>
        <w:spacing w:before="100" w:beforeAutospacing="1" w:after="100" w:afterAutospacing="1" w:line="240" w:lineRule="auto"/>
        <w:jc w:val="both"/>
        <w:rPr>
          <w:rFonts w:ascii="Times New Roman" w:hAnsi="Times New Roman" w:cs="Times New Roman"/>
          <w:sz w:val="24"/>
          <w:szCs w:val="24"/>
        </w:rPr>
      </w:pPr>
      <w:r w:rsidRPr="00E36240">
        <w:rPr>
          <w:rFonts w:ascii="Times New Roman" w:hAnsi="Times New Roman" w:cs="Times New Roman"/>
          <w:sz w:val="24"/>
          <w:szCs w:val="24"/>
        </w:rPr>
        <w:t xml:space="preserve">Triglyceride levels were significantly elevated in Group II (low-dose </w:t>
      </w:r>
      <w:r w:rsidR="00751AAE">
        <w:rPr>
          <w:rFonts w:ascii="Times New Roman" w:hAnsi="Times New Roman" w:cs="Times New Roman"/>
          <w:sz w:val="24"/>
          <w:szCs w:val="24"/>
        </w:rPr>
        <w:t>SB</w:t>
      </w:r>
      <w:r w:rsidRPr="00E36240">
        <w:rPr>
          <w:rFonts w:ascii="Times New Roman" w:hAnsi="Times New Roman" w:cs="Times New Roman"/>
          <w:sz w:val="24"/>
          <w:szCs w:val="24"/>
        </w:rPr>
        <w:t xml:space="preserve">) and Group VI (high-dose </w:t>
      </w:r>
      <w:r w:rsidR="00751AAE">
        <w:rPr>
          <w:rFonts w:ascii="Times New Roman" w:hAnsi="Times New Roman" w:cs="Times New Roman"/>
          <w:sz w:val="24"/>
          <w:szCs w:val="24"/>
        </w:rPr>
        <w:t>SB +</w:t>
      </w:r>
      <w:r w:rsidRPr="00E36240">
        <w:rPr>
          <w:rFonts w:ascii="Times New Roman" w:hAnsi="Times New Roman" w:cs="Times New Roman"/>
          <w:sz w:val="24"/>
          <w:szCs w:val="24"/>
        </w:rPr>
        <w:t xml:space="preserve"> </w:t>
      </w:r>
      <w:r w:rsidR="00751AAE">
        <w:rPr>
          <w:rFonts w:ascii="Times New Roman" w:hAnsi="Times New Roman" w:cs="Times New Roman"/>
          <w:sz w:val="24"/>
          <w:szCs w:val="24"/>
        </w:rPr>
        <w:t>V</w:t>
      </w:r>
      <w:r w:rsidRPr="00E36240">
        <w:rPr>
          <w:rFonts w:ascii="Times New Roman" w:hAnsi="Times New Roman" w:cs="Times New Roman"/>
          <w:sz w:val="24"/>
          <w:szCs w:val="24"/>
        </w:rPr>
        <w:t>it</w:t>
      </w:r>
      <w:r w:rsidR="00751AAE">
        <w:rPr>
          <w:rFonts w:ascii="Times New Roman" w:hAnsi="Times New Roman" w:cs="Times New Roman"/>
          <w:sz w:val="24"/>
          <w:szCs w:val="24"/>
        </w:rPr>
        <w:t>.</w:t>
      </w:r>
      <w:r w:rsidRPr="00E36240">
        <w:rPr>
          <w:rFonts w:ascii="Times New Roman" w:hAnsi="Times New Roman" w:cs="Times New Roman"/>
          <w:sz w:val="24"/>
          <w:szCs w:val="24"/>
        </w:rPr>
        <w:t xml:space="preserve"> C), suggesting that sodium benzoate, both independently and in combination with vitamin C, may influence triglyceride metabolism. This could be due to its interference with lipid synthesis or liver function, leading to an accumulation of triglycerides. </w:t>
      </w:r>
      <w:r w:rsidR="003E467B" w:rsidRPr="003E467B">
        <w:rPr>
          <w:rFonts w:ascii="Times New Roman" w:hAnsi="Times New Roman" w:cs="Times New Roman"/>
          <w:sz w:val="24"/>
          <w:szCs w:val="24"/>
        </w:rPr>
        <w:t xml:space="preserve">Elevated triglyceride levels are a well-established risk factor for cardiovascular diseases (CVDs), as they contribute to atherogenesis and increase the risk of pancreatitis </w:t>
      </w:r>
      <w:r w:rsidR="00CE72DC">
        <w:rPr>
          <w:rFonts w:ascii="Times New Roman" w:hAnsi="Times New Roman" w:cs="Times New Roman"/>
          <w:sz w:val="24"/>
          <w:szCs w:val="24"/>
        </w:rPr>
        <w:t>[1</w:t>
      </w:r>
      <w:r w:rsidR="00EA3D7B">
        <w:rPr>
          <w:rFonts w:ascii="Times New Roman" w:hAnsi="Times New Roman" w:cs="Times New Roman"/>
          <w:sz w:val="24"/>
          <w:szCs w:val="24"/>
        </w:rPr>
        <w:t>7</w:t>
      </w:r>
      <w:r w:rsidR="00CE72DC">
        <w:rPr>
          <w:rFonts w:ascii="Times New Roman" w:hAnsi="Times New Roman" w:cs="Times New Roman"/>
          <w:sz w:val="24"/>
          <w:szCs w:val="24"/>
        </w:rPr>
        <w:t>]</w:t>
      </w:r>
      <w:r w:rsidR="003E467B" w:rsidRPr="00DC47C2">
        <w:rPr>
          <w:rFonts w:ascii="Times New Roman" w:hAnsi="Times New Roman" w:cs="Times New Roman"/>
          <w:sz w:val="24"/>
          <w:szCs w:val="24"/>
        </w:rPr>
        <w:t>.</w:t>
      </w:r>
      <w:r w:rsidR="003E467B" w:rsidRPr="003E467B">
        <w:rPr>
          <w:rFonts w:ascii="Times New Roman" w:hAnsi="Times New Roman" w:cs="Times New Roman"/>
          <w:sz w:val="24"/>
          <w:szCs w:val="24"/>
        </w:rPr>
        <w:t xml:space="preserve"> High triglycerides have also been associated with metabolic syndrome, insulin resistance, and hepatic </w:t>
      </w:r>
      <w:r w:rsidR="003E467B" w:rsidRPr="00DC47C2">
        <w:rPr>
          <w:rFonts w:ascii="Times New Roman" w:hAnsi="Times New Roman" w:cs="Times New Roman"/>
          <w:sz w:val="24"/>
          <w:szCs w:val="24"/>
        </w:rPr>
        <w:t>steatosis</w:t>
      </w:r>
      <w:r w:rsidR="00CE72DC">
        <w:rPr>
          <w:rFonts w:ascii="Times New Roman" w:hAnsi="Times New Roman" w:cs="Times New Roman"/>
          <w:sz w:val="24"/>
          <w:szCs w:val="24"/>
        </w:rPr>
        <w:t xml:space="preserve"> [1</w:t>
      </w:r>
      <w:r w:rsidR="00EA3D7B">
        <w:rPr>
          <w:rFonts w:ascii="Times New Roman" w:hAnsi="Times New Roman" w:cs="Times New Roman"/>
          <w:sz w:val="24"/>
          <w:szCs w:val="24"/>
        </w:rPr>
        <w:t>8</w:t>
      </w:r>
      <w:r w:rsidR="00CE72DC">
        <w:rPr>
          <w:rFonts w:ascii="Times New Roman" w:hAnsi="Times New Roman" w:cs="Times New Roman"/>
          <w:sz w:val="24"/>
          <w:szCs w:val="24"/>
        </w:rPr>
        <w:t>]</w:t>
      </w:r>
      <w:r w:rsidR="003E467B" w:rsidRPr="00DC47C2">
        <w:rPr>
          <w:rFonts w:ascii="Times New Roman" w:hAnsi="Times New Roman" w:cs="Times New Roman"/>
          <w:sz w:val="24"/>
          <w:szCs w:val="24"/>
        </w:rPr>
        <w:t xml:space="preserve">. </w:t>
      </w:r>
      <w:r w:rsidR="00714659" w:rsidRPr="00DC47C2">
        <w:rPr>
          <w:rFonts w:ascii="Times New Roman" w:hAnsi="Times New Roman" w:cs="Times New Roman"/>
          <w:sz w:val="24"/>
          <w:szCs w:val="24"/>
        </w:rPr>
        <w:t xml:space="preserve">This finding is consistent with the study by </w:t>
      </w:r>
      <w:proofErr w:type="spellStart"/>
      <w:r w:rsidR="00714659" w:rsidRPr="00DC47C2">
        <w:rPr>
          <w:rFonts w:ascii="Times New Roman" w:hAnsi="Times New Roman" w:cs="Times New Roman"/>
          <w:sz w:val="24"/>
          <w:szCs w:val="24"/>
        </w:rPr>
        <w:t>Olofinnade</w:t>
      </w:r>
      <w:proofErr w:type="spellEnd"/>
      <w:r w:rsidR="00714659" w:rsidRPr="00DC47C2">
        <w:rPr>
          <w:rFonts w:ascii="Times New Roman" w:hAnsi="Times New Roman" w:cs="Times New Roman"/>
          <w:sz w:val="24"/>
          <w:szCs w:val="24"/>
        </w:rPr>
        <w:t xml:space="preserve"> et al.</w:t>
      </w:r>
      <w:r w:rsidR="00CE72DC">
        <w:rPr>
          <w:rFonts w:ascii="Times New Roman" w:hAnsi="Times New Roman" w:cs="Times New Roman"/>
          <w:sz w:val="24"/>
          <w:szCs w:val="24"/>
        </w:rPr>
        <w:t xml:space="preserve"> [1</w:t>
      </w:r>
      <w:r w:rsidR="00EA3D7B">
        <w:rPr>
          <w:rFonts w:ascii="Times New Roman" w:hAnsi="Times New Roman" w:cs="Times New Roman"/>
          <w:sz w:val="24"/>
          <w:szCs w:val="24"/>
        </w:rPr>
        <w:t>6</w:t>
      </w:r>
      <w:r w:rsidR="00CE72DC">
        <w:rPr>
          <w:rFonts w:ascii="Times New Roman" w:hAnsi="Times New Roman" w:cs="Times New Roman"/>
          <w:sz w:val="24"/>
          <w:szCs w:val="24"/>
        </w:rPr>
        <w:t>]</w:t>
      </w:r>
      <w:r w:rsidR="00714659" w:rsidRPr="00DC47C2">
        <w:rPr>
          <w:rFonts w:ascii="Times New Roman" w:hAnsi="Times New Roman" w:cs="Times New Roman"/>
          <w:sz w:val="24"/>
          <w:szCs w:val="24"/>
        </w:rPr>
        <w:t>, which reported</w:t>
      </w:r>
      <w:r w:rsidR="00714659" w:rsidRPr="00714659">
        <w:rPr>
          <w:rFonts w:ascii="Times New Roman" w:hAnsi="Times New Roman" w:cs="Times New Roman"/>
          <w:sz w:val="24"/>
          <w:szCs w:val="24"/>
        </w:rPr>
        <w:t xml:space="preserve"> a significant increase in triglyceride levels in mice fed a sodium benzoate-containing diet compared to the control group that did not receive sodium benzoate.</w:t>
      </w:r>
    </w:p>
    <w:p w14:paraId="28C11D3F" w14:textId="6FE93222" w:rsidR="00714659" w:rsidRDefault="00714659" w:rsidP="00E36240">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Similarly, </w:t>
      </w:r>
      <w:r w:rsidR="00E36240" w:rsidRPr="00E36240">
        <w:rPr>
          <w:rFonts w:ascii="Times New Roman" w:hAnsi="Times New Roman" w:cs="Times New Roman"/>
          <w:sz w:val="24"/>
          <w:szCs w:val="24"/>
        </w:rPr>
        <w:t xml:space="preserve">LDL cholesterol levels were significantly higher in Group VI (high-dose </w:t>
      </w:r>
      <w:r w:rsidR="00751AAE">
        <w:rPr>
          <w:rFonts w:ascii="Times New Roman" w:hAnsi="Times New Roman" w:cs="Times New Roman"/>
          <w:sz w:val="24"/>
          <w:szCs w:val="24"/>
        </w:rPr>
        <w:t>SB +</w:t>
      </w:r>
      <w:r w:rsidR="00E36240" w:rsidRPr="00E36240">
        <w:rPr>
          <w:rFonts w:ascii="Times New Roman" w:hAnsi="Times New Roman" w:cs="Times New Roman"/>
          <w:sz w:val="24"/>
          <w:szCs w:val="24"/>
        </w:rPr>
        <w:t xml:space="preserve"> </w:t>
      </w:r>
      <w:r w:rsidR="00751AAE">
        <w:rPr>
          <w:rFonts w:ascii="Times New Roman" w:hAnsi="Times New Roman" w:cs="Times New Roman"/>
          <w:sz w:val="24"/>
          <w:szCs w:val="24"/>
        </w:rPr>
        <w:t>V</w:t>
      </w:r>
      <w:r w:rsidR="00E36240" w:rsidRPr="00E36240">
        <w:rPr>
          <w:rFonts w:ascii="Times New Roman" w:hAnsi="Times New Roman" w:cs="Times New Roman"/>
          <w:sz w:val="24"/>
          <w:szCs w:val="24"/>
        </w:rPr>
        <w:t>it</w:t>
      </w:r>
      <w:r w:rsidR="00751AAE">
        <w:rPr>
          <w:rFonts w:ascii="Times New Roman" w:hAnsi="Times New Roman" w:cs="Times New Roman"/>
          <w:sz w:val="24"/>
          <w:szCs w:val="24"/>
        </w:rPr>
        <w:t>.</w:t>
      </w:r>
      <w:r w:rsidR="00E36240" w:rsidRPr="00E36240">
        <w:rPr>
          <w:rFonts w:ascii="Times New Roman" w:hAnsi="Times New Roman" w:cs="Times New Roman"/>
          <w:sz w:val="24"/>
          <w:szCs w:val="24"/>
        </w:rPr>
        <w:t xml:space="preserve"> C), indicating that this combination may contribute to an increase in LDL cholesterol. </w:t>
      </w:r>
      <w:r w:rsidR="003E467B" w:rsidRPr="003E467B">
        <w:rPr>
          <w:rFonts w:ascii="Times New Roman" w:hAnsi="Times New Roman" w:cs="Times New Roman"/>
          <w:sz w:val="24"/>
          <w:szCs w:val="24"/>
        </w:rPr>
        <w:t>The significantly higher LDL cholesterol levels indicate that the combination of high-dose sodium benzoate with vitamin C may have pro-atherogenic effects. LDL cholesterol is a primary contributor to atherosclerosis, as oxidized LDL particles accumulate in arterial walls, promoting inflammation and plaque formation</w:t>
      </w:r>
      <w:r w:rsidR="00CE72DC">
        <w:rPr>
          <w:rFonts w:ascii="Times New Roman" w:hAnsi="Times New Roman" w:cs="Times New Roman"/>
          <w:sz w:val="24"/>
          <w:szCs w:val="24"/>
        </w:rPr>
        <w:t xml:space="preserve"> [1</w:t>
      </w:r>
      <w:r w:rsidR="00EA3D7B">
        <w:rPr>
          <w:rFonts w:ascii="Times New Roman" w:hAnsi="Times New Roman" w:cs="Times New Roman"/>
          <w:sz w:val="24"/>
          <w:szCs w:val="24"/>
        </w:rPr>
        <w:t>9</w:t>
      </w:r>
      <w:r w:rsidR="00CE72DC">
        <w:rPr>
          <w:rFonts w:ascii="Times New Roman" w:hAnsi="Times New Roman" w:cs="Times New Roman"/>
          <w:sz w:val="24"/>
          <w:szCs w:val="24"/>
        </w:rPr>
        <w:t>]</w:t>
      </w:r>
      <w:r w:rsidR="003E467B" w:rsidRPr="00DC47C2">
        <w:rPr>
          <w:rFonts w:ascii="Times New Roman" w:hAnsi="Times New Roman" w:cs="Times New Roman"/>
          <w:sz w:val="24"/>
          <w:szCs w:val="24"/>
        </w:rPr>
        <w:t xml:space="preserve">. </w:t>
      </w:r>
      <w:r w:rsidR="00E36240" w:rsidRPr="00DC47C2">
        <w:rPr>
          <w:rFonts w:ascii="Times New Roman" w:hAnsi="Times New Roman" w:cs="Times New Roman"/>
          <w:sz w:val="24"/>
          <w:szCs w:val="24"/>
        </w:rPr>
        <w:t>This</w:t>
      </w:r>
      <w:r w:rsidR="00E36240" w:rsidRPr="00E36240">
        <w:rPr>
          <w:rFonts w:ascii="Times New Roman" w:hAnsi="Times New Roman" w:cs="Times New Roman"/>
          <w:sz w:val="24"/>
          <w:szCs w:val="24"/>
        </w:rPr>
        <w:t xml:space="preserve"> observation </w:t>
      </w:r>
      <w:r w:rsidR="00C86859">
        <w:rPr>
          <w:rFonts w:ascii="Times New Roman" w:hAnsi="Times New Roman" w:cs="Times New Roman"/>
          <w:sz w:val="24"/>
          <w:szCs w:val="24"/>
        </w:rPr>
        <w:t>does not align</w:t>
      </w:r>
      <w:r w:rsidR="00E36240" w:rsidRPr="00E36240">
        <w:rPr>
          <w:rFonts w:ascii="Times New Roman" w:hAnsi="Times New Roman" w:cs="Times New Roman"/>
          <w:sz w:val="24"/>
          <w:szCs w:val="24"/>
        </w:rPr>
        <w:t xml:space="preserve"> with findings from </w:t>
      </w:r>
      <w:proofErr w:type="spellStart"/>
      <w:r w:rsidR="00C86859" w:rsidRPr="00714659">
        <w:rPr>
          <w:rFonts w:ascii="Times New Roman" w:hAnsi="Times New Roman" w:cs="Times New Roman"/>
          <w:sz w:val="24"/>
          <w:szCs w:val="24"/>
        </w:rPr>
        <w:t>Olofinnade</w:t>
      </w:r>
      <w:proofErr w:type="spellEnd"/>
      <w:r w:rsidR="00C86859" w:rsidRPr="00714659">
        <w:rPr>
          <w:rFonts w:ascii="Times New Roman" w:hAnsi="Times New Roman" w:cs="Times New Roman"/>
          <w:sz w:val="24"/>
          <w:szCs w:val="24"/>
        </w:rPr>
        <w:t xml:space="preserve"> et al. </w:t>
      </w:r>
      <w:r w:rsidR="00CE72DC">
        <w:rPr>
          <w:rFonts w:ascii="Times New Roman" w:hAnsi="Times New Roman" w:cs="Times New Roman"/>
          <w:sz w:val="24"/>
          <w:szCs w:val="24"/>
        </w:rPr>
        <w:t>[1</w:t>
      </w:r>
      <w:r w:rsidR="00EA3D7B">
        <w:rPr>
          <w:rFonts w:ascii="Times New Roman" w:hAnsi="Times New Roman" w:cs="Times New Roman"/>
          <w:sz w:val="24"/>
          <w:szCs w:val="24"/>
        </w:rPr>
        <w:t>6</w:t>
      </w:r>
      <w:r w:rsidR="00CE72DC">
        <w:rPr>
          <w:rFonts w:ascii="Times New Roman" w:hAnsi="Times New Roman" w:cs="Times New Roman"/>
          <w:sz w:val="24"/>
          <w:szCs w:val="24"/>
        </w:rPr>
        <w:t>]</w:t>
      </w:r>
      <w:r w:rsidR="00C86859">
        <w:rPr>
          <w:rFonts w:ascii="Times New Roman" w:hAnsi="Times New Roman" w:cs="Times New Roman"/>
          <w:sz w:val="24"/>
          <w:szCs w:val="24"/>
        </w:rPr>
        <w:t xml:space="preserve"> </w:t>
      </w:r>
      <w:r w:rsidR="00C86859" w:rsidRPr="00E36240">
        <w:rPr>
          <w:rFonts w:ascii="Times New Roman" w:hAnsi="Times New Roman" w:cs="Times New Roman"/>
          <w:sz w:val="24"/>
          <w:szCs w:val="24"/>
        </w:rPr>
        <w:t xml:space="preserve">who reported </w:t>
      </w:r>
      <w:r w:rsidR="00C86859">
        <w:rPr>
          <w:rFonts w:ascii="Times New Roman" w:hAnsi="Times New Roman" w:cs="Times New Roman"/>
          <w:sz w:val="24"/>
          <w:szCs w:val="24"/>
        </w:rPr>
        <w:t>decreased</w:t>
      </w:r>
      <w:r w:rsidR="00C86859" w:rsidRPr="00E36240">
        <w:rPr>
          <w:rFonts w:ascii="Times New Roman" w:hAnsi="Times New Roman" w:cs="Times New Roman"/>
          <w:sz w:val="24"/>
          <w:szCs w:val="24"/>
        </w:rPr>
        <w:t xml:space="preserve"> LDL levels </w:t>
      </w:r>
      <w:r w:rsidR="00C86859" w:rsidRPr="00714659">
        <w:rPr>
          <w:rFonts w:ascii="Times New Roman" w:hAnsi="Times New Roman" w:cs="Times New Roman"/>
          <w:sz w:val="24"/>
          <w:szCs w:val="24"/>
        </w:rPr>
        <w:t>in mice fed a sodium benzoate-containing diet compared to the control group that did not receive sodium benzoate.</w:t>
      </w:r>
      <w:r w:rsidR="00C86859">
        <w:rPr>
          <w:rFonts w:ascii="Times New Roman" w:hAnsi="Times New Roman" w:cs="Times New Roman"/>
          <w:sz w:val="24"/>
          <w:szCs w:val="24"/>
        </w:rPr>
        <w:t xml:space="preserve"> </w:t>
      </w:r>
      <w:r w:rsidR="00C86859" w:rsidRPr="00C86859">
        <w:rPr>
          <w:rFonts w:ascii="Times New Roman" w:hAnsi="Times New Roman" w:cs="Times New Roman"/>
          <w:sz w:val="24"/>
          <w:szCs w:val="24"/>
        </w:rPr>
        <w:t xml:space="preserve">The differences in </w:t>
      </w:r>
      <w:r w:rsidR="00C86859">
        <w:rPr>
          <w:rFonts w:ascii="Times New Roman" w:hAnsi="Times New Roman" w:cs="Times New Roman"/>
          <w:sz w:val="24"/>
          <w:szCs w:val="24"/>
        </w:rPr>
        <w:t xml:space="preserve">these </w:t>
      </w:r>
      <w:r w:rsidR="00C86859" w:rsidRPr="00C86859">
        <w:rPr>
          <w:rFonts w:ascii="Times New Roman" w:hAnsi="Times New Roman" w:cs="Times New Roman"/>
          <w:sz w:val="24"/>
          <w:szCs w:val="24"/>
        </w:rPr>
        <w:t xml:space="preserve">results may be due to species variations (mice vs. rats), dosage and exposure </w:t>
      </w:r>
      <w:r w:rsidR="00C86859" w:rsidRPr="00C86859">
        <w:rPr>
          <w:rFonts w:ascii="Times New Roman" w:hAnsi="Times New Roman" w:cs="Times New Roman"/>
          <w:sz w:val="24"/>
          <w:szCs w:val="24"/>
        </w:rPr>
        <w:lastRenderedPageBreak/>
        <w:t xml:space="preserve">differences, dietary factors, metabolic differences, or the presence of vitamin C, which could modulate </w:t>
      </w:r>
      <w:r w:rsidR="00C86859">
        <w:rPr>
          <w:rFonts w:ascii="Times New Roman" w:hAnsi="Times New Roman" w:cs="Times New Roman"/>
          <w:sz w:val="24"/>
          <w:szCs w:val="24"/>
        </w:rPr>
        <w:t xml:space="preserve">the effect of </w:t>
      </w:r>
      <w:r w:rsidR="00C86859" w:rsidRPr="00C86859">
        <w:rPr>
          <w:rFonts w:ascii="Times New Roman" w:hAnsi="Times New Roman" w:cs="Times New Roman"/>
          <w:sz w:val="24"/>
          <w:szCs w:val="24"/>
        </w:rPr>
        <w:t>sodium benzoate on lipid metabolism.</w:t>
      </w:r>
    </w:p>
    <w:p w14:paraId="735819FE" w14:textId="2C77B32C" w:rsidR="00714659" w:rsidRPr="00E36240" w:rsidRDefault="00714659" w:rsidP="00E36240">
      <w:pPr>
        <w:spacing w:before="100" w:beforeAutospacing="1" w:after="100" w:afterAutospacing="1" w:line="240" w:lineRule="auto"/>
        <w:jc w:val="both"/>
        <w:rPr>
          <w:rFonts w:ascii="Times New Roman" w:hAnsi="Times New Roman" w:cs="Times New Roman"/>
          <w:sz w:val="24"/>
          <w:szCs w:val="24"/>
        </w:rPr>
      </w:pPr>
      <w:r w:rsidRPr="00E36240">
        <w:rPr>
          <w:rFonts w:ascii="Times New Roman" w:hAnsi="Times New Roman" w:cs="Times New Roman"/>
          <w:sz w:val="24"/>
          <w:szCs w:val="24"/>
        </w:rPr>
        <w:t xml:space="preserve">HDL cholesterol levels were significantly lower in Group V (low-dose </w:t>
      </w:r>
      <w:r w:rsidR="00751AAE">
        <w:rPr>
          <w:rFonts w:ascii="Times New Roman" w:hAnsi="Times New Roman" w:cs="Times New Roman"/>
          <w:sz w:val="24"/>
          <w:szCs w:val="24"/>
        </w:rPr>
        <w:t>SB +</w:t>
      </w:r>
      <w:r w:rsidRPr="00E36240">
        <w:rPr>
          <w:rFonts w:ascii="Times New Roman" w:hAnsi="Times New Roman" w:cs="Times New Roman"/>
          <w:sz w:val="24"/>
          <w:szCs w:val="24"/>
        </w:rPr>
        <w:t xml:space="preserve"> </w:t>
      </w:r>
      <w:r w:rsidR="00751AAE">
        <w:rPr>
          <w:rFonts w:ascii="Times New Roman" w:hAnsi="Times New Roman" w:cs="Times New Roman"/>
          <w:sz w:val="24"/>
          <w:szCs w:val="24"/>
        </w:rPr>
        <w:t>V</w:t>
      </w:r>
      <w:r w:rsidRPr="00E36240">
        <w:rPr>
          <w:rFonts w:ascii="Times New Roman" w:hAnsi="Times New Roman" w:cs="Times New Roman"/>
          <w:sz w:val="24"/>
          <w:szCs w:val="24"/>
        </w:rPr>
        <w:t>it</w:t>
      </w:r>
      <w:r w:rsidR="00751AAE">
        <w:rPr>
          <w:rFonts w:ascii="Times New Roman" w:hAnsi="Times New Roman" w:cs="Times New Roman"/>
          <w:sz w:val="24"/>
          <w:szCs w:val="24"/>
        </w:rPr>
        <w:t>.</w:t>
      </w:r>
      <w:r w:rsidRPr="00E36240">
        <w:rPr>
          <w:rFonts w:ascii="Times New Roman" w:hAnsi="Times New Roman" w:cs="Times New Roman"/>
          <w:sz w:val="24"/>
          <w:szCs w:val="24"/>
        </w:rPr>
        <w:t xml:space="preserve"> C) and Group VI (high-dose </w:t>
      </w:r>
      <w:r w:rsidR="00751AAE">
        <w:rPr>
          <w:rFonts w:ascii="Times New Roman" w:hAnsi="Times New Roman" w:cs="Times New Roman"/>
          <w:sz w:val="24"/>
          <w:szCs w:val="24"/>
        </w:rPr>
        <w:t>SB + V</w:t>
      </w:r>
      <w:r w:rsidRPr="00E36240">
        <w:rPr>
          <w:rFonts w:ascii="Times New Roman" w:hAnsi="Times New Roman" w:cs="Times New Roman"/>
          <w:sz w:val="24"/>
          <w:szCs w:val="24"/>
        </w:rPr>
        <w:t>it</w:t>
      </w:r>
      <w:r w:rsidR="00751AAE">
        <w:rPr>
          <w:rFonts w:ascii="Times New Roman" w:hAnsi="Times New Roman" w:cs="Times New Roman"/>
          <w:sz w:val="24"/>
          <w:szCs w:val="24"/>
        </w:rPr>
        <w:t>.</w:t>
      </w:r>
      <w:r w:rsidRPr="00E36240">
        <w:rPr>
          <w:rFonts w:ascii="Times New Roman" w:hAnsi="Times New Roman" w:cs="Times New Roman"/>
          <w:sz w:val="24"/>
          <w:szCs w:val="24"/>
        </w:rPr>
        <w:t xml:space="preserve"> C), indicating a potential adverse effect of these treatments on HDL levels.</w:t>
      </w:r>
      <w:r w:rsidR="003E467B">
        <w:rPr>
          <w:rFonts w:ascii="Times New Roman" w:hAnsi="Times New Roman" w:cs="Times New Roman"/>
          <w:sz w:val="24"/>
          <w:szCs w:val="24"/>
        </w:rPr>
        <w:t xml:space="preserve"> </w:t>
      </w:r>
      <w:r w:rsidR="003E467B" w:rsidRPr="003E467B">
        <w:rPr>
          <w:rFonts w:ascii="Times New Roman" w:hAnsi="Times New Roman" w:cs="Times New Roman"/>
          <w:sz w:val="24"/>
          <w:szCs w:val="24"/>
        </w:rPr>
        <w:t xml:space="preserve">The reduction in HDL cholesterol suggests a potential impairment in reverse cholesterol transport, which is a protective mechanism against atherosclerosis. HDL cholesterol plays a crucial role in removing excess cholesterol from peripheral tissues and transporting it to the liver for excretion </w:t>
      </w:r>
      <w:r w:rsidR="00CE72DC">
        <w:rPr>
          <w:rFonts w:ascii="Times New Roman" w:hAnsi="Times New Roman" w:cs="Times New Roman"/>
          <w:sz w:val="24"/>
          <w:szCs w:val="24"/>
        </w:rPr>
        <w:t>[</w:t>
      </w:r>
      <w:r w:rsidR="00EA3D7B">
        <w:rPr>
          <w:rFonts w:ascii="Times New Roman" w:hAnsi="Times New Roman" w:cs="Times New Roman"/>
          <w:sz w:val="24"/>
          <w:szCs w:val="24"/>
        </w:rPr>
        <w:t>20</w:t>
      </w:r>
      <w:r w:rsidR="00CE72DC">
        <w:rPr>
          <w:rFonts w:ascii="Times New Roman" w:hAnsi="Times New Roman" w:cs="Times New Roman"/>
          <w:sz w:val="24"/>
          <w:szCs w:val="24"/>
        </w:rPr>
        <w:t>]</w:t>
      </w:r>
      <w:r w:rsidR="003E467B" w:rsidRPr="00DC47C2">
        <w:rPr>
          <w:rFonts w:ascii="Times New Roman" w:hAnsi="Times New Roman" w:cs="Times New Roman"/>
          <w:sz w:val="24"/>
          <w:szCs w:val="24"/>
        </w:rPr>
        <w:t>.</w:t>
      </w:r>
      <w:r w:rsidR="003E467B" w:rsidRPr="003E467B">
        <w:rPr>
          <w:rFonts w:ascii="Times New Roman" w:hAnsi="Times New Roman" w:cs="Times New Roman"/>
          <w:sz w:val="24"/>
          <w:szCs w:val="24"/>
        </w:rPr>
        <w:t xml:space="preserve"> A decrease in HDL levels is associated with an increased risk of cardiovascular events, as lower HDL levels reduce the ability </w:t>
      </w:r>
      <w:r w:rsidR="003E467B">
        <w:rPr>
          <w:rFonts w:ascii="Times New Roman" w:hAnsi="Times New Roman" w:cs="Times New Roman"/>
          <w:sz w:val="24"/>
          <w:szCs w:val="24"/>
        </w:rPr>
        <w:t xml:space="preserve">of the </w:t>
      </w:r>
      <w:r w:rsidR="003E467B" w:rsidRPr="003E467B">
        <w:rPr>
          <w:rFonts w:ascii="Times New Roman" w:hAnsi="Times New Roman" w:cs="Times New Roman"/>
          <w:sz w:val="24"/>
          <w:szCs w:val="24"/>
        </w:rPr>
        <w:t>body</w:t>
      </w:r>
      <w:r w:rsidR="003E467B">
        <w:rPr>
          <w:rFonts w:ascii="Times New Roman" w:hAnsi="Times New Roman" w:cs="Times New Roman"/>
          <w:sz w:val="24"/>
          <w:szCs w:val="24"/>
        </w:rPr>
        <w:t xml:space="preserve"> </w:t>
      </w:r>
      <w:r w:rsidR="003E467B" w:rsidRPr="003E467B">
        <w:rPr>
          <w:rFonts w:ascii="Times New Roman" w:hAnsi="Times New Roman" w:cs="Times New Roman"/>
          <w:sz w:val="24"/>
          <w:szCs w:val="24"/>
        </w:rPr>
        <w:t xml:space="preserve">to counteract LDL oxidation and arterial plaque formation </w:t>
      </w:r>
      <w:r w:rsidR="00CE72DC">
        <w:rPr>
          <w:rFonts w:ascii="Times New Roman" w:hAnsi="Times New Roman" w:cs="Times New Roman"/>
          <w:sz w:val="24"/>
          <w:szCs w:val="24"/>
        </w:rPr>
        <w:t>[2</w:t>
      </w:r>
      <w:r w:rsidR="00EA3D7B">
        <w:rPr>
          <w:rFonts w:ascii="Times New Roman" w:hAnsi="Times New Roman" w:cs="Times New Roman"/>
          <w:sz w:val="24"/>
          <w:szCs w:val="24"/>
        </w:rPr>
        <w:t>1</w:t>
      </w:r>
      <w:r w:rsidR="00CE72DC">
        <w:rPr>
          <w:rFonts w:ascii="Times New Roman" w:hAnsi="Times New Roman" w:cs="Times New Roman"/>
          <w:sz w:val="24"/>
          <w:szCs w:val="24"/>
        </w:rPr>
        <w:t>]</w:t>
      </w:r>
      <w:r w:rsidR="003E467B" w:rsidRPr="003E467B">
        <w:rPr>
          <w:rFonts w:ascii="Times New Roman" w:hAnsi="Times New Roman" w:cs="Times New Roman"/>
          <w:sz w:val="24"/>
          <w:szCs w:val="24"/>
        </w:rPr>
        <w:t>. The adverse impact of sodium benzoate on HDL levels aligns with findings from</w:t>
      </w:r>
      <w:r w:rsidR="003E467B">
        <w:rPr>
          <w:rFonts w:ascii="Times New Roman" w:hAnsi="Times New Roman" w:cs="Times New Roman"/>
          <w:sz w:val="24"/>
          <w:szCs w:val="24"/>
        </w:rPr>
        <w:t xml:space="preserve"> </w:t>
      </w:r>
      <w:proofErr w:type="spellStart"/>
      <w:r w:rsidR="00C86859" w:rsidRPr="00714659">
        <w:rPr>
          <w:rFonts w:ascii="Times New Roman" w:hAnsi="Times New Roman" w:cs="Times New Roman"/>
          <w:sz w:val="24"/>
          <w:szCs w:val="24"/>
        </w:rPr>
        <w:t>Olofinnade</w:t>
      </w:r>
      <w:proofErr w:type="spellEnd"/>
      <w:r w:rsidR="00C86859" w:rsidRPr="00714659">
        <w:rPr>
          <w:rFonts w:ascii="Times New Roman" w:hAnsi="Times New Roman" w:cs="Times New Roman"/>
          <w:sz w:val="24"/>
          <w:szCs w:val="24"/>
        </w:rPr>
        <w:t xml:space="preserve"> et al.</w:t>
      </w:r>
      <w:r w:rsidR="00CE72DC">
        <w:rPr>
          <w:rFonts w:ascii="Times New Roman" w:hAnsi="Times New Roman" w:cs="Times New Roman"/>
          <w:sz w:val="24"/>
          <w:szCs w:val="24"/>
        </w:rPr>
        <w:t xml:space="preserve"> [1</w:t>
      </w:r>
      <w:r w:rsidR="00EA3D7B">
        <w:rPr>
          <w:rFonts w:ascii="Times New Roman" w:hAnsi="Times New Roman" w:cs="Times New Roman"/>
          <w:sz w:val="24"/>
          <w:szCs w:val="24"/>
        </w:rPr>
        <w:t>6</w:t>
      </w:r>
      <w:r w:rsidR="00CE72DC">
        <w:rPr>
          <w:rFonts w:ascii="Times New Roman" w:hAnsi="Times New Roman" w:cs="Times New Roman"/>
          <w:sz w:val="24"/>
          <w:szCs w:val="24"/>
        </w:rPr>
        <w:t>]</w:t>
      </w:r>
      <w:r w:rsidR="00C86859" w:rsidRPr="00E36240">
        <w:rPr>
          <w:rFonts w:ascii="Times New Roman" w:hAnsi="Times New Roman" w:cs="Times New Roman"/>
          <w:sz w:val="24"/>
          <w:szCs w:val="24"/>
        </w:rPr>
        <w:t>, wh</w:t>
      </w:r>
      <w:r w:rsidR="003E467B">
        <w:rPr>
          <w:rFonts w:ascii="Times New Roman" w:hAnsi="Times New Roman" w:cs="Times New Roman"/>
          <w:sz w:val="24"/>
          <w:szCs w:val="24"/>
        </w:rPr>
        <w:t>ich</w:t>
      </w:r>
      <w:r w:rsidR="00C86859" w:rsidRPr="00E36240">
        <w:rPr>
          <w:rFonts w:ascii="Times New Roman" w:hAnsi="Times New Roman" w:cs="Times New Roman"/>
          <w:sz w:val="24"/>
          <w:szCs w:val="24"/>
        </w:rPr>
        <w:t xml:space="preserve"> reported reduced HDL levels </w:t>
      </w:r>
      <w:r w:rsidR="00C86859" w:rsidRPr="00714659">
        <w:rPr>
          <w:rFonts w:ascii="Times New Roman" w:hAnsi="Times New Roman" w:cs="Times New Roman"/>
          <w:sz w:val="24"/>
          <w:szCs w:val="24"/>
        </w:rPr>
        <w:t>in mice fed a sodium benzoate-containing diet compared to the control group that did not receive sodium benzoate</w:t>
      </w:r>
      <w:r w:rsidR="00C86859" w:rsidRPr="00E36240">
        <w:rPr>
          <w:rFonts w:ascii="Times New Roman" w:hAnsi="Times New Roman" w:cs="Times New Roman"/>
          <w:sz w:val="24"/>
          <w:szCs w:val="24"/>
        </w:rPr>
        <w:t xml:space="preserve">. </w:t>
      </w:r>
    </w:p>
    <w:p w14:paraId="668ADE77" w14:textId="5F903CA4" w:rsidR="007872CF" w:rsidRDefault="00E36240" w:rsidP="001D7FE8">
      <w:pPr>
        <w:spacing w:before="100" w:beforeAutospacing="1" w:after="100" w:afterAutospacing="1" w:line="240" w:lineRule="auto"/>
        <w:jc w:val="both"/>
        <w:rPr>
          <w:rFonts w:ascii="Times New Roman" w:hAnsi="Times New Roman" w:cs="Times New Roman"/>
          <w:sz w:val="24"/>
          <w:szCs w:val="24"/>
        </w:rPr>
      </w:pPr>
      <w:r w:rsidRPr="00E36240">
        <w:rPr>
          <w:rFonts w:ascii="Times New Roman" w:hAnsi="Times New Roman" w:cs="Times New Roman"/>
          <w:sz w:val="24"/>
          <w:szCs w:val="24"/>
        </w:rPr>
        <w:t xml:space="preserve">The LDL/HDL ratio was significantly higher in Group VI (high-dose </w:t>
      </w:r>
      <w:r w:rsidR="00751AAE">
        <w:rPr>
          <w:rFonts w:ascii="Times New Roman" w:hAnsi="Times New Roman" w:cs="Times New Roman"/>
          <w:sz w:val="24"/>
          <w:szCs w:val="24"/>
        </w:rPr>
        <w:t>SB +</w:t>
      </w:r>
      <w:r w:rsidRPr="00E36240">
        <w:rPr>
          <w:rFonts w:ascii="Times New Roman" w:hAnsi="Times New Roman" w:cs="Times New Roman"/>
          <w:sz w:val="24"/>
          <w:szCs w:val="24"/>
        </w:rPr>
        <w:t xml:space="preserve"> </w:t>
      </w:r>
      <w:r w:rsidR="00751AAE">
        <w:rPr>
          <w:rFonts w:ascii="Times New Roman" w:hAnsi="Times New Roman" w:cs="Times New Roman"/>
          <w:sz w:val="24"/>
          <w:szCs w:val="24"/>
        </w:rPr>
        <w:t>V</w:t>
      </w:r>
      <w:r w:rsidRPr="00E36240">
        <w:rPr>
          <w:rFonts w:ascii="Times New Roman" w:hAnsi="Times New Roman" w:cs="Times New Roman"/>
          <w:sz w:val="24"/>
          <w:szCs w:val="24"/>
        </w:rPr>
        <w:t>it</w:t>
      </w:r>
      <w:r w:rsidR="00751AAE">
        <w:rPr>
          <w:rFonts w:ascii="Times New Roman" w:hAnsi="Times New Roman" w:cs="Times New Roman"/>
          <w:sz w:val="24"/>
          <w:szCs w:val="24"/>
        </w:rPr>
        <w:t>.</w:t>
      </w:r>
      <w:r w:rsidRPr="00E36240">
        <w:rPr>
          <w:rFonts w:ascii="Times New Roman" w:hAnsi="Times New Roman" w:cs="Times New Roman"/>
          <w:sz w:val="24"/>
          <w:szCs w:val="24"/>
        </w:rPr>
        <w:t xml:space="preserve"> C), </w:t>
      </w:r>
      <w:r w:rsidR="007872CF" w:rsidRPr="007872CF">
        <w:rPr>
          <w:rFonts w:ascii="Times New Roman" w:hAnsi="Times New Roman" w:cs="Times New Roman"/>
          <w:sz w:val="24"/>
          <w:szCs w:val="24"/>
        </w:rPr>
        <w:t>suggests an imbalance in cholesterol transport, favoring LDL accumulation and reducing HDL-mediated cholesterol clearance</w:t>
      </w:r>
      <w:r w:rsidR="007872CF">
        <w:rPr>
          <w:rFonts w:ascii="Times New Roman" w:hAnsi="Times New Roman" w:cs="Times New Roman"/>
          <w:sz w:val="24"/>
          <w:szCs w:val="24"/>
        </w:rPr>
        <w:t xml:space="preserve">. </w:t>
      </w:r>
      <w:r w:rsidR="007872CF" w:rsidRPr="003E467B">
        <w:rPr>
          <w:rFonts w:ascii="Times New Roman" w:hAnsi="Times New Roman" w:cs="Times New Roman"/>
          <w:sz w:val="24"/>
          <w:szCs w:val="24"/>
        </w:rPr>
        <w:t xml:space="preserve">A high LDL/HDL ratio is strongly associated with atherosclerosis, as it reflects an increased presence of pro-atherogenic LDL cholesterol relative to protective HDL </w:t>
      </w:r>
      <w:r w:rsidR="007872CF" w:rsidRPr="00DC47C2">
        <w:rPr>
          <w:rFonts w:ascii="Times New Roman" w:hAnsi="Times New Roman" w:cs="Times New Roman"/>
          <w:sz w:val="24"/>
          <w:szCs w:val="24"/>
        </w:rPr>
        <w:t xml:space="preserve">cholesterol </w:t>
      </w:r>
      <w:r w:rsidR="00CE72DC">
        <w:rPr>
          <w:rFonts w:ascii="Times New Roman" w:hAnsi="Times New Roman" w:cs="Times New Roman"/>
          <w:sz w:val="24"/>
          <w:szCs w:val="24"/>
        </w:rPr>
        <w:t>[1</w:t>
      </w:r>
      <w:r w:rsidR="00EA3D7B">
        <w:rPr>
          <w:rFonts w:ascii="Times New Roman" w:hAnsi="Times New Roman" w:cs="Times New Roman"/>
          <w:sz w:val="24"/>
          <w:szCs w:val="24"/>
        </w:rPr>
        <w:t>9</w:t>
      </w:r>
      <w:r w:rsidR="00CE72DC">
        <w:rPr>
          <w:rFonts w:ascii="Times New Roman" w:hAnsi="Times New Roman" w:cs="Times New Roman"/>
          <w:sz w:val="24"/>
          <w:szCs w:val="24"/>
        </w:rPr>
        <w:t>]</w:t>
      </w:r>
      <w:r w:rsidR="007872CF" w:rsidRPr="00DC47C2">
        <w:rPr>
          <w:rFonts w:ascii="Times New Roman" w:hAnsi="Times New Roman" w:cs="Times New Roman"/>
          <w:sz w:val="24"/>
          <w:szCs w:val="24"/>
        </w:rPr>
        <w:t>. This</w:t>
      </w:r>
      <w:r w:rsidR="007872CF" w:rsidRPr="003E467B">
        <w:rPr>
          <w:rFonts w:ascii="Times New Roman" w:hAnsi="Times New Roman" w:cs="Times New Roman"/>
          <w:sz w:val="24"/>
          <w:szCs w:val="24"/>
        </w:rPr>
        <w:t xml:space="preserve"> imbalance may promote endothelial dysfunction, oxidative stress, and arterial plaque formation, thereby increasing the risk of coronary heart disease </w:t>
      </w:r>
      <w:r w:rsidR="00CE72DC">
        <w:rPr>
          <w:rFonts w:ascii="Times New Roman" w:hAnsi="Times New Roman" w:cs="Times New Roman"/>
          <w:sz w:val="24"/>
          <w:szCs w:val="24"/>
        </w:rPr>
        <w:t>[2</w:t>
      </w:r>
      <w:r w:rsidR="00EA3D7B">
        <w:rPr>
          <w:rFonts w:ascii="Times New Roman" w:hAnsi="Times New Roman" w:cs="Times New Roman"/>
          <w:sz w:val="24"/>
          <w:szCs w:val="24"/>
        </w:rPr>
        <w:t>2</w:t>
      </w:r>
      <w:r w:rsidR="00CE72DC">
        <w:rPr>
          <w:rFonts w:ascii="Times New Roman" w:hAnsi="Times New Roman" w:cs="Times New Roman"/>
          <w:sz w:val="24"/>
          <w:szCs w:val="24"/>
        </w:rPr>
        <w:t>]</w:t>
      </w:r>
    </w:p>
    <w:p w14:paraId="599296F9" w14:textId="3EE05805" w:rsidR="003E467B" w:rsidRDefault="00E36240" w:rsidP="003E467B">
      <w:pPr>
        <w:spacing w:before="100" w:beforeAutospacing="1" w:after="100" w:afterAutospacing="1" w:line="240" w:lineRule="auto"/>
        <w:jc w:val="both"/>
        <w:rPr>
          <w:rFonts w:ascii="Times New Roman" w:hAnsi="Times New Roman" w:cs="Times New Roman"/>
          <w:sz w:val="24"/>
          <w:szCs w:val="24"/>
        </w:rPr>
      </w:pPr>
      <w:r w:rsidRPr="00E36240">
        <w:rPr>
          <w:rFonts w:ascii="Times New Roman" w:hAnsi="Times New Roman" w:cs="Times New Roman"/>
          <w:sz w:val="24"/>
          <w:szCs w:val="24"/>
        </w:rPr>
        <w:t>Lastly, significantly elevated non-HDL cholesterol levels in Groups II</w:t>
      </w:r>
      <w:r w:rsidR="00113B7F">
        <w:rPr>
          <w:rFonts w:ascii="Times New Roman" w:hAnsi="Times New Roman" w:cs="Times New Roman"/>
          <w:sz w:val="24"/>
          <w:szCs w:val="24"/>
        </w:rPr>
        <w:t xml:space="preserve"> (low-dose SB)</w:t>
      </w:r>
      <w:r w:rsidRPr="00E36240">
        <w:rPr>
          <w:rFonts w:ascii="Times New Roman" w:hAnsi="Times New Roman" w:cs="Times New Roman"/>
          <w:sz w:val="24"/>
          <w:szCs w:val="24"/>
        </w:rPr>
        <w:t>, III</w:t>
      </w:r>
      <w:r w:rsidR="00113B7F">
        <w:rPr>
          <w:rFonts w:ascii="Times New Roman" w:hAnsi="Times New Roman" w:cs="Times New Roman"/>
          <w:sz w:val="24"/>
          <w:szCs w:val="24"/>
        </w:rPr>
        <w:t xml:space="preserve"> (high-dose SB)</w:t>
      </w:r>
      <w:r w:rsidRPr="00E36240">
        <w:rPr>
          <w:rFonts w:ascii="Times New Roman" w:hAnsi="Times New Roman" w:cs="Times New Roman"/>
          <w:sz w:val="24"/>
          <w:szCs w:val="24"/>
        </w:rPr>
        <w:t>, V</w:t>
      </w:r>
      <w:r w:rsidR="00113B7F">
        <w:rPr>
          <w:rFonts w:ascii="Times New Roman" w:hAnsi="Times New Roman" w:cs="Times New Roman"/>
          <w:sz w:val="24"/>
          <w:szCs w:val="24"/>
        </w:rPr>
        <w:t xml:space="preserve"> (low-dose SB + Vit. C)</w:t>
      </w:r>
      <w:r w:rsidRPr="00E36240">
        <w:rPr>
          <w:rFonts w:ascii="Times New Roman" w:hAnsi="Times New Roman" w:cs="Times New Roman"/>
          <w:sz w:val="24"/>
          <w:szCs w:val="24"/>
        </w:rPr>
        <w:t xml:space="preserve">, and VI </w:t>
      </w:r>
      <w:r w:rsidR="00113B7F">
        <w:rPr>
          <w:rFonts w:ascii="Times New Roman" w:hAnsi="Times New Roman" w:cs="Times New Roman"/>
          <w:sz w:val="24"/>
          <w:szCs w:val="24"/>
        </w:rPr>
        <w:t xml:space="preserve">(high dose SB + Vit. C) </w:t>
      </w:r>
      <w:r w:rsidRPr="00E36240">
        <w:rPr>
          <w:rFonts w:ascii="Times New Roman" w:hAnsi="Times New Roman" w:cs="Times New Roman"/>
          <w:sz w:val="24"/>
          <w:szCs w:val="24"/>
        </w:rPr>
        <w:t xml:space="preserve">compared to Groups I </w:t>
      </w:r>
      <w:r w:rsidR="00113B7F">
        <w:rPr>
          <w:rFonts w:ascii="Times New Roman" w:hAnsi="Times New Roman" w:cs="Times New Roman"/>
          <w:sz w:val="24"/>
          <w:szCs w:val="24"/>
        </w:rPr>
        <w:t xml:space="preserve">(Control) </w:t>
      </w:r>
      <w:r w:rsidRPr="00E36240">
        <w:rPr>
          <w:rFonts w:ascii="Times New Roman" w:hAnsi="Times New Roman" w:cs="Times New Roman"/>
          <w:sz w:val="24"/>
          <w:szCs w:val="24"/>
        </w:rPr>
        <w:t xml:space="preserve">and IV </w:t>
      </w:r>
      <w:r w:rsidR="00113B7F">
        <w:rPr>
          <w:rFonts w:ascii="Times New Roman" w:hAnsi="Times New Roman" w:cs="Times New Roman"/>
          <w:sz w:val="24"/>
          <w:szCs w:val="24"/>
        </w:rPr>
        <w:t xml:space="preserve">(Vit. C) </w:t>
      </w:r>
      <w:r w:rsidRPr="00E36240">
        <w:rPr>
          <w:rFonts w:ascii="Times New Roman" w:hAnsi="Times New Roman" w:cs="Times New Roman"/>
          <w:sz w:val="24"/>
          <w:szCs w:val="24"/>
        </w:rPr>
        <w:t>suggest that sodium benzoate exposure, particularly when combined with vitamin C, may contribute to an increase in non-HDL cholesterol. This is concerning, as non-HDL cholesterol is a known risk factor for cardiovascular diseases. One possible explanation is that sodium benzoate disrupts lipid metabolism, leading to increased accumulation of non-HDL cholesterol.</w:t>
      </w:r>
      <w:r w:rsidR="007872CF">
        <w:rPr>
          <w:rFonts w:ascii="Times New Roman" w:hAnsi="Times New Roman" w:cs="Times New Roman"/>
          <w:sz w:val="24"/>
          <w:szCs w:val="24"/>
        </w:rPr>
        <w:t xml:space="preserve"> </w:t>
      </w:r>
      <w:r w:rsidR="003E467B" w:rsidRPr="003E467B">
        <w:rPr>
          <w:rFonts w:ascii="Times New Roman" w:hAnsi="Times New Roman" w:cs="Times New Roman"/>
          <w:sz w:val="24"/>
          <w:szCs w:val="24"/>
        </w:rPr>
        <w:t>Non-HDL cholesterol encompasses all atherogenic lipoproteins, including LDL, VLDL, and remnant lipoproteins, making it a strong predictor of CVD risk</w:t>
      </w:r>
      <w:r w:rsidR="00CE72DC">
        <w:rPr>
          <w:rFonts w:ascii="Times New Roman" w:hAnsi="Times New Roman" w:cs="Times New Roman"/>
          <w:sz w:val="24"/>
          <w:szCs w:val="24"/>
        </w:rPr>
        <w:t xml:space="preserve"> [2</w:t>
      </w:r>
      <w:r w:rsidR="00EA3D7B">
        <w:rPr>
          <w:rFonts w:ascii="Times New Roman" w:hAnsi="Times New Roman" w:cs="Times New Roman"/>
          <w:sz w:val="24"/>
          <w:szCs w:val="24"/>
        </w:rPr>
        <w:t>3</w:t>
      </w:r>
      <w:r w:rsidR="00CE72DC">
        <w:rPr>
          <w:rFonts w:ascii="Times New Roman" w:hAnsi="Times New Roman" w:cs="Times New Roman"/>
          <w:sz w:val="24"/>
          <w:szCs w:val="24"/>
        </w:rPr>
        <w:t>]</w:t>
      </w:r>
      <w:r w:rsidR="008F0BA8">
        <w:rPr>
          <w:rFonts w:ascii="Times New Roman" w:hAnsi="Times New Roman" w:cs="Times New Roman"/>
          <w:sz w:val="24"/>
          <w:szCs w:val="24"/>
        </w:rPr>
        <w:t>[2</w:t>
      </w:r>
      <w:r w:rsidR="00EA3D7B">
        <w:rPr>
          <w:rFonts w:ascii="Times New Roman" w:hAnsi="Times New Roman" w:cs="Times New Roman"/>
          <w:sz w:val="24"/>
          <w:szCs w:val="24"/>
        </w:rPr>
        <w:t>4</w:t>
      </w:r>
      <w:r w:rsidR="008F0BA8">
        <w:rPr>
          <w:rFonts w:ascii="Times New Roman" w:hAnsi="Times New Roman" w:cs="Times New Roman"/>
          <w:sz w:val="24"/>
          <w:szCs w:val="24"/>
        </w:rPr>
        <w:t>]</w:t>
      </w:r>
      <w:r w:rsidR="003E467B" w:rsidRPr="0082143E">
        <w:rPr>
          <w:rFonts w:ascii="Times New Roman" w:hAnsi="Times New Roman" w:cs="Times New Roman"/>
          <w:sz w:val="24"/>
          <w:szCs w:val="24"/>
        </w:rPr>
        <w:t>.</w:t>
      </w:r>
      <w:r w:rsidR="003E467B" w:rsidRPr="003E467B">
        <w:rPr>
          <w:rFonts w:ascii="Times New Roman" w:hAnsi="Times New Roman" w:cs="Times New Roman"/>
          <w:sz w:val="24"/>
          <w:szCs w:val="24"/>
        </w:rPr>
        <w:t xml:space="preserve"> Elevated non-HDL cholesterol is particularly concerning as it reflects an increased burden of cholesterol-rich lipoproteins that contribute to arterial plaque formation and cardiovascular complications.</w:t>
      </w:r>
    </w:p>
    <w:p w14:paraId="43CD5A56" w14:textId="52707F48" w:rsidR="00135FFC" w:rsidRDefault="00135FFC" w:rsidP="003E467B">
      <w:pPr>
        <w:spacing w:before="100" w:beforeAutospacing="1" w:after="100" w:afterAutospacing="1" w:line="240" w:lineRule="auto"/>
        <w:jc w:val="both"/>
        <w:rPr>
          <w:rFonts w:ascii="Times New Roman" w:hAnsi="Times New Roman" w:cs="Times New Roman"/>
          <w:b/>
          <w:bCs/>
          <w:sz w:val="24"/>
          <w:szCs w:val="24"/>
        </w:rPr>
      </w:pPr>
      <w:r w:rsidRPr="00135FFC">
        <w:rPr>
          <w:rFonts w:ascii="Times New Roman" w:hAnsi="Times New Roman" w:cs="Times New Roman"/>
          <w:b/>
          <w:bCs/>
          <w:sz w:val="24"/>
          <w:szCs w:val="24"/>
        </w:rPr>
        <w:t>5.0</w:t>
      </w:r>
      <w:r w:rsidRPr="00135FFC">
        <w:rPr>
          <w:rFonts w:ascii="Times New Roman" w:hAnsi="Times New Roman" w:cs="Times New Roman"/>
          <w:b/>
          <w:bCs/>
          <w:sz w:val="24"/>
          <w:szCs w:val="24"/>
        </w:rPr>
        <w:tab/>
        <w:t>CONCLUSION</w:t>
      </w:r>
    </w:p>
    <w:p w14:paraId="2FD8201E" w14:textId="2C263DD6" w:rsidR="006C7083" w:rsidRPr="00104509" w:rsidRDefault="00577B8C" w:rsidP="00104509">
      <w:pPr>
        <w:spacing w:before="100" w:beforeAutospacing="1" w:after="100" w:afterAutospacing="1" w:line="240" w:lineRule="auto"/>
        <w:jc w:val="both"/>
        <w:rPr>
          <w:rFonts w:ascii="Times New Roman" w:hAnsi="Times New Roman" w:cs="Times New Roman"/>
          <w:sz w:val="24"/>
          <w:szCs w:val="24"/>
        </w:rPr>
      </w:pPr>
      <w:r w:rsidRPr="00577B8C">
        <w:rPr>
          <w:rFonts w:ascii="Times New Roman" w:hAnsi="Times New Roman" w:cs="Times New Roman"/>
          <w:sz w:val="24"/>
          <w:szCs w:val="24"/>
        </w:rPr>
        <w:t xml:space="preserve">This study highlights the potential impact of sodium benzoate and ascorbic acid (vitamin C), commonly used preservatives in processed foods and beverages, on </w:t>
      </w:r>
      <w:r w:rsidR="00AC31A6">
        <w:rPr>
          <w:rFonts w:ascii="Times New Roman" w:hAnsi="Times New Roman" w:cs="Times New Roman"/>
          <w:sz w:val="24"/>
          <w:szCs w:val="24"/>
        </w:rPr>
        <w:t>g</w:t>
      </w:r>
      <w:r w:rsidR="00AC31A6" w:rsidRPr="00AC31A6">
        <w:rPr>
          <w:rFonts w:ascii="Times New Roman" w:hAnsi="Times New Roman" w:cs="Times New Roman"/>
          <w:sz w:val="24"/>
          <w:szCs w:val="24"/>
        </w:rPr>
        <w:t xml:space="preserve">lucose </w:t>
      </w:r>
      <w:r w:rsidR="00AC31A6">
        <w:rPr>
          <w:rFonts w:ascii="Times New Roman" w:hAnsi="Times New Roman" w:cs="Times New Roman"/>
          <w:sz w:val="24"/>
          <w:szCs w:val="24"/>
        </w:rPr>
        <w:t>l</w:t>
      </w:r>
      <w:r w:rsidR="00AC31A6" w:rsidRPr="00AC31A6">
        <w:rPr>
          <w:rFonts w:ascii="Times New Roman" w:hAnsi="Times New Roman" w:cs="Times New Roman"/>
          <w:sz w:val="24"/>
          <w:szCs w:val="24"/>
        </w:rPr>
        <w:t xml:space="preserve">evels, </w:t>
      </w:r>
      <w:r w:rsidR="00AC31A6">
        <w:rPr>
          <w:rFonts w:ascii="Times New Roman" w:hAnsi="Times New Roman" w:cs="Times New Roman"/>
          <w:sz w:val="24"/>
          <w:szCs w:val="24"/>
        </w:rPr>
        <w:t>l</w:t>
      </w:r>
      <w:r w:rsidR="00AC31A6" w:rsidRPr="00AC31A6">
        <w:rPr>
          <w:rFonts w:ascii="Times New Roman" w:hAnsi="Times New Roman" w:cs="Times New Roman"/>
          <w:sz w:val="24"/>
          <w:szCs w:val="24"/>
        </w:rPr>
        <w:t xml:space="preserve">ipid </w:t>
      </w:r>
      <w:r w:rsidR="00AC31A6">
        <w:rPr>
          <w:rFonts w:ascii="Times New Roman" w:hAnsi="Times New Roman" w:cs="Times New Roman"/>
          <w:sz w:val="24"/>
          <w:szCs w:val="24"/>
        </w:rPr>
        <w:t>p</w:t>
      </w:r>
      <w:r w:rsidR="00AC31A6" w:rsidRPr="00AC31A6">
        <w:rPr>
          <w:rFonts w:ascii="Times New Roman" w:hAnsi="Times New Roman" w:cs="Times New Roman"/>
          <w:sz w:val="24"/>
          <w:szCs w:val="24"/>
        </w:rPr>
        <w:t xml:space="preserve">rofile, and </w:t>
      </w:r>
      <w:r w:rsidR="00AC31A6">
        <w:rPr>
          <w:rFonts w:ascii="Times New Roman" w:hAnsi="Times New Roman" w:cs="Times New Roman"/>
          <w:sz w:val="24"/>
          <w:szCs w:val="24"/>
        </w:rPr>
        <w:t>s</w:t>
      </w:r>
      <w:r w:rsidR="00AC31A6" w:rsidRPr="00AC31A6">
        <w:rPr>
          <w:rFonts w:ascii="Times New Roman" w:hAnsi="Times New Roman" w:cs="Times New Roman"/>
          <w:sz w:val="24"/>
          <w:szCs w:val="24"/>
        </w:rPr>
        <w:t xml:space="preserve">ome </w:t>
      </w:r>
      <w:r w:rsidR="00AC31A6">
        <w:rPr>
          <w:rFonts w:ascii="Times New Roman" w:hAnsi="Times New Roman" w:cs="Times New Roman"/>
          <w:sz w:val="24"/>
          <w:szCs w:val="24"/>
        </w:rPr>
        <w:t>c</w:t>
      </w:r>
      <w:r w:rsidR="00AC31A6" w:rsidRPr="00AC31A6">
        <w:rPr>
          <w:rFonts w:ascii="Times New Roman" w:hAnsi="Times New Roman" w:cs="Times New Roman"/>
          <w:sz w:val="24"/>
          <w:szCs w:val="24"/>
        </w:rPr>
        <w:t xml:space="preserve">ardiovascular </w:t>
      </w:r>
      <w:r w:rsidR="00AC31A6">
        <w:rPr>
          <w:rFonts w:ascii="Times New Roman" w:hAnsi="Times New Roman" w:cs="Times New Roman"/>
          <w:sz w:val="24"/>
          <w:szCs w:val="24"/>
        </w:rPr>
        <w:t>m</w:t>
      </w:r>
      <w:r w:rsidR="00AC31A6" w:rsidRPr="00AC31A6">
        <w:rPr>
          <w:rFonts w:ascii="Times New Roman" w:hAnsi="Times New Roman" w:cs="Times New Roman"/>
          <w:sz w:val="24"/>
          <w:szCs w:val="24"/>
        </w:rPr>
        <w:t xml:space="preserve">arkers in </w:t>
      </w:r>
      <w:r w:rsidR="00AC31A6">
        <w:rPr>
          <w:rFonts w:ascii="Times New Roman" w:hAnsi="Times New Roman" w:cs="Times New Roman"/>
          <w:sz w:val="24"/>
          <w:szCs w:val="24"/>
        </w:rPr>
        <w:t>a</w:t>
      </w:r>
      <w:r w:rsidR="00AC31A6" w:rsidRPr="00AC31A6">
        <w:rPr>
          <w:rFonts w:ascii="Times New Roman" w:hAnsi="Times New Roman" w:cs="Times New Roman"/>
          <w:sz w:val="24"/>
          <w:szCs w:val="24"/>
        </w:rPr>
        <w:t xml:space="preserve">lbino </w:t>
      </w:r>
      <w:r w:rsidR="00AC31A6">
        <w:rPr>
          <w:rFonts w:ascii="Times New Roman" w:hAnsi="Times New Roman" w:cs="Times New Roman"/>
          <w:sz w:val="24"/>
          <w:szCs w:val="24"/>
        </w:rPr>
        <w:t>r</w:t>
      </w:r>
      <w:r w:rsidR="00AC31A6" w:rsidRPr="00AC31A6">
        <w:rPr>
          <w:rFonts w:ascii="Times New Roman" w:hAnsi="Times New Roman" w:cs="Times New Roman"/>
          <w:sz w:val="24"/>
          <w:szCs w:val="24"/>
        </w:rPr>
        <w:t>ats</w:t>
      </w:r>
      <w:r w:rsidRPr="00577B8C">
        <w:rPr>
          <w:rFonts w:ascii="Times New Roman" w:hAnsi="Times New Roman" w:cs="Times New Roman"/>
          <w:sz w:val="24"/>
          <w:szCs w:val="24"/>
        </w:rPr>
        <w:t xml:space="preserve">. While glucose levels and total cholesterol remained unaffected, sodium benzoate significantly elevated triglycerides, LDL cholesterol, </w:t>
      </w:r>
      <w:r w:rsidR="000D6F21">
        <w:rPr>
          <w:rFonts w:ascii="Times New Roman" w:hAnsi="Times New Roman" w:cs="Times New Roman"/>
          <w:sz w:val="24"/>
          <w:szCs w:val="24"/>
        </w:rPr>
        <w:t xml:space="preserve">LDL/HDL ratio, </w:t>
      </w:r>
      <w:r w:rsidRPr="00577B8C">
        <w:rPr>
          <w:rFonts w:ascii="Times New Roman" w:hAnsi="Times New Roman" w:cs="Times New Roman"/>
          <w:sz w:val="24"/>
          <w:szCs w:val="24"/>
        </w:rPr>
        <w:t xml:space="preserve">and non-HDL cholesterol while reducing HDL cholesterol, particularly at higher doses and in combination with vitamin C. These changes suggest a possible pro-atherogenic effect, increasing the risk of cardiovascular diseases. Given the widespread use of these preservatives to extend shelf life, their long-term health implications </w:t>
      </w:r>
      <w:r w:rsidR="000D6F21">
        <w:rPr>
          <w:rFonts w:ascii="Times New Roman" w:hAnsi="Times New Roman" w:cs="Times New Roman"/>
          <w:sz w:val="24"/>
          <w:szCs w:val="24"/>
        </w:rPr>
        <w:t xml:space="preserve">in humans </w:t>
      </w:r>
      <w:r w:rsidRPr="00577B8C">
        <w:rPr>
          <w:rFonts w:ascii="Times New Roman" w:hAnsi="Times New Roman" w:cs="Times New Roman"/>
          <w:sz w:val="24"/>
          <w:szCs w:val="24"/>
        </w:rPr>
        <w:t>warrant further investigation, particularly regarding cardiovascular risk.</w:t>
      </w:r>
      <w:bookmarkStart w:id="0" w:name="_Hlk183865417"/>
      <w:bookmarkStart w:id="1" w:name="_Hlk184732344"/>
      <w:bookmarkStart w:id="2" w:name="_Hlk184115244"/>
    </w:p>
    <w:p w14:paraId="1154EDCD" w14:textId="77777777" w:rsidR="006C7083" w:rsidRDefault="006C7083" w:rsidP="006C7083">
      <w:pPr>
        <w:ind w:left="1440"/>
        <w:rPr>
          <w:highlight w:val="yellow"/>
        </w:rPr>
      </w:pPr>
      <w:r>
        <w:rPr>
          <w:highlight w:val="yellow"/>
        </w:rPr>
        <w:t>Disclaimer (Artificial intelligence)</w:t>
      </w:r>
    </w:p>
    <w:p w14:paraId="02338F38" w14:textId="77777777" w:rsidR="006C7083" w:rsidRDefault="006C7083" w:rsidP="006C7083">
      <w:pPr>
        <w:ind w:left="1440"/>
        <w:rPr>
          <w:highlight w:val="yellow"/>
        </w:rPr>
      </w:pPr>
      <w:r>
        <w:rPr>
          <w:highlight w:val="yellow"/>
        </w:rPr>
        <w:t xml:space="preserve">Option 1: </w:t>
      </w:r>
    </w:p>
    <w:p w14:paraId="0F09FE3C" w14:textId="77777777" w:rsidR="006C7083" w:rsidRDefault="006C7083" w:rsidP="006C7083">
      <w:pPr>
        <w:ind w:left="1440"/>
        <w:rPr>
          <w:highlight w:val="yellow"/>
        </w:rPr>
      </w:pPr>
      <w:r>
        <w:rPr>
          <w:highlight w:val="yellow"/>
        </w:rPr>
        <w:lastRenderedPageBreak/>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14:paraId="0D6B01B2" w14:textId="77777777" w:rsidR="006C7083" w:rsidRDefault="006C7083" w:rsidP="006C7083">
      <w:pPr>
        <w:ind w:left="1440"/>
        <w:rPr>
          <w:highlight w:val="yellow"/>
        </w:rPr>
      </w:pPr>
      <w:r>
        <w:rPr>
          <w:highlight w:val="yellow"/>
        </w:rPr>
        <w:t xml:space="preserve">Option 2: </w:t>
      </w:r>
    </w:p>
    <w:p w14:paraId="5D2CAF20" w14:textId="77777777" w:rsidR="006C7083" w:rsidRDefault="006C7083" w:rsidP="006C7083">
      <w:pPr>
        <w:ind w:left="1440"/>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64757F0" w14:textId="77777777" w:rsidR="006C7083" w:rsidRDefault="006C7083" w:rsidP="006C7083">
      <w:pPr>
        <w:ind w:left="1440"/>
        <w:rPr>
          <w:highlight w:val="yellow"/>
        </w:rPr>
      </w:pPr>
    </w:p>
    <w:p w14:paraId="4A054896" w14:textId="77777777" w:rsidR="006C7083" w:rsidRDefault="006C7083" w:rsidP="006C7083">
      <w:pPr>
        <w:ind w:left="1440"/>
        <w:rPr>
          <w:highlight w:val="yellow"/>
        </w:rPr>
      </w:pPr>
      <w:r>
        <w:rPr>
          <w:highlight w:val="yellow"/>
        </w:rPr>
        <w:t>Details of the AI usage are given below:</w:t>
      </w:r>
    </w:p>
    <w:p w14:paraId="47BE7763" w14:textId="77777777" w:rsidR="006C7083" w:rsidRDefault="006C7083" w:rsidP="006C7083">
      <w:pPr>
        <w:ind w:left="1440"/>
        <w:rPr>
          <w:highlight w:val="yellow"/>
        </w:rPr>
      </w:pPr>
      <w:r>
        <w:rPr>
          <w:highlight w:val="yellow"/>
        </w:rPr>
        <w:t>1.</w:t>
      </w:r>
    </w:p>
    <w:p w14:paraId="70F6E315" w14:textId="77777777" w:rsidR="006C7083" w:rsidRDefault="006C7083" w:rsidP="006C7083">
      <w:pPr>
        <w:ind w:left="1440"/>
        <w:rPr>
          <w:highlight w:val="yellow"/>
        </w:rPr>
      </w:pPr>
      <w:r>
        <w:rPr>
          <w:highlight w:val="yellow"/>
        </w:rPr>
        <w:t>2.</w:t>
      </w:r>
    </w:p>
    <w:p w14:paraId="4A729FD4" w14:textId="77777777" w:rsidR="006C7083" w:rsidRDefault="006C7083" w:rsidP="006C7083">
      <w:pPr>
        <w:shd w:val="clear" w:color="auto" w:fill="FFFFFF"/>
        <w:ind w:left="1440"/>
        <w:rPr>
          <w:rFonts w:ascii="Arial" w:eastAsia="Times New Roman" w:hAnsi="Arial" w:cs="Arial"/>
          <w:color w:val="222222"/>
          <w:sz w:val="24"/>
          <w:szCs w:val="24"/>
          <w:lang w:val="en-IN" w:eastAsia="en-IN"/>
          <w14:ligatures w14:val="none"/>
        </w:rPr>
      </w:pPr>
      <w:r>
        <w:rPr>
          <w:highlight w:val="yellow"/>
        </w:rPr>
        <w:t>3.</w:t>
      </w:r>
      <w:bookmarkEnd w:id="0"/>
      <w:r>
        <w:t xml:space="preserve">  </w:t>
      </w:r>
      <w:bookmarkEnd w:id="1"/>
      <w:bookmarkEnd w:id="2"/>
    </w:p>
    <w:p w14:paraId="02D21114" w14:textId="77777777" w:rsidR="006C7083" w:rsidRPr="00AC31A6" w:rsidRDefault="006C7083" w:rsidP="003E467B">
      <w:pPr>
        <w:spacing w:before="100" w:beforeAutospacing="1" w:after="100" w:afterAutospacing="1" w:line="240" w:lineRule="auto"/>
        <w:jc w:val="both"/>
        <w:rPr>
          <w:rFonts w:ascii="Times New Roman" w:hAnsi="Times New Roman" w:cs="Times New Roman"/>
          <w:sz w:val="24"/>
          <w:szCs w:val="24"/>
        </w:rPr>
      </w:pPr>
    </w:p>
    <w:p w14:paraId="7D43C19A" w14:textId="1EE6A707" w:rsidR="00870701" w:rsidRDefault="00870701" w:rsidP="003E467B">
      <w:pPr>
        <w:spacing w:before="100" w:beforeAutospacing="1" w:after="100" w:afterAutospacing="1" w:line="24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219F7195"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Femi-</w:t>
      </w:r>
      <w:proofErr w:type="spellStart"/>
      <w:r w:rsidRPr="002F32CF">
        <w:rPr>
          <w:rFonts w:ascii="Times New Roman" w:hAnsi="Times New Roman" w:cs="Times New Roman"/>
          <w:sz w:val="24"/>
          <w:szCs w:val="24"/>
        </w:rPr>
        <w:t>Oloye</w:t>
      </w:r>
      <w:proofErr w:type="spellEnd"/>
      <w:r w:rsidRPr="002F32CF">
        <w:rPr>
          <w:rFonts w:ascii="Times New Roman" w:hAnsi="Times New Roman" w:cs="Times New Roman"/>
          <w:sz w:val="24"/>
          <w:szCs w:val="24"/>
        </w:rPr>
        <w:t xml:space="preserve"> OP, Olatunji-Ojo AM, </w:t>
      </w:r>
      <w:proofErr w:type="spellStart"/>
      <w:r w:rsidRPr="002F32CF">
        <w:rPr>
          <w:rFonts w:ascii="Times New Roman" w:hAnsi="Times New Roman" w:cs="Times New Roman"/>
          <w:sz w:val="24"/>
          <w:szCs w:val="24"/>
        </w:rPr>
        <w:t>Owoloye</w:t>
      </w:r>
      <w:proofErr w:type="spellEnd"/>
      <w:r w:rsidRPr="002F32CF">
        <w:rPr>
          <w:rFonts w:ascii="Times New Roman" w:hAnsi="Times New Roman" w:cs="Times New Roman"/>
          <w:sz w:val="24"/>
          <w:szCs w:val="24"/>
        </w:rPr>
        <w:t xml:space="preserve"> A, Adewumi B, Ibitoye O, </w:t>
      </w:r>
      <w:proofErr w:type="spellStart"/>
      <w:r w:rsidRPr="002F32CF">
        <w:rPr>
          <w:rFonts w:ascii="Times New Roman" w:hAnsi="Times New Roman" w:cs="Times New Roman"/>
          <w:sz w:val="24"/>
          <w:szCs w:val="24"/>
        </w:rPr>
        <w:t>Oloye</w:t>
      </w:r>
      <w:proofErr w:type="spellEnd"/>
      <w:r w:rsidRPr="002F32CF">
        <w:rPr>
          <w:rFonts w:ascii="Times New Roman" w:hAnsi="Times New Roman" w:cs="Times New Roman"/>
          <w:sz w:val="24"/>
          <w:szCs w:val="24"/>
        </w:rPr>
        <w:t xml:space="preserve"> FF, et al. Studies on the effects of carbonated soft drink additives and simultaneous consumption of carbonated soft drink with ascorbic acid on histological parameters of male mice. Int J </w:t>
      </w:r>
      <w:proofErr w:type="spellStart"/>
      <w:r w:rsidRPr="002F32CF">
        <w:rPr>
          <w:rFonts w:ascii="Times New Roman" w:hAnsi="Times New Roman" w:cs="Times New Roman"/>
          <w:sz w:val="24"/>
          <w:szCs w:val="24"/>
        </w:rPr>
        <w:t>Biochem</w:t>
      </w:r>
      <w:proofErr w:type="spellEnd"/>
      <w:r w:rsidRPr="002F32CF">
        <w:rPr>
          <w:rFonts w:ascii="Times New Roman" w:hAnsi="Times New Roman" w:cs="Times New Roman"/>
          <w:sz w:val="24"/>
          <w:szCs w:val="24"/>
        </w:rPr>
        <w:t xml:space="preserve"> Res Rev. 2019;1(1):1–9.</w:t>
      </w:r>
    </w:p>
    <w:p w14:paraId="7CD520AA"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 xml:space="preserve">Himani N, </w:t>
      </w:r>
      <w:proofErr w:type="spellStart"/>
      <w:r w:rsidRPr="002F32CF">
        <w:rPr>
          <w:rFonts w:ascii="Times New Roman" w:hAnsi="Times New Roman" w:cs="Times New Roman"/>
          <w:sz w:val="24"/>
          <w:szCs w:val="24"/>
        </w:rPr>
        <w:t>Mahawer</w:t>
      </w:r>
      <w:proofErr w:type="spellEnd"/>
      <w:r w:rsidRPr="002F32CF">
        <w:rPr>
          <w:rFonts w:ascii="Times New Roman" w:hAnsi="Times New Roman" w:cs="Times New Roman"/>
          <w:sz w:val="24"/>
          <w:szCs w:val="24"/>
        </w:rPr>
        <w:t xml:space="preserve"> SK, Arya S, Kumar R, Prakash O. Essential oil: Source of antioxidants and role in food preservation. Switzerland: Springer Nature; 2022.</w:t>
      </w:r>
    </w:p>
    <w:p w14:paraId="17531B29"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Bacak A. Acidity regulators, preservatives, and antioxidants. In: Advances in Dairy Products. New Jersey: Wiley; 2017. p. 117–31.</w:t>
      </w:r>
    </w:p>
    <w:p w14:paraId="6A45C20B"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proofErr w:type="spellStart"/>
      <w:r w:rsidRPr="002F32CF">
        <w:rPr>
          <w:rFonts w:ascii="Times New Roman" w:hAnsi="Times New Roman" w:cs="Times New Roman"/>
          <w:sz w:val="24"/>
          <w:szCs w:val="24"/>
        </w:rPr>
        <w:t>Heydaryinia</w:t>
      </w:r>
      <w:proofErr w:type="spellEnd"/>
      <w:r w:rsidRPr="002F32CF">
        <w:rPr>
          <w:rFonts w:ascii="Times New Roman" w:hAnsi="Times New Roman" w:cs="Times New Roman"/>
          <w:sz w:val="24"/>
          <w:szCs w:val="24"/>
        </w:rPr>
        <w:t xml:space="preserve"> A, </w:t>
      </w:r>
      <w:proofErr w:type="spellStart"/>
      <w:r w:rsidRPr="002F32CF">
        <w:rPr>
          <w:rFonts w:ascii="Times New Roman" w:hAnsi="Times New Roman" w:cs="Times New Roman"/>
          <w:sz w:val="24"/>
          <w:szCs w:val="24"/>
        </w:rPr>
        <w:t>Veissi</w:t>
      </w:r>
      <w:proofErr w:type="spellEnd"/>
      <w:r w:rsidRPr="002F32CF">
        <w:rPr>
          <w:rFonts w:ascii="Times New Roman" w:hAnsi="Times New Roman" w:cs="Times New Roman"/>
          <w:sz w:val="24"/>
          <w:szCs w:val="24"/>
        </w:rPr>
        <w:t xml:space="preserve"> M, </w:t>
      </w:r>
      <w:proofErr w:type="spellStart"/>
      <w:r w:rsidRPr="002F32CF">
        <w:rPr>
          <w:rFonts w:ascii="Times New Roman" w:hAnsi="Times New Roman" w:cs="Times New Roman"/>
          <w:sz w:val="24"/>
          <w:szCs w:val="24"/>
        </w:rPr>
        <w:t>Sadadi</w:t>
      </w:r>
      <w:proofErr w:type="spellEnd"/>
      <w:r w:rsidRPr="002F32CF">
        <w:rPr>
          <w:rFonts w:ascii="Times New Roman" w:hAnsi="Times New Roman" w:cs="Times New Roman"/>
          <w:sz w:val="24"/>
          <w:szCs w:val="24"/>
        </w:rPr>
        <w:t xml:space="preserve"> A. A comparative study of the effects of the two preservatives, sodium benzoate and potassium sorbate, on </w:t>
      </w:r>
      <w:r w:rsidRPr="002F32CF">
        <w:rPr>
          <w:rFonts w:ascii="Times New Roman" w:hAnsi="Times New Roman" w:cs="Times New Roman"/>
          <w:i/>
          <w:iCs/>
          <w:sz w:val="24"/>
          <w:szCs w:val="24"/>
        </w:rPr>
        <w:t xml:space="preserve">Aspergillus </w:t>
      </w:r>
      <w:proofErr w:type="spellStart"/>
      <w:r w:rsidRPr="002F32CF">
        <w:rPr>
          <w:rFonts w:ascii="Times New Roman" w:hAnsi="Times New Roman" w:cs="Times New Roman"/>
          <w:i/>
          <w:iCs/>
          <w:sz w:val="24"/>
          <w:szCs w:val="24"/>
        </w:rPr>
        <w:t>niger</w:t>
      </w:r>
      <w:proofErr w:type="spellEnd"/>
      <w:r w:rsidRPr="002F32CF">
        <w:rPr>
          <w:rFonts w:ascii="Times New Roman" w:hAnsi="Times New Roman" w:cs="Times New Roman"/>
          <w:sz w:val="24"/>
          <w:szCs w:val="24"/>
        </w:rPr>
        <w:t xml:space="preserve"> and Penicillium notatum. </w:t>
      </w:r>
      <w:proofErr w:type="spellStart"/>
      <w:r w:rsidRPr="002F32CF">
        <w:rPr>
          <w:rFonts w:ascii="Times New Roman" w:hAnsi="Times New Roman" w:cs="Times New Roman"/>
          <w:sz w:val="24"/>
          <w:szCs w:val="24"/>
        </w:rPr>
        <w:t>Jundishapur</w:t>
      </w:r>
      <w:proofErr w:type="spellEnd"/>
      <w:r w:rsidRPr="002F32CF">
        <w:rPr>
          <w:rFonts w:ascii="Times New Roman" w:hAnsi="Times New Roman" w:cs="Times New Roman"/>
          <w:sz w:val="24"/>
          <w:szCs w:val="24"/>
        </w:rPr>
        <w:t xml:space="preserve"> J </w:t>
      </w:r>
      <w:proofErr w:type="spellStart"/>
      <w:r w:rsidRPr="002F32CF">
        <w:rPr>
          <w:rFonts w:ascii="Times New Roman" w:hAnsi="Times New Roman" w:cs="Times New Roman"/>
          <w:sz w:val="24"/>
          <w:szCs w:val="24"/>
        </w:rPr>
        <w:t>Microbiol</w:t>
      </w:r>
      <w:proofErr w:type="spellEnd"/>
      <w:r w:rsidRPr="002F32CF">
        <w:rPr>
          <w:rFonts w:ascii="Times New Roman" w:hAnsi="Times New Roman" w:cs="Times New Roman"/>
          <w:sz w:val="24"/>
          <w:szCs w:val="24"/>
        </w:rPr>
        <w:t>. 2011;4(4):301–7.</w:t>
      </w:r>
    </w:p>
    <w:p w14:paraId="11320B26"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Davidson PM, Taylor TM, David JR. Antimicrobials in food. Florida: CRC Press; 2021.</w:t>
      </w:r>
    </w:p>
    <w:p w14:paraId="47E25A8A"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Walczak-Nowicka ŁJ, Herbet M. Sodium benzoate—harmfulness and potential use in therapies for disorders related to the nervous system: a review. Nutrients. 2022;14(7):1497–500.</w:t>
      </w:r>
    </w:p>
    <w:p w14:paraId="51B840A4"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Franco R, Navarro G, Martínez-Pinilla E. Antioxidants versus food antioxidant additives and food preservatives. Antioxidants (Basel). 2019;8(11):1–13.</w:t>
      </w:r>
    </w:p>
    <w:p w14:paraId="2494AB9F"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 xml:space="preserve">Yadav A, Kumar A, Das M, Tripathi A. Sodium benzoate, a food preservative, affects the functional and activation status of splenocytes at non-cytotoxic dose. Food Chem </w:t>
      </w:r>
      <w:proofErr w:type="spellStart"/>
      <w:r w:rsidRPr="002F32CF">
        <w:rPr>
          <w:rFonts w:ascii="Times New Roman" w:hAnsi="Times New Roman" w:cs="Times New Roman"/>
          <w:sz w:val="24"/>
          <w:szCs w:val="24"/>
        </w:rPr>
        <w:t>Toxicol</w:t>
      </w:r>
      <w:proofErr w:type="spellEnd"/>
      <w:r w:rsidRPr="002F32CF">
        <w:rPr>
          <w:rFonts w:ascii="Times New Roman" w:hAnsi="Times New Roman" w:cs="Times New Roman"/>
          <w:sz w:val="24"/>
          <w:szCs w:val="24"/>
        </w:rPr>
        <w:t xml:space="preserve">. </w:t>
      </w:r>
      <w:proofErr w:type="gramStart"/>
      <w:r w:rsidRPr="002F32CF">
        <w:rPr>
          <w:rFonts w:ascii="Times New Roman" w:hAnsi="Times New Roman" w:cs="Times New Roman"/>
          <w:sz w:val="24"/>
          <w:szCs w:val="24"/>
        </w:rPr>
        <w:t>2015;88:40</w:t>
      </w:r>
      <w:proofErr w:type="gramEnd"/>
      <w:r w:rsidRPr="002F32CF">
        <w:rPr>
          <w:rFonts w:ascii="Times New Roman" w:hAnsi="Times New Roman" w:cs="Times New Roman"/>
          <w:sz w:val="24"/>
          <w:szCs w:val="24"/>
        </w:rPr>
        <w:t>–7.</w:t>
      </w:r>
    </w:p>
    <w:p w14:paraId="7688B6A5"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 xml:space="preserve">Khan IS, Dar KB, Ganie SA, Ali MN. Toxicological impact of sodium benzoate on inflammatory cytokines, oxidative stress, and biochemical markers in male Wistar rats. Drug Chem </w:t>
      </w:r>
      <w:proofErr w:type="spellStart"/>
      <w:r w:rsidRPr="002F32CF">
        <w:rPr>
          <w:rFonts w:ascii="Times New Roman" w:hAnsi="Times New Roman" w:cs="Times New Roman"/>
          <w:sz w:val="24"/>
          <w:szCs w:val="24"/>
        </w:rPr>
        <w:t>Toxicol</w:t>
      </w:r>
      <w:proofErr w:type="spellEnd"/>
      <w:r w:rsidRPr="002F32CF">
        <w:rPr>
          <w:rFonts w:ascii="Times New Roman" w:hAnsi="Times New Roman" w:cs="Times New Roman"/>
          <w:sz w:val="24"/>
          <w:szCs w:val="24"/>
        </w:rPr>
        <w:t>. 2020;45(3):1345–50.</w:t>
      </w:r>
    </w:p>
    <w:p w14:paraId="75D3C782"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lastRenderedPageBreak/>
        <w:t xml:space="preserve">Piper JD, Piper PW. Benzoate and sorbate salts: a systematic review of the potential hazards of these invaluable preservatives and the expanding spectrum of clinical uses for sodium benzoate. </w:t>
      </w:r>
      <w:proofErr w:type="spellStart"/>
      <w:r w:rsidRPr="002F32CF">
        <w:rPr>
          <w:rFonts w:ascii="Times New Roman" w:hAnsi="Times New Roman" w:cs="Times New Roman"/>
          <w:sz w:val="24"/>
          <w:szCs w:val="24"/>
        </w:rPr>
        <w:t>Compr</w:t>
      </w:r>
      <w:proofErr w:type="spellEnd"/>
      <w:r w:rsidRPr="002F32CF">
        <w:rPr>
          <w:rFonts w:ascii="Times New Roman" w:hAnsi="Times New Roman" w:cs="Times New Roman"/>
          <w:sz w:val="24"/>
          <w:szCs w:val="24"/>
        </w:rPr>
        <w:t xml:space="preserve"> Rev Food Sci Food Saf. 2017;16(1):868–80.</w:t>
      </w:r>
    </w:p>
    <w:p w14:paraId="5899B1E6" w14:textId="5BD83A3D" w:rsidR="00870701"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proofErr w:type="spellStart"/>
      <w:r w:rsidRPr="002F32CF">
        <w:rPr>
          <w:rFonts w:ascii="Times New Roman" w:hAnsi="Times New Roman" w:cs="Times New Roman"/>
          <w:sz w:val="24"/>
          <w:szCs w:val="24"/>
        </w:rPr>
        <w:t>Zeliger</w:t>
      </w:r>
      <w:proofErr w:type="spellEnd"/>
      <w:r w:rsidRPr="002F32CF">
        <w:rPr>
          <w:rFonts w:ascii="Times New Roman" w:hAnsi="Times New Roman" w:cs="Times New Roman"/>
          <w:sz w:val="24"/>
          <w:szCs w:val="24"/>
        </w:rPr>
        <w:t xml:space="preserve"> H. I. (2013). Lipophilic chemical exposure as a cause of cardiovascular disease. Interdisciplinary toxicology, 6(2), 55–62.</w:t>
      </w:r>
    </w:p>
    <w:p w14:paraId="113F21AF" w14:textId="0F515DE6" w:rsidR="00EA3D7B" w:rsidRPr="002F32CF" w:rsidRDefault="00EA3D7B"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EA3D7B">
        <w:rPr>
          <w:rFonts w:ascii="Times New Roman" w:hAnsi="Times New Roman" w:cs="Times New Roman"/>
          <w:sz w:val="24"/>
          <w:szCs w:val="24"/>
        </w:rPr>
        <w:t xml:space="preserve">Jakubczyk K, Dec K, </w:t>
      </w:r>
      <w:proofErr w:type="spellStart"/>
      <w:r w:rsidRPr="00EA3D7B">
        <w:rPr>
          <w:rFonts w:ascii="Times New Roman" w:hAnsi="Times New Roman" w:cs="Times New Roman"/>
          <w:sz w:val="24"/>
          <w:szCs w:val="24"/>
        </w:rPr>
        <w:t>Kałduńska</w:t>
      </w:r>
      <w:proofErr w:type="spellEnd"/>
      <w:r w:rsidRPr="00EA3D7B">
        <w:rPr>
          <w:rFonts w:ascii="Times New Roman" w:hAnsi="Times New Roman" w:cs="Times New Roman"/>
          <w:sz w:val="24"/>
          <w:szCs w:val="24"/>
        </w:rPr>
        <w:t xml:space="preserve"> J, </w:t>
      </w:r>
      <w:proofErr w:type="spellStart"/>
      <w:r w:rsidRPr="00EA3D7B">
        <w:rPr>
          <w:rFonts w:ascii="Times New Roman" w:hAnsi="Times New Roman" w:cs="Times New Roman"/>
          <w:sz w:val="24"/>
          <w:szCs w:val="24"/>
        </w:rPr>
        <w:t>Kawczuga</w:t>
      </w:r>
      <w:proofErr w:type="spellEnd"/>
      <w:r w:rsidRPr="00EA3D7B">
        <w:rPr>
          <w:rFonts w:ascii="Times New Roman" w:hAnsi="Times New Roman" w:cs="Times New Roman"/>
          <w:sz w:val="24"/>
          <w:szCs w:val="24"/>
        </w:rPr>
        <w:t xml:space="preserve"> D, Kochman J, Janda K. Reactive oxygen species - sources, functions, oxidative damage. Pol </w:t>
      </w:r>
      <w:proofErr w:type="spellStart"/>
      <w:r w:rsidRPr="00EA3D7B">
        <w:rPr>
          <w:rFonts w:ascii="Times New Roman" w:hAnsi="Times New Roman" w:cs="Times New Roman"/>
          <w:sz w:val="24"/>
          <w:szCs w:val="24"/>
        </w:rPr>
        <w:t>Merkuriusz</w:t>
      </w:r>
      <w:proofErr w:type="spellEnd"/>
      <w:r w:rsidRPr="00EA3D7B">
        <w:rPr>
          <w:rFonts w:ascii="Times New Roman" w:hAnsi="Times New Roman" w:cs="Times New Roman"/>
          <w:sz w:val="24"/>
          <w:szCs w:val="24"/>
        </w:rPr>
        <w:t xml:space="preserve"> Lek. 2020;48(284):124–127.</w:t>
      </w:r>
    </w:p>
    <w:p w14:paraId="1B4A9F25"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color w:val="000000" w:themeColor="text1"/>
          <w:sz w:val="24"/>
          <w:szCs w:val="24"/>
          <w:u w:val="single"/>
        </w:rPr>
      </w:pPr>
      <w:r w:rsidRPr="002F32CF">
        <w:rPr>
          <w:rFonts w:ascii="Times New Roman" w:hAnsi="Times New Roman" w:cs="Times New Roman"/>
          <w:color w:val="000000" w:themeColor="text1"/>
          <w:sz w:val="24"/>
          <w:szCs w:val="24"/>
        </w:rPr>
        <w:t xml:space="preserve">Ibama O, </w:t>
      </w:r>
      <w:proofErr w:type="spellStart"/>
      <w:r w:rsidRPr="002F32CF">
        <w:rPr>
          <w:rFonts w:ascii="Times New Roman" w:hAnsi="Times New Roman" w:cs="Times New Roman"/>
          <w:color w:val="000000" w:themeColor="text1"/>
          <w:sz w:val="24"/>
          <w:szCs w:val="24"/>
        </w:rPr>
        <w:t>Brisibe</w:t>
      </w:r>
      <w:proofErr w:type="spellEnd"/>
      <w:r w:rsidRPr="002F32CF">
        <w:rPr>
          <w:rFonts w:ascii="Times New Roman" w:hAnsi="Times New Roman" w:cs="Times New Roman"/>
          <w:color w:val="000000" w:themeColor="text1"/>
          <w:sz w:val="24"/>
          <w:szCs w:val="24"/>
        </w:rPr>
        <w:t xml:space="preserve"> N, </w:t>
      </w:r>
      <w:proofErr w:type="spellStart"/>
      <w:r w:rsidRPr="002F32CF">
        <w:rPr>
          <w:rFonts w:ascii="Times New Roman" w:hAnsi="Times New Roman" w:cs="Times New Roman"/>
          <w:color w:val="000000" w:themeColor="text1"/>
          <w:sz w:val="24"/>
          <w:szCs w:val="24"/>
        </w:rPr>
        <w:t>Lemoha</w:t>
      </w:r>
      <w:proofErr w:type="spellEnd"/>
      <w:r w:rsidRPr="002F32CF">
        <w:rPr>
          <w:rFonts w:ascii="Times New Roman" w:hAnsi="Times New Roman" w:cs="Times New Roman"/>
          <w:color w:val="000000" w:themeColor="text1"/>
          <w:sz w:val="24"/>
          <w:szCs w:val="24"/>
        </w:rPr>
        <w:t xml:space="preserve"> FO. Assessment of the nephrotoxic effect of sodium benzoate, ascorbic acid, and their combined administration in albino rats. Int J Adv Nephrol Res. 2025;8(1):22–33.</w:t>
      </w:r>
    </w:p>
    <w:p w14:paraId="18C81913"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Style w:val="Hyperlink"/>
          <w:rFonts w:ascii="Times New Roman" w:hAnsi="Times New Roman" w:cs="Times New Roman"/>
          <w:color w:val="000000" w:themeColor="text1"/>
          <w:sz w:val="24"/>
          <w:szCs w:val="24"/>
        </w:rPr>
      </w:pPr>
      <w:proofErr w:type="spellStart"/>
      <w:r w:rsidRPr="002F32CF">
        <w:rPr>
          <w:rFonts w:ascii="Times New Roman" w:hAnsi="Times New Roman" w:cs="Times New Roman"/>
          <w:color w:val="000000" w:themeColor="text1"/>
          <w:sz w:val="24"/>
          <w:szCs w:val="24"/>
        </w:rPr>
        <w:t>Organisation</w:t>
      </w:r>
      <w:proofErr w:type="spellEnd"/>
      <w:r w:rsidRPr="002F32CF">
        <w:rPr>
          <w:rFonts w:ascii="Times New Roman" w:hAnsi="Times New Roman" w:cs="Times New Roman"/>
          <w:color w:val="000000" w:themeColor="text1"/>
          <w:sz w:val="24"/>
          <w:szCs w:val="24"/>
        </w:rPr>
        <w:t xml:space="preserve"> for Economic Co-operation and Development (OECD) (2001). </w:t>
      </w:r>
      <w:r w:rsidRPr="002F32CF">
        <w:rPr>
          <w:rFonts w:ascii="Times New Roman" w:hAnsi="Times New Roman" w:cs="Times New Roman"/>
          <w:i/>
          <w:iCs/>
          <w:color w:val="000000" w:themeColor="text1"/>
          <w:sz w:val="24"/>
          <w:szCs w:val="24"/>
        </w:rPr>
        <w:t>OECD Guideline for Testing of Chemicals Acute Oral Toxicity – Acute Toxic Class Method</w:t>
      </w:r>
      <w:r w:rsidRPr="002F32CF">
        <w:rPr>
          <w:rFonts w:ascii="Times New Roman" w:hAnsi="Times New Roman" w:cs="Times New Roman"/>
          <w:color w:val="000000" w:themeColor="text1"/>
          <w:sz w:val="24"/>
          <w:szCs w:val="24"/>
        </w:rPr>
        <w:t>. Available</w:t>
      </w:r>
      <w:r w:rsidRPr="002F32CF">
        <w:rPr>
          <w:rFonts w:ascii="Times New Roman" w:hAnsi="Times New Roman" w:cs="Times New Roman"/>
          <w:sz w:val="24"/>
          <w:szCs w:val="24"/>
        </w:rPr>
        <w:t xml:space="preserve"> from: </w:t>
      </w:r>
      <w:hyperlink r:id="rId11" w:history="1">
        <w:r w:rsidRPr="002F32CF">
          <w:rPr>
            <w:rStyle w:val="Hyperlink"/>
            <w:rFonts w:ascii="Times New Roman" w:hAnsi="Times New Roman" w:cs="Times New Roman"/>
            <w:sz w:val="24"/>
            <w:szCs w:val="24"/>
          </w:rPr>
          <w:t>https://ntp.niehs.nih.gov/sites/default/files/iccvam/suppdocs/feddocs/oecd/oecd_gl423.pdf</w:t>
        </w:r>
      </w:hyperlink>
      <w:r w:rsidRPr="002F32CF">
        <w:rPr>
          <w:rStyle w:val="Hyperlink"/>
          <w:rFonts w:ascii="Times New Roman" w:hAnsi="Times New Roman" w:cs="Times New Roman"/>
          <w:sz w:val="24"/>
          <w:szCs w:val="24"/>
        </w:rPr>
        <w:t xml:space="preserve">  </w:t>
      </w:r>
    </w:p>
    <w:p w14:paraId="4F769E15" w14:textId="77777777" w:rsidR="00870701" w:rsidRPr="002F32CF" w:rsidRDefault="00870701" w:rsidP="00870701">
      <w:pPr>
        <w:pStyle w:val="ListParagraph"/>
        <w:numPr>
          <w:ilvl w:val="0"/>
          <w:numId w:val="1"/>
        </w:numPr>
        <w:spacing w:before="100" w:beforeAutospacing="1" w:after="100" w:afterAutospacing="1" w:line="240" w:lineRule="auto"/>
        <w:ind w:right="432"/>
        <w:jc w:val="both"/>
        <w:rPr>
          <w:rFonts w:ascii="Times New Roman" w:hAnsi="Times New Roman" w:cs="Times New Roman"/>
          <w:sz w:val="24"/>
          <w:szCs w:val="24"/>
        </w:rPr>
      </w:pPr>
      <w:r w:rsidRPr="002F32CF">
        <w:rPr>
          <w:rFonts w:ascii="Times New Roman" w:hAnsi="Times New Roman" w:cs="Times New Roman"/>
          <w:sz w:val="24"/>
          <w:szCs w:val="24"/>
        </w:rPr>
        <w:t>Kumar R, Narayanan SN, Nayak S. Ascorbic acid protects against restraint stress-induced memory deficits in Wistar rats. Clinics. 2009;64(12):1211–7.</w:t>
      </w:r>
    </w:p>
    <w:p w14:paraId="149B5D9A" w14:textId="77777777" w:rsidR="00870701" w:rsidRPr="002F32CF" w:rsidRDefault="00870701" w:rsidP="00870701">
      <w:pPr>
        <w:pStyle w:val="NormalWeb"/>
        <w:numPr>
          <w:ilvl w:val="0"/>
          <w:numId w:val="1"/>
        </w:numPr>
        <w:jc w:val="both"/>
      </w:pPr>
      <w:proofErr w:type="spellStart"/>
      <w:r w:rsidRPr="002F32CF">
        <w:t>Olofinnade</w:t>
      </w:r>
      <w:proofErr w:type="spellEnd"/>
      <w:r w:rsidRPr="002F32CF">
        <w:t xml:space="preserve"> AT, </w:t>
      </w:r>
      <w:proofErr w:type="spellStart"/>
      <w:r w:rsidRPr="002F32CF">
        <w:t>Onaolapo</w:t>
      </w:r>
      <w:proofErr w:type="spellEnd"/>
      <w:r w:rsidRPr="002F32CF">
        <w:t xml:space="preserve"> AY, </w:t>
      </w:r>
      <w:proofErr w:type="spellStart"/>
      <w:r w:rsidRPr="002F32CF">
        <w:t>Onaolapo</w:t>
      </w:r>
      <w:proofErr w:type="spellEnd"/>
      <w:r w:rsidRPr="002F32CF">
        <w:t xml:space="preserve"> OJ, Olowe OA. The potential toxicity of food-added sodium benzoate in mice is concentration-dependent. </w:t>
      </w:r>
      <w:r w:rsidRPr="002F32CF">
        <w:rPr>
          <w:rStyle w:val="Emphasis"/>
        </w:rPr>
        <w:t>Toxicology Research</w:t>
      </w:r>
      <w:r w:rsidRPr="002F32CF">
        <w:t>. 2021;10(3):561–9.</w:t>
      </w:r>
    </w:p>
    <w:p w14:paraId="2762ABD9" w14:textId="77777777" w:rsidR="00870701" w:rsidRPr="002F32CF" w:rsidRDefault="00870701" w:rsidP="00870701">
      <w:pPr>
        <w:pStyle w:val="NormalWeb"/>
        <w:numPr>
          <w:ilvl w:val="0"/>
          <w:numId w:val="1"/>
        </w:numPr>
        <w:jc w:val="both"/>
      </w:pPr>
      <w:proofErr w:type="spellStart"/>
      <w:r w:rsidRPr="002F32CF">
        <w:t>Harchaoui</w:t>
      </w:r>
      <w:proofErr w:type="spellEnd"/>
      <w:r w:rsidRPr="002F32CF">
        <w:t xml:space="preserve"> KE, Visser ME, </w:t>
      </w:r>
      <w:proofErr w:type="spellStart"/>
      <w:r w:rsidRPr="002F32CF">
        <w:t>Kastelein</w:t>
      </w:r>
      <w:proofErr w:type="spellEnd"/>
      <w:r w:rsidRPr="002F32CF">
        <w:t xml:space="preserve"> JJ, </w:t>
      </w:r>
      <w:proofErr w:type="spellStart"/>
      <w:r w:rsidRPr="002F32CF">
        <w:t>Stroes</w:t>
      </w:r>
      <w:proofErr w:type="spellEnd"/>
      <w:r w:rsidRPr="002F32CF">
        <w:t xml:space="preserve"> ES, </w:t>
      </w:r>
      <w:proofErr w:type="spellStart"/>
      <w:r w:rsidRPr="002F32CF">
        <w:t>Dallinga</w:t>
      </w:r>
      <w:proofErr w:type="spellEnd"/>
      <w:r w:rsidRPr="002F32CF">
        <w:t xml:space="preserve">-Thie GM. Triglycerides and cardiovascular risk. </w:t>
      </w:r>
      <w:proofErr w:type="spellStart"/>
      <w:r w:rsidRPr="002F32CF">
        <w:rPr>
          <w:rStyle w:val="Emphasis"/>
        </w:rPr>
        <w:t>Curr</w:t>
      </w:r>
      <w:proofErr w:type="spellEnd"/>
      <w:r w:rsidRPr="002F32CF">
        <w:rPr>
          <w:rStyle w:val="Emphasis"/>
        </w:rPr>
        <w:t xml:space="preserve"> </w:t>
      </w:r>
      <w:proofErr w:type="spellStart"/>
      <w:r w:rsidRPr="002F32CF">
        <w:rPr>
          <w:rStyle w:val="Emphasis"/>
        </w:rPr>
        <w:t>Cardiol</w:t>
      </w:r>
      <w:proofErr w:type="spellEnd"/>
      <w:r w:rsidRPr="002F32CF">
        <w:rPr>
          <w:rStyle w:val="Emphasis"/>
        </w:rPr>
        <w:t xml:space="preserve"> Rev</w:t>
      </w:r>
      <w:r w:rsidRPr="002F32CF">
        <w:t>. 2009;5(3):216–22.</w:t>
      </w:r>
    </w:p>
    <w:p w14:paraId="0F676194" w14:textId="77777777" w:rsidR="00870701" w:rsidRPr="002F32CF" w:rsidRDefault="00870701" w:rsidP="00870701">
      <w:pPr>
        <w:pStyle w:val="NormalWeb"/>
        <w:numPr>
          <w:ilvl w:val="0"/>
          <w:numId w:val="1"/>
        </w:numPr>
        <w:jc w:val="both"/>
      </w:pPr>
      <w:r w:rsidRPr="002F32CF">
        <w:t xml:space="preserve">Miller M, Stone NJ, Ballantyne C, Bittner V, Criqui MH, Ginsberg HN, et al. Triglycerides and cardiovascular disease: a scientific statement from the American Heart Association. </w:t>
      </w:r>
      <w:r w:rsidRPr="002F32CF">
        <w:rPr>
          <w:rStyle w:val="Emphasis"/>
        </w:rPr>
        <w:t>Circulation</w:t>
      </w:r>
      <w:r w:rsidRPr="002F32CF">
        <w:t>. 2011;123(20):2292–333.</w:t>
      </w:r>
    </w:p>
    <w:p w14:paraId="0C1711A8" w14:textId="77777777" w:rsidR="00870701" w:rsidRPr="002F32CF" w:rsidRDefault="00870701" w:rsidP="00870701">
      <w:pPr>
        <w:pStyle w:val="NormalWeb"/>
        <w:numPr>
          <w:ilvl w:val="0"/>
          <w:numId w:val="1"/>
        </w:numPr>
        <w:jc w:val="both"/>
      </w:pPr>
      <w:r w:rsidRPr="002F32CF">
        <w:t xml:space="preserve">Ference BA, Ginsberg HN, Graham I, Ray KK, Packard CJ, Bruckert E, et al. Low-density lipoproteins cause atherosclerotic cardiovascular disease. 1. Evidence from genetic, epidemiologic, and clinical studies. A consensus statement from the European Atherosclerosis Society Consensus Panel. </w:t>
      </w:r>
      <w:r w:rsidRPr="002F32CF">
        <w:rPr>
          <w:rStyle w:val="Emphasis"/>
        </w:rPr>
        <w:t>Eur Heart J</w:t>
      </w:r>
      <w:r w:rsidRPr="002F32CF">
        <w:t>. 2017;38(32):2459–72.</w:t>
      </w:r>
    </w:p>
    <w:p w14:paraId="6C0D17EB" w14:textId="77777777" w:rsidR="00870701" w:rsidRPr="002F32CF" w:rsidRDefault="00870701" w:rsidP="00870701">
      <w:pPr>
        <w:pStyle w:val="NormalWeb"/>
        <w:numPr>
          <w:ilvl w:val="0"/>
          <w:numId w:val="1"/>
        </w:numPr>
        <w:jc w:val="both"/>
      </w:pPr>
      <w:proofErr w:type="spellStart"/>
      <w:r w:rsidRPr="002F32CF">
        <w:t>Bandeali</w:t>
      </w:r>
      <w:proofErr w:type="spellEnd"/>
      <w:r w:rsidRPr="002F32CF">
        <w:t xml:space="preserve"> S, Farmer J. High-density lipoprotein and atherosclerosis: the role of antioxidant activity. </w:t>
      </w:r>
      <w:proofErr w:type="spellStart"/>
      <w:r w:rsidRPr="002F32CF">
        <w:rPr>
          <w:rStyle w:val="Emphasis"/>
        </w:rPr>
        <w:t>Curr</w:t>
      </w:r>
      <w:proofErr w:type="spellEnd"/>
      <w:r w:rsidRPr="002F32CF">
        <w:rPr>
          <w:rStyle w:val="Emphasis"/>
        </w:rPr>
        <w:t xml:space="preserve"> </w:t>
      </w:r>
      <w:proofErr w:type="spellStart"/>
      <w:r w:rsidRPr="002F32CF">
        <w:rPr>
          <w:rStyle w:val="Emphasis"/>
        </w:rPr>
        <w:t>Atheroscler</w:t>
      </w:r>
      <w:proofErr w:type="spellEnd"/>
      <w:r w:rsidRPr="002F32CF">
        <w:rPr>
          <w:rStyle w:val="Emphasis"/>
        </w:rPr>
        <w:t xml:space="preserve"> Rep</w:t>
      </w:r>
      <w:r w:rsidRPr="002F32CF">
        <w:t>. 2012;14(2):101–7.</w:t>
      </w:r>
    </w:p>
    <w:p w14:paraId="4D5B93EC" w14:textId="77777777" w:rsidR="00870701" w:rsidRPr="002F32CF" w:rsidRDefault="00870701" w:rsidP="00870701">
      <w:pPr>
        <w:pStyle w:val="NormalWeb"/>
        <w:numPr>
          <w:ilvl w:val="0"/>
          <w:numId w:val="1"/>
        </w:numPr>
        <w:jc w:val="both"/>
      </w:pPr>
      <w:r w:rsidRPr="002F32CF">
        <w:t xml:space="preserve">Assmann G, Gotto AM Jr. HDL cholesterol and protective factors in atherosclerosis. </w:t>
      </w:r>
      <w:r w:rsidRPr="002F32CF">
        <w:rPr>
          <w:rStyle w:val="Emphasis"/>
        </w:rPr>
        <w:t>Circulation</w:t>
      </w:r>
      <w:r w:rsidRPr="002F32CF">
        <w:t>. 2004;109(23 Suppl 1</w:t>
      </w:r>
      <w:proofErr w:type="gramStart"/>
      <w:r w:rsidRPr="002F32CF">
        <w:t>):III</w:t>
      </w:r>
      <w:proofErr w:type="gramEnd"/>
      <w:r w:rsidRPr="002F32CF">
        <w:t>8–III14.</w:t>
      </w:r>
    </w:p>
    <w:p w14:paraId="4D46A0D2" w14:textId="77777777" w:rsidR="00870701" w:rsidRPr="002F32CF" w:rsidRDefault="00870701" w:rsidP="00870701">
      <w:pPr>
        <w:pStyle w:val="NormalWeb"/>
        <w:numPr>
          <w:ilvl w:val="0"/>
          <w:numId w:val="1"/>
        </w:numPr>
        <w:jc w:val="both"/>
      </w:pPr>
      <w:r w:rsidRPr="002F32CF">
        <w:t xml:space="preserve">Higashi Y, </w:t>
      </w:r>
      <w:proofErr w:type="spellStart"/>
      <w:r w:rsidRPr="002F32CF">
        <w:t>Maruhashi</w:t>
      </w:r>
      <w:proofErr w:type="spellEnd"/>
      <w:r w:rsidRPr="002F32CF">
        <w:t xml:space="preserve"> T, Noma K, Kihara Y. Oxidative stress and endothelial dysfunction: clinical evidence and therapeutic implications. </w:t>
      </w:r>
      <w:r w:rsidRPr="002F32CF">
        <w:rPr>
          <w:rStyle w:val="Emphasis"/>
        </w:rPr>
        <w:t>Trends Cardiovasc Med</w:t>
      </w:r>
      <w:r w:rsidRPr="002F32CF">
        <w:t>. 2014;24(4):165–9.</w:t>
      </w:r>
    </w:p>
    <w:p w14:paraId="11A27CEE" w14:textId="364DFC42" w:rsidR="00870701" w:rsidRDefault="00870701" w:rsidP="003E467B">
      <w:pPr>
        <w:pStyle w:val="NormalWeb"/>
        <w:numPr>
          <w:ilvl w:val="0"/>
          <w:numId w:val="1"/>
        </w:numPr>
        <w:jc w:val="both"/>
      </w:pPr>
      <w:r w:rsidRPr="002F32CF">
        <w:t xml:space="preserve">Aggarwal DJ, </w:t>
      </w:r>
      <w:proofErr w:type="spellStart"/>
      <w:r w:rsidRPr="002F32CF">
        <w:t>Kathariya</w:t>
      </w:r>
      <w:proofErr w:type="spellEnd"/>
      <w:r w:rsidRPr="002F32CF">
        <w:t xml:space="preserve"> MG, Verma DPK. LDL-C, NON-HDL-C and APO-B for cardiovascular risk assessment: Looking for the ideal marker. </w:t>
      </w:r>
      <w:r w:rsidRPr="002F32CF">
        <w:rPr>
          <w:rStyle w:val="Emphasis"/>
        </w:rPr>
        <w:t>Indian Heart J</w:t>
      </w:r>
      <w:r w:rsidRPr="002F32CF">
        <w:t>. 2021;73(5):544–8.</w:t>
      </w:r>
    </w:p>
    <w:p w14:paraId="68D34D2F" w14:textId="1CA9D49C" w:rsidR="008F0BA8" w:rsidRPr="00870701" w:rsidRDefault="008F0BA8" w:rsidP="003E467B">
      <w:pPr>
        <w:pStyle w:val="NormalWeb"/>
        <w:numPr>
          <w:ilvl w:val="0"/>
          <w:numId w:val="1"/>
        </w:numPr>
        <w:jc w:val="both"/>
      </w:pPr>
      <w:r w:rsidRPr="008F0BA8">
        <w:rPr>
          <w:rStyle w:val="Strong"/>
          <w:b w:val="0"/>
          <w:bCs w:val="0"/>
        </w:rPr>
        <w:t>Oladapo-</w:t>
      </w:r>
      <w:proofErr w:type="spellStart"/>
      <w:r w:rsidRPr="008F0BA8">
        <w:rPr>
          <w:rStyle w:val="Strong"/>
          <w:b w:val="0"/>
          <w:bCs w:val="0"/>
        </w:rPr>
        <w:t>Akinfolarin</w:t>
      </w:r>
      <w:proofErr w:type="spellEnd"/>
      <w:r w:rsidRPr="008F0BA8">
        <w:rPr>
          <w:rStyle w:val="Strong"/>
          <w:b w:val="0"/>
          <w:bCs w:val="0"/>
        </w:rPr>
        <w:t xml:space="preserve"> TT, </w:t>
      </w:r>
      <w:proofErr w:type="spellStart"/>
      <w:r w:rsidRPr="008F0BA8">
        <w:rPr>
          <w:rStyle w:val="Strong"/>
          <w:b w:val="0"/>
          <w:bCs w:val="0"/>
        </w:rPr>
        <w:t>Akinfolarin</w:t>
      </w:r>
      <w:proofErr w:type="spellEnd"/>
      <w:r w:rsidRPr="008F0BA8">
        <w:rPr>
          <w:rStyle w:val="Strong"/>
          <w:b w:val="0"/>
          <w:bCs w:val="0"/>
        </w:rPr>
        <w:t xml:space="preserve"> OM, Ken-</w:t>
      </w:r>
      <w:proofErr w:type="spellStart"/>
      <w:r w:rsidRPr="008F0BA8">
        <w:rPr>
          <w:rStyle w:val="Strong"/>
          <w:b w:val="0"/>
          <w:bCs w:val="0"/>
        </w:rPr>
        <w:t>Ezihuo</w:t>
      </w:r>
      <w:proofErr w:type="spellEnd"/>
      <w:r w:rsidRPr="008F0BA8">
        <w:rPr>
          <w:rStyle w:val="Strong"/>
          <w:b w:val="0"/>
          <w:bCs w:val="0"/>
        </w:rPr>
        <w:t xml:space="preserve"> SU, Bartimaeus E-AS.</w:t>
      </w:r>
      <w:r w:rsidRPr="008F0BA8">
        <w:rPr>
          <w:b/>
          <w:bCs/>
        </w:rPr>
        <w:t xml:space="preserve"> </w:t>
      </w:r>
      <w:r>
        <w:t xml:space="preserve">Evaluation of cardiovascular risk markers in hypertensive pregnant women. </w:t>
      </w:r>
      <w:r>
        <w:rPr>
          <w:rStyle w:val="Emphasis"/>
        </w:rPr>
        <w:t xml:space="preserve">J Adv Med </w:t>
      </w:r>
      <w:proofErr w:type="spellStart"/>
      <w:r>
        <w:rPr>
          <w:rStyle w:val="Emphasis"/>
        </w:rPr>
        <w:t>Med</w:t>
      </w:r>
      <w:proofErr w:type="spellEnd"/>
      <w:r>
        <w:rPr>
          <w:rStyle w:val="Emphasis"/>
        </w:rPr>
        <w:t xml:space="preserve"> Res.</w:t>
      </w:r>
      <w:r>
        <w:t xml:space="preserve"> 2022;34(14):57–63.</w:t>
      </w:r>
    </w:p>
    <w:sectPr w:rsidR="008F0BA8" w:rsidRPr="0087070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78E42" w14:textId="77777777" w:rsidR="00974A1A" w:rsidRDefault="00974A1A" w:rsidP="002F3FE7">
      <w:pPr>
        <w:spacing w:after="0" w:line="240" w:lineRule="auto"/>
      </w:pPr>
      <w:r>
        <w:separator/>
      </w:r>
    </w:p>
  </w:endnote>
  <w:endnote w:type="continuationSeparator" w:id="0">
    <w:p w14:paraId="404C2231" w14:textId="77777777" w:rsidR="00974A1A" w:rsidRDefault="00974A1A" w:rsidP="002F3F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7F5FA" w14:textId="77777777" w:rsidR="002F3FE7" w:rsidRDefault="002F3F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7A29" w14:textId="77777777" w:rsidR="002F3FE7" w:rsidRDefault="002F3F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471AD" w14:textId="77777777" w:rsidR="002F3FE7" w:rsidRDefault="002F3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D1714" w14:textId="77777777" w:rsidR="00974A1A" w:rsidRDefault="00974A1A" w:rsidP="002F3FE7">
      <w:pPr>
        <w:spacing w:after="0" w:line="240" w:lineRule="auto"/>
      </w:pPr>
      <w:r>
        <w:separator/>
      </w:r>
    </w:p>
  </w:footnote>
  <w:footnote w:type="continuationSeparator" w:id="0">
    <w:p w14:paraId="2F3390EE" w14:textId="77777777" w:rsidR="00974A1A" w:rsidRDefault="00974A1A" w:rsidP="002F3F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62C45" w14:textId="44A15930" w:rsidR="002F3FE7" w:rsidRDefault="00000000">
    <w:pPr>
      <w:pStyle w:val="Header"/>
    </w:pPr>
    <w:r>
      <w:rPr>
        <w:noProof/>
      </w:rPr>
      <w:pict w14:anchorId="50AAD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8970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DFEB4" w14:textId="5E676721" w:rsidR="002F3FE7" w:rsidRDefault="00000000">
    <w:pPr>
      <w:pStyle w:val="Header"/>
    </w:pPr>
    <w:r>
      <w:rPr>
        <w:noProof/>
      </w:rPr>
      <w:pict w14:anchorId="3B2390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8970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BD0C" w14:textId="63FC47C6" w:rsidR="002F3FE7" w:rsidRDefault="00000000">
    <w:pPr>
      <w:pStyle w:val="Header"/>
    </w:pPr>
    <w:r>
      <w:rPr>
        <w:noProof/>
      </w:rPr>
      <w:pict w14:anchorId="3156A4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928970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424DC"/>
    <w:multiLevelType w:val="hybridMultilevel"/>
    <w:tmpl w:val="803290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2307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053"/>
    <w:rsid w:val="000059BE"/>
    <w:rsid w:val="00030D8D"/>
    <w:rsid w:val="00034ABE"/>
    <w:rsid w:val="00061ADD"/>
    <w:rsid w:val="00063E3A"/>
    <w:rsid w:val="000C777B"/>
    <w:rsid w:val="000D6F21"/>
    <w:rsid w:val="00104509"/>
    <w:rsid w:val="001106A6"/>
    <w:rsid w:val="00113B7F"/>
    <w:rsid w:val="0012500E"/>
    <w:rsid w:val="00132BF2"/>
    <w:rsid w:val="00135FFC"/>
    <w:rsid w:val="00137C24"/>
    <w:rsid w:val="00143CBC"/>
    <w:rsid w:val="00146B0A"/>
    <w:rsid w:val="0015379A"/>
    <w:rsid w:val="001845D5"/>
    <w:rsid w:val="001D7FE8"/>
    <w:rsid w:val="001E5A5A"/>
    <w:rsid w:val="001E7CF3"/>
    <w:rsid w:val="00201D68"/>
    <w:rsid w:val="00221310"/>
    <w:rsid w:val="00232E99"/>
    <w:rsid w:val="002C414B"/>
    <w:rsid w:val="002E4E66"/>
    <w:rsid w:val="002F3FE7"/>
    <w:rsid w:val="0032221D"/>
    <w:rsid w:val="0039184F"/>
    <w:rsid w:val="003C0A97"/>
    <w:rsid w:val="003C5822"/>
    <w:rsid w:val="003E467B"/>
    <w:rsid w:val="00447B13"/>
    <w:rsid w:val="0045375D"/>
    <w:rsid w:val="00483DD1"/>
    <w:rsid w:val="004A484E"/>
    <w:rsid w:val="004B2171"/>
    <w:rsid w:val="00506754"/>
    <w:rsid w:val="00570EC2"/>
    <w:rsid w:val="00573DFC"/>
    <w:rsid w:val="00577536"/>
    <w:rsid w:val="00577B8C"/>
    <w:rsid w:val="005953AE"/>
    <w:rsid w:val="005A56A4"/>
    <w:rsid w:val="005D5A2D"/>
    <w:rsid w:val="005D6C74"/>
    <w:rsid w:val="005F60E5"/>
    <w:rsid w:val="006029F6"/>
    <w:rsid w:val="0065097D"/>
    <w:rsid w:val="00670BDB"/>
    <w:rsid w:val="006C7083"/>
    <w:rsid w:val="00714659"/>
    <w:rsid w:val="00734AAD"/>
    <w:rsid w:val="00751AAE"/>
    <w:rsid w:val="00754767"/>
    <w:rsid w:val="007872CF"/>
    <w:rsid w:val="007E1E62"/>
    <w:rsid w:val="0081422E"/>
    <w:rsid w:val="0082143E"/>
    <w:rsid w:val="00852E6B"/>
    <w:rsid w:val="00870701"/>
    <w:rsid w:val="008735CF"/>
    <w:rsid w:val="008876AB"/>
    <w:rsid w:val="008A1BD2"/>
    <w:rsid w:val="008E0C06"/>
    <w:rsid w:val="008F0BA8"/>
    <w:rsid w:val="00912099"/>
    <w:rsid w:val="00965D1A"/>
    <w:rsid w:val="00974A1A"/>
    <w:rsid w:val="009941EA"/>
    <w:rsid w:val="009C1E53"/>
    <w:rsid w:val="009E6CBD"/>
    <w:rsid w:val="00A14D3A"/>
    <w:rsid w:val="00A430A7"/>
    <w:rsid w:val="00AA6E31"/>
    <w:rsid w:val="00AB7E25"/>
    <w:rsid w:val="00AC31A6"/>
    <w:rsid w:val="00AC4B1C"/>
    <w:rsid w:val="00B03F93"/>
    <w:rsid w:val="00B6783B"/>
    <w:rsid w:val="00BA14E2"/>
    <w:rsid w:val="00C451AE"/>
    <w:rsid w:val="00C75541"/>
    <w:rsid w:val="00C77459"/>
    <w:rsid w:val="00C86859"/>
    <w:rsid w:val="00CB4162"/>
    <w:rsid w:val="00CB4D49"/>
    <w:rsid w:val="00CD4255"/>
    <w:rsid w:val="00CE095D"/>
    <w:rsid w:val="00CE72DC"/>
    <w:rsid w:val="00CF0416"/>
    <w:rsid w:val="00D067BB"/>
    <w:rsid w:val="00D52897"/>
    <w:rsid w:val="00D84061"/>
    <w:rsid w:val="00D97692"/>
    <w:rsid w:val="00DA0EE1"/>
    <w:rsid w:val="00DA1053"/>
    <w:rsid w:val="00DB5AE1"/>
    <w:rsid w:val="00DC47C2"/>
    <w:rsid w:val="00DC758E"/>
    <w:rsid w:val="00DE2457"/>
    <w:rsid w:val="00DE4C28"/>
    <w:rsid w:val="00E36240"/>
    <w:rsid w:val="00E75E99"/>
    <w:rsid w:val="00EA3D7B"/>
    <w:rsid w:val="00EC0B7F"/>
    <w:rsid w:val="00F06D32"/>
    <w:rsid w:val="00F404BE"/>
    <w:rsid w:val="00F738E3"/>
    <w:rsid w:val="00FA658B"/>
    <w:rsid w:val="00FD2AE6"/>
    <w:rsid w:val="00FD4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0E002"/>
  <w15:chartTrackingRefBased/>
  <w15:docId w15:val="{1C7D097E-6CA9-418F-BC6E-0D8305E9A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053"/>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10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0701"/>
    <w:pPr>
      <w:ind w:left="720"/>
      <w:contextualSpacing/>
    </w:pPr>
  </w:style>
  <w:style w:type="character" w:styleId="Hyperlink">
    <w:name w:val="Hyperlink"/>
    <w:basedOn w:val="DefaultParagraphFont"/>
    <w:uiPriority w:val="99"/>
    <w:unhideWhenUsed/>
    <w:rsid w:val="00870701"/>
    <w:rPr>
      <w:color w:val="0000FF"/>
      <w:u w:val="single"/>
    </w:rPr>
  </w:style>
  <w:style w:type="paragraph" w:styleId="NormalWeb">
    <w:name w:val="Normal (Web)"/>
    <w:basedOn w:val="Normal"/>
    <w:uiPriority w:val="99"/>
    <w:unhideWhenUsed/>
    <w:rsid w:val="0087070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70701"/>
    <w:rPr>
      <w:i/>
      <w:iCs/>
    </w:rPr>
  </w:style>
  <w:style w:type="character" w:styleId="UnresolvedMention">
    <w:name w:val="Unresolved Mention"/>
    <w:basedOn w:val="DefaultParagraphFont"/>
    <w:uiPriority w:val="99"/>
    <w:semiHidden/>
    <w:unhideWhenUsed/>
    <w:rsid w:val="00143CBC"/>
    <w:rPr>
      <w:color w:val="605E5C"/>
      <w:shd w:val="clear" w:color="auto" w:fill="E1DFDD"/>
    </w:rPr>
  </w:style>
  <w:style w:type="paragraph" w:styleId="Header">
    <w:name w:val="header"/>
    <w:basedOn w:val="Normal"/>
    <w:link w:val="HeaderChar"/>
    <w:uiPriority w:val="99"/>
    <w:unhideWhenUsed/>
    <w:rsid w:val="002F3F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FE7"/>
    <w:rPr>
      <w:kern w:val="0"/>
    </w:rPr>
  </w:style>
  <w:style w:type="paragraph" w:styleId="Footer">
    <w:name w:val="footer"/>
    <w:basedOn w:val="Normal"/>
    <w:link w:val="FooterChar"/>
    <w:uiPriority w:val="99"/>
    <w:unhideWhenUsed/>
    <w:rsid w:val="002F3F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FE7"/>
    <w:rPr>
      <w:kern w:val="0"/>
    </w:rPr>
  </w:style>
  <w:style w:type="character" w:styleId="Strong">
    <w:name w:val="Strong"/>
    <w:basedOn w:val="DefaultParagraphFont"/>
    <w:uiPriority w:val="22"/>
    <w:qFormat/>
    <w:rsid w:val="008F0B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68340">
      <w:bodyDiv w:val="1"/>
      <w:marLeft w:val="0"/>
      <w:marRight w:val="0"/>
      <w:marTop w:val="0"/>
      <w:marBottom w:val="0"/>
      <w:divBdr>
        <w:top w:val="none" w:sz="0" w:space="0" w:color="auto"/>
        <w:left w:val="none" w:sz="0" w:space="0" w:color="auto"/>
        <w:bottom w:val="none" w:sz="0" w:space="0" w:color="auto"/>
        <w:right w:val="none" w:sz="0" w:space="0" w:color="auto"/>
      </w:divBdr>
    </w:div>
    <w:div w:id="420951442">
      <w:bodyDiv w:val="1"/>
      <w:marLeft w:val="0"/>
      <w:marRight w:val="0"/>
      <w:marTop w:val="0"/>
      <w:marBottom w:val="0"/>
      <w:divBdr>
        <w:top w:val="none" w:sz="0" w:space="0" w:color="auto"/>
        <w:left w:val="none" w:sz="0" w:space="0" w:color="auto"/>
        <w:bottom w:val="none" w:sz="0" w:space="0" w:color="auto"/>
        <w:right w:val="none" w:sz="0" w:space="0" w:color="auto"/>
      </w:divBdr>
    </w:div>
    <w:div w:id="467432054">
      <w:bodyDiv w:val="1"/>
      <w:marLeft w:val="0"/>
      <w:marRight w:val="0"/>
      <w:marTop w:val="0"/>
      <w:marBottom w:val="0"/>
      <w:divBdr>
        <w:top w:val="none" w:sz="0" w:space="0" w:color="auto"/>
        <w:left w:val="none" w:sz="0" w:space="0" w:color="auto"/>
        <w:bottom w:val="none" w:sz="0" w:space="0" w:color="auto"/>
        <w:right w:val="none" w:sz="0" w:space="0" w:color="auto"/>
      </w:divBdr>
    </w:div>
    <w:div w:id="470825280">
      <w:bodyDiv w:val="1"/>
      <w:marLeft w:val="0"/>
      <w:marRight w:val="0"/>
      <w:marTop w:val="0"/>
      <w:marBottom w:val="0"/>
      <w:divBdr>
        <w:top w:val="none" w:sz="0" w:space="0" w:color="auto"/>
        <w:left w:val="none" w:sz="0" w:space="0" w:color="auto"/>
        <w:bottom w:val="none" w:sz="0" w:space="0" w:color="auto"/>
        <w:right w:val="none" w:sz="0" w:space="0" w:color="auto"/>
      </w:divBdr>
    </w:div>
    <w:div w:id="498085012">
      <w:bodyDiv w:val="1"/>
      <w:marLeft w:val="0"/>
      <w:marRight w:val="0"/>
      <w:marTop w:val="0"/>
      <w:marBottom w:val="0"/>
      <w:divBdr>
        <w:top w:val="none" w:sz="0" w:space="0" w:color="auto"/>
        <w:left w:val="none" w:sz="0" w:space="0" w:color="auto"/>
        <w:bottom w:val="none" w:sz="0" w:space="0" w:color="auto"/>
        <w:right w:val="none" w:sz="0" w:space="0" w:color="auto"/>
      </w:divBdr>
    </w:div>
    <w:div w:id="535504109">
      <w:bodyDiv w:val="1"/>
      <w:marLeft w:val="0"/>
      <w:marRight w:val="0"/>
      <w:marTop w:val="0"/>
      <w:marBottom w:val="0"/>
      <w:divBdr>
        <w:top w:val="none" w:sz="0" w:space="0" w:color="auto"/>
        <w:left w:val="none" w:sz="0" w:space="0" w:color="auto"/>
        <w:bottom w:val="none" w:sz="0" w:space="0" w:color="auto"/>
        <w:right w:val="none" w:sz="0" w:space="0" w:color="auto"/>
      </w:divBdr>
    </w:div>
    <w:div w:id="985356514">
      <w:bodyDiv w:val="1"/>
      <w:marLeft w:val="0"/>
      <w:marRight w:val="0"/>
      <w:marTop w:val="0"/>
      <w:marBottom w:val="0"/>
      <w:divBdr>
        <w:top w:val="none" w:sz="0" w:space="0" w:color="auto"/>
        <w:left w:val="none" w:sz="0" w:space="0" w:color="auto"/>
        <w:bottom w:val="none" w:sz="0" w:space="0" w:color="auto"/>
        <w:right w:val="none" w:sz="0" w:space="0" w:color="auto"/>
      </w:divBdr>
    </w:div>
    <w:div w:id="1089808880">
      <w:bodyDiv w:val="1"/>
      <w:marLeft w:val="0"/>
      <w:marRight w:val="0"/>
      <w:marTop w:val="0"/>
      <w:marBottom w:val="0"/>
      <w:divBdr>
        <w:top w:val="none" w:sz="0" w:space="0" w:color="auto"/>
        <w:left w:val="none" w:sz="0" w:space="0" w:color="auto"/>
        <w:bottom w:val="none" w:sz="0" w:space="0" w:color="auto"/>
        <w:right w:val="none" w:sz="0" w:space="0" w:color="auto"/>
      </w:divBdr>
    </w:div>
    <w:div w:id="1124999489">
      <w:bodyDiv w:val="1"/>
      <w:marLeft w:val="0"/>
      <w:marRight w:val="0"/>
      <w:marTop w:val="0"/>
      <w:marBottom w:val="0"/>
      <w:divBdr>
        <w:top w:val="none" w:sz="0" w:space="0" w:color="auto"/>
        <w:left w:val="none" w:sz="0" w:space="0" w:color="auto"/>
        <w:bottom w:val="none" w:sz="0" w:space="0" w:color="auto"/>
        <w:right w:val="none" w:sz="0" w:space="0" w:color="auto"/>
      </w:divBdr>
      <w:divsChild>
        <w:div w:id="1700740393">
          <w:marLeft w:val="0"/>
          <w:marRight w:val="0"/>
          <w:marTop w:val="0"/>
          <w:marBottom w:val="0"/>
          <w:divBdr>
            <w:top w:val="none" w:sz="0" w:space="0" w:color="auto"/>
            <w:left w:val="none" w:sz="0" w:space="0" w:color="auto"/>
            <w:bottom w:val="none" w:sz="0" w:space="0" w:color="auto"/>
            <w:right w:val="none" w:sz="0" w:space="0" w:color="auto"/>
          </w:divBdr>
          <w:divsChild>
            <w:div w:id="71855278">
              <w:marLeft w:val="0"/>
              <w:marRight w:val="0"/>
              <w:marTop w:val="0"/>
              <w:marBottom w:val="0"/>
              <w:divBdr>
                <w:top w:val="none" w:sz="0" w:space="0" w:color="auto"/>
                <w:left w:val="none" w:sz="0" w:space="0" w:color="auto"/>
                <w:bottom w:val="none" w:sz="0" w:space="0" w:color="auto"/>
                <w:right w:val="none" w:sz="0" w:space="0" w:color="auto"/>
              </w:divBdr>
              <w:divsChild>
                <w:div w:id="1955597570">
                  <w:marLeft w:val="0"/>
                  <w:marRight w:val="0"/>
                  <w:marTop w:val="0"/>
                  <w:marBottom w:val="0"/>
                  <w:divBdr>
                    <w:top w:val="none" w:sz="0" w:space="0" w:color="auto"/>
                    <w:left w:val="none" w:sz="0" w:space="0" w:color="auto"/>
                    <w:bottom w:val="none" w:sz="0" w:space="0" w:color="auto"/>
                    <w:right w:val="none" w:sz="0" w:space="0" w:color="auto"/>
                  </w:divBdr>
                  <w:divsChild>
                    <w:div w:id="20211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026512">
          <w:marLeft w:val="0"/>
          <w:marRight w:val="0"/>
          <w:marTop w:val="0"/>
          <w:marBottom w:val="0"/>
          <w:divBdr>
            <w:top w:val="none" w:sz="0" w:space="0" w:color="auto"/>
            <w:left w:val="none" w:sz="0" w:space="0" w:color="auto"/>
            <w:bottom w:val="none" w:sz="0" w:space="0" w:color="auto"/>
            <w:right w:val="none" w:sz="0" w:space="0" w:color="auto"/>
          </w:divBdr>
          <w:divsChild>
            <w:div w:id="19160517">
              <w:marLeft w:val="0"/>
              <w:marRight w:val="0"/>
              <w:marTop w:val="0"/>
              <w:marBottom w:val="0"/>
              <w:divBdr>
                <w:top w:val="none" w:sz="0" w:space="0" w:color="auto"/>
                <w:left w:val="none" w:sz="0" w:space="0" w:color="auto"/>
                <w:bottom w:val="none" w:sz="0" w:space="0" w:color="auto"/>
                <w:right w:val="none" w:sz="0" w:space="0" w:color="auto"/>
              </w:divBdr>
              <w:divsChild>
                <w:div w:id="2017345757">
                  <w:marLeft w:val="0"/>
                  <w:marRight w:val="0"/>
                  <w:marTop w:val="0"/>
                  <w:marBottom w:val="0"/>
                  <w:divBdr>
                    <w:top w:val="none" w:sz="0" w:space="0" w:color="auto"/>
                    <w:left w:val="none" w:sz="0" w:space="0" w:color="auto"/>
                    <w:bottom w:val="none" w:sz="0" w:space="0" w:color="auto"/>
                    <w:right w:val="none" w:sz="0" w:space="0" w:color="auto"/>
                  </w:divBdr>
                  <w:divsChild>
                    <w:div w:id="172386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976773">
      <w:bodyDiv w:val="1"/>
      <w:marLeft w:val="0"/>
      <w:marRight w:val="0"/>
      <w:marTop w:val="0"/>
      <w:marBottom w:val="0"/>
      <w:divBdr>
        <w:top w:val="none" w:sz="0" w:space="0" w:color="auto"/>
        <w:left w:val="none" w:sz="0" w:space="0" w:color="auto"/>
        <w:bottom w:val="none" w:sz="0" w:space="0" w:color="auto"/>
        <w:right w:val="none" w:sz="0" w:space="0" w:color="auto"/>
      </w:divBdr>
    </w:div>
    <w:div w:id="1758400613">
      <w:bodyDiv w:val="1"/>
      <w:marLeft w:val="0"/>
      <w:marRight w:val="0"/>
      <w:marTop w:val="0"/>
      <w:marBottom w:val="0"/>
      <w:divBdr>
        <w:top w:val="none" w:sz="0" w:space="0" w:color="auto"/>
        <w:left w:val="none" w:sz="0" w:space="0" w:color="auto"/>
        <w:bottom w:val="none" w:sz="0" w:space="0" w:color="auto"/>
        <w:right w:val="none" w:sz="0" w:space="0" w:color="auto"/>
      </w:divBdr>
    </w:div>
    <w:div w:id="1771121891">
      <w:bodyDiv w:val="1"/>
      <w:marLeft w:val="0"/>
      <w:marRight w:val="0"/>
      <w:marTop w:val="0"/>
      <w:marBottom w:val="0"/>
      <w:divBdr>
        <w:top w:val="none" w:sz="0" w:space="0" w:color="auto"/>
        <w:left w:val="none" w:sz="0" w:space="0" w:color="auto"/>
        <w:bottom w:val="none" w:sz="0" w:space="0" w:color="auto"/>
        <w:right w:val="none" w:sz="0" w:space="0" w:color="auto"/>
      </w:divBdr>
    </w:div>
    <w:div w:id="194133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tp.niehs.nih.gov/sites/default/files/iccvam/suppdocs/feddocs/oecd/oecd_gl423.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2953</TotalTime>
  <Pages>12</Pages>
  <Words>4373</Words>
  <Characters>24927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onengs4u@yahoo.com</dc:creator>
  <cp:keywords/>
  <dc:description/>
  <cp:lastModifiedBy>onengs4u@yahoo.com</cp:lastModifiedBy>
  <cp:revision>85</cp:revision>
  <dcterms:created xsi:type="dcterms:W3CDTF">2025-01-28T21:33:00Z</dcterms:created>
  <dcterms:modified xsi:type="dcterms:W3CDTF">2025-02-22T08:14:00Z</dcterms:modified>
</cp:coreProperties>
</file>