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2C65" w14:textId="376078D9" w:rsidR="00801E68" w:rsidRDefault="00801E68" w:rsidP="008E36A5">
      <w:pPr>
        <w:spacing w:after="0"/>
        <w:jc w:val="center"/>
        <w:rPr>
          <w:rFonts w:asciiTheme="majorBidi" w:hAnsiTheme="majorBidi" w:cstheme="majorBidi"/>
          <w:b/>
          <w:bCs/>
          <w:i/>
          <w:iCs/>
          <w:sz w:val="24"/>
          <w:szCs w:val="24"/>
          <w:u w:val="single"/>
          <w:lang w:val="en-US"/>
        </w:rPr>
      </w:pPr>
      <w:commentRangeStart w:id="0"/>
      <w:r w:rsidRPr="00801E68">
        <w:rPr>
          <w:rFonts w:asciiTheme="majorBidi" w:hAnsiTheme="majorBidi" w:cstheme="majorBidi"/>
          <w:b/>
          <w:bCs/>
          <w:i/>
          <w:iCs/>
          <w:sz w:val="24"/>
          <w:szCs w:val="24"/>
          <w:u w:val="single"/>
          <w:lang w:val="en-US"/>
        </w:rPr>
        <w:t>Original Research Article</w:t>
      </w:r>
      <w:commentRangeEnd w:id="0"/>
      <w:r w:rsidR="00DB3DEF">
        <w:rPr>
          <w:rStyle w:val="CommentReference"/>
        </w:rPr>
        <w:commentReference w:id="0"/>
      </w:r>
    </w:p>
    <w:p w14:paraId="3B9747DF" w14:textId="77777777" w:rsidR="00801E68" w:rsidRDefault="00801E68" w:rsidP="008E36A5">
      <w:pPr>
        <w:spacing w:after="0"/>
        <w:jc w:val="center"/>
        <w:rPr>
          <w:rFonts w:asciiTheme="majorBidi" w:hAnsiTheme="majorBidi" w:cstheme="majorBidi"/>
          <w:b/>
          <w:bCs/>
          <w:sz w:val="24"/>
          <w:szCs w:val="24"/>
        </w:rPr>
      </w:pPr>
    </w:p>
    <w:p w14:paraId="49DAB582" w14:textId="087DA839" w:rsidR="00292E2A" w:rsidRDefault="008B2024" w:rsidP="008E36A5">
      <w:pPr>
        <w:spacing w:after="0"/>
        <w:jc w:val="center"/>
        <w:rPr>
          <w:rFonts w:asciiTheme="majorBidi" w:hAnsiTheme="majorBidi" w:cstheme="majorBidi"/>
          <w:b/>
          <w:bCs/>
          <w:sz w:val="24"/>
          <w:szCs w:val="24"/>
        </w:rPr>
      </w:pPr>
      <w:r w:rsidRPr="008E36A5">
        <w:rPr>
          <w:rFonts w:asciiTheme="majorBidi" w:hAnsiTheme="majorBidi" w:cstheme="majorBidi"/>
          <w:b/>
          <w:bCs/>
          <w:sz w:val="24"/>
          <w:szCs w:val="24"/>
        </w:rPr>
        <w:t xml:space="preserve">Effect of </w:t>
      </w:r>
      <w:r w:rsidR="000A6EF0" w:rsidRPr="008E36A5">
        <w:rPr>
          <w:rFonts w:asciiTheme="majorBidi" w:hAnsiTheme="majorBidi" w:cstheme="majorBidi"/>
          <w:b/>
          <w:bCs/>
          <w:sz w:val="24"/>
          <w:szCs w:val="24"/>
        </w:rPr>
        <w:t>E</w:t>
      </w:r>
      <w:r w:rsidRPr="008E36A5">
        <w:rPr>
          <w:rFonts w:asciiTheme="majorBidi" w:hAnsiTheme="majorBidi" w:cstheme="majorBidi"/>
          <w:b/>
          <w:bCs/>
          <w:sz w:val="24"/>
          <w:szCs w:val="24"/>
        </w:rPr>
        <w:t>ucalyptus based agroforestry systems on soil properties in different land use patterns in Upper-Gangetic Plains of Uttar Pradesh</w:t>
      </w:r>
      <w:r w:rsidR="00E65045" w:rsidRPr="00E65045">
        <w:t xml:space="preserve"> </w:t>
      </w:r>
    </w:p>
    <w:p w14:paraId="2831FDEA" w14:textId="77777777" w:rsidR="00865159" w:rsidRPr="008E36A5" w:rsidRDefault="00865159" w:rsidP="008E36A5">
      <w:pPr>
        <w:spacing w:after="0"/>
        <w:jc w:val="center"/>
        <w:rPr>
          <w:rFonts w:asciiTheme="majorBidi" w:hAnsiTheme="majorBidi" w:cstheme="majorBidi"/>
          <w:b/>
          <w:bCs/>
          <w:sz w:val="24"/>
          <w:szCs w:val="24"/>
        </w:rPr>
      </w:pPr>
    </w:p>
    <w:p w14:paraId="2D7B0A32" w14:textId="77777777" w:rsidR="002A218C" w:rsidRDefault="002A218C" w:rsidP="002A218C">
      <w:pPr>
        <w:spacing w:after="0" w:line="240" w:lineRule="auto"/>
        <w:rPr>
          <w:rFonts w:asciiTheme="majorBidi" w:hAnsiTheme="majorBidi" w:cstheme="majorBidi"/>
          <w:b/>
          <w:bCs/>
          <w:sz w:val="18"/>
          <w:szCs w:val="18"/>
          <w:lang w:val="en-US"/>
        </w:rPr>
      </w:pPr>
    </w:p>
    <w:p w14:paraId="50C579DD" w14:textId="64D07DE8" w:rsidR="00801E68" w:rsidRPr="00801E68" w:rsidRDefault="00801E68" w:rsidP="002A218C">
      <w:pPr>
        <w:spacing w:after="0" w:line="240" w:lineRule="auto"/>
        <w:rPr>
          <w:rFonts w:asciiTheme="majorBidi" w:hAnsiTheme="majorBidi" w:cstheme="majorBidi"/>
          <w:b/>
          <w:bCs/>
          <w:sz w:val="18"/>
          <w:szCs w:val="18"/>
          <w:lang w:val="en-US"/>
        </w:rPr>
      </w:pPr>
      <w:r>
        <w:rPr>
          <w:rFonts w:asciiTheme="majorBidi" w:hAnsiTheme="majorBidi" w:cstheme="majorBidi"/>
          <w:b/>
          <w:bCs/>
          <w:sz w:val="18"/>
          <w:szCs w:val="18"/>
          <w:lang w:val="en-US"/>
        </w:rPr>
        <w:t xml:space="preserve"> </w:t>
      </w:r>
    </w:p>
    <w:p w14:paraId="430E36F7" w14:textId="77777777" w:rsidR="00801E68" w:rsidRPr="008E36A5" w:rsidRDefault="00801E68" w:rsidP="008E36A5">
      <w:pPr>
        <w:spacing w:after="0" w:line="240" w:lineRule="auto"/>
        <w:jc w:val="center"/>
        <w:rPr>
          <w:rFonts w:asciiTheme="majorBidi" w:hAnsiTheme="majorBidi" w:cstheme="majorBidi"/>
          <w:b/>
          <w:bCs/>
          <w:sz w:val="18"/>
          <w:szCs w:val="18"/>
        </w:rPr>
      </w:pPr>
    </w:p>
    <w:p w14:paraId="58C04398" w14:textId="4534E5EE" w:rsidR="001167EB" w:rsidRPr="008E36A5" w:rsidRDefault="001167EB" w:rsidP="008E36A5">
      <w:pPr>
        <w:spacing w:after="0" w:line="240" w:lineRule="auto"/>
        <w:jc w:val="center"/>
        <w:rPr>
          <w:rFonts w:asciiTheme="majorBidi" w:hAnsiTheme="majorBidi" w:cstheme="majorBidi"/>
          <w:b/>
          <w:bCs/>
          <w:sz w:val="24"/>
          <w:szCs w:val="24"/>
        </w:rPr>
      </w:pPr>
    </w:p>
    <w:p w14:paraId="5C90A20E" w14:textId="77777777" w:rsidR="001167EB" w:rsidRDefault="001167EB" w:rsidP="008E36A5">
      <w:pPr>
        <w:spacing w:after="0" w:line="360" w:lineRule="auto"/>
        <w:rPr>
          <w:rFonts w:asciiTheme="majorBidi" w:hAnsiTheme="majorBidi" w:cstheme="majorBidi"/>
          <w:b/>
          <w:bCs/>
          <w:sz w:val="24"/>
          <w:szCs w:val="24"/>
        </w:rPr>
      </w:pPr>
    </w:p>
    <w:p w14:paraId="6E83A88C" w14:textId="2AE6351F" w:rsidR="008B2024" w:rsidRPr="00B91F1C" w:rsidRDefault="008B2024" w:rsidP="008E36A5">
      <w:pPr>
        <w:spacing w:after="0" w:line="360" w:lineRule="auto"/>
        <w:jc w:val="center"/>
        <w:rPr>
          <w:rFonts w:asciiTheme="majorBidi" w:hAnsiTheme="majorBidi" w:cstheme="majorBidi"/>
          <w:b/>
          <w:bCs/>
          <w:sz w:val="24"/>
          <w:szCs w:val="24"/>
        </w:rPr>
      </w:pPr>
      <w:r w:rsidRPr="00B91F1C">
        <w:rPr>
          <w:rFonts w:asciiTheme="majorBidi" w:hAnsiTheme="majorBidi" w:cstheme="majorBidi"/>
          <w:b/>
          <w:bCs/>
          <w:sz w:val="24"/>
          <w:szCs w:val="24"/>
        </w:rPr>
        <w:t>Abstract</w:t>
      </w:r>
    </w:p>
    <w:p w14:paraId="0F87F0D3" w14:textId="6131A4ED" w:rsidR="008E36A5" w:rsidRDefault="008B2024" w:rsidP="008E36A5">
      <w:pPr>
        <w:spacing w:after="0" w:line="360" w:lineRule="auto"/>
        <w:jc w:val="both"/>
      </w:pPr>
      <w:commentRangeStart w:id="1"/>
      <w:r w:rsidRPr="00B91F1C">
        <w:rPr>
          <w:rFonts w:asciiTheme="majorBidi" w:hAnsiTheme="majorBidi" w:cstheme="majorBidi"/>
          <w:sz w:val="24"/>
          <w:szCs w:val="24"/>
        </w:rPr>
        <w:t xml:space="preserve">The present study </w:t>
      </w:r>
      <w:commentRangeEnd w:id="1"/>
      <w:r w:rsidR="00C25873">
        <w:rPr>
          <w:rStyle w:val="CommentReference"/>
        </w:rPr>
        <w:commentReference w:id="1"/>
      </w:r>
      <w:r w:rsidRPr="00B91F1C">
        <w:rPr>
          <w:rFonts w:asciiTheme="majorBidi" w:hAnsiTheme="majorBidi" w:cstheme="majorBidi"/>
          <w:sz w:val="24"/>
          <w:szCs w:val="24"/>
        </w:rPr>
        <w:t xml:space="preserve">was conducted during kharif season 2022 and 2023 at the Padila Nursery, Indian Council of Forestry Research and Education, Eco-Rehabilitation Centre, Prayagraj, U.P. to compare the distribution of chemical properties and nutrient status of soil in two different depths under seven land use systems </w:t>
      </w:r>
      <w:r w:rsidRPr="001167EB">
        <w:rPr>
          <w:rFonts w:asciiTheme="majorBidi" w:hAnsiTheme="majorBidi" w:cstheme="majorBidi"/>
          <w:i/>
          <w:iCs/>
          <w:sz w:val="24"/>
          <w:szCs w:val="24"/>
        </w:rPr>
        <w:t>viz</w:t>
      </w:r>
      <w:r w:rsidRPr="00B91F1C">
        <w:rPr>
          <w:rFonts w:asciiTheme="majorBidi" w:hAnsiTheme="majorBidi" w:cstheme="majorBidi"/>
          <w:sz w:val="24"/>
          <w:szCs w:val="24"/>
        </w:rPr>
        <w:t>., T1</w:t>
      </w:r>
      <w:proofErr w:type="gramStart"/>
      <w:r w:rsidRPr="00B91F1C">
        <w:rPr>
          <w:rFonts w:asciiTheme="majorBidi" w:hAnsiTheme="majorBidi" w:cstheme="majorBidi"/>
          <w:sz w:val="24"/>
          <w:szCs w:val="24"/>
        </w:rPr>
        <w:t>:Eucalyptus</w:t>
      </w:r>
      <w:proofErr w:type="gramEnd"/>
      <w:r w:rsidRPr="00B91F1C">
        <w:rPr>
          <w:rFonts w:asciiTheme="majorBidi" w:hAnsiTheme="majorBidi" w:cstheme="majorBidi"/>
          <w:sz w:val="24"/>
          <w:szCs w:val="24"/>
        </w:rPr>
        <w:t xml:space="preserve">+Mentha+Tulsi, </w:t>
      </w:r>
      <w:bookmarkStart w:id="2" w:name="_Hlk188642255"/>
      <w:r w:rsidRPr="00B91F1C">
        <w:rPr>
          <w:rFonts w:asciiTheme="majorBidi" w:hAnsiTheme="majorBidi" w:cstheme="majorBidi"/>
          <w:sz w:val="24"/>
          <w:szCs w:val="24"/>
        </w:rPr>
        <w:t>T2:Eucalyptus+Mentha</w:t>
      </w:r>
      <w:bookmarkEnd w:id="2"/>
      <w:r w:rsidRPr="00B91F1C">
        <w:rPr>
          <w:rFonts w:asciiTheme="majorBidi" w:hAnsiTheme="majorBidi" w:cstheme="majorBidi"/>
          <w:sz w:val="24"/>
          <w:szCs w:val="24"/>
        </w:rPr>
        <w:t xml:space="preserve">, </w:t>
      </w:r>
      <w:bookmarkStart w:id="3" w:name="_Hlk188642176"/>
      <w:r w:rsidRPr="00B91F1C">
        <w:rPr>
          <w:rFonts w:asciiTheme="majorBidi" w:hAnsiTheme="majorBidi" w:cstheme="majorBidi"/>
          <w:sz w:val="24"/>
          <w:szCs w:val="24"/>
        </w:rPr>
        <w:t>T3:Eucalyptus+Tulsi</w:t>
      </w:r>
      <w:bookmarkEnd w:id="3"/>
      <w:r w:rsidRPr="00B91F1C">
        <w:rPr>
          <w:rFonts w:asciiTheme="majorBidi" w:hAnsiTheme="majorBidi" w:cstheme="majorBidi"/>
          <w:sz w:val="24"/>
          <w:szCs w:val="24"/>
        </w:rPr>
        <w:t xml:space="preserve">, T4:Eucalyptus Sole, </w:t>
      </w:r>
      <w:bookmarkStart w:id="4" w:name="_Hlk188642129"/>
      <w:r w:rsidRPr="00B91F1C">
        <w:rPr>
          <w:rFonts w:asciiTheme="majorBidi" w:hAnsiTheme="majorBidi" w:cstheme="majorBidi"/>
          <w:sz w:val="24"/>
          <w:szCs w:val="24"/>
        </w:rPr>
        <w:t>T5:Mentha+ Tulsi Sole</w:t>
      </w:r>
      <w:bookmarkEnd w:id="4"/>
      <w:r w:rsidRPr="00B91F1C">
        <w:rPr>
          <w:rFonts w:asciiTheme="majorBidi" w:hAnsiTheme="majorBidi" w:cstheme="majorBidi"/>
          <w:sz w:val="24"/>
          <w:szCs w:val="24"/>
        </w:rPr>
        <w:t xml:space="preserve">, T6:Mentha Sole and T7:Tulsi sole. Before transplanting of the medicinal plants (mentha and tulsi) and after harvesting, the soil sampling was performed to determine the soil parameters like organic carbon and the minerals content. </w:t>
      </w:r>
      <w:commentRangeStart w:id="5"/>
      <w:r w:rsidR="000A6EF0" w:rsidRPr="00B91F1C">
        <w:rPr>
          <w:rFonts w:asciiTheme="majorBidi" w:hAnsiTheme="majorBidi" w:cstheme="majorBidi"/>
          <w:sz w:val="24"/>
          <w:szCs w:val="24"/>
        </w:rPr>
        <w:t>Eucalyptus based agroforestry system performed better as compared to sole crop in respect of various soil chemical properties and available nutrients status in soil at different soil depths</w:t>
      </w:r>
      <w:commentRangeEnd w:id="5"/>
      <w:r w:rsidR="00C25873">
        <w:rPr>
          <w:rStyle w:val="CommentReference"/>
        </w:rPr>
        <w:commentReference w:id="5"/>
      </w:r>
      <w:r w:rsidR="000A6EF0" w:rsidRPr="00B91F1C">
        <w:rPr>
          <w:rFonts w:asciiTheme="majorBidi" w:hAnsiTheme="majorBidi" w:cstheme="majorBidi"/>
          <w:sz w:val="24"/>
          <w:szCs w:val="24"/>
        </w:rPr>
        <w:t xml:space="preserve">. </w:t>
      </w:r>
      <w:commentRangeStart w:id="6"/>
      <w:r w:rsidRPr="00B91F1C">
        <w:rPr>
          <w:rFonts w:asciiTheme="majorBidi" w:hAnsiTheme="majorBidi" w:cstheme="majorBidi"/>
          <w:sz w:val="24"/>
          <w:szCs w:val="24"/>
        </w:rPr>
        <w:t>Nitrogen, phosphorus, potassium content and organic carbon were higher in the agroforestry system as compared to the open farming system. A high soil pH was</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found in an open farming system and lower pH in an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system</w:t>
      </w:r>
      <w:commentRangeEnd w:id="6"/>
      <w:r w:rsidR="00C25873">
        <w:rPr>
          <w:rStyle w:val="CommentReference"/>
        </w:rPr>
        <w:commentReference w:id="6"/>
      </w:r>
      <w:r w:rsidRPr="00B91F1C">
        <w:rPr>
          <w:rFonts w:asciiTheme="majorBidi" w:hAnsiTheme="majorBidi" w:cstheme="majorBidi"/>
          <w:sz w:val="24"/>
          <w:szCs w:val="24"/>
        </w:rPr>
        <w:t>. Overall, this study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determines the effect of eucalyptus based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 xml:space="preserve">systems on soil </w:t>
      </w:r>
      <w:r w:rsidR="000A6EF0" w:rsidRPr="00B91F1C">
        <w:rPr>
          <w:rFonts w:asciiTheme="majorBidi" w:hAnsiTheme="majorBidi" w:cstheme="majorBidi"/>
          <w:sz w:val="24"/>
          <w:szCs w:val="24"/>
        </w:rPr>
        <w:t>nutrients</w:t>
      </w:r>
      <w:r w:rsidRPr="00B91F1C">
        <w:rPr>
          <w:rFonts w:asciiTheme="majorBidi" w:hAnsiTheme="majorBidi" w:cstheme="majorBidi"/>
          <w:sz w:val="24"/>
          <w:szCs w:val="24"/>
        </w:rPr>
        <w:t>.</w:t>
      </w:r>
      <w:r w:rsidR="00E65045" w:rsidRPr="00E65045">
        <w:t xml:space="preserve"> </w:t>
      </w:r>
    </w:p>
    <w:p w14:paraId="165011E7" w14:textId="77777777" w:rsidR="00BF0FB7" w:rsidRPr="00B91F1C" w:rsidRDefault="00BF0FB7" w:rsidP="008E36A5">
      <w:pPr>
        <w:spacing w:after="0" w:line="360" w:lineRule="auto"/>
        <w:jc w:val="both"/>
        <w:rPr>
          <w:rFonts w:asciiTheme="majorBidi" w:hAnsiTheme="majorBidi" w:cstheme="majorBidi"/>
          <w:sz w:val="24"/>
          <w:szCs w:val="24"/>
        </w:rPr>
      </w:pPr>
    </w:p>
    <w:p w14:paraId="27C5E63E" w14:textId="6D80A996" w:rsidR="000A6EF0" w:rsidRDefault="000A6EF0" w:rsidP="008E36A5">
      <w:pPr>
        <w:spacing w:after="0" w:line="360" w:lineRule="auto"/>
        <w:jc w:val="both"/>
        <w:rPr>
          <w:rFonts w:asciiTheme="majorBidi" w:hAnsiTheme="majorBidi" w:cstheme="majorBidi"/>
          <w:sz w:val="24"/>
          <w:szCs w:val="24"/>
        </w:rPr>
      </w:pPr>
      <w:r w:rsidRPr="00B91F1C">
        <w:rPr>
          <w:rFonts w:asciiTheme="majorBidi" w:hAnsiTheme="majorBidi" w:cstheme="majorBidi"/>
          <w:b/>
          <w:bCs/>
          <w:sz w:val="24"/>
          <w:szCs w:val="24"/>
        </w:rPr>
        <w:t>Keywords</w:t>
      </w:r>
      <w:r w:rsidRPr="00B91F1C">
        <w:rPr>
          <w:rFonts w:asciiTheme="majorBidi" w:hAnsiTheme="majorBidi" w:cstheme="majorBidi"/>
          <w:sz w:val="24"/>
          <w:szCs w:val="24"/>
        </w:rPr>
        <w:t xml:space="preserve">: Agroforestry, Eucalyptus, nutrient status, soil depth, soil properties </w:t>
      </w:r>
    </w:p>
    <w:p w14:paraId="2D3192ED" w14:textId="77777777" w:rsidR="008E36A5" w:rsidRPr="00B91F1C" w:rsidRDefault="008E36A5" w:rsidP="008E36A5">
      <w:pPr>
        <w:spacing w:after="0" w:line="360" w:lineRule="auto"/>
        <w:jc w:val="both"/>
        <w:rPr>
          <w:rFonts w:asciiTheme="majorBidi" w:hAnsiTheme="majorBidi" w:cstheme="majorBidi"/>
          <w:sz w:val="24"/>
          <w:szCs w:val="24"/>
        </w:rPr>
      </w:pPr>
    </w:p>
    <w:p w14:paraId="5CF7EC84" w14:textId="2CB36EF2" w:rsidR="000A6EF0" w:rsidRPr="00B91F1C" w:rsidRDefault="008E36A5" w:rsidP="008E36A5">
      <w:pPr>
        <w:spacing w:after="0" w:line="360" w:lineRule="auto"/>
        <w:jc w:val="both"/>
        <w:rPr>
          <w:rFonts w:asciiTheme="majorBidi" w:hAnsiTheme="majorBidi" w:cstheme="majorBidi"/>
          <w:b/>
          <w:bCs/>
          <w:sz w:val="24"/>
          <w:szCs w:val="24"/>
        </w:rPr>
      </w:pPr>
      <w:commentRangeStart w:id="7"/>
      <w:r w:rsidRPr="00B91F1C">
        <w:rPr>
          <w:rFonts w:asciiTheme="majorBidi" w:hAnsiTheme="majorBidi" w:cstheme="majorBidi"/>
          <w:b/>
          <w:bCs/>
          <w:sz w:val="24"/>
          <w:szCs w:val="24"/>
        </w:rPr>
        <w:t>INTRODUCTION</w:t>
      </w:r>
      <w:commentRangeEnd w:id="7"/>
      <w:r w:rsidR="00183298">
        <w:rPr>
          <w:rStyle w:val="CommentReference"/>
        </w:rPr>
        <w:commentReference w:id="7"/>
      </w:r>
    </w:p>
    <w:p w14:paraId="6E93F69A" w14:textId="78EF75BF"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Agroforestry systems (AFS) are regarded as a universal solution to the challenges of intensive agriculture. The diversification of land use through AFS is an essential strategy to meet society's multiple needs without compromising the agro-ecosystem. In AFS, the careful selection of tree and crop species helps prevent land degradation, improve soil productivity, enhance land sustainability, and increase resource use efficiency. A major benefit of agroforestry systems is the overall increase in production through improved soil fertility (Singh, 2010). These systems contribute to carbon sequestration, maintain soil productivity by reducing soil erosion, and improve salt-affected soils by lowering the water table. The tap </w:t>
      </w:r>
      <w:r w:rsidRPr="0053031E">
        <w:rPr>
          <w:rFonts w:asciiTheme="majorBidi" w:hAnsiTheme="majorBidi" w:cstheme="majorBidi"/>
          <w:sz w:val="24"/>
          <w:szCs w:val="24"/>
        </w:rPr>
        <w:lastRenderedPageBreak/>
        <w:t xml:space="preserve">root systems of tree species access nutrients from deeper soil layers and return them to the surface through litterfall and roots, thereby enriching the nutrient pool in the upper soil layers </w:t>
      </w:r>
      <w:commentRangeStart w:id="8"/>
      <w:r w:rsidRPr="0053031E">
        <w:rPr>
          <w:rFonts w:asciiTheme="majorBidi" w:hAnsiTheme="majorBidi" w:cstheme="majorBidi"/>
          <w:sz w:val="24"/>
          <w:szCs w:val="24"/>
        </w:rPr>
        <w:t xml:space="preserve">(Surki </w:t>
      </w:r>
      <w:r w:rsidRPr="0053031E">
        <w:rPr>
          <w:rFonts w:asciiTheme="majorBidi" w:hAnsiTheme="majorBidi" w:cstheme="majorBidi"/>
          <w:i/>
          <w:iCs/>
          <w:sz w:val="24"/>
          <w:szCs w:val="24"/>
        </w:rPr>
        <w:t>et al</w:t>
      </w:r>
      <w:r w:rsidRPr="0053031E">
        <w:rPr>
          <w:rFonts w:asciiTheme="majorBidi" w:hAnsiTheme="majorBidi" w:cstheme="majorBidi"/>
          <w:sz w:val="24"/>
          <w:szCs w:val="24"/>
        </w:rPr>
        <w:t>., 2021</w:t>
      </w:r>
      <w:commentRangeEnd w:id="8"/>
      <w:r w:rsidR="00EE7EA9">
        <w:rPr>
          <w:rStyle w:val="CommentReference"/>
        </w:rPr>
        <w:commentReference w:id="8"/>
      </w:r>
      <w:r w:rsidRPr="0053031E">
        <w:rPr>
          <w:rFonts w:asciiTheme="majorBidi" w:hAnsiTheme="majorBidi" w:cstheme="majorBidi"/>
          <w:sz w:val="24"/>
          <w:szCs w:val="24"/>
        </w:rPr>
        <w:t xml:space="preserve">). Agroforestry also serves as an appropriate technology for areas with fragile ecosystems and subsistence farming. Trees, with their access to deeper nutrient pools, absorb nutrients from the lower root zone and return them to the subsurface through litterfall and root turnover, which helps accumulate nutrients and improve soil physical properties (Singh and Rathod, 2006) and nutrient-use efficiency in the system (Buresh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2004).The growing human population is driving an unprecedented demand for food and natural resources. Achieving the required levels of food production cannot be accomplished by the agricultural sector alone. A viable solution to this challenge involves a combination of technological advancements and the integration of other natural ecosystems (Licker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2010). In agroforestry systems (AFS), the presence of both trees and crops in the same area facilitates nutrient return to the soil through leaf litter, making nutrient cycling studies essential for understanding nutrient balance and the removal of nutrients from the plantation area (Bhardwaj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2001). Additionally, the increase in clay and silt content and the decrease in sand content, along with a notable rise in cation exchange capacity, have been observed in tree plantations (Balamurugan </w:t>
      </w:r>
      <w:r w:rsidRPr="005B2265">
        <w:rPr>
          <w:rFonts w:asciiTheme="majorBidi" w:hAnsiTheme="majorBidi" w:cstheme="majorBidi"/>
          <w:i/>
          <w:iCs/>
          <w:sz w:val="24"/>
          <w:szCs w:val="24"/>
        </w:rPr>
        <w:t>et al</w:t>
      </w:r>
      <w:r w:rsidRPr="0053031E">
        <w:rPr>
          <w:rFonts w:asciiTheme="majorBidi" w:hAnsiTheme="majorBidi" w:cstheme="majorBidi"/>
          <w:sz w:val="24"/>
          <w:szCs w:val="24"/>
        </w:rPr>
        <w:t xml:space="preserve">., 2000). Eucalyptus plantations have been shown to improve soil salinity and sodicity by reducing soil electrical conductivity (EC), pH, and sodium adsorption ratio (SAR) (Nasim </w:t>
      </w:r>
      <w:r w:rsidRPr="00015A5A">
        <w:rPr>
          <w:rFonts w:asciiTheme="majorBidi" w:hAnsiTheme="majorBidi" w:cstheme="majorBidi"/>
          <w:i/>
          <w:iCs/>
          <w:sz w:val="24"/>
          <w:szCs w:val="24"/>
        </w:rPr>
        <w:t>et al</w:t>
      </w:r>
      <w:r w:rsidRPr="0053031E">
        <w:rPr>
          <w:rFonts w:asciiTheme="majorBidi" w:hAnsiTheme="majorBidi" w:cstheme="majorBidi"/>
          <w:sz w:val="24"/>
          <w:szCs w:val="24"/>
        </w:rPr>
        <w:t>., 2007).</w:t>
      </w:r>
      <w:r w:rsidR="00072AEE" w:rsidRPr="00072AEE">
        <w:rPr>
          <w:rFonts w:asciiTheme="majorBidi" w:hAnsiTheme="majorBidi" w:cstheme="majorBidi"/>
          <w:color w:val="FF0000"/>
          <w:sz w:val="24"/>
          <w:szCs w:val="24"/>
        </w:rPr>
        <w:t>.</w:t>
      </w:r>
      <w:r w:rsidRPr="0053031E">
        <w:rPr>
          <w:rFonts w:asciiTheme="majorBidi" w:hAnsiTheme="majorBidi" w:cstheme="majorBidi"/>
          <w:sz w:val="24"/>
          <w:szCs w:val="24"/>
        </w:rPr>
        <w:t xml:space="preserve">However, the effects of Eucalyptus cultivation on soil, particularly related to fertility, are not well-defined. Therefore, understanding the impact of Eucalyptus on soil nutrient reserves and organic matter is crucial for developing sustainable agroforestry practices. Among agroforestry tree species, Eucalyptus is of significant importance due to its rapid and uniform growth, self-pruning ability, coppicing capacity, and smaller canopy compared to most other tree species. Due to its fast growth and potential, Eucalyptus provides a livelihood for many rural and urban populations in the country. This species has been widely used to meet the demand for pulpwood and industrial wood, and the use of Eucalyptus clones has increased the productivity and profitability of plantations in several states (Lal, 2005). Its integration into various farming systems has resulted in higher economic profitability compared to traditional crop production. Eucalyptus trees can be planted within fields or along field edges. Tree species in AFS contribute large amounts of organic matter through litterfall and root residues, which, upon decomposition, release significant amounts of macro- and micronutrients into the soil and improve its physicochemical properties (Singh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Kumar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2019). Growing interest in Eucalyptus farm forestry has led to the conversion of croplands into </w:t>
      </w:r>
      <w:r w:rsidRPr="0053031E">
        <w:rPr>
          <w:rFonts w:asciiTheme="majorBidi" w:hAnsiTheme="majorBidi" w:cstheme="majorBidi"/>
          <w:sz w:val="24"/>
          <w:szCs w:val="24"/>
        </w:rPr>
        <w:lastRenderedPageBreak/>
        <w:t xml:space="preserve">Eucalyptus woodlots (Dereje </w:t>
      </w:r>
      <w:r w:rsidRPr="00015A5A">
        <w:rPr>
          <w:rFonts w:asciiTheme="majorBidi" w:hAnsiTheme="majorBidi" w:cstheme="majorBidi"/>
          <w:i/>
          <w:iCs/>
          <w:sz w:val="24"/>
          <w:szCs w:val="24"/>
        </w:rPr>
        <w:t>et al</w:t>
      </w:r>
      <w:r w:rsidRPr="0053031E">
        <w:rPr>
          <w:rFonts w:asciiTheme="majorBidi" w:hAnsiTheme="majorBidi" w:cstheme="majorBidi"/>
          <w:sz w:val="24"/>
          <w:szCs w:val="24"/>
        </w:rPr>
        <w:t>., 2012). Eucalyptus plantations improve soil nutrients (N, P, K, and organic matter) compared to natural soils (J</w:t>
      </w:r>
      <w:r w:rsidR="00A6178F">
        <w:rPr>
          <w:rFonts w:asciiTheme="majorBidi" w:hAnsiTheme="majorBidi" w:cstheme="majorBidi"/>
          <w:sz w:val="24"/>
          <w:szCs w:val="24"/>
        </w:rPr>
        <w:t>ha</w:t>
      </w:r>
      <w:r w:rsidRPr="0053031E">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1996). In AFS, tree species not only release organically bound nutrients through the decomposition of organic matter, but the decomposition products also help solubilize nutrients present in soil minerals (Kaur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2020). The presence of high organic matter and clay content releases exchangeable bases and salts through microbial decomposition, influencing soil chemical properties such as cation exchange capacity (CEC) and EC (Tashi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Kassa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2017). These systems increase soil organic matter, improve soil porosity, reduce bulk density, and enhance soil structure, which ultimately improves the soil’s water-holding capacity (Sharma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2015; Meena </w:t>
      </w:r>
      <w:r w:rsidRPr="00015A5A">
        <w:rPr>
          <w:rFonts w:asciiTheme="majorBidi" w:hAnsiTheme="majorBidi" w:cstheme="majorBidi"/>
          <w:i/>
          <w:iCs/>
          <w:sz w:val="24"/>
          <w:szCs w:val="24"/>
        </w:rPr>
        <w:t>et al</w:t>
      </w:r>
      <w:r w:rsidRPr="0053031E">
        <w:rPr>
          <w:rFonts w:asciiTheme="majorBidi" w:hAnsiTheme="majorBidi" w:cstheme="majorBidi"/>
          <w:sz w:val="24"/>
          <w:szCs w:val="24"/>
        </w:rPr>
        <w:t>., 2018). With this background, the present study aims to evaluate the effects of Eucalyptus trees under seven different land use systems on various soil characteristics.</w:t>
      </w:r>
      <w:r w:rsidR="00072AEE" w:rsidRPr="00072AEE">
        <w:t xml:space="preserve"> </w:t>
      </w:r>
      <w:r w:rsidR="00072AEE" w:rsidRPr="00072AEE">
        <w:rPr>
          <w:rFonts w:asciiTheme="majorBidi" w:hAnsiTheme="majorBidi" w:cstheme="majorBidi"/>
          <w:color w:val="FF0000"/>
          <w:sz w:val="24"/>
          <w:szCs w:val="24"/>
        </w:rPr>
        <w:t>.</w:t>
      </w:r>
    </w:p>
    <w:p w14:paraId="7C76B162" w14:textId="77777777" w:rsidR="008E36A5" w:rsidRPr="0053031E" w:rsidRDefault="008E36A5" w:rsidP="008E36A5">
      <w:pPr>
        <w:spacing w:after="0" w:line="360" w:lineRule="auto"/>
        <w:jc w:val="both"/>
        <w:rPr>
          <w:rFonts w:asciiTheme="majorBidi" w:hAnsiTheme="majorBidi" w:cstheme="majorBidi"/>
          <w:sz w:val="24"/>
          <w:szCs w:val="24"/>
        </w:rPr>
      </w:pPr>
    </w:p>
    <w:p w14:paraId="39A84586" w14:textId="68DCAAFE" w:rsidR="00D15785"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MATERIAL AND METHODS</w:t>
      </w:r>
    </w:p>
    <w:p w14:paraId="5737F1E1" w14:textId="5CBEB787" w:rsidR="00D15785" w:rsidRPr="00B91F1C" w:rsidRDefault="00D15785"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Study area</w:t>
      </w:r>
    </w:p>
    <w:p w14:paraId="2900DCA6" w14:textId="422397E6" w:rsidR="003326C0" w:rsidRDefault="00D15785"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present investigation was carried out at the Padila Nursery, Indian Council of Forestry Research and Education, Eco-Rehabilitation Centre, Prayagraj, </w:t>
      </w:r>
      <w:commentRangeStart w:id="9"/>
      <w:r w:rsidRPr="00B91F1C">
        <w:rPr>
          <w:rFonts w:asciiTheme="majorBidi" w:hAnsiTheme="majorBidi" w:cstheme="majorBidi"/>
          <w:sz w:val="24"/>
          <w:szCs w:val="24"/>
        </w:rPr>
        <w:t xml:space="preserve">U.P. </w:t>
      </w:r>
      <w:proofErr w:type="gramStart"/>
      <w:r w:rsidRPr="00B91F1C">
        <w:rPr>
          <w:rFonts w:asciiTheme="majorBidi" w:hAnsiTheme="majorBidi" w:cstheme="majorBidi"/>
          <w:sz w:val="24"/>
          <w:szCs w:val="24"/>
        </w:rPr>
        <w:t>Geographically,</w:t>
      </w:r>
      <w:proofErr w:type="gramEnd"/>
      <w:r w:rsidRPr="00B91F1C">
        <w:rPr>
          <w:rFonts w:asciiTheme="majorBidi" w:hAnsiTheme="majorBidi" w:cstheme="majorBidi"/>
          <w:sz w:val="24"/>
          <w:szCs w:val="24"/>
        </w:rPr>
        <w:t xml:space="preserve"> Padila Nursery is situated at 25⁰ 32’ 39’’N latitude, 81⁰ 53’27’’E longitude and at altitude of 122 metres</w:t>
      </w:r>
      <w:commentRangeEnd w:id="9"/>
      <w:r w:rsidR="001D6C1D">
        <w:rPr>
          <w:rStyle w:val="CommentReference"/>
        </w:rPr>
        <w:commentReference w:id="9"/>
      </w:r>
      <w:r w:rsidRPr="00B91F1C">
        <w:rPr>
          <w:rFonts w:asciiTheme="majorBidi" w:hAnsiTheme="majorBidi" w:cstheme="majorBidi"/>
          <w:sz w:val="24"/>
          <w:szCs w:val="24"/>
        </w:rPr>
        <w:t xml:space="preserve"> above the mean sea level. It is located about 11 kilometres away in North East from Prayagraj city. The climate of Prayagraj district where the Padila Nursery is located, is typical humid subtropical as experienced by the whole north-central India. The area experiences different seasons with climate varying from extreme hot to extreme cold. It has three seasons: hot dry summer, warm humid monsoon and cool dry winter. </w:t>
      </w:r>
      <w:commentRangeStart w:id="10"/>
      <w:r w:rsidRPr="00B91F1C">
        <w:rPr>
          <w:rFonts w:asciiTheme="majorBidi" w:hAnsiTheme="majorBidi" w:cstheme="majorBidi"/>
          <w:sz w:val="24"/>
          <w:szCs w:val="24"/>
        </w:rPr>
        <w:t xml:space="preserve">The monsoon season starts from </w:t>
      </w:r>
      <w:proofErr w:type="gramStart"/>
      <w:r w:rsidRPr="00B91F1C">
        <w:rPr>
          <w:rFonts w:asciiTheme="majorBidi" w:hAnsiTheme="majorBidi" w:cstheme="majorBidi"/>
          <w:sz w:val="24"/>
          <w:szCs w:val="24"/>
        </w:rPr>
        <w:t>mid</w:t>
      </w:r>
      <w:proofErr w:type="gramEnd"/>
      <w:r w:rsidRPr="00B91F1C">
        <w:rPr>
          <w:rFonts w:asciiTheme="majorBidi" w:hAnsiTheme="majorBidi" w:cstheme="majorBidi"/>
          <w:sz w:val="24"/>
          <w:szCs w:val="24"/>
        </w:rPr>
        <w:t xml:space="preserve"> of June to September.</w:t>
      </w:r>
      <w:commentRangeEnd w:id="10"/>
      <w:r w:rsidR="00183298">
        <w:rPr>
          <w:rStyle w:val="CommentReference"/>
        </w:rPr>
        <w:commentReference w:id="10"/>
      </w:r>
      <w:r w:rsidRPr="00B91F1C">
        <w:rPr>
          <w:rFonts w:asciiTheme="majorBidi" w:hAnsiTheme="majorBidi" w:cstheme="majorBidi"/>
          <w:sz w:val="24"/>
          <w:szCs w:val="24"/>
        </w:rPr>
        <w:t xml:space="preserve"> About 88 percent of the annual rainfall is received during the monsoon season July and August being the months of maximum rainfall. The annual rainfall in the district is 978 mm.</w:t>
      </w:r>
      <w:r w:rsidR="007E4CBE" w:rsidRPr="007E4CBE">
        <w:t xml:space="preserve"> </w:t>
      </w:r>
    </w:p>
    <w:p w14:paraId="77744F34" w14:textId="77777777" w:rsidR="008E36A5" w:rsidRPr="00B91F1C" w:rsidRDefault="008E36A5" w:rsidP="008E36A5">
      <w:pPr>
        <w:spacing w:after="0" w:line="360" w:lineRule="auto"/>
        <w:jc w:val="both"/>
        <w:rPr>
          <w:rFonts w:asciiTheme="majorBidi" w:hAnsiTheme="majorBidi" w:cstheme="majorBidi"/>
          <w:sz w:val="24"/>
          <w:szCs w:val="24"/>
        </w:rPr>
      </w:pPr>
    </w:p>
    <w:p w14:paraId="09B8639C" w14:textId="2A928817" w:rsidR="00D15785" w:rsidRPr="00B91F1C" w:rsidRDefault="00EA121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i/>
          <w:iCs/>
          <w:sz w:val="24"/>
          <w:szCs w:val="24"/>
        </w:rPr>
        <w:t>Experimental design</w:t>
      </w:r>
    </w:p>
    <w:p w14:paraId="5BC105DB" w14:textId="4A969C1C" w:rsidR="0053031E" w:rsidRDefault="00EA1215" w:rsidP="008E36A5">
      <w:pPr>
        <w:spacing w:after="0" w:line="360" w:lineRule="auto"/>
        <w:jc w:val="both"/>
        <w:rPr>
          <w:rFonts w:asciiTheme="majorBidi" w:hAnsiTheme="majorBidi" w:cstheme="majorBidi"/>
          <w:sz w:val="24"/>
          <w:szCs w:val="24"/>
        </w:rPr>
      </w:pPr>
      <w:r w:rsidRPr="00B91F1C">
        <w:rPr>
          <w:rFonts w:asciiTheme="majorBidi" w:eastAsia="Times New Roman" w:hAnsiTheme="majorBidi" w:cstheme="majorBidi"/>
          <w:color w:val="2B2B2B"/>
          <w:kern w:val="0"/>
          <w:sz w:val="24"/>
          <w:szCs w:val="24"/>
          <w:lang w:eastAsia="en-IN"/>
          <w14:ligatures w14:val="none"/>
        </w:rPr>
        <w:t>The five years old plantation of Eucalyptus (</w:t>
      </w:r>
      <w:r w:rsidRPr="00B91F1C">
        <w:rPr>
          <w:rFonts w:asciiTheme="majorBidi" w:eastAsia="Times New Roman" w:hAnsiTheme="majorBidi" w:cstheme="majorBidi"/>
          <w:i/>
          <w:iCs/>
          <w:color w:val="2B2B2B"/>
          <w:kern w:val="0"/>
          <w:sz w:val="24"/>
          <w:szCs w:val="24"/>
          <w:lang w:eastAsia="en-IN"/>
          <w14:ligatures w14:val="none"/>
        </w:rPr>
        <w:t>Eucalyptus camaldulensis</w:t>
      </w:r>
      <w:r w:rsidRPr="00B91F1C">
        <w:rPr>
          <w:rFonts w:asciiTheme="majorBidi" w:eastAsia="Times New Roman" w:hAnsiTheme="majorBidi" w:cstheme="majorBidi"/>
          <w:color w:val="2B2B2B"/>
          <w:kern w:val="0"/>
          <w:sz w:val="24"/>
          <w:szCs w:val="24"/>
          <w:lang w:eastAsia="en-IN"/>
          <w14:ligatures w14:val="none"/>
        </w:rPr>
        <w:t xml:space="preserve">) with 3.0 x 2.0 m spacing was used for intercropping study. Two medicinal plants </w:t>
      </w:r>
      <w:r w:rsidRPr="00B91F1C">
        <w:rPr>
          <w:rFonts w:asciiTheme="majorBidi" w:eastAsia="Times New Roman" w:hAnsiTheme="majorBidi" w:cstheme="majorBidi"/>
          <w:i/>
          <w:iCs/>
          <w:color w:val="2B2B2B"/>
          <w:kern w:val="0"/>
          <w:sz w:val="24"/>
          <w:szCs w:val="24"/>
          <w:lang w:eastAsia="en-IN"/>
          <w14:ligatures w14:val="none"/>
        </w:rPr>
        <w:t>viz</w:t>
      </w:r>
      <w:r w:rsidRPr="00B91F1C">
        <w:rPr>
          <w:rFonts w:asciiTheme="majorBidi" w:eastAsia="Times New Roman" w:hAnsiTheme="majorBidi" w:cstheme="majorBidi"/>
          <w:color w:val="2B2B2B"/>
          <w:kern w:val="0"/>
          <w:sz w:val="24"/>
          <w:szCs w:val="24"/>
          <w:lang w:eastAsia="en-IN"/>
          <w14:ligatures w14:val="none"/>
        </w:rPr>
        <w:t>. Tulsi (</w:t>
      </w:r>
      <w:r w:rsidRPr="00B91F1C">
        <w:rPr>
          <w:rFonts w:asciiTheme="majorBidi" w:eastAsia="Times New Roman" w:hAnsiTheme="majorBidi" w:cstheme="majorBidi"/>
          <w:i/>
          <w:iCs/>
          <w:color w:val="2B2B2B"/>
          <w:kern w:val="0"/>
          <w:sz w:val="24"/>
          <w:szCs w:val="24"/>
          <w:lang w:eastAsia="en-IN"/>
          <w14:ligatures w14:val="none"/>
        </w:rPr>
        <w:t>Ocimum sanctum</w:t>
      </w:r>
      <w:r w:rsidRPr="00B91F1C">
        <w:rPr>
          <w:rFonts w:asciiTheme="majorBidi" w:eastAsia="Times New Roman" w:hAnsiTheme="majorBidi" w:cstheme="majorBidi"/>
          <w:color w:val="2B2B2B"/>
          <w:kern w:val="0"/>
          <w:sz w:val="24"/>
          <w:szCs w:val="24"/>
          <w:lang w:eastAsia="en-IN"/>
          <w14:ligatures w14:val="none"/>
        </w:rPr>
        <w:t xml:space="preserve"> L.) variety CIM-Ayu and Mint (</w:t>
      </w:r>
      <w:r w:rsidRPr="00B91F1C">
        <w:rPr>
          <w:rFonts w:asciiTheme="majorBidi" w:eastAsia="Times New Roman" w:hAnsiTheme="majorBidi" w:cstheme="majorBidi"/>
          <w:i/>
          <w:iCs/>
          <w:color w:val="2B2B2B"/>
          <w:kern w:val="0"/>
          <w:sz w:val="24"/>
          <w:szCs w:val="24"/>
          <w:lang w:eastAsia="en-IN"/>
          <w14:ligatures w14:val="none"/>
        </w:rPr>
        <w:t>Mentha arvensis</w:t>
      </w:r>
      <w:r w:rsidRPr="00B91F1C">
        <w:rPr>
          <w:rFonts w:asciiTheme="majorBidi" w:eastAsia="Times New Roman" w:hAnsiTheme="majorBidi" w:cstheme="majorBidi"/>
          <w:color w:val="2B2B2B"/>
          <w:kern w:val="0"/>
          <w:sz w:val="24"/>
          <w:szCs w:val="24"/>
          <w:lang w:eastAsia="en-IN"/>
          <w14:ligatures w14:val="none"/>
        </w:rPr>
        <w:t xml:space="preserve"> L.) variety CIM-Kranti were selected for the present study. </w:t>
      </w:r>
      <w:r w:rsidRPr="00B91F1C">
        <w:rPr>
          <w:rFonts w:asciiTheme="majorBidi" w:hAnsiTheme="majorBidi" w:cstheme="majorBidi"/>
          <w:sz w:val="24"/>
          <w:szCs w:val="24"/>
        </w:rPr>
        <w:t xml:space="preserve">The experiment was conducted during kharif season, 2022 and 2023. </w:t>
      </w:r>
      <w:r w:rsidRPr="00B91F1C">
        <w:rPr>
          <w:rFonts w:asciiTheme="majorBidi" w:eastAsia="Times New Roman" w:hAnsiTheme="majorBidi" w:cstheme="majorBidi"/>
          <w:color w:val="2B2B2B"/>
          <w:kern w:val="0"/>
          <w:sz w:val="24"/>
          <w:szCs w:val="24"/>
          <w:lang w:eastAsia="en-IN"/>
          <w14:ligatures w14:val="none"/>
        </w:rPr>
        <w:t xml:space="preserve">Four replications of seven land use systems (treatments) were selected. These systems were </w:t>
      </w:r>
      <w:r w:rsidRPr="00B91F1C">
        <w:rPr>
          <w:rFonts w:asciiTheme="majorBidi" w:hAnsiTheme="majorBidi" w:cstheme="majorBidi"/>
          <w:sz w:val="24"/>
          <w:szCs w:val="24"/>
        </w:rPr>
        <w:t xml:space="preserve">T1:Eucalyptus+Mentha+Tulsi, T2:Eucalyptus+Mentha, T3:Eucalyptus+Tulsi, T4:Eucalyptus Sole, T5:Mentha+ Tulsi Sole, T6:Mentha Sole and T7:Tulsi sole. The experiment was </w:t>
      </w:r>
      <w:r w:rsidRPr="00B91F1C">
        <w:rPr>
          <w:rFonts w:asciiTheme="majorBidi" w:hAnsiTheme="majorBidi" w:cstheme="majorBidi"/>
          <w:sz w:val="24"/>
          <w:szCs w:val="24"/>
        </w:rPr>
        <w:lastRenderedPageBreak/>
        <w:t xml:space="preserve">conducted in randomised block design. The medicinal plants were transplanted in the experimental plot in the spacing of </w:t>
      </w:r>
      <w:r w:rsidRPr="00B91F1C">
        <w:rPr>
          <w:rFonts w:asciiTheme="majorBidi" w:hAnsiTheme="majorBidi" w:cstheme="majorBidi"/>
          <w:bCs/>
          <w:color w:val="000000"/>
          <w:sz w:val="24"/>
          <w:szCs w:val="24"/>
        </w:rPr>
        <w:t>50.0 x 50.0 cm</w:t>
      </w:r>
      <w:r w:rsidRPr="00B91F1C">
        <w:rPr>
          <w:rFonts w:asciiTheme="majorBidi" w:hAnsiTheme="majorBidi" w:cstheme="majorBidi"/>
          <w:sz w:val="24"/>
          <w:szCs w:val="24"/>
        </w:rPr>
        <w:t xml:space="preserve"> during </w:t>
      </w:r>
      <w:proofErr w:type="gramStart"/>
      <w:r w:rsidRPr="00B91F1C">
        <w:rPr>
          <w:rFonts w:asciiTheme="majorBidi" w:hAnsiTheme="majorBidi" w:cstheme="majorBidi"/>
          <w:sz w:val="24"/>
          <w:szCs w:val="24"/>
        </w:rPr>
        <w:t>april</w:t>
      </w:r>
      <w:proofErr w:type="gramEnd"/>
      <w:r w:rsidRPr="00B91F1C">
        <w:rPr>
          <w:rFonts w:asciiTheme="majorBidi" w:hAnsiTheme="majorBidi" w:cstheme="majorBidi"/>
          <w:sz w:val="24"/>
          <w:szCs w:val="24"/>
        </w:rPr>
        <w:t xml:space="preserve"> and were harvested in september for the two consecutive years.</w:t>
      </w:r>
      <w:r w:rsidR="007E4CBE" w:rsidRPr="007E4CBE">
        <w:t xml:space="preserve"> </w:t>
      </w:r>
    </w:p>
    <w:p w14:paraId="1F544844" w14:textId="77777777" w:rsidR="008E36A5" w:rsidRPr="001167EB" w:rsidRDefault="008E36A5" w:rsidP="008E36A5">
      <w:pPr>
        <w:spacing w:after="0" w:line="360" w:lineRule="auto"/>
        <w:jc w:val="both"/>
        <w:rPr>
          <w:rFonts w:asciiTheme="majorBidi" w:hAnsiTheme="majorBidi" w:cstheme="majorBidi"/>
          <w:sz w:val="24"/>
          <w:szCs w:val="24"/>
        </w:rPr>
      </w:pPr>
    </w:p>
    <w:p w14:paraId="06EF2879" w14:textId="33A85491" w:rsidR="003326C0" w:rsidRDefault="00EA1215"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sampling</w:t>
      </w:r>
    </w:p>
    <w:p w14:paraId="5ECCBB0D" w14:textId="289C505D"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Soil sampling was conducted at six randomly selected locations within each of the chosen sites. For each replication of all treatments, soil samples were collected from two distinct depths (0-15 cm and 15-30 cm) using an auger. These depths were chosen to assess the impact of litterfall and tree roots on both surface and deeper soil layers. The primary soil samples collected were thoroughly mixed to create composite samples. These composite samples were then air-dried, ground, and sieved through a 2 mm mesh before being used for the analysis of various soil characteristics.</w:t>
      </w:r>
      <w:r w:rsidR="007E4CBE" w:rsidRPr="007E4CBE">
        <w:t xml:space="preserve"> </w:t>
      </w:r>
    </w:p>
    <w:p w14:paraId="623236A6" w14:textId="77777777" w:rsidR="008E36A5" w:rsidRPr="0053031E" w:rsidRDefault="008E36A5" w:rsidP="008E36A5">
      <w:pPr>
        <w:spacing w:after="0" w:line="360" w:lineRule="auto"/>
        <w:jc w:val="both"/>
        <w:rPr>
          <w:rFonts w:asciiTheme="majorBidi" w:hAnsiTheme="majorBidi" w:cstheme="majorBidi"/>
          <w:sz w:val="24"/>
          <w:szCs w:val="24"/>
        </w:rPr>
      </w:pPr>
    </w:p>
    <w:p w14:paraId="6B4A9D7F" w14:textId="627A250F" w:rsidR="003326C0" w:rsidRPr="00B91F1C" w:rsidRDefault="0072091E"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analysis</w:t>
      </w:r>
    </w:p>
    <w:p w14:paraId="22A28E60" w14:textId="740E7A50" w:rsidR="0072091E"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soil pH were determined in soil: distilled water suspension (1:2). The available N in the soil was determined by alkaline permanganate method (Subbiah and Asija, 1956), Soil organic carbon was determined by Walkley and Black (1934) rapid titration method. available P by sodium bicarbonate method (Olsen </w:t>
      </w:r>
      <w:r w:rsidRPr="00015A5A">
        <w:rPr>
          <w:rFonts w:asciiTheme="majorBidi" w:hAnsiTheme="majorBidi" w:cstheme="majorBidi"/>
          <w:i/>
          <w:iCs/>
          <w:sz w:val="24"/>
          <w:szCs w:val="24"/>
        </w:rPr>
        <w:t>et al</w:t>
      </w:r>
      <w:r w:rsidRPr="00B91F1C">
        <w:rPr>
          <w:rFonts w:asciiTheme="majorBidi" w:hAnsiTheme="majorBidi" w:cstheme="majorBidi"/>
          <w:sz w:val="24"/>
          <w:szCs w:val="24"/>
        </w:rPr>
        <w:t>., 1954) and available K by neutral normal ammonium acetate method (Jackson, 1973). The data obtained during the course of this investigation, were analysed by using standard statistical procedure (Panse and Sukhatme, 1989).</w:t>
      </w:r>
    </w:p>
    <w:p w14:paraId="09C0F1AE" w14:textId="77777777" w:rsidR="008E36A5" w:rsidRPr="00B91F1C" w:rsidRDefault="008E36A5" w:rsidP="008E36A5">
      <w:pPr>
        <w:spacing w:after="0" w:line="360" w:lineRule="auto"/>
        <w:jc w:val="both"/>
        <w:rPr>
          <w:rFonts w:asciiTheme="majorBidi" w:hAnsiTheme="majorBidi" w:cstheme="majorBidi"/>
          <w:sz w:val="24"/>
          <w:szCs w:val="24"/>
        </w:rPr>
      </w:pPr>
    </w:p>
    <w:p w14:paraId="013BF09C" w14:textId="20EA1C61" w:rsidR="003326C0" w:rsidRPr="00B91F1C" w:rsidRDefault="008E36A5" w:rsidP="008E36A5">
      <w:pPr>
        <w:spacing w:after="0" w:line="360" w:lineRule="auto"/>
        <w:jc w:val="both"/>
        <w:rPr>
          <w:rFonts w:asciiTheme="majorBidi" w:hAnsiTheme="majorBidi" w:cstheme="majorBidi"/>
          <w:b/>
          <w:bCs/>
          <w:sz w:val="24"/>
          <w:szCs w:val="24"/>
        </w:rPr>
      </w:pPr>
      <w:commentRangeStart w:id="11"/>
      <w:r w:rsidRPr="00B91F1C">
        <w:rPr>
          <w:rFonts w:asciiTheme="majorBidi" w:hAnsiTheme="majorBidi" w:cstheme="majorBidi"/>
          <w:b/>
          <w:bCs/>
          <w:sz w:val="24"/>
          <w:szCs w:val="24"/>
        </w:rPr>
        <w:t>RESULTS AND DISCUSSION</w:t>
      </w:r>
      <w:commentRangeEnd w:id="11"/>
      <w:r w:rsidR="00193B6F">
        <w:rPr>
          <w:rStyle w:val="CommentReference"/>
        </w:rPr>
        <w:commentReference w:id="11"/>
      </w:r>
    </w:p>
    <w:p w14:paraId="1A3A196C" w14:textId="55A5334F" w:rsidR="003326C0" w:rsidRPr="00B91F1C"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The influence of different tree based AFS (T1, T2, T</w:t>
      </w:r>
      <w:r w:rsidR="000150A8" w:rsidRPr="00B91F1C">
        <w:rPr>
          <w:rFonts w:asciiTheme="majorBidi" w:hAnsiTheme="majorBidi" w:cstheme="majorBidi"/>
          <w:sz w:val="24"/>
          <w:szCs w:val="24"/>
        </w:rPr>
        <w:t>3</w:t>
      </w:r>
      <w:r w:rsidRPr="00B91F1C">
        <w:rPr>
          <w:rFonts w:asciiTheme="majorBidi" w:hAnsiTheme="majorBidi" w:cstheme="majorBidi"/>
          <w:sz w:val="24"/>
          <w:szCs w:val="24"/>
        </w:rPr>
        <w:t>, T</w:t>
      </w:r>
      <w:r w:rsidR="000150A8" w:rsidRPr="00B91F1C">
        <w:rPr>
          <w:rFonts w:asciiTheme="majorBidi" w:hAnsiTheme="majorBidi" w:cstheme="majorBidi"/>
          <w:sz w:val="24"/>
          <w:szCs w:val="24"/>
        </w:rPr>
        <w:t>4</w:t>
      </w:r>
      <w:r w:rsidRPr="00B91F1C">
        <w:rPr>
          <w:rFonts w:asciiTheme="majorBidi" w:hAnsiTheme="majorBidi" w:cstheme="majorBidi"/>
          <w:sz w:val="24"/>
          <w:szCs w:val="24"/>
        </w:rPr>
        <w:t>)</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in comparison to sole crops (T</w:t>
      </w:r>
      <w:r w:rsidR="000150A8" w:rsidRPr="00B91F1C">
        <w:rPr>
          <w:rFonts w:asciiTheme="majorBidi" w:hAnsiTheme="majorBidi" w:cstheme="majorBidi"/>
          <w:sz w:val="24"/>
          <w:szCs w:val="24"/>
        </w:rPr>
        <w:t>5</w:t>
      </w:r>
      <w:r w:rsidRPr="00B91F1C">
        <w:rPr>
          <w:rFonts w:asciiTheme="majorBidi" w:hAnsiTheme="majorBidi" w:cstheme="majorBidi"/>
          <w:sz w:val="24"/>
          <w:szCs w:val="24"/>
        </w:rPr>
        <w:t>, T6</w:t>
      </w:r>
      <w:r w:rsidR="000150A8" w:rsidRPr="00B91F1C">
        <w:rPr>
          <w:rFonts w:asciiTheme="majorBidi" w:hAnsiTheme="majorBidi" w:cstheme="majorBidi"/>
          <w:sz w:val="24"/>
          <w:szCs w:val="24"/>
        </w:rPr>
        <w:t xml:space="preserve"> and </w:t>
      </w:r>
      <w:r w:rsidRPr="00B91F1C">
        <w:rPr>
          <w:rFonts w:asciiTheme="majorBidi" w:hAnsiTheme="majorBidi" w:cstheme="majorBidi"/>
          <w:sz w:val="24"/>
          <w:szCs w:val="24"/>
        </w:rPr>
        <w:t>T7)</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observed on soil chemical properties,</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namely soil pH</w:t>
      </w:r>
      <w:r w:rsidR="000150A8" w:rsidRPr="00B91F1C">
        <w:rPr>
          <w:rFonts w:asciiTheme="majorBidi" w:hAnsiTheme="majorBidi" w:cstheme="majorBidi"/>
          <w:sz w:val="24"/>
          <w:szCs w:val="24"/>
        </w:rPr>
        <w:t xml:space="preserve"> and organic carbon</w:t>
      </w:r>
      <w:r w:rsidRPr="00B91F1C">
        <w:rPr>
          <w:rFonts w:asciiTheme="majorBidi" w:hAnsiTheme="majorBidi" w:cstheme="majorBidi"/>
          <w:sz w:val="24"/>
          <w:szCs w:val="24"/>
        </w:rPr>
        <w:t>. The</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depth-wise distribution of available macronutrients N,</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P and K</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also recorded.</w:t>
      </w:r>
    </w:p>
    <w:p w14:paraId="60B51941" w14:textId="755EF347" w:rsidR="003326C0" w:rsidRDefault="000150A8"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pH</w:t>
      </w:r>
    </w:p>
    <w:p w14:paraId="53986408" w14:textId="6A7739E8" w:rsidR="0053031E" w:rsidRP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The data analysis presented in Table </w:t>
      </w:r>
      <w:r w:rsidR="00E94E9D">
        <w:rPr>
          <w:rFonts w:asciiTheme="majorBidi" w:hAnsiTheme="majorBidi" w:cstheme="majorBidi"/>
          <w:sz w:val="24"/>
          <w:szCs w:val="24"/>
        </w:rPr>
        <w:t>no. 1</w:t>
      </w:r>
      <w:r w:rsidRPr="0053031E">
        <w:rPr>
          <w:rFonts w:asciiTheme="majorBidi" w:hAnsiTheme="majorBidi" w:cstheme="majorBidi"/>
          <w:sz w:val="24"/>
          <w:szCs w:val="24"/>
        </w:rPr>
        <w:t xml:space="preserve"> revealed a statistically significant difference in soil pH between sole crops and Eucalyptus-based agroforestry systems, although the treatments were not significant at the 0.05% level of significance. At the 0-15 cm depth, soil pH ranged from 7.24 to 7.63. In the first year (2022) of the study, the highest soil pH (7.63) was observed under T5: Mentha + Tulsi Sole, while the lowest (7.28) was recorded under T3: Eucalyptus + Tulsi, which was statistically similar to T2: Eucalyptus + Mentha (7.32). In the second year (2023), the highest soil pH (7.60) was recorded under T5: Mentha + Tulsi Sole, </w:t>
      </w:r>
      <w:r w:rsidRPr="0053031E">
        <w:rPr>
          <w:rFonts w:asciiTheme="majorBidi" w:hAnsiTheme="majorBidi" w:cstheme="majorBidi"/>
          <w:sz w:val="24"/>
          <w:szCs w:val="24"/>
        </w:rPr>
        <w:lastRenderedPageBreak/>
        <w:t>while the lowest (7.24) was observed under T3: Eucalyptus + Tulsi, which was statistically comparable to T2: Eucalyptus + Mentha (7.28). The trend followed was T5 &gt; T6 &gt; T7 &gt; T4 &gt; T1 &gt; T2 &gt; T3 at the 0-15 cm depth</w:t>
      </w:r>
      <w:proofErr w:type="gramStart"/>
      <w:r w:rsidRPr="0053031E">
        <w:rPr>
          <w:rFonts w:asciiTheme="majorBidi" w:hAnsiTheme="majorBidi" w:cstheme="majorBidi"/>
          <w:sz w:val="24"/>
          <w:szCs w:val="24"/>
        </w:rPr>
        <w:t>.</w:t>
      </w:r>
      <w:r w:rsidR="007E4CBE" w:rsidRPr="007E4CBE">
        <w:rPr>
          <w:rFonts w:asciiTheme="majorBidi" w:hAnsiTheme="majorBidi" w:cstheme="majorBidi"/>
          <w:sz w:val="24"/>
          <w:szCs w:val="24"/>
        </w:rPr>
        <w:t>.</w:t>
      </w:r>
      <w:proofErr w:type="gramEnd"/>
    </w:p>
    <w:p w14:paraId="3B78D7EC" w14:textId="7AF57A61" w:rsidR="0053031E" w:rsidRDefault="0053031E" w:rsidP="006116E1">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At the 15-30 cm depth, soil pH ranged from 7.32 to 7.68. In the first year (2022), the highest pH (7.68) was recorded under T5: Mentha + Tulsi Sole, while the lowest (7.34) was observed under T3: Eucalyptus + Tulsi, which was statistically similar to T2: Eucalyptus + Mentha (7.38). In the second year (2023), the highest pH (7.66) was observed under T5: Mentha + Tulsi Sole, while the lowest pH (7.32) was recorded under T3: Eucalyptus + Tulsi, which was statistically comparable to T2: Eucalyptus + Mentha (7.36). Similar trends were observed at both soil depths, with T5 &gt; T6 &gt; T7 &gt; T4 &gt; T1 &gt; T2 &gt; T3.</w:t>
      </w:r>
      <w:r w:rsidR="001167EB">
        <w:rPr>
          <w:rFonts w:asciiTheme="majorBidi" w:hAnsiTheme="majorBidi" w:cstheme="majorBidi"/>
          <w:sz w:val="24"/>
          <w:szCs w:val="24"/>
        </w:rPr>
        <w:t xml:space="preserve"> </w:t>
      </w:r>
      <w:r w:rsidRPr="0053031E">
        <w:rPr>
          <w:rFonts w:asciiTheme="majorBidi" w:hAnsiTheme="majorBidi" w:cstheme="majorBidi"/>
          <w:sz w:val="24"/>
          <w:szCs w:val="24"/>
        </w:rPr>
        <w:t xml:space="preserve">The results demonstrated that soil pH increased with depth, and pH was higher in the open system compared to the agroforestry systems. The lower pH in agroforestry systems compared to sole cropping and fallow land could be due to increased H+ ion concentration from litterfall decomposition, depletion of basic cations, and higher CO2 levels from root respiration, which all contribute to a reduction in soil pH in areas with trees (Uthappa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2015). Kaur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(2020) also reported that soil pH was highest in fallow land and lowest in sites with 30-year-old poplar plantations. Nasim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(2007) found that Eucalyptus plantations can reduce soil salinity and sodicity by lowering soil electrical conductivity (EC), pH, and sodium adsorption ratio (SAR). </w:t>
      </w:r>
      <w:r w:rsidR="00F0757E">
        <w:rPr>
          <w:rFonts w:asciiTheme="majorBidi" w:hAnsiTheme="majorBidi" w:cstheme="majorBidi"/>
          <w:sz w:val="24"/>
          <w:szCs w:val="24"/>
        </w:rPr>
        <w:t>Ramesh</w:t>
      </w:r>
      <w:r w:rsidRPr="0053031E">
        <w:rPr>
          <w:rFonts w:asciiTheme="majorBidi" w:hAnsiTheme="majorBidi" w:cstheme="majorBidi"/>
          <w:sz w:val="24"/>
          <w:szCs w:val="24"/>
        </w:rPr>
        <w:t xml:space="preserve"> </w:t>
      </w:r>
      <w:r w:rsidRPr="0053031E">
        <w:rPr>
          <w:rFonts w:asciiTheme="majorBidi" w:hAnsiTheme="majorBidi" w:cstheme="majorBidi"/>
          <w:i/>
          <w:iCs/>
          <w:sz w:val="24"/>
          <w:szCs w:val="24"/>
        </w:rPr>
        <w:t>et al</w:t>
      </w:r>
      <w:r w:rsidRPr="0053031E">
        <w:rPr>
          <w:rFonts w:asciiTheme="majorBidi" w:hAnsiTheme="majorBidi" w:cstheme="majorBidi"/>
          <w:sz w:val="24"/>
          <w:szCs w:val="24"/>
        </w:rPr>
        <w:t>. (2023) observed that after harvesting intercrops, soil pH slightly decreased compared to initial levels, with the highest pH found in tree-only treatments, followed by sorghum and maize treatments.</w:t>
      </w:r>
      <w:r w:rsidR="007E4CBE" w:rsidRPr="007E4CBE">
        <w:t xml:space="preserve"> </w:t>
      </w:r>
    </w:p>
    <w:p w14:paraId="263BB3E2" w14:textId="77777777" w:rsidR="008E36A5" w:rsidRPr="0053031E" w:rsidRDefault="008E36A5" w:rsidP="008E36A5">
      <w:pPr>
        <w:spacing w:after="0" w:line="360" w:lineRule="auto"/>
        <w:jc w:val="both"/>
        <w:rPr>
          <w:rFonts w:asciiTheme="majorBidi" w:hAnsiTheme="majorBidi" w:cstheme="majorBidi"/>
          <w:sz w:val="24"/>
          <w:szCs w:val="24"/>
        </w:rPr>
      </w:pPr>
    </w:p>
    <w:p w14:paraId="4F81A3BB" w14:textId="75AD6FBE" w:rsidR="00271573" w:rsidRDefault="00A4094D"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organic carbon</w:t>
      </w:r>
    </w:p>
    <w:p w14:paraId="4D7EA358" w14:textId="50F30AAC" w:rsidR="00015A5A"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w:t>
      </w:r>
      <w:r w:rsidR="00E94E9D">
        <w:rPr>
          <w:rFonts w:asciiTheme="majorBidi" w:hAnsiTheme="majorBidi" w:cstheme="majorBidi"/>
          <w:sz w:val="24"/>
          <w:szCs w:val="24"/>
        </w:rPr>
        <w:t>able no. 2</w:t>
      </w:r>
      <w:r w:rsidRPr="00015A5A">
        <w:rPr>
          <w:rFonts w:asciiTheme="majorBidi" w:hAnsiTheme="majorBidi" w:cstheme="majorBidi"/>
          <w:sz w:val="24"/>
          <w:szCs w:val="24"/>
        </w:rPr>
        <w:t xml:space="preserve"> reveals a significant difference in organic carbon content between open and agroforestry systems at both 0-15 cm and 15-30 cm soil depths for all treatments, with all treatments being statistically significant at the 5% level of significance. At the 0-15 cm depth, soil organic carbon content ranged from 0.68 to 0.90 gm/kg. In 2022, the highest organic carbon content was recorded in T3: Eucalyptus + Tulsi (0.86 gm/kg), followed by T2: Eucalyptus + Mentha (0.83 gm/kg), T1: Eucalyptus + Mentha + Tulsi (0.79 gm/kg), and T4: Eucalyptus Sole (0.76 gm/kg), while the lowest organic carbon content was found in T5: Mentha + Tulsi Sole (0.68 gm/kg). In 2023, the highest organic carbon content was recorded again in T3: Eucalyptus + Tulsi (0.90 gm/kg), followed by T2: Eucalyptus + Mentha (0.84 gm/kg), T1: Eucalyptus + Mentha + Tulsi (0.81 gm/kg),</w:t>
      </w:r>
      <w:r w:rsidRPr="00D5069B">
        <w:rPr>
          <w:rFonts w:asciiTheme="majorBidi" w:hAnsiTheme="majorBidi" w:cstheme="majorBidi"/>
          <w:color w:val="FF0000"/>
          <w:sz w:val="24"/>
          <w:szCs w:val="24"/>
        </w:rPr>
        <w:t xml:space="preserve"> </w:t>
      </w:r>
      <w:r w:rsidRPr="00015A5A">
        <w:rPr>
          <w:rFonts w:asciiTheme="majorBidi" w:hAnsiTheme="majorBidi" w:cstheme="majorBidi"/>
          <w:sz w:val="24"/>
          <w:szCs w:val="24"/>
        </w:rPr>
        <w:t xml:space="preserve">and T4: Eucalyptus Sole (0.79 gm/kg), with the lowest content again in T5: Mentha + Tulsi Sole (0.71 gm/kg). The trend </w:t>
      </w:r>
      <w:r w:rsidRPr="00015A5A">
        <w:rPr>
          <w:rFonts w:asciiTheme="majorBidi" w:hAnsiTheme="majorBidi" w:cstheme="majorBidi"/>
          <w:sz w:val="24"/>
          <w:szCs w:val="24"/>
        </w:rPr>
        <w:lastRenderedPageBreak/>
        <w:t>observed was T3 &gt; T2 &gt; T1 &gt; T4 &gt; T7 &gt; T6 &gt; T5 at the 0-15 cm depth.</w:t>
      </w:r>
      <w:r w:rsidR="001167EB">
        <w:rPr>
          <w:rFonts w:asciiTheme="majorBidi" w:hAnsiTheme="majorBidi" w:cstheme="majorBidi"/>
          <w:sz w:val="24"/>
          <w:szCs w:val="24"/>
        </w:rPr>
        <w:t xml:space="preserve"> </w:t>
      </w:r>
      <w:r w:rsidRPr="00015A5A">
        <w:rPr>
          <w:rFonts w:asciiTheme="majorBidi" w:hAnsiTheme="majorBidi" w:cstheme="majorBidi"/>
          <w:sz w:val="24"/>
          <w:szCs w:val="24"/>
        </w:rPr>
        <w:t>At the 15-30 cm depth, soil organic carbon content ranged from 0.47 to 0.55 gm/kg. In 2022, the highest organic carbon content was recorded in T3: Eucalyptus + Tulsi (0.54 gm/kg), followed by T2: Eucalyptus + Mentha (0.52 gm/kg), T1: Eucalyptus + Mentha + Tulsi (0.51 gm/kg), and T4: Eucalyptus Sole (0.50 gm/kg), with the lowest content in T5: Mentha + Tulsi Sole (0.47 gm/kg). In 2023, the highest organic carbon content was recorded in T3: Eucalyptus + Tulsi (0.55 gm/kg), followed by T2: Eucalyptus + Mentha (0.54 gm/kg), T1: Eucalyptus + Mentha + Tulsi (0.53 gm/kg), and T4: Eucalyptus Sole (0.50 gm/kg), with the lowest content in T5: Mentha + Tulsi Sole (0.48 gm/kg). The trend followed was T3 &gt; T2 &gt; T1 &gt; T4 &gt; T7 &gt; T6 &gt; T5 at the 15-30 cm depth.</w:t>
      </w:r>
      <w:r w:rsidR="001167EB">
        <w:rPr>
          <w:rFonts w:asciiTheme="majorBidi" w:hAnsiTheme="majorBidi" w:cstheme="majorBidi"/>
          <w:sz w:val="24"/>
          <w:szCs w:val="24"/>
        </w:rPr>
        <w:t xml:space="preserve"> </w:t>
      </w:r>
      <w:r w:rsidRPr="00015A5A">
        <w:rPr>
          <w:rFonts w:asciiTheme="majorBidi" w:hAnsiTheme="majorBidi" w:cstheme="majorBidi"/>
          <w:sz w:val="24"/>
          <w:szCs w:val="24"/>
        </w:rPr>
        <w:t>Among the two medicinal plants, Tulsi in agroforestry systems recorded the highest soil organic carbon content compared to open systems. Agroforestry systems proved to be more effective in increasing organic carbon content across all crop plots under Eucalyptus-based agroforestry systems. In general, organic carbon levels were higher in tree-crop combinations than in sole cropping systems. This higher organic carbon content under tree-crop combinations can be attributed to the accumulation of organic matter, such as leaf litter, fine root biomass, and root exudates, along with reduced oxidation of organic matter under the tree canopy.</w:t>
      </w:r>
      <w:r w:rsidR="006116E1">
        <w:rPr>
          <w:rFonts w:asciiTheme="majorBidi" w:hAnsiTheme="majorBidi" w:cstheme="majorBidi"/>
          <w:sz w:val="24"/>
          <w:szCs w:val="24"/>
        </w:rPr>
        <w:t xml:space="preserve"> </w:t>
      </w:r>
      <w:r w:rsidRPr="00015A5A">
        <w:rPr>
          <w:rFonts w:asciiTheme="majorBidi" w:hAnsiTheme="majorBidi" w:cstheme="majorBidi"/>
          <w:sz w:val="24"/>
          <w:szCs w:val="24"/>
        </w:rPr>
        <w:t xml:space="preserve">The upper soil layer (0-15 cm) showed particularly high organic carbon levels, likely due to these factors. This finding is in line with Gupta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(2009), who observed that trees, with their lignified cells, help stabilize organic carbon in soil. The results of the present study are also consistent with the findings of </w:t>
      </w:r>
      <w:r w:rsidR="002E3C14">
        <w:rPr>
          <w:rFonts w:asciiTheme="majorBidi" w:hAnsiTheme="majorBidi" w:cstheme="majorBidi"/>
          <w:sz w:val="24"/>
          <w:szCs w:val="24"/>
        </w:rPr>
        <w:t xml:space="preserve">Aweto and Moleele </w:t>
      </w:r>
      <w:r w:rsidR="002E3C14" w:rsidRPr="00015A5A">
        <w:rPr>
          <w:rFonts w:asciiTheme="majorBidi" w:hAnsiTheme="majorBidi" w:cstheme="majorBidi"/>
          <w:sz w:val="24"/>
          <w:szCs w:val="24"/>
        </w:rPr>
        <w:t>(20</w:t>
      </w:r>
      <w:r w:rsidR="002E3C14">
        <w:rPr>
          <w:rFonts w:asciiTheme="majorBidi" w:hAnsiTheme="majorBidi" w:cstheme="majorBidi"/>
          <w:sz w:val="24"/>
          <w:szCs w:val="24"/>
        </w:rPr>
        <w:t>05</w:t>
      </w:r>
      <w:r w:rsidR="002E3C14" w:rsidRPr="00015A5A">
        <w:rPr>
          <w:rFonts w:asciiTheme="majorBidi" w:hAnsiTheme="majorBidi" w:cstheme="majorBidi"/>
          <w:sz w:val="24"/>
          <w:szCs w:val="24"/>
        </w:rPr>
        <w:t>)</w:t>
      </w:r>
      <w:r w:rsidR="002E3C14">
        <w:rPr>
          <w:rFonts w:asciiTheme="majorBidi" w:hAnsiTheme="majorBidi" w:cstheme="majorBidi"/>
          <w:sz w:val="24"/>
          <w:szCs w:val="24"/>
        </w:rPr>
        <w:t xml:space="preserve">, </w:t>
      </w:r>
      <w:r w:rsidR="007C0FC0">
        <w:rPr>
          <w:rFonts w:asciiTheme="majorBidi" w:hAnsiTheme="majorBidi" w:cstheme="majorBidi"/>
          <w:sz w:val="24"/>
          <w:szCs w:val="24"/>
        </w:rPr>
        <w:t>Tian</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(2013), </w:t>
      </w:r>
      <w:r w:rsidR="00E0600C">
        <w:rPr>
          <w:rFonts w:asciiTheme="majorBidi" w:hAnsiTheme="majorBidi" w:cstheme="majorBidi"/>
          <w:sz w:val="24"/>
          <w:szCs w:val="24"/>
        </w:rPr>
        <w:t>Singh and Jhariya (2014)</w:t>
      </w:r>
      <w:r w:rsidRPr="00015A5A">
        <w:rPr>
          <w:rFonts w:asciiTheme="majorBidi" w:hAnsiTheme="majorBidi" w:cstheme="majorBidi"/>
          <w:sz w:val="24"/>
          <w:szCs w:val="24"/>
        </w:rPr>
        <w:t xml:space="preserve">, Kumar </w:t>
      </w:r>
      <w:r w:rsidRPr="00015A5A">
        <w:rPr>
          <w:rFonts w:asciiTheme="majorBidi" w:hAnsiTheme="majorBidi" w:cstheme="majorBidi"/>
          <w:i/>
          <w:iCs/>
          <w:sz w:val="24"/>
          <w:szCs w:val="24"/>
        </w:rPr>
        <w:t>et al</w:t>
      </w:r>
      <w:r w:rsidRPr="00015A5A">
        <w:rPr>
          <w:rFonts w:asciiTheme="majorBidi" w:hAnsiTheme="majorBidi" w:cstheme="majorBidi"/>
          <w:sz w:val="24"/>
          <w:szCs w:val="24"/>
        </w:rPr>
        <w:t>. (2018),</w:t>
      </w:r>
      <w:r w:rsidR="002E3C14">
        <w:rPr>
          <w:rFonts w:asciiTheme="majorBidi" w:hAnsiTheme="majorBidi" w:cstheme="majorBidi"/>
          <w:sz w:val="24"/>
          <w:szCs w:val="24"/>
        </w:rPr>
        <w:t xml:space="preserve"> and</w:t>
      </w:r>
      <w:r w:rsidRPr="00015A5A">
        <w:rPr>
          <w:rFonts w:asciiTheme="majorBidi" w:hAnsiTheme="majorBidi" w:cstheme="majorBidi"/>
          <w:sz w:val="24"/>
          <w:szCs w:val="24"/>
        </w:rPr>
        <w:t xml:space="preserve"> </w:t>
      </w:r>
      <w:r w:rsidR="002E3C14">
        <w:rPr>
          <w:rFonts w:asciiTheme="majorBidi" w:hAnsiTheme="majorBidi" w:cstheme="majorBidi"/>
          <w:sz w:val="24"/>
          <w:szCs w:val="24"/>
        </w:rPr>
        <w:t>Kumar</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(2019)</w:t>
      </w:r>
      <w:r w:rsidR="002E3C14">
        <w:rPr>
          <w:rFonts w:asciiTheme="majorBidi" w:hAnsiTheme="majorBidi" w:cstheme="majorBidi"/>
          <w:sz w:val="24"/>
          <w:szCs w:val="24"/>
        </w:rPr>
        <w:t>.</w:t>
      </w:r>
    </w:p>
    <w:p w14:paraId="0C5D57A0" w14:textId="77777777" w:rsidR="008E36A5" w:rsidRPr="00015A5A" w:rsidRDefault="008E36A5" w:rsidP="008E36A5">
      <w:pPr>
        <w:spacing w:after="0" w:line="360" w:lineRule="auto"/>
        <w:jc w:val="both"/>
        <w:rPr>
          <w:rFonts w:asciiTheme="majorBidi" w:hAnsiTheme="majorBidi" w:cstheme="majorBidi"/>
          <w:sz w:val="24"/>
          <w:szCs w:val="24"/>
        </w:rPr>
      </w:pPr>
    </w:p>
    <w:p w14:paraId="17739805" w14:textId="2AD7808A" w:rsidR="003326C0" w:rsidRDefault="002113DD" w:rsidP="008E36A5">
      <w:pPr>
        <w:spacing w:after="0" w:line="360" w:lineRule="auto"/>
        <w:jc w:val="both"/>
        <w:rPr>
          <w:rFonts w:asciiTheme="majorBidi" w:hAnsiTheme="majorBidi" w:cstheme="majorBidi"/>
          <w:b/>
          <w:bCs/>
          <w:sz w:val="24"/>
          <w:szCs w:val="24"/>
        </w:rPr>
      </w:pPr>
      <w:commentRangeStart w:id="12"/>
      <w:r w:rsidRPr="00B91F1C">
        <w:rPr>
          <w:rFonts w:asciiTheme="majorBidi" w:hAnsiTheme="majorBidi" w:cstheme="majorBidi"/>
          <w:b/>
          <w:bCs/>
          <w:i/>
          <w:iCs/>
          <w:sz w:val="24"/>
          <w:szCs w:val="24"/>
        </w:rPr>
        <w:t>Soil macronutrients (available N, P and K</w:t>
      </w:r>
      <w:r w:rsidRPr="00B91F1C">
        <w:rPr>
          <w:rFonts w:asciiTheme="majorBidi" w:hAnsiTheme="majorBidi" w:cstheme="majorBidi"/>
          <w:b/>
          <w:bCs/>
          <w:sz w:val="24"/>
          <w:szCs w:val="24"/>
        </w:rPr>
        <w:t>)</w:t>
      </w:r>
      <w:commentRangeEnd w:id="12"/>
      <w:r w:rsidR="00193B6F">
        <w:rPr>
          <w:rStyle w:val="CommentReference"/>
        </w:rPr>
        <w:commentReference w:id="12"/>
      </w:r>
    </w:p>
    <w:p w14:paraId="2B3A582C" w14:textId="29115CEA" w:rsidR="00015A5A"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The available nitrogen data recorded during both years of the study (2022 and 2023) at 0-15 cm and 15-30 cm soil depths is presented below</w:t>
      </w:r>
      <w:r w:rsidR="00E94E9D">
        <w:rPr>
          <w:rFonts w:asciiTheme="majorBidi" w:hAnsiTheme="majorBidi" w:cstheme="majorBidi"/>
          <w:sz w:val="24"/>
          <w:szCs w:val="24"/>
        </w:rPr>
        <w:t xml:space="preserve"> (</w:t>
      </w:r>
      <w:r w:rsidR="00D03738">
        <w:rPr>
          <w:rFonts w:asciiTheme="majorBidi" w:hAnsiTheme="majorBidi" w:cstheme="majorBidi"/>
          <w:sz w:val="24"/>
          <w:szCs w:val="24"/>
        </w:rPr>
        <w:t>T</w:t>
      </w:r>
      <w:r w:rsidR="00E94E9D">
        <w:rPr>
          <w:rFonts w:asciiTheme="majorBidi" w:hAnsiTheme="majorBidi" w:cstheme="majorBidi"/>
          <w:sz w:val="24"/>
          <w:szCs w:val="24"/>
        </w:rPr>
        <w:t>able no. 3,4 and 5)</w:t>
      </w:r>
      <w:r w:rsidRPr="00015A5A">
        <w:rPr>
          <w:rFonts w:asciiTheme="majorBidi" w:hAnsiTheme="majorBidi" w:cstheme="majorBidi"/>
          <w:sz w:val="24"/>
          <w:szCs w:val="24"/>
        </w:rPr>
        <w:t>. In 2022, the maximum available nitrogen at 0-15 cm depth was observed in T3: Eucalyptus + Tulsi (238.54 kg/ha), which was significantly similar to T2: Eucalyptus + Mentha (232.55 kg/ha), T1: Eucalyptus + Mentha + Tulsi (227.83 kg/ha), and T4: Eucalyptus Sole (225.67 kg/ha), while the lowest available nitrogen was recorded in T5: Mentha + Tulsi Sole (183.24 kg/ha), which was statistically similar to T7: Tulsi Sole (191.37 kg/ha) and T6: Mentha Sole (188.61 kg/ha). In 2023, a similar trend was observed at 0-15 cm depth, with the highest available nitrogen content in T3: Eucalyptus + Tulsi (241.91 kg/ha), followed by T2: Eucalyptus + Mentha (235.35 kg/ha), T1: Eucalyptus + Mentha + Tulsi (230.17 kg/ha), and T4: Eucalyptus Sole (227.38 kg/ha),</w:t>
      </w:r>
      <w:r w:rsidRPr="00B7549A">
        <w:rPr>
          <w:rFonts w:asciiTheme="majorBidi" w:hAnsiTheme="majorBidi" w:cstheme="majorBidi"/>
          <w:color w:val="FF0000"/>
          <w:sz w:val="24"/>
          <w:szCs w:val="24"/>
        </w:rPr>
        <w:t xml:space="preserve"> </w:t>
      </w:r>
      <w:r w:rsidRPr="00015A5A">
        <w:rPr>
          <w:rFonts w:asciiTheme="majorBidi" w:hAnsiTheme="majorBidi" w:cstheme="majorBidi"/>
          <w:sz w:val="24"/>
          <w:szCs w:val="24"/>
        </w:rPr>
        <w:t xml:space="preserve">while the lowest nitrogen content was recorded in T5: Mentha + Tulsi Sole </w:t>
      </w:r>
      <w:r w:rsidRPr="00015A5A">
        <w:rPr>
          <w:rFonts w:asciiTheme="majorBidi" w:hAnsiTheme="majorBidi" w:cstheme="majorBidi"/>
          <w:sz w:val="24"/>
          <w:szCs w:val="24"/>
        </w:rPr>
        <w:lastRenderedPageBreak/>
        <w:t>(185.47 kg/ha), which was statistically similar to T7: Tulsi Sole (195.31 kg/ha) and T6:</w:t>
      </w:r>
      <w:r w:rsidR="00FD08C6" w:rsidRPr="00FD08C6">
        <w:t xml:space="preserve"> </w:t>
      </w:r>
      <w:r w:rsidR="00FD08C6" w:rsidRPr="00FD08C6">
        <w:rPr>
          <w:rFonts w:asciiTheme="majorBidi" w:hAnsiTheme="majorBidi" w:cstheme="majorBidi"/>
          <w:sz w:val="24"/>
          <w:szCs w:val="24"/>
        </w:rPr>
        <w:t xml:space="preserve">Mentha Sole (191.04 kg/ha). At the 15-30 cm depth in 2022, available nitrogen ranged from 170 kg/ha to 228 kg/ha. The maximum value was observed in T3: Eucalyptus + Tulsi (226.09 kg/ha), which was statistically similar to T2: Eucalyptus + Mentha (220.91 kg/ha), T1: Eucalyptus + Mentha + Tulsi (213.33 kg/ha), and T4: Eucalyptus Sole (211.58 kg/ha), while the lowest available nitrogen was recorded in T5: Mentha + Tulsi Sole (170.54 kg/ha), which was statistically similar to T7: Tulsi Sole (179.43 kg/ha) and T6: Mentha Sole (173.92 kg/ha). In 2023, the maximum nitrogen content was again found in T3: Eucalyptus + Tulsi (228.05 kg/ha), which was statistically similar to T2: Eucalyptus + Mentha (221.75 kg/ha), T1: Eucalyptus + Mentha + Tulsi (214.80 kg/ha), and T4: Eucalyptus Sole (211.82 kg/ha), while the lowest value was recorded in T5: Mentha + Tulsi Sole (171.08 kg/ha), statistically similar to T7: Tulsi Sole (181.61 kg/ha) and T6: Mentha Sole (174.49 kg/ha). The data for available phosphorus at 0-15 cm depth in 2022 showed the highest content in T3: Eucalyptus + Tulsi (28.65 kg/ha), which was statistically similar to T2: Eucalyptus + Mentha (26.07 kg/ha), followed by T1: Eucalyptus + Mentha + Tulsi (23.44 kg/ha) and T4: Eucalyptus Sole (22.05 kg/ha). The lowest phosphorus content was recorded in T5: Mentha + Tulsi Sole (16.98 kg/ha), which was statistically similar to T7: Tulsi Sole (20.51 kg/ha) and T6: Mentha Sole (18.63 kg/ha). In 2023, the highest phosphorus content was recorded in T3: Eucalyptus + Tulsi (29.05 kg/ha), followed by T2: Eucalyptus + Mentha (27.13 kg/ha), T1: Eucalyptus + Mentha + Tulsi (23.93 kg/ha), and T4: Eucalyptus Sole (22.15 kg/ha), with the lowest phosphorus content in T5: Mentha + Tulsi Sole (17.33 kg/ha), statistically similar to T7: Tulsi Sole (21.14 kg/ha) and T6: Mentha Sole (19.03 kg/ha). At 15-30 cm depth, the available phosphorus content ranged from 13.49 kg/ha to 25.86 kg/ha. In 2022, the highest value was recorded in T3: Eucalyptus + Tulsi (24.83 kg/ha), followed by T2: Eucalyptus + Mentha (22.57 kg/ha), T1: Eucalyptus + Mentha + Tulsi (19.63 kg/ha), and T4: Eucalyptus Sole (18.28 kg/ha), with the lowest content recorded in T5: Mentha + Tulsi Sole (13.49 kg/ha), statistically similar to T6: Mentha Sole (15.49 kg/ha). In 2023, the highest phosphorus content was observed in T3: Eucalyptus + Tulsi (25.86 kg/ha), followed by T2: Eucalyptus + Mentha (23.43 kg/ha), T1: Eucalyptus + Mentha + Tulsi (19.88 kg/ha), and T4: Eucalyptus Sole (19.76 kg/ha), while the lowest content was recorded in T5: Mentha + Tulsi Sole (13.83 kg/ha), statistically similar to T6: Mentha Sole (16.36 kg/ha). The data followed the trend: T3 &gt; T2 &gt; T1 &gt; T4 &gt; T7 &gt; T6 &gt; T5. Regarding available potassium at 0-15 cm depth in 2022, the values ranged from 102.22 kg/ha to 140.08 kg/ha. The highest potassium content was recorded in T3: Eucalyptus + Tulsi (130.97 kg/ha), which was statistically similar to T2: </w:t>
      </w:r>
      <w:r w:rsidRPr="00015A5A">
        <w:rPr>
          <w:rFonts w:asciiTheme="majorBidi" w:hAnsiTheme="majorBidi" w:cstheme="majorBidi"/>
          <w:sz w:val="24"/>
          <w:szCs w:val="24"/>
        </w:rPr>
        <w:t xml:space="preserve"> </w:t>
      </w:r>
      <w:r w:rsidRPr="00015A5A">
        <w:rPr>
          <w:rFonts w:asciiTheme="majorBidi" w:hAnsiTheme="majorBidi" w:cstheme="majorBidi"/>
          <w:sz w:val="24"/>
          <w:szCs w:val="24"/>
        </w:rPr>
        <w:lastRenderedPageBreak/>
        <w:t>Eucalyptus + Mentha (128.91 kg/ha),</w:t>
      </w:r>
      <w:r w:rsidR="00B7549A" w:rsidRPr="00B7549A">
        <w:t xml:space="preserve"> </w:t>
      </w:r>
      <w:r w:rsidRPr="00B7549A">
        <w:rPr>
          <w:rFonts w:asciiTheme="majorBidi" w:hAnsiTheme="majorBidi" w:cstheme="majorBidi"/>
          <w:color w:val="FF0000"/>
          <w:sz w:val="24"/>
          <w:szCs w:val="24"/>
        </w:rPr>
        <w:t xml:space="preserve"> </w:t>
      </w:r>
      <w:r w:rsidRPr="00015A5A">
        <w:rPr>
          <w:rFonts w:asciiTheme="majorBidi" w:hAnsiTheme="majorBidi" w:cstheme="majorBidi"/>
          <w:sz w:val="24"/>
          <w:szCs w:val="24"/>
        </w:rPr>
        <w:t>followed by T1: Eucalyptus + Mentha + Tulsi (117.90 kg/ha) and T4: Eucalyptus Sole (115.95 kg/ha), while the lowest available potassium content was observed in T5: Mentha + Tulsi Sole (102.22 kg/ha), statistically similar to T6: Mentha Sole (107.61 kg/ha). In 2023, the maximum potassium content was again observed in T3: Eucalyptus + Tulsi (140.08 kg/ha), followed by T2: Eucalyptus + Mentha (133.40 kg/ha), T1: Eucalyptus + Mentha + Tulsi (125.45 kg/ha), and T4: Eucalyptus Sole (123.73 kg/ha), with the minimum content recorded in T5: Mentha + Tulsi Sole (110.70 kg/ha), statistically similar to T6: Mentha Sole (116.25 kg/ha).</w:t>
      </w:r>
      <w:r w:rsidR="001167EB">
        <w:rPr>
          <w:rFonts w:asciiTheme="majorBidi" w:hAnsiTheme="majorBidi" w:cstheme="majorBidi"/>
          <w:sz w:val="24"/>
          <w:szCs w:val="24"/>
        </w:rPr>
        <w:t xml:space="preserve"> </w:t>
      </w:r>
      <w:r w:rsidRPr="00015A5A">
        <w:rPr>
          <w:rFonts w:asciiTheme="majorBidi" w:hAnsiTheme="majorBidi" w:cstheme="majorBidi"/>
          <w:sz w:val="24"/>
          <w:szCs w:val="24"/>
        </w:rPr>
        <w:t>At 15-30 cm depth in 2022, available potassium ranged from 96.76 kg/ha to 123.89 kg/ha. The highest content was recorded in T3: Eucalyptus + Tulsi (123.89 kg/ha), which was statistically similar to T2: Eucalyptus + Mentha (117.29 kg/ha), followed by T1: Eucalyptus + Mentha + Tulsi (111.76 kg/ha) and T4: Eucalyptus Sole (110.86 kg/ha). The lowest value was observed in T5: Mentha + Tulsi Sole (96.76 kg/ha), statistically similar to T6: Mentha Sole (116.25 kg/ha) and T7: Tulsi Sole (103.25 kg/ha). In 2023, the highest available potassium content was recorded in T3: Eucalyptus + Tulsi (127.15 kg/ha), followed by T2: Eucalyptus + Mentha (120.21 kg/ha),</w:t>
      </w:r>
      <w:r w:rsidRPr="00B7549A">
        <w:rPr>
          <w:rFonts w:asciiTheme="majorBidi" w:hAnsiTheme="majorBidi" w:cstheme="majorBidi"/>
          <w:color w:val="FF0000"/>
          <w:sz w:val="24"/>
          <w:szCs w:val="24"/>
        </w:rPr>
        <w:t xml:space="preserve"> </w:t>
      </w:r>
      <w:r w:rsidRPr="00015A5A">
        <w:rPr>
          <w:rFonts w:asciiTheme="majorBidi" w:hAnsiTheme="majorBidi" w:cstheme="majorBidi"/>
          <w:sz w:val="24"/>
          <w:szCs w:val="24"/>
        </w:rPr>
        <w:t>T1: Eucalyptus + Mentha + Tulsi (113.71 kg/ha), and T4: Eucalyptus Sole (113.31 kg/ha), with the lowest value in T5: Mentha + Tulsi Sole (98.59 kg/ha), statistically similar to T6: Mentha Sole (104.01 kg/ha) and T7: Tulsi Sole (106.15 kg/ha). The data followed the trend: T3 &gt; T2 &gt; T1 &gt; T4 &gt; T7 &gt; T6 &gt; T5.</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Singh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(2010) and Devi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(2020) reported higher available nitrogen content in the plough layer compared to sub-surface layers in agroforestry systems. The increased phosphorus content in tree-based agroforestry systems (AFS) is attributed to the release of organic acids, reduced pH, and less phosphorus fixation on exchange sites (Zhang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2019). Yang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(2018) showed that available phosphorus and potassium were significantly higher in afforestation sites compared to degraded croplands due to the addition of exogenous inputs from litter and rhizodeposition. Ramesh </w:t>
      </w:r>
      <w:r w:rsidRPr="00015A5A">
        <w:rPr>
          <w:rFonts w:asciiTheme="majorBidi" w:hAnsiTheme="majorBidi" w:cstheme="majorBidi"/>
          <w:i/>
          <w:iCs/>
          <w:sz w:val="24"/>
          <w:szCs w:val="24"/>
        </w:rPr>
        <w:t>et al</w:t>
      </w:r>
      <w:r w:rsidRPr="00015A5A">
        <w:rPr>
          <w:rFonts w:asciiTheme="majorBidi" w:hAnsiTheme="majorBidi" w:cstheme="majorBidi"/>
          <w:sz w:val="24"/>
          <w:szCs w:val="24"/>
        </w:rPr>
        <w:t>. (2013) observed a 76% increase in soil available potassium in multipurpose tree species compared to controls.</w:t>
      </w:r>
      <w:r w:rsidR="00857F2E" w:rsidRPr="00857F2E">
        <w:t xml:space="preserve"> </w:t>
      </w:r>
    </w:p>
    <w:p w14:paraId="73E4E85E" w14:textId="77777777" w:rsidR="008E36A5" w:rsidRPr="001167EB" w:rsidRDefault="008E36A5" w:rsidP="00B7549A">
      <w:pPr>
        <w:spacing w:after="0" w:line="360" w:lineRule="auto"/>
        <w:jc w:val="right"/>
        <w:rPr>
          <w:rFonts w:asciiTheme="majorBidi" w:hAnsiTheme="majorBidi" w:cstheme="majorBidi"/>
          <w:sz w:val="24"/>
          <w:szCs w:val="24"/>
        </w:rPr>
      </w:pPr>
    </w:p>
    <w:p w14:paraId="20CD2AB9" w14:textId="1633CF52" w:rsidR="003F4DFD"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CONCLUSION</w:t>
      </w:r>
    </w:p>
    <w:p w14:paraId="62EE2CB7" w14:textId="5CA54132" w:rsidR="001167EB" w:rsidRDefault="00015A5A" w:rsidP="008E36A5">
      <w:pPr>
        <w:spacing w:after="0" w:line="360" w:lineRule="auto"/>
        <w:jc w:val="both"/>
        <w:rPr>
          <w:rFonts w:asciiTheme="majorBidi" w:hAnsiTheme="majorBidi" w:cstheme="majorBidi"/>
          <w:b/>
          <w:bCs/>
          <w:sz w:val="24"/>
          <w:szCs w:val="24"/>
        </w:rPr>
      </w:pPr>
      <w:r w:rsidRPr="00015A5A">
        <w:rPr>
          <w:rFonts w:asciiTheme="majorBidi" w:hAnsiTheme="majorBidi" w:cstheme="majorBidi"/>
          <w:sz w:val="24"/>
          <w:szCs w:val="24"/>
        </w:rPr>
        <w:t xml:space="preserve">The chemical properties and nutrient status of the soil were enhanced under tree-based agroforestry systems (AFS) compared to sole cropping. </w:t>
      </w:r>
      <w:commentRangeStart w:id="13"/>
      <w:r w:rsidRPr="00015A5A">
        <w:rPr>
          <w:rFonts w:asciiTheme="majorBidi" w:hAnsiTheme="majorBidi" w:cstheme="majorBidi"/>
          <w:sz w:val="24"/>
          <w:szCs w:val="24"/>
        </w:rPr>
        <w:t>Specifically, available macronutrients (N, P, and K) and organic carbon were higher in tree-based AFS, while pH levels were higher in sole cropping systems.</w:t>
      </w:r>
      <w:commentRangeEnd w:id="13"/>
      <w:r w:rsidR="00193B6F">
        <w:rPr>
          <w:rStyle w:val="CommentReference"/>
        </w:rPr>
        <w:commentReference w:id="13"/>
      </w:r>
      <w:r w:rsidRPr="00015A5A">
        <w:rPr>
          <w:rFonts w:asciiTheme="majorBidi" w:hAnsiTheme="majorBidi" w:cstheme="majorBidi"/>
          <w:sz w:val="24"/>
          <w:szCs w:val="24"/>
        </w:rPr>
        <w:t xml:space="preserve"> As a result, the need for fertilizer application to intercrops may be reduced due to the improvement in soil properties and nutrient content from the long-term adoption of tree-based AFS. However, further research is needed to determine the duration of </w:t>
      </w:r>
      <w:r w:rsidRPr="00015A5A">
        <w:rPr>
          <w:rFonts w:asciiTheme="majorBidi" w:hAnsiTheme="majorBidi" w:cstheme="majorBidi"/>
          <w:sz w:val="24"/>
          <w:szCs w:val="24"/>
        </w:rPr>
        <w:lastRenderedPageBreak/>
        <w:t>the trees' impact on soil quality after the harvesting of tree species. Additionally, future studies should focus on evaluating the different nutrient fractions in soil under tree-based AFS and their relationship with crop and tree growth.</w:t>
      </w:r>
    </w:p>
    <w:p w14:paraId="5E3AA946" w14:textId="7EB6472D" w:rsidR="00E94E9D" w:rsidRPr="00857F2E" w:rsidRDefault="00857F2E" w:rsidP="008E36A5">
      <w:pPr>
        <w:spacing w:after="0"/>
        <w:jc w:val="both"/>
        <w:rPr>
          <w:rFonts w:asciiTheme="majorBidi" w:hAnsiTheme="majorBidi" w:cstheme="majorBidi"/>
          <w:b/>
          <w:bCs/>
          <w:color w:val="FF0000"/>
          <w:sz w:val="24"/>
          <w:szCs w:val="24"/>
        </w:rPr>
        <w:sectPr w:rsidR="00E94E9D" w:rsidRPr="00857F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857F2E">
        <w:rPr>
          <w:rFonts w:asciiTheme="majorBidi" w:hAnsiTheme="majorBidi" w:cstheme="majorBidi"/>
          <w:b/>
          <w:bCs/>
          <w:color w:val="FF0000"/>
          <w:sz w:val="24"/>
          <w:szCs w:val="24"/>
        </w:rPr>
        <w:t>.</w:t>
      </w:r>
    </w:p>
    <w:p w14:paraId="7FD64C3B" w14:textId="75367AF4" w:rsidR="00E94E9D" w:rsidRPr="00087D99"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1</w:t>
      </w:r>
      <w:r w:rsidRPr="007E0448">
        <w:rPr>
          <w:rFonts w:asciiTheme="majorBidi" w:hAnsiTheme="majorBidi" w:cstheme="majorBidi"/>
          <w:sz w:val="24"/>
          <w:szCs w:val="24"/>
        </w:rPr>
        <w:t xml:space="preserve"> </w:t>
      </w:r>
      <w:r w:rsidRPr="00087D99">
        <w:rPr>
          <w:rFonts w:asciiTheme="majorBidi" w:hAnsiTheme="majorBidi" w:cstheme="majorBidi"/>
          <w:sz w:val="24"/>
          <w:szCs w:val="24"/>
        </w:rPr>
        <w:t>Soil pH content at the depth of 0-15cm and 15-30 cm in the agroforestry system in sole and combinations</w:t>
      </w:r>
    </w:p>
    <w:tbl>
      <w:tblPr>
        <w:tblStyle w:val="TableGrid"/>
        <w:tblW w:w="13368" w:type="dxa"/>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131EB773" w14:textId="77777777" w:rsidTr="00E65045">
        <w:trPr>
          <w:trHeight w:val="383"/>
        </w:trPr>
        <w:tc>
          <w:tcPr>
            <w:tcW w:w="3161" w:type="dxa"/>
            <w:vMerge w:val="restart"/>
          </w:tcPr>
          <w:p w14:paraId="5B3766F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77763BE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0DE4871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8B79D29" w14:textId="77777777" w:rsidTr="00E65045">
        <w:trPr>
          <w:gridAfter w:val="1"/>
          <w:wAfter w:w="11" w:type="dxa"/>
          <w:trHeight w:val="202"/>
        </w:trPr>
        <w:tc>
          <w:tcPr>
            <w:tcW w:w="3161" w:type="dxa"/>
            <w:vMerge/>
          </w:tcPr>
          <w:p w14:paraId="1C707E90" w14:textId="77777777" w:rsidR="00E94E9D" w:rsidRPr="00386AEE" w:rsidRDefault="00E94E9D" w:rsidP="008E36A5">
            <w:pPr>
              <w:jc w:val="center"/>
              <w:rPr>
                <w:rFonts w:asciiTheme="majorBidi" w:hAnsiTheme="majorBidi" w:cstheme="majorBidi"/>
                <w:sz w:val="24"/>
                <w:szCs w:val="24"/>
              </w:rPr>
            </w:pPr>
          </w:p>
        </w:tc>
        <w:tc>
          <w:tcPr>
            <w:tcW w:w="1256" w:type="dxa"/>
          </w:tcPr>
          <w:p w14:paraId="22B40E3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70930F4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54BDFDD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7BF31D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1CE7C2B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02250C5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6257521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4AF589E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723C103B" w14:textId="77777777" w:rsidTr="00E65045">
        <w:trPr>
          <w:gridAfter w:val="1"/>
          <w:wAfter w:w="11" w:type="dxa"/>
          <w:trHeight w:val="383"/>
        </w:trPr>
        <w:tc>
          <w:tcPr>
            <w:tcW w:w="3161" w:type="dxa"/>
          </w:tcPr>
          <w:p w14:paraId="4715039D"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0C38701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7.38</w:t>
            </w:r>
            <w:r w:rsidRPr="00506990">
              <w:rPr>
                <w:rFonts w:asciiTheme="majorBidi" w:hAnsiTheme="majorBidi" w:cstheme="majorBidi"/>
                <w:sz w:val="24"/>
                <w:szCs w:val="24"/>
                <w:vertAlign w:val="superscript"/>
              </w:rPr>
              <w:t>cd</w:t>
            </w:r>
          </w:p>
        </w:tc>
        <w:tc>
          <w:tcPr>
            <w:tcW w:w="1237" w:type="dxa"/>
            <w:vAlign w:val="center"/>
          </w:tcPr>
          <w:p w14:paraId="6C30AB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1271" w:type="dxa"/>
            <w:vAlign w:val="center"/>
          </w:tcPr>
          <w:p w14:paraId="2230071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7.36</w:t>
            </w:r>
            <w:r w:rsidRPr="00506990">
              <w:rPr>
                <w:rFonts w:asciiTheme="majorBidi" w:hAnsiTheme="majorBidi" w:cstheme="majorBidi"/>
                <w:sz w:val="24"/>
                <w:szCs w:val="24"/>
                <w:vertAlign w:val="superscript"/>
              </w:rPr>
              <w:t>c</w:t>
            </w:r>
          </w:p>
        </w:tc>
        <w:tc>
          <w:tcPr>
            <w:tcW w:w="1352" w:type="dxa"/>
            <w:vAlign w:val="center"/>
          </w:tcPr>
          <w:p w14:paraId="278DFD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0.017</w:t>
            </w:r>
          </w:p>
        </w:tc>
        <w:tc>
          <w:tcPr>
            <w:tcW w:w="1238" w:type="dxa"/>
            <w:vAlign w:val="center"/>
          </w:tcPr>
          <w:p w14:paraId="0D54AE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7.47</w:t>
            </w:r>
            <w:r w:rsidRPr="00386AEE">
              <w:rPr>
                <w:rFonts w:asciiTheme="majorBidi" w:hAnsiTheme="majorBidi" w:cstheme="majorBidi"/>
                <w:sz w:val="24"/>
                <w:szCs w:val="24"/>
                <w:vertAlign w:val="superscript"/>
              </w:rPr>
              <w:t>d</w:t>
            </w:r>
          </w:p>
        </w:tc>
        <w:tc>
          <w:tcPr>
            <w:tcW w:w="1254" w:type="dxa"/>
            <w:vAlign w:val="center"/>
          </w:tcPr>
          <w:p w14:paraId="04A6AB0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1351" w:type="dxa"/>
            <w:vAlign w:val="center"/>
          </w:tcPr>
          <w:p w14:paraId="08FAFD4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7.44</w:t>
            </w:r>
            <w:r w:rsidRPr="00386AEE">
              <w:rPr>
                <w:rFonts w:asciiTheme="majorBidi" w:hAnsiTheme="majorBidi" w:cstheme="majorBidi"/>
                <w:sz w:val="24"/>
                <w:szCs w:val="24"/>
                <w:vertAlign w:val="superscript"/>
              </w:rPr>
              <w:t>c</w:t>
            </w:r>
          </w:p>
        </w:tc>
        <w:tc>
          <w:tcPr>
            <w:tcW w:w="1237" w:type="dxa"/>
            <w:vAlign w:val="center"/>
          </w:tcPr>
          <w:p w14:paraId="1FD2BA2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r>
      <w:tr w:rsidR="00E94E9D" w:rsidRPr="00386AEE" w14:paraId="03DCBC37" w14:textId="77777777" w:rsidTr="00E65045">
        <w:trPr>
          <w:gridAfter w:val="1"/>
          <w:wAfter w:w="11" w:type="dxa"/>
          <w:trHeight w:val="368"/>
        </w:trPr>
        <w:tc>
          <w:tcPr>
            <w:tcW w:w="3161" w:type="dxa"/>
          </w:tcPr>
          <w:p w14:paraId="05478BC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24C99A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7.32</w:t>
            </w:r>
            <w:r w:rsidRPr="00506990">
              <w:rPr>
                <w:rFonts w:asciiTheme="majorBidi" w:hAnsiTheme="majorBidi" w:cstheme="majorBidi"/>
                <w:sz w:val="24"/>
                <w:szCs w:val="24"/>
                <w:vertAlign w:val="superscript"/>
              </w:rPr>
              <w:t>de</w:t>
            </w:r>
          </w:p>
        </w:tc>
        <w:tc>
          <w:tcPr>
            <w:tcW w:w="1237" w:type="dxa"/>
            <w:vAlign w:val="center"/>
          </w:tcPr>
          <w:p w14:paraId="6528836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1271" w:type="dxa"/>
            <w:vAlign w:val="center"/>
          </w:tcPr>
          <w:p w14:paraId="5E45B8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d</w:t>
            </w:r>
          </w:p>
        </w:tc>
        <w:tc>
          <w:tcPr>
            <w:tcW w:w="1352" w:type="dxa"/>
            <w:vAlign w:val="center"/>
          </w:tcPr>
          <w:p w14:paraId="33BA1AB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38" w:type="dxa"/>
            <w:vAlign w:val="center"/>
          </w:tcPr>
          <w:p w14:paraId="059F791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7.38</w:t>
            </w:r>
            <w:r w:rsidRPr="00386AEE">
              <w:rPr>
                <w:rFonts w:asciiTheme="majorBidi" w:hAnsiTheme="majorBidi" w:cstheme="majorBidi"/>
                <w:sz w:val="24"/>
                <w:szCs w:val="24"/>
                <w:vertAlign w:val="superscript"/>
              </w:rPr>
              <w:t>e</w:t>
            </w:r>
          </w:p>
        </w:tc>
        <w:tc>
          <w:tcPr>
            <w:tcW w:w="1254" w:type="dxa"/>
            <w:vAlign w:val="center"/>
          </w:tcPr>
          <w:p w14:paraId="51F4E09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c>
          <w:tcPr>
            <w:tcW w:w="1351" w:type="dxa"/>
            <w:vAlign w:val="center"/>
          </w:tcPr>
          <w:p w14:paraId="3A59B38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7.36</w:t>
            </w:r>
            <w:r w:rsidRPr="00386AEE">
              <w:rPr>
                <w:rFonts w:asciiTheme="majorBidi" w:hAnsiTheme="majorBidi" w:cstheme="majorBidi"/>
                <w:sz w:val="24"/>
                <w:szCs w:val="24"/>
                <w:vertAlign w:val="superscript"/>
              </w:rPr>
              <w:t>d</w:t>
            </w:r>
          </w:p>
        </w:tc>
        <w:tc>
          <w:tcPr>
            <w:tcW w:w="1237" w:type="dxa"/>
            <w:vAlign w:val="center"/>
          </w:tcPr>
          <w:p w14:paraId="1E497A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0.012</w:t>
            </w:r>
          </w:p>
        </w:tc>
      </w:tr>
      <w:tr w:rsidR="00E94E9D" w:rsidRPr="00386AEE" w14:paraId="78C5734C" w14:textId="77777777" w:rsidTr="00E65045">
        <w:trPr>
          <w:gridAfter w:val="1"/>
          <w:wAfter w:w="11" w:type="dxa"/>
          <w:trHeight w:val="383"/>
        </w:trPr>
        <w:tc>
          <w:tcPr>
            <w:tcW w:w="3161" w:type="dxa"/>
          </w:tcPr>
          <w:p w14:paraId="462D3BE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505F25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e</w:t>
            </w:r>
          </w:p>
        </w:tc>
        <w:tc>
          <w:tcPr>
            <w:tcW w:w="1237" w:type="dxa"/>
            <w:vAlign w:val="center"/>
          </w:tcPr>
          <w:p w14:paraId="6D3D7F0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0.043</w:t>
            </w:r>
          </w:p>
        </w:tc>
        <w:tc>
          <w:tcPr>
            <w:tcW w:w="1271" w:type="dxa"/>
            <w:vAlign w:val="center"/>
          </w:tcPr>
          <w:p w14:paraId="6B3F42A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7.24</w:t>
            </w:r>
            <w:r w:rsidRPr="00506990">
              <w:rPr>
                <w:rFonts w:asciiTheme="majorBidi" w:hAnsiTheme="majorBidi" w:cstheme="majorBidi"/>
                <w:sz w:val="24"/>
                <w:szCs w:val="24"/>
                <w:vertAlign w:val="superscript"/>
              </w:rPr>
              <w:t>d</w:t>
            </w:r>
          </w:p>
        </w:tc>
        <w:tc>
          <w:tcPr>
            <w:tcW w:w="1352" w:type="dxa"/>
            <w:vAlign w:val="center"/>
          </w:tcPr>
          <w:p w14:paraId="74EBE38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0.044</w:t>
            </w:r>
          </w:p>
        </w:tc>
        <w:tc>
          <w:tcPr>
            <w:tcW w:w="1238" w:type="dxa"/>
            <w:vAlign w:val="center"/>
          </w:tcPr>
          <w:p w14:paraId="1885293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7.34</w:t>
            </w:r>
            <w:r w:rsidRPr="00386AEE">
              <w:rPr>
                <w:rFonts w:asciiTheme="majorBidi" w:hAnsiTheme="majorBidi" w:cstheme="majorBidi"/>
                <w:sz w:val="24"/>
                <w:szCs w:val="24"/>
                <w:vertAlign w:val="superscript"/>
              </w:rPr>
              <w:t>e</w:t>
            </w:r>
          </w:p>
        </w:tc>
        <w:tc>
          <w:tcPr>
            <w:tcW w:w="1254" w:type="dxa"/>
            <w:vAlign w:val="center"/>
          </w:tcPr>
          <w:p w14:paraId="478B9F4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0.042</w:t>
            </w:r>
          </w:p>
        </w:tc>
        <w:tc>
          <w:tcPr>
            <w:tcW w:w="1351" w:type="dxa"/>
            <w:vAlign w:val="center"/>
          </w:tcPr>
          <w:p w14:paraId="5269BD9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7.32</w:t>
            </w:r>
            <w:r w:rsidRPr="00386AEE">
              <w:rPr>
                <w:rFonts w:asciiTheme="majorBidi" w:hAnsiTheme="majorBidi" w:cstheme="majorBidi"/>
                <w:sz w:val="24"/>
                <w:szCs w:val="24"/>
                <w:vertAlign w:val="superscript"/>
              </w:rPr>
              <w:t>d</w:t>
            </w:r>
          </w:p>
        </w:tc>
        <w:tc>
          <w:tcPr>
            <w:tcW w:w="1237" w:type="dxa"/>
            <w:vAlign w:val="center"/>
          </w:tcPr>
          <w:p w14:paraId="3D9ADAB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0.046</w:t>
            </w:r>
          </w:p>
        </w:tc>
      </w:tr>
      <w:tr w:rsidR="00E94E9D" w:rsidRPr="00386AEE" w14:paraId="319D952A" w14:textId="77777777" w:rsidTr="00E65045">
        <w:trPr>
          <w:gridAfter w:val="1"/>
          <w:wAfter w:w="11" w:type="dxa"/>
          <w:trHeight w:val="368"/>
        </w:trPr>
        <w:tc>
          <w:tcPr>
            <w:tcW w:w="3161" w:type="dxa"/>
          </w:tcPr>
          <w:p w14:paraId="49E51C2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7574D8A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7.43</w:t>
            </w:r>
            <w:r w:rsidRPr="00506990">
              <w:rPr>
                <w:rFonts w:asciiTheme="majorBidi" w:hAnsiTheme="majorBidi" w:cstheme="majorBidi"/>
                <w:sz w:val="24"/>
                <w:szCs w:val="24"/>
                <w:vertAlign w:val="superscript"/>
              </w:rPr>
              <w:t>c</w:t>
            </w:r>
          </w:p>
        </w:tc>
        <w:tc>
          <w:tcPr>
            <w:tcW w:w="1237" w:type="dxa"/>
            <w:vAlign w:val="center"/>
          </w:tcPr>
          <w:p w14:paraId="1EA887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0.026</w:t>
            </w:r>
          </w:p>
        </w:tc>
        <w:tc>
          <w:tcPr>
            <w:tcW w:w="1271" w:type="dxa"/>
            <w:vAlign w:val="center"/>
          </w:tcPr>
          <w:p w14:paraId="426293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7.37</w:t>
            </w:r>
            <w:r w:rsidRPr="00506990">
              <w:rPr>
                <w:rFonts w:asciiTheme="majorBidi" w:hAnsiTheme="majorBidi" w:cstheme="majorBidi"/>
                <w:sz w:val="24"/>
                <w:szCs w:val="24"/>
                <w:vertAlign w:val="superscript"/>
              </w:rPr>
              <w:t>c</w:t>
            </w:r>
          </w:p>
        </w:tc>
        <w:tc>
          <w:tcPr>
            <w:tcW w:w="1352" w:type="dxa"/>
            <w:vAlign w:val="center"/>
          </w:tcPr>
          <w:p w14:paraId="5AD31E2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0.036</w:t>
            </w:r>
          </w:p>
        </w:tc>
        <w:tc>
          <w:tcPr>
            <w:tcW w:w="1238" w:type="dxa"/>
            <w:vAlign w:val="center"/>
          </w:tcPr>
          <w:p w14:paraId="7037C90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r w:rsidRPr="00386AEE">
              <w:rPr>
                <w:rFonts w:asciiTheme="majorBidi" w:hAnsiTheme="majorBidi" w:cstheme="majorBidi"/>
                <w:sz w:val="24"/>
                <w:szCs w:val="24"/>
                <w:vertAlign w:val="superscript"/>
              </w:rPr>
              <w:t>cd</w:t>
            </w:r>
          </w:p>
        </w:tc>
        <w:tc>
          <w:tcPr>
            <w:tcW w:w="1254" w:type="dxa"/>
            <w:vAlign w:val="center"/>
          </w:tcPr>
          <w:p w14:paraId="2728FB9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1351" w:type="dxa"/>
            <w:vAlign w:val="center"/>
          </w:tcPr>
          <w:p w14:paraId="6A48EA6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r w:rsidRPr="00386AEE">
              <w:rPr>
                <w:rFonts w:asciiTheme="majorBidi" w:hAnsiTheme="majorBidi" w:cstheme="majorBidi"/>
                <w:sz w:val="24"/>
                <w:szCs w:val="24"/>
                <w:vertAlign w:val="superscript"/>
              </w:rPr>
              <w:t>c</w:t>
            </w:r>
          </w:p>
        </w:tc>
        <w:tc>
          <w:tcPr>
            <w:tcW w:w="1237" w:type="dxa"/>
            <w:vAlign w:val="center"/>
          </w:tcPr>
          <w:p w14:paraId="0A56739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r>
      <w:tr w:rsidR="00E94E9D" w:rsidRPr="00386AEE" w14:paraId="4D64F262" w14:textId="77777777" w:rsidTr="00E65045">
        <w:trPr>
          <w:gridAfter w:val="1"/>
          <w:wAfter w:w="11" w:type="dxa"/>
          <w:trHeight w:val="383"/>
        </w:trPr>
        <w:tc>
          <w:tcPr>
            <w:tcW w:w="3161" w:type="dxa"/>
          </w:tcPr>
          <w:p w14:paraId="05704B4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400455D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7.63</w:t>
            </w:r>
            <w:r w:rsidRPr="00506990">
              <w:rPr>
                <w:rFonts w:asciiTheme="majorBidi" w:hAnsiTheme="majorBidi" w:cstheme="majorBidi"/>
                <w:sz w:val="24"/>
                <w:szCs w:val="24"/>
                <w:vertAlign w:val="superscript"/>
              </w:rPr>
              <w:t>a</w:t>
            </w:r>
          </w:p>
        </w:tc>
        <w:tc>
          <w:tcPr>
            <w:tcW w:w="1237" w:type="dxa"/>
            <w:vAlign w:val="center"/>
          </w:tcPr>
          <w:p w14:paraId="015D95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7E4EC0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7.60</w:t>
            </w:r>
            <w:r w:rsidRPr="00506990">
              <w:rPr>
                <w:rFonts w:asciiTheme="majorBidi" w:hAnsiTheme="majorBidi" w:cstheme="majorBidi"/>
                <w:sz w:val="24"/>
                <w:szCs w:val="24"/>
                <w:vertAlign w:val="superscript"/>
              </w:rPr>
              <w:t>a</w:t>
            </w:r>
          </w:p>
        </w:tc>
        <w:tc>
          <w:tcPr>
            <w:tcW w:w="1352" w:type="dxa"/>
            <w:vAlign w:val="center"/>
          </w:tcPr>
          <w:p w14:paraId="2E2BA49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5B554A3B"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7.68</w:t>
            </w:r>
            <w:r w:rsidRPr="00386AEE">
              <w:rPr>
                <w:rFonts w:asciiTheme="majorBidi" w:hAnsiTheme="majorBidi" w:cstheme="majorBidi"/>
                <w:sz w:val="24"/>
                <w:szCs w:val="24"/>
                <w:vertAlign w:val="superscript"/>
              </w:rPr>
              <w:t>a</w:t>
            </w:r>
          </w:p>
        </w:tc>
        <w:tc>
          <w:tcPr>
            <w:tcW w:w="1254" w:type="dxa"/>
            <w:vAlign w:val="center"/>
          </w:tcPr>
          <w:p w14:paraId="720DA76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0.021</w:t>
            </w:r>
          </w:p>
        </w:tc>
        <w:tc>
          <w:tcPr>
            <w:tcW w:w="1351" w:type="dxa"/>
            <w:vAlign w:val="center"/>
          </w:tcPr>
          <w:p w14:paraId="10DCF35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7.66</w:t>
            </w:r>
            <w:r w:rsidRPr="00386AEE">
              <w:rPr>
                <w:rFonts w:asciiTheme="majorBidi" w:hAnsiTheme="majorBidi" w:cstheme="majorBidi"/>
                <w:sz w:val="24"/>
                <w:szCs w:val="24"/>
                <w:vertAlign w:val="superscript"/>
              </w:rPr>
              <w:t>a</w:t>
            </w:r>
          </w:p>
        </w:tc>
        <w:tc>
          <w:tcPr>
            <w:tcW w:w="1237" w:type="dxa"/>
            <w:vAlign w:val="center"/>
          </w:tcPr>
          <w:p w14:paraId="076F2180"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0.023</w:t>
            </w:r>
          </w:p>
        </w:tc>
      </w:tr>
      <w:tr w:rsidR="00E94E9D" w:rsidRPr="00386AEE" w14:paraId="2ED99FC8" w14:textId="77777777" w:rsidTr="00E65045">
        <w:trPr>
          <w:gridAfter w:val="1"/>
          <w:wAfter w:w="11" w:type="dxa"/>
          <w:trHeight w:val="383"/>
        </w:trPr>
        <w:tc>
          <w:tcPr>
            <w:tcW w:w="3161" w:type="dxa"/>
          </w:tcPr>
          <w:p w14:paraId="34B36CFF"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T6:Mentha Sole</w:t>
            </w:r>
          </w:p>
        </w:tc>
        <w:tc>
          <w:tcPr>
            <w:tcW w:w="1256" w:type="dxa"/>
            <w:vAlign w:val="center"/>
          </w:tcPr>
          <w:p w14:paraId="626952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7.54</w:t>
            </w:r>
            <w:r w:rsidRPr="00506990">
              <w:rPr>
                <w:rFonts w:asciiTheme="majorBidi" w:hAnsiTheme="majorBidi" w:cstheme="majorBidi"/>
                <w:sz w:val="24"/>
                <w:szCs w:val="24"/>
                <w:vertAlign w:val="superscript"/>
              </w:rPr>
              <w:t>b</w:t>
            </w:r>
          </w:p>
        </w:tc>
        <w:tc>
          <w:tcPr>
            <w:tcW w:w="1237" w:type="dxa"/>
            <w:vAlign w:val="center"/>
          </w:tcPr>
          <w:p w14:paraId="7D9C0AF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0.019</w:t>
            </w:r>
          </w:p>
        </w:tc>
        <w:tc>
          <w:tcPr>
            <w:tcW w:w="1271" w:type="dxa"/>
            <w:vAlign w:val="center"/>
          </w:tcPr>
          <w:p w14:paraId="665ED3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7.49</w:t>
            </w:r>
            <w:r w:rsidRPr="00506990">
              <w:rPr>
                <w:rFonts w:asciiTheme="majorBidi" w:hAnsiTheme="majorBidi" w:cstheme="majorBidi"/>
                <w:sz w:val="24"/>
                <w:szCs w:val="24"/>
                <w:vertAlign w:val="superscript"/>
              </w:rPr>
              <w:t>b</w:t>
            </w:r>
          </w:p>
        </w:tc>
        <w:tc>
          <w:tcPr>
            <w:tcW w:w="1352" w:type="dxa"/>
            <w:vAlign w:val="center"/>
          </w:tcPr>
          <w:p w14:paraId="5EDFAB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c>
          <w:tcPr>
            <w:tcW w:w="1238" w:type="dxa"/>
            <w:vAlign w:val="center"/>
          </w:tcPr>
          <w:p w14:paraId="45BE166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7.60</w:t>
            </w:r>
            <w:r w:rsidRPr="00386AEE">
              <w:rPr>
                <w:rFonts w:asciiTheme="majorBidi" w:hAnsiTheme="majorBidi" w:cstheme="majorBidi"/>
                <w:sz w:val="24"/>
                <w:szCs w:val="24"/>
                <w:vertAlign w:val="superscript"/>
              </w:rPr>
              <w:t>b</w:t>
            </w:r>
          </w:p>
        </w:tc>
        <w:tc>
          <w:tcPr>
            <w:tcW w:w="1254" w:type="dxa"/>
            <w:vAlign w:val="center"/>
          </w:tcPr>
          <w:p w14:paraId="286E64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c>
          <w:tcPr>
            <w:tcW w:w="1351" w:type="dxa"/>
            <w:vAlign w:val="center"/>
          </w:tcPr>
          <w:p w14:paraId="2E1D0DB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7.58</w:t>
            </w:r>
            <w:r w:rsidRPr="00386AEE">
              <w:rPr>
                <w:rFonts w:asciiTheme="majorBidi" w:hAnsiTheme="majorBidi" w:cstheme="majorBidi"/>
                <w:sz w:val="24"/>
                <w:szCs w:val="24"/>
                <w:vertAlign w:val="superscript"/>
              </w:rPr>
              <w:t>b</w:t>
            </w:r>
          </w:p>
        </w:tc>
        <w:tc>
          <w:tcPr>
            <w:tcW w:w="1237" w:type="dxa"/>
            <w:vAlign w:val="center"/>
          </w:tcPr>
          <w:p w14:paraId="2BA332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r>
      <w:tr w:rsidR="00E94E9D" w:rsidRPr="00386AEE" w14:paraId="674998AA" w14:textId="77777777" w:rsidTr="00E65045">
        <w:trPr>
          <w:gridAfter w:val="1"/>
          <w:wAfter w:w="11" w:type="dxa"/>
          <w:trHeight w:val="368"/>
        </w:trPr>
        <w:tc>
          <w:tcPr>
            <w:tcW w:w="3161" w:type="dxa"/>
          </w:tcPr>
          <w:p w14:paraId="6DD380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1256" w:type="dxa"/>
            <w:vAlign w:val="center"/>
          </w:tcPr>
          <w:p w14:paraId="66075E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7.51</w:t>
            </w:r>
            <w:r w:rsidRPr="00506990">
              <w:rPr>
                <w:rFonts w:asciiTheme="majorBidi" w:hAnsiTheme="majorBidi" w:cstheme="majorBidi"/>
                <w:sz w:val="24"/>
                <w:szCs w:val="24"/>
                <w:vertAlign w:val="superscript"/>
              </w:rPr>
              <w:t>b</w:t>
            </w:r>
          </w:p>
        </w:tc>
        <w:tc>
          <w:tcPr>
            <w:tcW w:w="1237" w:type="dxa"/>
            <w:vAlign w:val="center"/>
          </w:tcPr>
          <w:p w14:paraId="43B75A8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71" w:type="dxa"/>
            <w:vAlign w:val="center"/>
          </w:tcPr>
          <w:p w14:paraId="6C1987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7.46</w:t>
            </w:r>
            <w:r w:rsidRPr="00506990">
              <w:rPr>
                <w:rFonts w:asciiTheme="majorBidi" w:hAnsiTheme="majorBidi" w:cstheme="majorBidi"/>
                <w:sz w:val="24"/>
                <w:szCs w:val="24"/>
                <w:vertAlign w:val="superscript"/>
              </w:rPr>
              <w:t>b</w:t>
            </w:r>
          </w:p>
        </w:tc>
        <w:tc>
          <w:tcPr>
            <w:tcW w:w="1352" w:type="dxa"/>
            <w:vAlign w:val="center"/>
          </w:tcPr>
          <w:p w14:paraId="2A70F14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49E5034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7.57</w:t>
            </w:r>
            <w:r w:rsidRPr="00386AEE">
              <w:rPr>
                <w:rFonts w:asciiTheme="majorBidi" w:hAnsiTheme="majorBidi" w:cstheme="majorBidi"/>
                <w:sz w:val="24"/>
                <w:szCs w:val="24"/>
                <w:vertAlign w:val="superscript"/>
              </w:rPr>
              <w:t>bc</w:t>
            </w:r>
          </w:p>
        </w:tc>
        <w:tc>
          <w:tcPr>
            <w:tcW w:w="1254" w:type="dxa"/>
            <w:vAlign w:val="center"/>
          </w:tcPr>
          <w:p w14:paraId="71BC073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0.015</w:t>
            </w:r>
          </w:p>
        </w:tc>
        <w:tc>
          <w:tcPr>
            <w:tcW w:w="1351" w:type="dxa"/>
            <w:vAlign w:val="center"/>
          </w:tcPr>
          <w:p w14:paraId="556CF6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7.55</w:t>
            </w:r>
            <w:r w:rsidRPr="00386AEE">
              <w:rPr>
                <w:rFonts w:asciiTheme="majorBidi" w:hAnsiTheme="majorBidi" w:cstheme="majorBidi"/>
                <w:sz w:val="24"/>
                <w:szCs w:val="24"/>
                <w:vertAlign w:val="superscript"/>
              </w:rPr>
              <w:t>b</w:t>
            </w:r>
          </w:p>
        </w:tc>
        <w:tc>
          <w:tcPr>
            <w:tcW w:w="1237" w:type="dxa"/>
            <w:vAlign w:val="center"/>
          </w:tcPr>
          <w:p w14:paraId="50444CF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0.016</w:t>
            </w:r>
          </w:p>
        </w:tc>
      </w:tr>
      <w:tr w:rsidR="00E94E9D" w:rsidRPr="00386AEE" w14:paraId="57E07298" w14:textId="77777777" w:rsidTr="00E65045">
        <w:trPr>
          <w:gridAfter w:val="1"/>
          <w:wAfter w:w="11" w:type="dxa"/>
          <w:trHeight w:val="368"/>
        </w:trPr>
        <w:tc>
          <w:tcPr>
            <w:tcW w:w="3161" w:type="dxa"/>
          </w:tcPr>
          <w:p w14:paraId="0D72920B"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7F59732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7.44</w:t>
            </w:r>
          </w:p>
        </w:tc>
        <w:tc>
          <w:tcPr>
            <w:tcW w:w="1237" w:type="dxa"/>
            <w:vAlign w:val="center"/>
          </w:tcPr>
          <w:p w14:paraId="25A2AF9A"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6D376F1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7.40</w:t>
            </w:r>
          </w:p>
        </w:tc>
        <w:tc>
          <w:tcPr>
            <w:tcW w:w="1352" w:type="dxa"/>
            <w:vAlign w:val="center"/>
          </w:tcPr>
          <w:p w14:paraId="02AE0F37"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6A8A71A4"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p>
        </w:tc>
        <w:tc>
          <w:tcPr>
            <w:tcW w:w="1254" w:type="dxa"/>
            <w:vAlign w:val="center"/>
          </w:tcPr>
          <w:p w14:paraId="5C36976A"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355BB17F"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p>
        </w:tc>
        <w:tc>
          <w:tcPr>
            <w:tcW w:w="1237" w:type="dxa"/>
            <w:vAlign w:val="center"/>
          </w:tcPr>
          <w:p w14:paraId="19B535DF"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4E4E00F3" w14:textId="77777777" w:rsidTr="00E65045">
        <w:trPr>
          <w:gridAfter w:val="1"/>
          <w:wAfter w:w="11" w:type="dxa"/>
          <w:trHeight w:val="368"/>
        </w:trPr>
        <w:tc>
          <w:tcPr>
            <w:tcW w:w="3161" w:type="dxa"/>
          </w:tcPr>
          <w:p w14:paraId="58990F1A"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02E5492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0.32</w:t>
            </w:r>
          </w:p>
        </w:tc>
        <w:tc>
          <w:tcPr>
            <w:tcW w:w="1237" w:type="dxa"/>
            <w:vAlign w:val="center"/>
          </w:tcPr>
          <w:p w14:paraId="3133A4C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54415D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0.41</w:t>
            </w:r>
          </w:p>
        </w:tc>
        <w:tc>
          <w:tcPr>
            <w:tcW w:w="1352" w:type="dxa"/>
            <w:vAlign w:val="center"/>
          </w:tcPr>
          <w:p w14:paraId="4006E3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6360CB22"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0.346</w:t>
            </w:r>
          </w:p>
        </w:tc>
        <w:tc>
          <w:tcPr>
            <w:tcW w:w="1254" w:type="dxa"/>
            <w:vAlign w:val="center"/>
          </w:tcPr>
          <w:p w14:paraId="135DD17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113A5EB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0.415</w:t>
            </w:r>
          </w:p>
        </w:tc>
        <w:tc>
          <w:tcPr>
            <w:tcW w:w="1237" w:type="dxa"/>
            <w:vAlign w:val="center"/>
          </w:tcPr>
          <w:p w14:paraId="0751203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95B61FC" w14:textId="77777777" w:rsidTr="00E65045">
        <w:trPr>
          <w:gridAfter w:val="1"/>
          <w:wAfter w:w="11" w:type="dxa"/>
          <w:trHeight w:val="368"/>
        </w:trPr>
        <w:tc>
          <w:tcPr>
            <w:tcW w:w="3161" w:type="dxa"/>
          </w:tcPr>
          <w:p w14:paraId="218746B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5DB1A0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0.251</w:t>
            </w:r>
          </w:p>
        </w:tc>
        <w:tc>
          <w:tcPr>
            <w:tcW w:w="1237" w:type="dxa"/>
            <w:vAlign w:val="center"/>
          </w:tcPr>
          <w:p w14:paraId="0255A89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B31F7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0.347</w:t>
            </w:r>
          </w:p>
        </w:tc>
        <w:tc>
          <w:tcPr>
            <w:tcW w:w="1352" w:type="dxa"/>
            <w:vAlign w:val="center"/>
          </w:tcPr>
          <w:p w14:paraId="36E86F1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DFB4983"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0.214</w:t>
            </w:r>
          </w:p>
        </w:tc>
        <w:tc>
          <w:tcPr>
            <w:tcW w:w="1254" w:type="dxa"/>
            <w:vAlign w:val="center"/>
          </w:tcPr>
          <w:p w14:paraId="7C3FCCE0"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36A3A69C"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0.172</w:t>
            </w:r>
          </w:p>
        </w:tc>
        <w:tc>
          <w:tcPr>
            <w:tcW w:w="1237" w:type="dxa"/>
            <w:vAlign w:val="center"/>
          </w:tcPr>
          <w:p w14:paraId="3F3B849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6496CF7" w14:textId="77777777" w:rsidTr="00E65045">
        <w:trPr>
          <w:gridAfter w:val="1"/>
          <w:wAfter w:w="11" w:type="dxa"/>
          <w:trHeight w:val="368"/>
        </w:trPr>
        <w:tc>
          <w:tcPr>
            <w:tcW w:w="3161" w:type="dxa"/>
          </w:tcPr>
          <w:p w14:paraId="71CAF069"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Initial</w:t>
            </w:r>
            <w:r w:rsidRPr="00386AEE">
              <w:rPr>
                <w:rFonts w:asciiTheme="majorBidi" w:hAnsiTheme="majorBidi" w:cstheme="majorBidi"/>
                <w:b/>
                <w:bCs/>
                <w:sz w:val="24"/>
                <w:szCs w:val="24"/>
              </w:rPr>
              <w:t xml:space="preserve"> soil pH</w:t>
            </w:r>
          </w:p>
        </w:tc>
        <w:tc>
          <w:tcPr>
            <w:tcW w:w="5116" w:type="dxa"/>
            <w:gridSpan w:val="4"/>
            <w:vAlign w:val="center"/>
          </w:tcPr>
          <w:p w14:paraId="1175F3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7.45</w:t>
            </w:r>
          </w:p>
          <w:p w14:paraId="750FB77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7.64</w:t>
            </w:r>
          </w:p>
        </w:tc>
        <w:tc>
          <w:tcPr>
            <w:tcW w:w="5080" w:type="dxa"/>
            <w:gridSpan w:val="4"/>
          </w:tcPr>
          <w:p w14:paraId="76FDF32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7.53</w:t>
            </w:r>
          </w:p>
          <w:p w14:paraId="0765C52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7.71</w:t>
            </w:r>
          </w:p>
        </w:tc>
      </w:tr>
    </w:tbl>
    <w:p w14:paraId="29E62CFA" w14:textId="77777777" w:rsidR="00E94E9D" w:rsidRDefault="00E94E9D" w:rsidP="008E36A5">
      <w:pPr>
        <w:spacing w:after="0" w:line="360" w:lineRule="auto"/>
        <w:jc w:val="both"/>
        <w:rPr>
          <w:rFonts w:asciiTheme="majorBidi" w:hAnsiTheme="majorBidi" w:cstheme="majorBidi"/>
          <w:sz w:val="24"/>
          <w:szCs w:val="24"/>
        </w:rPr>
      </w:pPr>
    </w:p>
    <w:p w14:paraId="3975ADE7" w14:textId="508D2B28" w:rsidR="00E94E9D" w:rsidRPr="00087D99" w:rsidRDefault="00E94E9D" w:rsidP="008E36A5">
      <w:pPr>
        <w:spacing w:after="0" w:line="240" w:lineRule="auto"/>
        <w:ind w:left="993" w:hanging="993"/>
        <w:jc w:val="center"/>
        <w:rPr>
          <w:rFonts w:asciiTheme="majorBidi" w:hAnsiTheme="majorBidi" w:cstheme="majorBidi"/>
          <w:sz w:val="24"/>
          <w:szCs w:val="24"/>
        </w:rPr>
      </w:pPr>
      <w:commentRangeStart w:id="14"/>
      <w:r w:rsidRPr="007E0448">
        <w:rPr>
          <w:rFonts w:asciiTheme="majorBidi" w:hAnsiTheme="majorBidi" w:cstheme="majorBidi"/>
          <w:b/>
          <w:bCs/>
          <w:sz w:val="24"/>
          <w:szCs w:val="24"/>
        </w:rPr>
        <w:t xml:space="preserve">Table </w:t>
      </w:r>
      <w:r>
        <w:rPr>
          <w:rFonts w:asciiTheme="majorBidi" w:hAnsiTheme="majorBidi" w:cstheme="majorBidi"/>
          <w:b/>
          <w:bCs/>
          <w:sz w:val="24"/>
          <w:szCs w:val="24"/>
        </w:rPr>
        <w:t>2</w:t>
      </w:r>
      <w:r w:rsidRPr="007E0448">
        <w:rPr>
          <w:rFonts w:asciiTheme="majorBidi" w:hAnsiTheme="majorBidi" w:cstheme="majorBidi"/>
          <w:sz w:val="24"/>
          <w:szCs w:val="24"/>
        </w:rPr>
        <w:t xml:space="preserve"> </w:t>
      </w:r>
      <w:r w:rsidRPr="00087D99">
        <w:rPr>
          <w:rFonts w:asciiTheme="majorBidi" w:hAnsiTheme="majorBidi" w:cstheme="majorBidi"/>
          <w:sz w:val="24"/>
          <w:szCs w:val="24"/>
        </w:rPr>
        <w:t xml:space="preserve">Organic carbon content </w:t>
      </w:r>
      <w:bookmarkStart w:id="15" w:name="_Hlk188639569"/>
      <w:r w:rsidRPr="00087D99">
        <w:rPr>
          <w:rFonts w:asciiTheme="majorBidi" w:hAnsiTheme="majorBidi" w:cstheme="majorBidi"/>
          <w:sz w:val="24"/>
          <w:szCs w:val="24"/>
        </w:rPr>
        <w:t>(gm/Kg</w:t>
      </w:r>
      <w:proofErr w:type="gramStart"/>
      <w:r w:rsidRPr="00087D99">
        <w:rPr>
          <w:rFonts w:asciiTheme="majorBidi" w:hAnsiTheme="majorBidi" w:cstheme="majorBidi"/>
          <w:sz w:val="24"/>
          <w:szCs w:val="24"/>
        </w:rPr>
        <w:t>)</w:t>
      </w:r>
      <w:bookmarkEnd w:id="15"/>
      <w:r w:rsidRPr="00087D99">
        <w:rPr>
          <w:rFonts w:asciiTheme="majorBidi" w:hAnsiTheme="majorBidi" w:cstheme="majorBidi"/>
          <w:sz w:val="24"/>
          <w:szCs w:val="24"/>
        </w:rPr>
        <w:t xml:space="preserve">  at</w:t>
      </w:r>
      <w:proofErr w:type="gramEnd"/>
      <w:r w:rsidRPr="00087D99">
        <w:rPr>
          <w:rFonts w:asciiTheme="majorBidi" w:hAnsiTheme="majorBidi" w:cstheme="majorBidi"/>
          <w:sz w:val="24"/>
          <w:szCs w:val="24"/>
        </w:rPr>
        <w:t xml:space="preserve"> the depth of 0-15cm and 15-30 cm in the agroforestry system in sole and combinations</w:t>
      </w:r>
      <w:commentRangeEnd w:id="14"/>
      <w:r w:rsidR="004216B4">
        <w:rPr>
          <w:rStyle w:val="CommentReference"/>
        </w:rPr>
        <w:commentReference w:id="14"/>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27C0C8A5" w14:textId="77777777" w:rsidTr="00E65045">
        <w:trPr>
          <w:trHeight w:val="383"/>
          <w:jc w:val="center"/>
        </w:trPr>
        <w:tc>
          <w:tcPr>
            <w:tcW w:w="3161" w:type="dxa"/>
            <w:vMerge w:val="restart"/>
          </w:tcPr>
          <w:p w14:paraId="729D3C8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1527D712"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347280B7"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3EF2F5D" w14:textId="77777777" w:rsidTr="00E65045">
        <w:trPr>
          <w:gridAfter w:val="1"/>
          <w:wAfter w:w="11" w:type="dxa"/>
          <w:trHeight w:val="202"/>
          <w:jc w:val="center"/>
        </w:trPr>
        <w:tc>
          <w:tcPr>
            <w:tcW w:w="3161" w:type="dxa"/>
            <w:vMerge/>
          </w:tcPr>
          <w:p w14:paraId="29DE2574" w14:textId="77777777" w:rsidR="00E94E9D" w:rsidRPr="00386AEE" w:rsidRDefault="00E94E9D" w:rsidP="008E36A5">
            <w:pPr>
              <w:jc w:val="center"/>
              <w:rPr>
                <w:rFonts w:asciiTheme="majorBidi" w:hAnsiTheme="majorBidi" w:cstheme="majorBidi"/>
                <w:sz w:val="24"/>
                <w:szCs w:val="24"/>
              </w:rPr>
            </w:pPr>
          </w:p>
        </w:tc>
        <w:tc>
          <w:tcPr>
            <w:tcW w:w="1256" w:type="dxa"/>
          </w:tcPr>
          <w:p w14:paraId="4A4F9FD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6BB4E17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153B4A1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E95E12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76EC0A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5866848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6FF7223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76E82C0F"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1D95CEF5" w14:textId="77777777" w:rsidTr="00E65045">
        <w:trPr>
          <w:gridAfter w:val="1"/>
          <w:wAfter w:w="11" w:type="dxa"/>
          <w:trHeight w:val="383"/>
          <w:jc w:val="center"/>
        </w:trPr>
        <w:tc>
          <w:tcPr>
            <w:tcW w:w="3161" w:type="dxa"/>
          </w:tcPr>
          <w:p w14:paraId="49F8DCA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6B34B7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c</w:t>
            </w:r>
          </w:p>
        </w:tc>
        <w:tc>
          <w:tcPr>
            <w:tcW w:w="1237" w:type="dxa"/>
            <w:vAlign w:val="center"/>
          </w:tcPr>
          <w:p w14:paraId="607BE6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1271" w:type="dxa"/>
            <w:vAlign w:val="center"/>
          </w:tcPr>
          <w:p w14:paraId="0C468AC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0.81</w:t>
            </w:r>
            <w:r w:rsidRPr="00506990">
              <w:rPr>
                <w:rFonts w:asciiTheme="majorBidi" w:hAnsiTheme="majorBidi" w:cstheme="majorBidi"/>
                <w:sz w:val="24"/>
                <w:szCs w:val="24"/>
                <w:vertAlign w:val="superscript"/>
              </w:rPr>
              <w:t>c</w:t>
            </w:r>
          </w:p>
        </w:tc>
        <w:tc>
          <w:tcPr>
            <w:tcW w:w="1352" w:type="dxa"/>
            <w:vAlign w:val="center"/>
          </w:tcPr>
          <w:p w14:paraId="0947AD3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0.015</w:t>
            </w:r>
          </w:p>
        </w:tc>
        <w:tc>
          <w:tcPr>
            <w:tcW w:w="1238" w:type="dxa"/>
            <w:vAlign w:val="center"/>
          </w:tcPr>
          <w:p w14:paraId="1DCC1F0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a</w:t>
            </w:r>
          </w:p>
        </w:tc>
        <w:tc>
          <w:tcPr>
            <w:tcW w:w="1254" w:type="dxa"/>
            <w:vAlign w:val="center"/>
          </w:tcPr>
          <w:p w14:paraId="3ACEE4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1351" w:type="dxa"/>
            <w:vAlign w:val="center"/>
          </w:tcPr>
          <w:p w14:paraId="2E107DE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0.53</w:t>
            </w:r>
            <w:r w:rsidRPr="00506990">
              <w:rPr>
                <w:rFonts w:asciiTheme="majorBidi" w:hAnsiTheme="majorBidi" w:cstheme="majorBidi"/>
                <w:sz w:val="24"/>
                <w:szCs w:val="24"/>
                <w:vertAlign w:val="superscript"/>
              </w:rPr>
              <w:t>bc</w:t>
            </w:r>
          </w:p>
        </w:tc>
        <w:tc>
          <w:tcPr>
            <w:tcW w:w="1237" w:type="dxa"/>
            <w:vAlign w:val="center"/>
          </w:tcPr>
          <w:p w14:paraId="49BAC7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4A1B6B78" w14:textId="77777777" w:rsidTr="00E65045">
        <w:trPr>
          <w:gridAfter w:val="1"/>
          <w:wAfter w:w="11" w:type="dxa"/>
          <w:trHeight w:val="368"/>
          <w:jc w:val="center"/>
        </w:trPr>
        <w:tc>
          <w:tcPr>
            <w:tcW w:w="3161" w:type="dxa"/>
          </w:tcPr>
          <w:p w14:paraId="1731556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5AA57C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0.83</w:t>
            </w:r>
            <w:r w:rsidRPr="00506990">
              <w:rPr>
                <w:rFonts w:asciiTheme="majorBidi" w:hAnsiTheme="majorBidi" w:cstheme="majorBidi"/>
                <w:sz w:val="24"/>
                <w:szCs w:val="24"/>
                <w:vertAlign w:val="superscript"/>
              </w:rPr>
              <w:t>b</w:t>
            </w:r>
          </w:p>
        </w:tc>
        <w:tc>
          <w:tcPr>
            <w:tcW w:w="1237" w:type="dxa"/>
            <w:vAlign w:val="center"/>
          </w:tcPr>
          <w:p w14:paraId="199D63F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1271" w:type="dxa"/>
            <w:vAlign w:val="center"/>
          </w:tcPr>
          <w:p w14:paraId="460FFE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0.84</w:t>
            </w:r>
            <w:r w:rsidRPr="00506990">
              <w:rPr>
                <w:rFonts w:asciiTheme="majorBidi" w:hAnsiTheme="majorBidi" w:cstheme="majorBidi"/>
                <w:sz w:val="24"/>
                <w:szCs w:val="24"/>
                <w:vertAlign w:val="superscript"/>
              </w:rPr>
              <w:t>b</w:t>
            </w:r>
          </w:p>
        </w:tc>
        <w:tc>
          <w:tcPr>
            <w:tcW w:w="1352" w:type="dxa"/>
            <w:vAlign w:val="center"/>
          </w:tcPr>
          <w:p w14:paraId="6EA628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38" w:type="dxa"/>
            <w:vAlign w:val="center"/>
          </w:tcPr>
          <w:p w14:paraId="775BE5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a</w:t>
            </w:r>
          </w:p>
        </w:tc>
        <w:tc>
          <w:tcPr>
            <w:tcW w:w="1254" w:type="dxa"/>
            <w:vAlign w:val="center"/>
          </w:tcPr>
          <w:p w14:paraId="1B8AAF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351" w:type="dxa"/>
            <w:vAlign w:val="center"/>
          </w:tcPr>
          <w:p w14:paraId="3278C1F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b</w:t>
            </w:r>
          </w:p>
        </w:tc>
        <w:tc>
          <w:tcPr>
            <w:tcW w:w="1237" w:type="dxa"/>
            <w:vAlign w:val="center"/>
          </w:tcPr>
          <w:p w14:paraId="5DB6D52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r>
      <w:tr w:rsidR="00E94E9D" w:rsidRPr="00386AEE" w14:paraId="3AE492ED" w14:textId="77777777" w:rsidTr="00E65045">
        <w:trPr>
          <w:gridAfter w:val="1"/>
          <w:wAfter w:w="11" w:type="dxa"/>
          <w:trHeight w:val="383"/>
          <w:jc w:val="center"/>
        </w:trPr>
        <w:tc>
          <w:tcPr>
            <w:tcW w:w="3161" w:type="dxa"/>
          </w:tcPr>
          <w:p w14:paraId="18F6A69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49610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w:t>
            </w:r>
            <w:r w:rsidRPr="00506990">
              <w:rPr>
                <w:rFonts w:asciiTheme="majorBidi" w:hAnsiTheme="majorBidi" w:cstheme="majorBidi"/>
                <w:sz w:val="24"/>
                <w:szCs w:val="24"/>
                <w:vertAlign w:val="superscript"/>
              </w:rPr>
              <w:t>a</w:t>
            </w:r>
          </w:p>
        </w:tc>
        <w:tc>
          <w:tcPr>
            <w:tcW w:w="1237" w:type="dxa"/>
            <w:vAlign w:val="center"/>
          </w:tcPr>
          <w:p w14:paraId="2BACA54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1271" w:type="dxa"/>
            <w:vAlign w:val="center"/>
          </w:tcPr>
          <w:p w14:paraId="194C84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0.90</w:t>
            </w:r>
            <w:r w:rsidRPr="00506990">
              <w:rPr>
                <w:rFonts w:asciiTheme="majorBidi" w:hAnsiTheme="majorBidi" w:cstheme="majorBidi"/>
                <w:sz w:val="24"/>
                <w:szCs w:val="24"/>
                <w:vertAlign w:val="superscript"/>
              </w:rPr>
              <w:t>a</w:t>
            </w:r>
          </w:p>
        </w:tc>
        <w:tc>
          <w:tcPr>
            <w:tcW w:w="1352" w:type="dxa"/>
            <w:vAlign w:val="center"/>
          </w:tcPr>
          <w:p w14:paraId="277AA30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26CE2A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a</w:t>
            </w:r>
          </w:p>
        </w:tc>
        <w:tc>
          <w:tcPr>
            <w:tcW w:w="1254" w:type="dxa"/>
            <w:vAlign w:val="center"/>
          </w:tcPr>
          <w:p w14:paraId="4E30FA8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0.018</w:t>
            </w:r>
          </w:p>
        </w:tc>
        <w:tc>
          <w:tcPr>
            <w:tcW w:w="1351" w:type="dxa"/>
            <w:vAlign w:val="center"/>
          </w:tcPr>
          <w:p w14:paraId="480744B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0.55</w:t>
            </w:r>
            <w:r w:rsidRPr="00506990">
              <w:rPr>
                <w:rFonts w:asciiTheme="majorBidi" w:hAnsiTheme="majorBidi" w:cstheme="majorBidi"/>
                <w:sz w:val="24"/>
                <w:szCs w:val="24"/>
                <w:vertAlign w:val="superscript"/>
              </w:rPr>
              <w:t>a</w:t>
            </w:r>
          </w:p>
        </w:tc>
        <w:tc>
          <w:tcPr>
            <w:tcW w:w="1237" w:type="dxa"/>
            <w:vAlign w:val="center"/>
          </w:tcPr>
          <w:p w14:paraId="59E4D5A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r>
      <w:tr w:rsidR="00E94E9D" w:rsidRPr="00386AEE" w14:paraId="76C123D7" w14:textId="77777777" w:rsidTr="00E65045">
        <w:trPr>
          <w:gridAfter w:val="1"/>
          <w:wAfter w:w="11" w:type="dxa"/>
          <w:trHeight w:val="368"/>
          <w:jc w:val="center"/>
        </w:trPr>
        <w:tc>
          <w:tcPr>
            <w:tcW w:w="3161" w:type="dxa"/>
          </w:tcPr>
          <w:p w14:paraId="6DE5573A"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125030B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d</w:t>
            </w:r>
          </w:p>
        </w:tc>
        <w:tc>
          <w:tcPr>
            <w:tcW w:w="1237" w:type="dxa"/>
            <w:vAlign w:val="center"/>
          </w:tcPr>
          <w:p w14:paraId="29691A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0.012</w:t>
            </w:r>
          </w:p>
        </w:tc>
        <w:tc>
          <w:tcPr>
            <w:tcW w:w="1271" w:type="dxa"/>
            <w:vAlign w:val="center"/>
          </w:tcPr>
          <w:p w14:paraId="4034C5F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d</w:t>
            </w:r>
          </w:p>
        </w:tc>
        <w:tc>
          <w:tcPr>
            <w:tcW w:w="1352" w:type="dxa"/>
            <w:vAlign w:val="center"/>
          </w:tcPr>
          <w:p w14:paraId="439A883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1238" w:type="dxa"/>
            <w:vAlign w:val="center"/>
          </w:tcPr>
          <w:p w14:paraId="1A69764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w:t>
            </w:r>
            <w:r>
              <w:rPr>
                <w:rFonts w:asciiTheme="majorBidi" w:hAnsiTheme="majorBidi" w:cstheme="majorBidi"/>
                <w:sz w:val="24"/>
                <w:szCs w:val="24"/>
              </w:rPr>
              <w:t>0</w:t>
            </w:r>
            <w:r w:rsidRPr="00506990">
              <w:rPr>
                <w:rFonts w:asciiTheme="majorBidi" w:hAnsiTheme="majorBidi" w:cstheme="majorBidi"/>
                <w:sz w:val="24"/>
                <w:szCs w:val="24"/>
                <w:vertAlign w:val="superscript"/>
              </w:rPr>
              <w:t>a</w:t>
            </w:r>
          </w:p>
        </w:tc>
        <w:tc>
          <w:tcPr>
            <w:tcW w:w="1254" w:type="dxa"/>
            <w:vAlign w:val="center"/>
          </w:tcPr>
          <w:p w14:paraId="5AEAA3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1351" w:type="dxa"/>
            <w:vAlign w:val="center"/>
          </w:tcPr>
          <w:p w14:paraId="7693652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c</w:t>
            </w:r>
          </w:p>
        </w:tc>
        <w:tc>
          <w:tcPr>
            <w:tcW w:w="1237" w:type="dxa"/>
            <w:vAlign w:val="center"/>
          </w:tcPr>
          <w:p w14:paraId="0F9C35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r>
      <w:tr w:rsidR="00E94E9D" w:rsidRPr="00386AEE" w14:paraId="0FC9FBAE" w14:textId="77777777" w:rsidTr="00E65045">
        <w:trPr>
          <w:gridAfter w:val="1"/>
          <w:wAfter w:w="11" w:type="dxa"/>
          <w:trHeight w:val="383"/>
          <w:jc w:val="center"/>
        </w:trPr>
        <w:tc>
          <w:tcPr>
            <w:tcW w:w="3161" w:type="dxa"/>
          </w:tcPr>
          <w:p w14:paraId="6A88F99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23DB49A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0.68</w:t>
            </w:r>
            <w:r w:rsidRPr="00506990">
              <w:rPr>
                <w:rFonts w:asciiTheme="majorBidi" w:hAnsiTheme="majorBidi" w:cstheme="majorBidi"/>
                <w:sz w:val="24"/>
                <w:szCs w:val="24"/>
                <w:vertAlign w:val="superscript"/>
              </w:rPr>
              <w:t>g</w:t>
            </w:r>
          </w:p>
        </w:tc>
        <w:tc>
          <w:tcPr>
            <w:tcW w:w="1237" w:type="dxa"/>
            <w:vAlign w:val="center"/>
          </w:tcPr>
          <w:p w14:paraId="2EA56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1BC38BE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g</w:t>
            </w:r>
          </w:p>
        </w:tc>
        <w:tc>
          <w:tcPr>
            <w:tcW w:w="1352" w:type="dxa"/>
            <w:vAlign w:val="center"/>
          </w:tcPr>
          <w:p w14:paraId="37DBB8B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38" w:type="dxa"/>
            <w:vAlign w:val="center"/>
          </w:tcPr>
          <w:p w14:paraId="034B53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0.47</w:t>
            </w:r>
            <w:r w:rsidRPr="00506990">
              <w:rPr>
                <w:rFonts w:asciiTheme="majorBidi" w:hAnsiTheme="majorBidi" w:cstheme="majorBidi"/>
                <w:sz w:val="24"/>
                <w:szCs w:val="24"/>
                <w:vertAlign w:val="superscript"/>
              </w:rPr>
              <w:t>a</w:t>
            </w:r>
          </w:p>
        </w:tc>
        <w:tc>
          <w:tcPr>
            <w:tcW w:w="1254" w:type="dxa"/>
            <w:vAlign w:val="center"/>
          </w:tcPr>
          <w:p w14:paraId="7BC86C1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1351" w:type="dxa"/>
            <w:vAlign w:val="center"/>
          </w:tcPr>
          <w:p w14:paraId="52E8BA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d</w:t>
            </w:r>
          </w:p>
        </w:tc>
        <w:tc>
          <w:tcPr>
            <w:tcW w:w="1237" w:type="dxa"/>
            <w:vAlign w:val="center"/>
          </w:tcPr>
          <w:p w14:paraId="4541FE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0.002</w:t>
            </w:r>
          </w:p>
        </w:tc>
      </w:tr>
      <w:tr w:rsidR="00E94E9D" w:rsidRPr="00386AEE" w14:paraId="0A8350AF" w14:textId="77777777" w:rsidTr="00E65045">
        <w:trPr>
          <w:gridAfter w:val="1"/>
          <w:wAfter w:w="11" w:type="dxa"/>
          <w:trHeight w:val="383"/>
          <w:jc w:val="center"/>
        </w:trPr>
        <w:tc>
          <w:tcPr>
            <w:tcW w:w="3161" w:type="dxa"/>
          </w:tcPr>
          <w:p w14:paraId="52C90D8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lastRenderedPageBreak/>
              <w:t>T6:Mentha Sole</w:t>
            </w:r>
          </w:p>
        </w:tc>
        <w:tc>
          <w:tcPr>
            <w:tcW w:w="1256" w:type="dxa"/>
            <w:vAlign w:val="center"/>
          </w:tcPr>
          <w:p w14:paraId="061849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f</w:t>
            </w:r>
          </w:p>
        </w:tc>
        <w:tc>
          <w:tcPr>
            <w:tcW w:w="1237" w:type="dxa"/>
            <w:vAlign w:val="center"/>
          </w:tcPr>
          <w:p w14:paraId="6CC7ED4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4CE728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f</w:t>
            </w:r>
          </w:p>
        </w:tc>
        <w:tc>
          <w:tcPr>
            <w:tcW w:w="1352" w:type="dxa"/>
            <w:vAlign w:val="center"/>
          </w:tcPr>
          <w:p w14:paraId="5B0A3AE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1238" w:type="dxa"/>
            <w:vAlign w:val="center"/>
          </w:tcPr>
          <w:p w14:paraId="328184E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a</w:t>
            </w:r>
          </w:p>
        </w:tc>
        <w:tc>
          <w:tcPr>
            <w:tcW w:w="1254" w:type="dxa"/>
            <w:vAlign w:val="center"/>
          </w:tcPr>
          <w:p w14:paraId="2DD58B5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1351" w:type="dxa"/>
            <w:vAlign w:val="center"/>
          </w:tcPr>
          <w:p w14:paraId="744F12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0.49</w:t>
            </w:r>
            <w:r w:rsidRPr="00506990">
              <w:rPr>
                <w:rFonts w:asciiTheme="majorBidi" w:hAnsiTheme="majorBidi" w:cstheme="majorBidi"/>
                <w:sz w:val="24"/>
                <w:szCs w:val="24"/>
                <w:vertAlign w:val="superscript"/>
              </w:rPr>
              <w:t>d</w:t>
            </w:r>
          </w:p>
        </w:tc>
        <w:tc>
          <w:tcPr>
            <w:tcW w:w="1237" w:type="dxa"/>
            <w:vAlign w:val="center"/>
          </w:tcPr>
          <w:p w14:paraId="1890EA9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r>
      <w:tr w:rsidR="00E94E9D" w:rsidRPr="00386AEE" w14:paraId="287F07F0" w14:textId="77777777" w:rsidTr="00E65045">
        <w:trPr>
          <w:gridAfter w:val="1"/>
          <w:wAfter w:w="11" w:type="dxa"/>
          <w:trHeight w:val="368"/>
          <w:jc w:val="center"/>
        </w:trPr>
        <w:tc>
          <w:tcPr>
            <w:tcW w:w="3161" w:type="dxa"/>
          </w:tcPr>
          <w:p w14:paraId="6ABB1028"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1256" w:type="dxa"/>
            <w:vAlign w:val="center"/>
          </w:tcPr>
          <w:p w14:paraId="2567AC6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e</w:t>
            </w:r>
          </w:p>
        </w:tc>
        <w:tc>
          <w:tcPr>
            <w:tcW w:w="1237" w:type="dxa"/>
            <w:vAlign w:val="center"/>
          </w:tcPr>
          <w:p w14:paraId="154E4F3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71" w:type="dxa"/>
            <w:vAlign w:val="center"/>
          </w:tcPr>
          <w:p w14:paraId="7841388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e</w:t>
            </w:r>
          </w:p>
        </w:tc>
        <w:tc>
          <w:tcPr>
            <w:tcW w:w="1352" w:type="dxa"/>
            <w:vAlign w:val="center"/>
          </w:tcPr>
          <w:p w14:paraId="7923A86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0.022</w:t>
            </w:r>
          </w:p>
        </w:tc>
        <w:tc>
          <w:tcPr>
            <w:tcW w:w="1238" w:type="dxa"/>
            <w:vAlign w:val="center"/>
          </w:tcPr>
          <w:p w14:paraId="68006B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0.50</w:t>
            </w:r>
            <w:r w:rsidRPr="00506990">
              <w:rPr>
                <w:rFonts w:asciiTheme="majorBidi" w:hAnsiTheme="majorBidi" w:cstheme="majorBidi"/>
                <w:sz w:val="24"/>
                <w:szCs w:val="24"/>
                <w:vertAlign w:val="superscript"/>
              </w:rPr>
              <w:t>a</w:t>
            </w:r>
          </w:p>
        </w:tc>
        <w:tc>
          <w:tcPr>
            <w:tcW w:w="1254" w:type="dxa"/>
            <w:vAlign w:val="center"/>
          </w:tcPr>
          <w:p w14:paraId="732275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1351" w:type="dxa"/>
            <w:vAlign w:val="center"/>
          </w:tcPr>
          <w:p w14:paraId="0C0AE5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c</w:t>
            </w:r>
          </w:p>
        </w:tc>
        <w:tc>
          <w:tcPr>
            <w:tcW w:w="1237" w:type="dxa"/>
            <w:vAlign w:val="center"/>
          </w:tcPr>
          <w:p w14:paraId="1913D2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5A80667F" w14:textId="77777777" w:rsidTr="00E65045">
        <w:trPr>
          <w:gridAfter w:val="1"/>
          <w:wAfter w:w="11" w:type="dxa"/>
          <w:trHeight w:val="368"/>
          <w:jc w:val="center"/>
        </w:trPr>
        <w:tc>
          <w:tcPr>
            <w:tcW w:w="3161" w:type="dxa"/>
          </w:tcPr>
          <w:p w14:paraId="2C6045B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045EB0C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0.77</w:t>
            </w:r>
          </w:p>
        </w:tc>
        <w:tc>
          <w:tcPr>
            <w:tcW w:w="1237" w:type="dxa"/>
            <w:vAlign w:val="center"/>
          </w:tcPr>
          <w:p w14:paraId="3FAFB5F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52E4235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p>
        </w:tc>
        <w:tc>
          <w:tcPr>
            <w:tcW w:w="1352" w:type="dxa"/>
            <w:vAlign w:val="center"/>
          </w:tcPr>
          <w:p w14:paraId="152B8D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42DE695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p>
        </w:tc>
        <w:tc>
          <w:tcPr>
            <w:tcW w:w="1254" w:type="dxa"/>
            <w:vAlign w:val="center"/>
          </w:tcPr>
          <w:p w14:paraId="697D06E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7C7E97E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p>
        </w:tc>
        <w:tc>
          <w:tcPr>
            <w:tcW w:w="1237" w:type="dxa"/>
            <w:vAlign w:val="center"/>
          </w:tcPr>
          <w:p w14:paraId="1F960D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745A7F56" w14:textId="77777777" w:rsidTr="00E65045">
        <w:trPr>
          <w:gridAfter w:val="1"/>
          <w:wAfter w:w="11" w:type="dxa"/>
          <w:trHeight w:val="368"/>
          <w:jc w:val="center"/>
        </w:trPr>
        <w:tc>
          <w:tcPr>
            <w:tcW w:w="3161" w:type="dxa"/>
          </w:tcPr>
          <w:p w14:paraId="0AE8F2C0"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25B576B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41.45</w:t>
            </w:r>
          </w:p>
        </w:tc>
        <w:tc>
          <w:tcPr>
            <w:tcW w:w="1237" w:type="dxa"/>
            <w:vAlign w:val="center"/>
          </w:tcPr>
          <w:p w14:paraId="3D97D81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054AD2F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41.20</w:t>
            </w:r>
          </w:p>
        </w:tc>
        <w:tc>
          <w:tcPr>
            <w:tcW w:w="1352" w:type="dxa"/>
            <w:vAlign w:val="center"/>
          </w:tcPr>
          <w:p w14:paraId="228CF0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13F162F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7.84</w:t>
            </w:r>
          </w:p>
        </w:tc>
        <w:tc>
          <w:tcPr>
            <w:tcW w:w="1254" w:type="dxa"/>
            <w:vAlign w:val="center"/>
          </w:tcPr>
          <w:p w14:paraId="2E6F5D6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15E01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7.67</w:t>
            </w:r>
          </w:p>
        </w:tc>
        <w:tc>
          <w:tcPr>
            <w:tcW w:w="1237" w:type="dxa"/>
            <w:vAlign w:val="center"/>
          </w:tcPr>
          <w:p w14:paraId="0E5BD72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381A4F26" w14:textId="77777777" w:rsidTr="00E65045">
        <w:trPr>
          <w:gridAfter w:val="1"/>
          <w:wAfter w:w="11" w:type="dxa"/>
          <w:trHeight w:val="368"/>
          <w:jc w:val="center"/>
        </w:trPr>
        <w:tc>
          <w:tcPr>
            <w:tcW w:w="3161" w:type="dxa"/>
          </w:tcPr>
          <w:p w14:paraId="4ED3EF1B"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3388AD6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37" w:type="dxa"/>
            <w:vAlign w:val="center"/>
          </w:tcPr>
          <w:p w14:paraId="1D715D6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118099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352" w:type="dxa"/>
            <w:vAlign w:val="center"/>
          </w:tcPr>
          <w:p w14:paraId="3235886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4ABFA6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54" w:type="dxa"/>
            <w:vAlign w:val="center"/>
          </w:tcPr>
          <w:p w14:paraId="35719AB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624959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0.003</w:t>
            </w:r>
          </w:p>
        </w:tc>
        <w:tc>
          <w:tcPr>
            <w:tcW w:w="1237" w:type="dxa"/>
            <w:vAlign w:val="center"/>
          </w:tcPr>
          <w:p w14:paraId="32F33A8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7C9570A" w14:textId="77777777" w:rsidTr="00E65045">
        <w:trPr>
          <w:gridAfter w:val="1"/>
          <w:wAfter w:w="11" w:type="dxa"/>
          <w:trHeight w:val="368"/>
          <w:jc w:val="center"/>
        </w:trPr>
        <w:tc>
          <w:tcPr>
            <w:tcW w:w="3161" w:type="dxa"/>
          </w:tcPr>
          <w:p w14:paraId="645B3E6B"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 xml:space="preserve">Initial Organic carbon (gm/Kg)  </w:t>
            </w:r>
          </w:p>
        </w:tc>
        <w:tc>
          <w:tcPr>
            <w:tcW w:w="5116" w:type="dxa"/>
            <w:gridSpan w:val="4"/>
            <w:vAlign w:val="center"/>
          </w:tcPr>
          <w:p w14:paraId="1B76720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0.75</w:t>
            </w:r>
          </w:p>
          <w:p w14:paraId="2A004FC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0.71</w:t>
            </w:r>
          </w:p>
        </w:tc>
        <w:tc>
          <w:tcPr>
            <w:tcW w:w="5080" w:type="dxa"/>
            <w:gridSpan w:val="4"/>
          </w:tcPr>
          <w:p w14:paraId="69006C36"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0.50</w:t>
            </w:r>
          </w:p>
          <w:p w14:paraId="5044504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0.47</w:t>
            </w:r>
          </w:p>
        </w:tc>
      </w:tr>
    </w:tbl>
    <w:p w14:paraId="4BCBC7C1" w14:textId="77777777" w:rsidR="001167EB" w:rsidRDefault="001167EB" w:rsidP="008E36A5">
      <w:pPr>
        <w:spacing w:after="0"/>
        <w:jc w:val="both"/>
        <w:rPr>
          <w:rFonts w:asciiTheme="majorBidi" w:hAnsiTheme="majorBidi" w:cstheme="majorBidi"/>
          <w:b/>
          <w:bCs/>
          <w:sz w:val="24"/>
          <w:szCs w:val="24"/>
        </w:rPr>
      </w:pPr>
    </w:p>
    <w:p w14:paraId="3A5D7BD2" w14:textId="53BC18A8"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3</w:t>
      </w:r>
      <w:r w:rsidRPr="007E0448">
        <w:rPr>
          <w:rFonts w:asciiTheme="majorBidi" w:hAnsiTheme="majorBidi" w:cstheme="majorBidi"/>
          <w:sz w:val="24"/>
          <w:szCs w:val="24"/>
        </w:rPr>
        <w:t xml:space="preserve"> Available nitrogen (Kg/ha) at the depth of 0-15cm and 15-30 cm in the agroforestry system in sole and combinations</w:t>
      </w:r>
    </w:p>
    <w:tbl>
      <w:tblPr>
        <w:tblStyle w:val="TableGrid"/>
        <w:tblW w:w="5000" w:type="pct"/>
        <w:jc w:val="center"/>
        <w:tblLook w:val="04A0" w:firstRow="1" w:lastRow="0" w:firstColumn="1" w:lastColumn="0" w:noHBand="0" w:noVBand="1"/>
      </w:tblPr>
      <w:tblGrid>
        <w:gridCol w:w="3350"/>
        <w:gridCol w:w="1331"/>
        <w:gridCol w:w="1313"/>
        <w:gridCol w:w="1347"/>
        <w:gridCol w:w="1434"/>
        <w:gridCol w:w="1313"/>
        <w:gridCol w:w="1330"/>
        <w:gridCol w:w="1432"/>
        <w:gridCol w:w="1324"/>
      </w:tblGrid>
      <w:tr w:rsidR="00E94E9D" w:rsidRPr="005E5C1E" w14:paraId="066A0397" w14:textId="77777777" w:rsidTr="00E65045">
        <w:trPr>
          <w:trHeight w:val="383"/>
          <w:jc w:val="center"/>
        </w:trPr>
        <w:tc>
          <w:tcPr>
            <w:tcW w:w="1182" w:type="pct"/>
            <w:vMerge w:val="restart"/>
          </w:tcPr>
          <w:p w14:paraId="2F6404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Treatments name</w:t>
            </w:r>
          </w:p>
        </w:tc>
        <w:tc>
          <w:tcPr>
            <w:tcW w:w="1914" w:type="pct"/>
            <w:gridSpan w:val="4"/>
          </w:tcPr>
          <w:p w14:paraId="2B1EBA11"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0-15 cm</w:t>
            </w:r>
          </w:p>
        </w:tc>
        <w:tc>
          <w:tcPr>
            <w:tcW w:w="1904" w:type="pct"/>
            <w:gridSpan w:val="4"/>
          </w:tcPr>
          <w:p w14:paraId="54D4E53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15-30 cm</w:t>
            </w:r>
          </w:p>
        </w:tc>
      </w:tr>
      <w:tr w:rsidR="00E94E9D" w:rsidRPr="005E5C1E" w14:paraId="071B8048" w14:textId="77777777" w:rsidTr="00E65045">
        <w:trPr>
          <w:trHeight w:val="202"/>
          <w:jc w:val="center"/>
        </w:trPr>
        <w:tc>
          <w:tcPr>
            <w:tcW w:w="1182" w:type="pct"/>
            <w:vMerge/>
          </w:tcPr>
          <w:p w14:paraId="2C186976" w14:textId="77777777" w:rsidR="00E94E9D" w:rsidRPr="005E5C1E" w:rsidRDefault="00E94E9D" w:rsidP="008E36A5">
            <w:pPr>
              <w:jc w:val="center"/>
              <w:rPr>
                <w:rFonts w:asciiTheme="majorBidi" w:hAnsiTheme="majorBidi" w:cstheme="majorBidi"/>
                <w:sz w:val="24"/>
                <w:szCs w:val="24"/>
              </w:rPr>
            </w:pPr>
          </w:p>
        </w:tc>
        <w:tc>
          <w:tcPr>
            <w:tcW w:w="470" w:type="pct"/>
          </w:tcPr>
          <w:p w14:paraId="3F9290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3" w:type="pct"/>
          </w:tcPr>
          <w:p w14:paraId="74C93C5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75" w:type="pct"/>
          </w:tcPr>
          <w:p w14:paraId="671CE73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506" w:type="pct"/>
          </w:tcPr>
          <w:p w14:paraId="5ADE19F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63" w:type="pct"/>
          </w:tcPr>
          <w:p w14:paraId="159615E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9" w:type="pct"/>
          </w:tcPr>
          <w:p w14:paraId="39D339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505" w:type="pct"/>
          </w:tcPr>
          <w:p w14:paraId="7754A38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463" w:type="pct"/>
          </w:tcPr>
          <w:p w14:paraId="0511634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r>
      <w:tr w:rsidR="00E94E9D" w:rsidRPr="005E5C1E" w14:paraId="6D25216C" w14:textId="77777777" w:rsidTr="00E65045">
        <w:trPr>
          <w:trHeight w:val="383"/>
          <w:jc w:val="center"/>
        </w:trPr>
        <w:tc>
          <w:tcPr>
            <w:tcW w:w="1182" w:type="pct"/>
          </w:tcPr>
          <w:p w14:paraId="4514EE92" w14:textId="77777777" w:rsidR="00E94E9D" w:rsidRPr="005E5C1E" w:rsidRDefault="00E94E9D" w:rsidP="008E36A5">
            <w:pPr>
              <w:rPr>
                <w:rFonts w:asciiTheme="majorBidi" w:hAnsiTheme="majorBidi" w:cstheme="majorBidi"/>
                <w:sz w:val="24"/>
                <w:szCs w:val="24"/>
              </w:rPr>
            </w:pPr>
            <w:bookmarkStart w:id="17" w:name="_Hlk188630639"/>
            <w:r w:rsidRPr="005E5C1E">
              <w:rPr>
                <w:rFonts w:asciiTheme="majorBidi" w:hAnsiTheme="majorBidi" w:cstheme="majorBidi"/>
                <w:sz w:val="24"/>
                <w:szCs w:val="24"/>
              </w:rPr>
              <w:t>T1:Eucalyptus+Mentha+Tulsi</w:t>
            </w:r>
            <w:bookmarkEnd w:id="17"/>
          </w:p>
        </w:tc>
        <w:tc>
          <w:tcPr>
            <w:tcW w:w="470" w:type="pct"/>
            <w:vAlign w:val="center"/>
          </w:tcPr>
          <w:p w14:paraId="4F113B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227.83</w:t>
            </w:r>
            <w:r w:rsidRPr="005E5C1E">
              <w:rPr>
                <w:rFonts w:asciiTheme="majorBidi" w:hAnsiTheme="majorBidi" w:cstheme="majorBidi"/>
                <w:sz w:val="24"/>
                <w:szCs w:val="24"/>
                <w:vertAlign w:val="superscript"/>
              </w:rPr>
              <w:t>a</w:t>
            </w:r>
          </w:p>
        </w:tc>
        <w:tc>
          <w:tcPr>
            <w:tcW w:w="463" w:type="pct"/>
            <w:vAlign w:val="center"/>
          </w:tcPr>
          <w:p w14:paraId="6325270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3.189</w:t>
            </w:r>
          </w:p>
        </w:tc>
        <w:tc>
          <w:tcPr>
            <w:tcW w:w="475" w:type="pct"/>
            <w:vAlign w:val="center"/>
          </w:tcPr>
          <w:p w14:paraId="2357C70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230.17</w:t>
            </w:r>
            <w:r w:rsidRPr="005E5C1E">
              <w:rPr>
                <w:rFonts w:asciiTheme="majorBidi" w:hAnsiTheme="majorBidi" w:cstheme="majorBidi"/>
                <w:sz w:val="24"/>
                <w:szCs w:val="24"/>
                <w:vertAlign w:val="superscript"/>
              </w:rPr>
              <w:t>a</w:t>
            </w:r>
          </w:p>
        </w:tc>
        <w:tc>
          <w:tcPr>
            <w:tcW w:w="506" w:type="pct"/>
            <w:vAlign w:val="center"/>
          </w:tcPr>
          <w:p w14:paraId="797A74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4.180</w:t>
            </w:r>
          </w:p>
        </w:tc>
        <w:tc>
          <w:tcPr>
            <w:tcW w:w="463" w:type="pct"/>
            <w:vAlign w:val="center"/>
          </w:tcPr>
          <w:p w14:paraId="69DF33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213.33</w:t>
            </w:r>
            <w:r w:rsidRPr="005E5C1E">
              <w:rPr>
                <w:rFonts w:asciiTheme="majorBidi" w:hAnsiTheme="majorBidi" w:cstheme="majorBidi"/>
                <w:sz w:val="24"/>
                <w:szCs w:val="24"/>
                <w:vertAlign w:val="superscript"/>
              </w:rPr>
              <w:t>a</w:t>
            </w:r>
          </w:p>
        </w:tc>
        <w:tc>
          <w:tcPr>
            <w:tcW w:w="469" w:type="pct"/>
            <w:vAlign w:val="center"/>
          </w:tcPr>
          <w:p w14:paraId="32D28E1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3.626</w:t>
            </w:r>
          </w:p>
        </w:tc>
        <w:tc>
          <w:tcPr>
            <w:tcW w:w="505" w:type="pct"/>
            <w:vAlign w:val="center"/>
          </w:tcPr>
          <w:p w14:paraId="52A2140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214.98</w:t>
            </w:r>
            <w:r w:rsidRPr="005E5C1E">
              <w:rPr>
                <w:rFonts w:asciiTheme="majorBidi" w:hAnsiTheme="majorBidi" w:cstheme="majorBidi"/>
                <w:sz w:val="24"/>
                <w:szCs w:val="24"/>
                <w:vertAlign w:val="superscript"/>
              </w:rPr>
              <w:t>a</w:t>
            </w:r>
          </w:p>
        </w:tc>
        <w:tc>
          <w:tcPr>
            <w:tcW w:w="463" w:type="pct"/>
            <w:vAlign w:val="center"/>
          </w:tcPr>
          <w:p w14:paraId="2EE6F3D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3.655</w:t>
            </w:r>
          </w:p>
        </w:tc>
      </w:tr>
      <w:tr w:rsidR="00E94E9D" w:rsidRPr="005E5C1E" w14:paraId="02CEC058" w14:textId="77777777" w:rsidTr="00E65045">
        <w:trPr>
          <w:trHeight w:val="368"/>
          <w:jc w:val="center"/>
        </w:trPr>
        <w:tc>
          <w:tcPr>
            <w:tcW w:w="1182" w:type="pct"/>
          </w:tcPr>
          <w:p w14:paraId="44800D6B" w14:textId="77777777" w:rsidR="00E94E9D" w:rsidRPr="005E5C1E" w:rsidRDefault="00E94E9D" w:rsidP="008E36A5">
            <w:pPr>
              <w:rPr>
                <w:rFonts w:asciiTheme="majorBidi" w:hAnsiTheme="majorBidi" w:cstheme="majorBidi"/>
                <w:sz w:val="24"/>
                <w:szCs w:val="24"/>
              </w:rPr>
            </w:pPr>
            <w:bookmarkStart w:id="18" w:name="_Hlk188630567"/>
            <w:r w:rsidRPr="005E5C1E">
              <w:rPr>
                <w:rFonts w:asciiTheme="majorBidi" w:hAnsiTheme="majorBidi" w:cstheme="majorBidi"/>
                <w:sz w:val="24"/>
                <w:szCs w:val="24"/>
              </w:rPr>
              <w:t>T2:E</w:t>
            </w:r>
            <w:r>
              <w:rPr>
                <w:rFonts w:asciiTheme="majorBidi" w:hAnsiTheme="majorBidi" w:cstheme="majorBidi"/>
                <w:sz w:val="24"/>
                <w:szCs w:val="24"/>
              </w:rPr>
              <w:t>uc</w:t>
            </w:r>
            <w:r w:rsidRPr="005E5C1E">
              <w:rPr>
                <w:rFonts w:asciiTheme="majorBidi" w:hAnsiTheme="majorBidi" w:cstheme="majorBidi"/>
                <w:sz w:val="24"/>
                <w:szCs w:val="24"/>
              </w:rPr>
              <w:t>alyptus+Mentha</w:t>
            </w:r>
            <w:bookmarkEnd w:id="18"/>
          </w:p>
        </w:tc>
        <w:tc>
          <w:tcPr>
            <w:tcW w:w="470" w:type="pct"/>
            <w:vAlign w:val="center"/>
          </w:tcPr>
          <w:p w14:paraId="7F8F8BF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232.55</w:t>
            </w:r>
            <w:r w:rsidRPr="005E5C1E">
              <w:rPr>
                <w:rFonts w:asciiTheme="majorBidi" w:hAnsiTheme="majorBidi" w:cstheme="majorBidi"/>
                <w:sz w:val="24"/>
                <w:szCs w:val="24"/>
                <w:vertAlign w:val="superscript"/>
              </w:rPr>
              <w:t>a</w:t>
            </w:r>
          </w:p>
        </w:tc>
        <w:tc>
          <w:tcPr>
            <w:tcW w:w="463" w:type="pct"/>
            <w:vAlign w:val="center"/>
          </w:tcPr>
          <w:p w14:paraId="40F9C1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2.885</w:t>
            </w:r>
          </w:p>
        </w:tc>
        <w:tc>
          <w:tcPr>
            <w:tcW w:w="475" w:type="pct"/>
            <w:vAlign w:val="center"/>
          </w:tcPr>
          <w:p w14:paraId="48924FB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235.35</w:t>
            </w:r>
            <w:r w:rsidRPr="005E5C1E">
              <w:rPr>
                <w:rFonts w:asciiTheme="majorBidi" w:hAnsiTheme="majorBidi" w:cstheme="majorBidi"/>
                <w:sz w:val="24"/>
                <w:szCs w:val="24"/>
                <w:vertAlign w:val="superscript"/>
              </w:rPr>
              <w:t>a</w:t>
            </w:r>
          </w:p>
        </w:tc>
        <w:tc>
          <w:tcPr>
            <w:tcW w:w="506" w:type="pct"/>
            <w:vAlign w:val="center"/>
          </w:tcPr>
          <w:p w14:paraId="3009AB9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5.932</w:t>
            </w:r>
          </w:p>
        </w:tc>
        <w:tc>
          <w:tcPr>
            <w:tcW w:w="463" w:type="pct"/>
            <w:vAlign w:val="center"/>
          </w:tcPr>
          <w:p w14:paraId="7E07FCC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220.91</w:t>
            </w:r>
            <w:r w:rsidRPr="005E5C1E">
              <w:rPr>
                <w:rFonts w:asciiTheme="majorBidi" w:hAnsiTheme="majorBidi" w:cstheme="majorBidi"/>
                <w:sz w:val="24"/>
                <w:szCs w:val="24"/>
                <w:vertAlign w:val="superscript"/>
              </w:rPr>
              <w:t>a</w:t>
            </w:r>
          </w:p>
        </w:tc>
        <w:tc>
          <w:tcPr>
            <w:tcW w:w="469" w:type="pct"/>
            <w:vAlign w:val="center"/>
          </w:tcPr>
          <w:p w14:paraId="1379E22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2.809</w:t>
            </w:r>
          </w:p>
        </w:tc>
        <w:tc>
          <w:tcPr>
            <w:tcW w:w="505" w:type="pct"/>
            <w:vAlign w:val="center"/>
          </w:tcPr>
          <w:p w14:paraId="45E57C9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221.75</w:t>
            </w:r>
            <w:r w:rsidRPr="005E5C1E">
              <w:rPr>
                <w:rFonts w:asciiTheme="majorBidi" w:hAnsiTheme="majorBidi" w:cstheme="majorBidi"/>
                <w:sz w:val="24"/>
                <w:szCs w:val="24"/>
                <w:vertAlign w:val="superscript"/>
              </w:rPr>
              <w:t>a</w:t>
            </w:r>
          </w:p>
        </w:tc>
        <w:tc>
          <w:tcPr>
            <w:tcW w:w="463" w:type="pct"/>
            <w:vAlign w:val="center"/>
          </w:tcPr>
          <w:p w14:paraId="0FE9437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r>
      <w:tr w:rsidR="00E94E9D" w:rsidRPr="005E5C1E" w14:paraId="3C0592E1" w14:textId="77777777" w:rsidTr="00E65045">
        <w:trPr>
          <w:trHeight w:val="383"/>
          <w:jc w:val="center"/>
        </w:trPr>
        <w:tc>
          <w:tcPr>
            <w:tcW w:w="1182" w:type="pct"/>
          </w:tcPr>
          <w:p w14:paraId="50B5B0B5" w14:textId="77777777" w:rsidR="00E94E9D" w:rsidRPr="005E5C1E" w:rsidRDefault="00E94E9D" w:rsidP="008E36A5">
            <w:pPr>
              <w:rPr>
                <w:rFonts w:asciiTheme="majorBidi" w:hAnsiTheme="majorBidi" w:cstheme="majorBidi"/>
                <w:sz w:val="24"/>
                <w:szCs w:val="24"/>
              </w:rPr>
            </w:pPr>
            <w:bookmarkStart w:id="19" w:name="_Hlk188630466"/>
            <w:r w:rsidRPr="005E5C1E">
              <w:rPr>
                <w:rFonts w:asciiTheme="majorBidi" w:hAnsiTheme="majorBidi" w:cstheme="majorBidi"/>
                <w:sz w:val="24"/>
                <w:szCs w:val="24"/>
              </w:rPr>
              <w:t>T3:Eucalyptus+Tulsi</w:t>
            </w:r>
            <w:bookmarkEnd w:id="19"/>
          </w:p>
        </w:tc>
        <w:tc>
          <w:tcPr>
            <w:tcW w:w="470" w:type="pct"/>
            <w:vAlign w:val="center"/>
          </w:tcPr>
          <w:p w14:paraId="6548E73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238.54</w:t>
            </w:r>
            <w:r w:rsidRPr="005E5C1E">
              <w:rPr>
                <w:rFonts w:asciiTheme="majorBidi" w:hAnsiTheme="majorBidi" w:cstheme="majorBidi"/>
                <w:sz w:val="24"/>
                <w:szCs w:val="24"/>
                <w:vertAlign w:val="superscript"/>
              </w:rPr>
              <w:t>a</w:t>
            </w:r>
          </w:p>
        </w:tc>
        <w:tc>
          <w:tcPr>
            <w:tcW w:w="463" w:type="pct"/>
            <w:vAlign w:val="center"/>
          </w:tcPr>
          <w:p w14:paraId="38DA590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4.269</w:t>
            </w:r>
          </w:p>
        </w:tc>
        <w:tc>
          <w:tcPr>
            <w:tcW w:w="475" w:type="pct"/>
            <w:vAlign w:val="center"/>
          </w:tcPr>
          <w:p w14:paraId="2B96690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241.91</w:t>
            </w:r>
            <w:r w:rsidRPr="005E5C1E">
              <w:rPr>
                <w:rFonts w:asciiTheme="majorBidi" w:hAnsiTheme="majorBidi" w:cstheme="majorBidi"/>
                <w:sz w:val="24"/>
                <w:szCs w:val="24"/>
                <w:vertAlign w:val="superscript"/>
              </w:rPr>
              <w:t>a</w:t>
            </w:r>
          </w:p>
        </w:tc>
        <w:tc>
          <w:tcPr>
            <w:tcW w:w="506" w:type="pct"/>
            <w:vAlign w:val="center"/>
          </w:tcPr>
          <w:p w14:paraId="444781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c>
          <w:tcPr>
            <w:tcW w:w="463" w:type="pct"/>
            <w:vAlign w:val="center"/>
          </w:tcPr>
          <w:p w14:paraId="06406E3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226.09</w:t>
            </w:r>
            <w:r w:rsidRPr="005E5C1E">
              <w:rPr>
                <w:rFonts w:asciiTheme="majorBidi" w:hAnsiTheme="majorBidi" w:cstheme="majorBidi"/>
                <w:sz w:val="24"/>
                <w:szCs w:val="24"/>
                <w:vertAlign w:val="superscript"/>
              </w:rPr>
              <w:t>a</w:t>
            </w:r>
          </w:p>
        </w:tc>
        <w:tc>
          <w:tcPr>
            <w:tcW w:w="469" w:type="pct"/>
            <w:vAlign w:val="center"/>
          </w:tcPr>
          <w:p w14:paraId="70D1BFF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3.833</w:t>
            </w:r>
          </w:p>
        </w:tc>
        <w:tc>
          <w:tcPr>
            <w:tcW w:w="505" w:type="pct"/>
            <w:vAlign w:val="center"/>
          </w:tcPr>
          <w:p w14:paraId="39BF8F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228.05</w:t>
            </w:r>
            <w:r w:rsidRPr="005E5C1E">
              <w:rPr>
                <w:rFonts w:asciiTheme="majorBidi" w:hAnsiTheme="majorBidi" w:cstheme="majorBidi"/>
                <w:sz w:val="24"/>
                <w:szCs w:val="24"/>
                <w:vertAlign w:val="superscript"/>
              </w:rPr>
              <w:t>a</w:t>
            </w:r>
          </w:p>
        </w:tc>
        <w:tc>
          <w:tcPr>
            <w:tcW w:w="463" w:type="pct"/>
            <w:vAlign w:val="center"/>
          </w:tcPr>
          <w:p w14:paraId="04EE10C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4.388</w:t>
            </w:r>
          </w:p>
        </w:tc>
      </w:tr>
      <w:tr w:rsidR="00E94E9D" w:rsidRPr="005E5C1E" w14:paraId="75EB26A9" w14:textId="77777777" w:rsidTr="00E65045">
        <w:trPr>
          <w:trHeight w:val="368"/>
          <w:jc w:val="center"/>
        </w:trPr>
        <w:tc>
          <w:tcPr>
            <w:tcW w:w="1182" w:type="pct"/>
          </w:tcPr>
          <w:p w14:paraId="3CE0A89E" w14:textId="77777777" w:rsidR="00E94E9D" w:rsidRPr="005E5C1E" w:rsidRDefault="00E94E9D" w:rsidP="008E36A5">
            <w:pPr>
              <w:rPr>
                <w:rFonts w:asciiTheme="majorBidi" w:hAnsiTheme="majorBidi" w:cstheme="majorBidi"/>
                <w:sz w:val="24"/>
                <w:szCs w:val="24"/>
              </w:rPr>
            </w:pPr>
            <w:bookmarkStart w:id="20" w:name="_Hlk188630839"/>
            <w:r w:rsidRPr="005E5C1E">
              <w:rPr>
                <w:rFonts w:asciiTheme="majorBidi" w:hAnsiTheme="majorBidi" w:cstheme="majorBidi"/>
                <w:sz w:val="24"/>
                <w:szCs w:val="24"/>
              </w:rPr>
              <w:t>T4:Eucalyptus Sole</w:t>
            </w:r>
            <w:bookmarkEnd w:id="20"/>
          </w:p>
        </w:tc>
        <w:tc>
          <w:tcPr>
            <w:tcW w:w="470" w:type="pct"/>
            <w:vAlign w:val="center"/>
          </w:tcPr>
          <w:p w14:paraId="11B177F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225.67</w:t>
            </w:r>
            <w:r w:rsidRPr="005E5C1E">
              <w:rPr>
                <w:rFonts w:asciiTheme="majorBidi" w:hAnsiTheme="majorBidi" w:cstheme="majorBidi"/>
                <w:sz w:val="24"/>
                <w:szCs w:val="24"/>
                <w:vertAlign w:val="superscript"/>
              </w:rPr>
              <w:t>a</w:t>
            </w:r>
          </w:p>
        </w:tc>
        <w:tc>
          <w:tcPr>
            <w:tcW w:w="463" w:type="pct"/>
            <w:vAlign w:val="center"/>
          </w:tcPr>
          <w:p w14:paraId="6052F10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1.627</w:t>
            </w:r>
          </w:p>
        </w:tc>
        <w:tc>
          <w:tcPr>
            <w:tcW w:w="475" w:type="pct"/>
            <w:vAlign w:val="center"/>
          </w:tcPr>
          <w:p w14:paraId="68F668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227.38</w:t>
            </w:r>
            <w:r w:rsidRPr="005E5C1E">
              <w:rPr>
                <w:rFonts w:asciiTheme="majorBidi" w:hAnsiTheme="majorBidi" w:cstheme="majorBidi"/>
                <w:sz w:val="24"/>
                <w:szCs w:val="24"/>
                <w:vertAlign w:val="superscript"/>
              </w:rPr>
              <w:t>a</w:t>
            </w:r>
          </w:p>
        </w:tc>
        <w:tc>
          <w:tcPr>
            <w:tcW w:w="506" w:type="pct"/>
            <w:vAlign w:val="center"/>
          </w:tcPr>
          <w:p w14:paraId="501E40B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2.402</w:t>
            </w:r>
          </w:p>
        </w:tc>
        <w:tc>
          <w:tcPr>
            <w:tcW w:w="463" w:type="pct"/>
            <w:vAlign w:val="center"/>
          </w:tcPr>
          <w:p w14:paraId="33A626B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211.58</w:t>
            </w:r>
            <w:r w:rsidRPr="005E5C1E">
              <w:rPr>
                <w:rFonts w:asciiTheme="majorBidi" w:hAnsiTheme="majorBidi" w:cstheme="majorBidi"/>
                <w:sz w:val="24"/>
                <w:szCs w:val="24"/>
                <w:vertAlign w:val="superscript"/>
              </w:rPr>
              <w:t>a</w:t>
            </w:r>
          </w:p>
        </w:tc>
        <w:tc>
          <w:tcPr>
            <w:tcW w:w="469" w:type="pct"/>
            <w:vAlign w:val="center"/>
          </w:tcPr>
          <w:p w14:paraId="082914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w:t>
            </w:r>
          </w:p>
        </w:tc>
        <w:tc>
          <w:tcPr>
            <w:tcW w:w="505" w:type="pct"/>
            <w:vAlign w:val="center"/>
          </w:tcPr>
          <w:p w14:paraId="2B07252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211.82</w:t>
            </w:r>
            <w:r w:rsidRPr="005E5C1E">
              <w:rPr>
                <w:rFonts w:asciiTheme="majorBidi" w:hAnsiTheme="majorBidi" w:cstheme="majorBidi"/>
                <w:sz w:val="24"/>
                <w:szCs w:val="24"/>
                <w:vertAlign w:val="superscript"/>
              </w:rPr>
              <w:t>a</w:t>
            </w:r>
          </w:p>
        </w:tc>
        <w:tc>
          <w:tcPr>
            <w:tcW w:w="463" w:type="pct"/>
            <w:vAlign w:val="center"/>
          </w:tcPr>
          <w:p w14:paraId="4C29AD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1.092</w:t>
            </w:r>
          </w:p>
        </w:tc>
      </w:tr>
      <w:tr w:rsidR="00E94E9D" w:rsidRPr="005E5C1E" w14:paraId="5E4CAE1D" w14:textId="77777777" w:rsidTr="00E65045">
        <w:trPr>
          <w:trHeight w:val="383"/>
          <w:jc w:val="center"/>
        </w:trPr>
        <w:tc>
          <w:tcPr>
            <w:tcW w:w="1182" w:type="pct"/>
          </w:tcPr>
          <w:p w14:paraId="5937159B" w14:textId="77777777" w:rsidR="00E94E9D" w:rsidRPr="005E5C1E" w:rsidRDefault="00E94E9D" w:rsidP="008E36A5">
            <w:pPr>
              <w:rPr>
                <w:rFonts w:asciiTheme="majorBidi" w:hAnsiTheme="majorBidi" w:cstheme="majorBidi"/>
                <w:sz w:val="24"/>
                <w:szCs w:val="24"/>
              </w:rPr>
            </w:pPr>
            <w:bookmarkStart w:id="21" w:name="_Hlk188630910"/>
            <w:r w:rsidRPr="005E5C1E">
              <w:rPr>
                <w:rFonts w:asciiTheme="majorBidi" w:hAnsiTheme="majorBidi" w:cstheme="majorBidi"/>
                <w:sz w:val="24"/>
                <w:szCs w:val="24"/>
              </w:rPr>
              <w:t xml:space="preserve">T5:Mentha+ Tulsi Sole </w:t>
            </w:r>
            <w:bookmarkEnd w:id="21"/>
          </w:p>
        </w:tc>
        <w:tc>
          <w:tcPr>
            <w:tcW w:w="470" w:type="pct"/>
            <w:vAlign w:val="center"/>
          </w:tcPr>
          <w:p w14:paraId="3144D10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183.24</w:t>
            </w:r>
            <w:r w:rsidRPr="005E5C1E">
              <w:rPr>
                <w:rFonts w:asciiTheme="majorBidi" w:hAnsiTheme="majorBidi" w:cstheme="majorBidi"/>
                <w:sz w:val="24"/>
                <w:szCs w:val="24"/>
                <w:vertAlign w:val="superscript"/>
              </w:rPr>
              <w:t>b</w:t>
            </w:r>
          </w:p>
        </w:tc>
        <w:tc>
          <w:tcPr>
            <w:tcW w:w="463" w:type="pct"/>
            <w:vAlign w:val="center"/>
          </w:tcPr>
          <w:p w14:paraId="3813945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3.283</w:t>
            </w:r>
          </w:p>
        </w:tc>
        <w:tc>
          <w:tcPr>
            <w:tcW w:w="475" w:type="pct"/>
            <w:vAlign w:val="center"/>
          </w:tcPr>
          <w:p w14:paraId="622FB50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185.47</w:t>
            </w:r>
            <w:r w:rsidRPr="005E5C1E">
              <w:rPr>
                <w:rFonts w:asciiTheme="majorBidi" w:hAnsiTheme="majorBidi" w:cstheme="majorBidi"/>
                <w:sz w:val="24"/>
                <w:szCs w:val="24"/>
                <w:vertAlign w:val="superscript"/>
              </w:rPr>
              <w:t>b</w:t>
            </w:r>
          </w:p>
        </w:tc>
        <w:tc>
          <w:tcPr>
            <w:tcW w:w="506" w:type="pct"/>
            <w:vAlign w:val="center"/>
          </w:tcPr>
          <w:p w14:paraId="5B4100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3.352</w:t>
            </w:r>
          </w:p>
        </w:tc>
        <w:tc>
          <w:tcPr>
            <w:tcW w:w="463" w:type="pct"/>
            <w:vAlign w:val="center"/>
          </w:tcPr>
          <w:p w14:paraId="67C771F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170.54</w:t>
            </w:r>
            <w:r w:rsidRPr="005E5C1E">
              <w:rPr>
                <w:rFonts w:asciiTheme="majorBidi" w:hAnsiTheme="majorBidi" w:cstheme="majorBidi"/>
                <w:sz w:val="24"/>
                <w:szCs w:val="24"/>
                <w:vertAlign w:val="superscript"/>
              </w:rPr>
              <w:t>b</w:t>
            </w:r>
          </w:p>
        </w:tc>
        <w:tc>
          <w:tcPr>
            <w:tcW w:w="469" w:type="pct"/>
            <w:vAlign w:val="center"/>
          </w:tcPr>
          <w:p w14:paraId="696CCA6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3.562</w:t>
            </w:r>
          </w:p>
        </w:tc>
        <w:tc>
          <w:tcPr>
            <w:tcW w:w="505" w:type="pct"/>
            <w:vAlign w:val="center"/>
          </w:tcPr>
          <w:p w14:paraId="0D9CD26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171.08</w:t>
            </w:r>
            <w:r w:rsidRPr="005E5C1E">
              <w:rPr>
                <w:rFonts w:asciiTheme="majorBidi" w:hAnsiTheme="majorBidi" w:cstheme="majorBidi"/>
                <w:sz w:val="24"/>
                <w:szCs w:val="24"/>
                <w:vertAlign w:val="superscript"/>
              </w:rPr>
              <w:t>b</w:t>
            </w:r>
          </w:p>
        </w:tc>
        <w:tc>
          <w:tcPr>
            <w:tcW w:w="463" w:type="pct"/>
            <w:vAlign w:val="center"/>
          </w:tcPr>
          <w:p w14:paraId="54410AE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4.747</w:t>
            </w:r>
          </w:p>
        </w:tc>
      </w:tr>
      <w:tr w:rsidR="00E94E9D" w:rsidRPr="005E5C1E" w14:paraId="3907B7F0" w14:textId="77777777" w:rsidTr="00E65045">
        <w:trPr>
          <w:trHeight w:val="383"/>
          <w:jc w:val="center"/>
        </w:trPr>
        <w:tc>
          <w:tcPr>
            <w:tcW w:w="1182" w:type="pct"/>
          </w:tcPr>
          <w:p w14:paraId="3EC07915" w14:textId="77777777" w:rsidR="00E94E9D" w:rsidRPr="005E5C1E" w:rsidRDefault="00E94E9D" w:rsidP="008E36A5">
            <w:pPr>
              <w:rPr>
                <w:rFonts w:asciiTheme="majorBidi" w:hAnsiTheme="majorBidi" w:cstheme="majorBidi"/>
                <w:b/>
                <w:bCs/>
                <w:sz w:val="24"/>
                <w:szCs w:val="24"/>
              </w:rPr>
            </w:pPr>
            <w:bookmarkStart w:id="22" w:name="_Hlk188632590"/>
            <w:r w:rsidRPr="005E5C1E">
              <w:rPr>
                <w:rFonts w:asciiTheme="majorBidi" w:hAnsiTheme="majorBidi" w:cstheme="majorBidi"/>
                <w:sz w:val="24"/>
                <w:szCs w:val="24"/>
              </w:rPr>
              <w:t>T6:Mentha Sole</w:t>
            </w:r>
            <w:bookmarkEnd w:id="22"/>
          </w:p>
        </w:tc>
        <w:tc>
          <w:tcPr>
            <w:tcW w:w="470" w:type="pct"/>
            <w:vAlign w:val="center"/>
          </w:tcPr>
          <w:p w14:paraId="78F1FFB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188.61</w:t>
            </w:r>
            <w:r w:rsidRPr="005E5C1E">
              <w:rPr>
                <w:rFonts w:asciiTheme="majorBidi" w:hAnsiTheme="majorBidi" w:cstheme="majorBidi"/>
                <w:sz w:val="24"/>
                <w:szCs w:val="24"/>
                <w:vertAlign w:val="superscript"/>
              </w:rPr>
              <w:t>b</w:t>
            </w:r>
          </w:p>
        </w:tc>
        <w:tc>
          <w:tcPr>
            <w:tcW w:w="463" w:type="pct"/>
            <w:vAlign w:val="center"/>
          </w:tcPr>
          <w:p w14:paraId="76EB9DD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4.347</w:t>
            </w:r>
          </w:p>
        </w:tc>
        <w:tc>
          <w:tcPr>
            <w:tcW w:w="475" w:type="pct"/>
            <w:vAlign w:val="center"/>
          </w:tcPr>
          <w:p w14:paraId="481422B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191.04</w:t>
            </w:r>
            <w:r w:rsidRPr="005E5C1E">
              <w:rPr>
                <w:rFonts w:asciiTheme="majorBidi" w:hAnsiTheme="majorBidi" w:cstheme="majorBidi"/>
                <w:sz w:val="24"/>
                <w:szCs w:val="24"/>
                <w:vertAlign w:val="superscript"/>
              </w:rPr>
              <w:t>b</w:t>
            </w:r>
          </w:p>
        </w:tc>
        <w:tc>
          <w:tcPr>
            <w:tcW w:w="506" w:type="pct"/>
            <w:vAlign w:val="center"/>
          </w:tcPr>
          <w:p w14:paraId="4783C06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6.404</w:t>
            </w:r>
          </w:p>
        </w:tc>
        <w:tc>
          <w:tcPr>
            <w:tcW w:w="463" w:type="pct"/>
            <w:vAlign w:val="center"/>
          </w:tcPr>
          <w:p w14:paraId="247A3DE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173.92</w:t>
            </w:r>
            <w:r w:rsidRPr="005E5C1E">
              <w:rPr>
                <w:rFonts w:asciiTheme="majorBidi" w:hAnsiTheme="majorBidi" w:cstheme="majorBidi"/>
                <w:sz w:val="24"/>
                <w:szCs w:val="24"/>
                <w:vertAlign w:val="superscript"/>
              </w:rPr>
              <w:t>b</w:t>
            </w:r>
          </w:p>
        </w:tc>
        <w:tc>
          <w:tcPr>
            <w:tcW w:w="469" w:type="pct"/>
            <w:vAlign w:val="center"/>
          </w:tcPr>
          <w:p w14:paraId="00A505F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4.220</w:t>
            </w:r>
          </w:p>
        </w:tc>
        <w:tc>
          <w:tcPr>
            <w:tcW w:w="505" w:type="pct"/>
            <w:vAlign w:val="center"/>
          </w:tcPr>
          <w:p w14:paraId="55E24F5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174.49</w:t>
            </w:r>
            <w:r w:rsidRPr="005E5C1E">
              <w:rPr>
                <w:rFonts w:asciiTheme="majorBidi" w:hAnsiTheme="majorBidi" w:cstheme="majorBidi"/>
                <w:sz w:val="24"/>
                <w:szCs w:val="24"/>
                <w:vertAlign w:val="superscript"/>
              </w:rPr>
              <w:t>b</w:t>
            </w:r>
          </w:p>
        </w:tc>
        <w:tc>
          <w:tcPr>
            <w:tcW w:w="463" w:type="pct"/>
            <w:vAlign w:val="center"/>
          </w:tcPr>
          <w:p w14:paraId="660A6D1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5.791</w:t>
            </w:r>
          </w:p>
        </w:tc>
      </w:tr>
      <w:tr w:rsidR="00E94E9D" w:rsidRPr="005E5C1E" w14:paraId="61086FA2" w14:textId="77777777" w:rsidTr="00E65045">
        <w:trPr>
          <w:trHeight w:val="368"/>
          <w:jc w:val="center"/>
        </w:trPr>
        <w:tc>
          <w:tcPr>
            <w:tcW w:w="1182" w:type="pct"/>
          </w:tcPr>
          <w:p w14:paraId="78284EF2" w14:textId="77777777" w:rsidR="00E94E9D" w:rsidRPr="005E5C1E" w:rsidRDefault="00E94E9D" w:rsidP="008E36A5">
            <w:pPr>
              <w:rPr>
                <w:rFonts w:asciiTheme="majorBidi" w:hAnsiTheme="majorBidi" w:cstheme="majorBidi"/>
                <w:b/>
                <w:bCs/>
                <w:sz w:val="24"/>
                <w:szCs w:val="24"/>
              </w:rPr>
            </w:pPr>
            <w:bookmarkStart w:id="23" w:name="_Hlk188632550"/>
            <w:r w:rsidRPr="005E5C1E">
              <w:rPr>
                <w:rFonts w:asciiTheme="majorBidi" w:hAnsiTheme="majorBidi" w:cstheme="majorBidi"/>
                <w:sz w:val="24"/>
                <w:szCs w:val="24"/>
              </w:rPr>
              <w:t>T7:Tulsi sole</w:t>
            </w:r>
            <w:bookmarkEnd w:id="23"/>
          </w:p>
        </w:tc>
        <w:tc>
          <w:tcPr>
            <w:tcW w:w="470" w:type="pct"/>
            <w:vAlign w:val="center"/>
          </w:tcPr>
          <w:p w14:paraId="3D69952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191.37</w:t>
            </w:r>
            <w:r w:rsidRPr="005E5C1E">
              <w:rPr>
                <w:rFonts w:asciiTheme="majorBidi" w:hAnsiTheme="majorBidi" w:cstheme="majorBidi"/>
                <w:sz w:val="24"/>
                <w:szCs w:val="24"/>
                <w:vertAlign w:val="superscript"/>
              </w:rPr>
              <w:t>b</w:t>
            </w:r>
          </w:p>
        </w:tc>
        <w:tc>
          <w:tcPr>
            <w:tcW w:w="463" w:type="pct"/>
            <w:vAlign w:val="center"/>
          </w:tcPr>
          <w:p w14:paraId="168C8B2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7.524</w:t>
            </w:r>
          </w:p>
        </w:tc>
        <w:tc>
          <w:tcPr>
            <w:tcW w:w="475" w:type="pct"/>
            <w:vAlign w:val="center"/>
          </w:tcPr>
          <w:p w14:paraId="28C447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195.31</w:t>
            </w:r>
            <w:r w:rsidRPr="005E5C1E">
              <w:rPr>
                <w:rFonts w:asciiTheme="majorBidi" w:hAnsiTheme="majorBidi" w:cstheme="majorBidi"/>
                <w:sz w:val="24"/>
                <w:szCs w:val="24"/>
                <w:vertAlign w:val="superscript"/>
              </w:rPr>
              <w:t>b</w:t>
            </w:r>
          </w:p>
        </w:tc>
        <w:tc>
          <w:tcPr>
            <w:tcW w:w="506" w:type="pct"/>
            <w:vAlign w:val="center"/>
          </w:tcPr>
          <w:p w14:paraId="0CF86AB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8.033</w:t>
            </w:r>
          </w:p>
        </w:tc>
        <w:tc>
          <w:tcPr>
            <w:tcW w:w="463" w:type="pct"/>
            <w:vAlign w:val="center"/>
          </w:tcPr>
          <w:p w14:paraId="3121FD0A"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179.43</w:t>
            </w:r>
            <w:r w:rsidRPr="005E5C1E">
              <w:rPr>
                <w:rFonts w:asciiTheme="majorBidi" w:hAnsiTheme="majorBidi" w:cstheme="majorBidi"/>
                <w:sz w:val="24"/>
                <w:szCs w:val="24"/>
                <w:vertAlign w:val="superscript"/>
              </w:rPr>
              <w:t>b</w:t>
            </w:r>
          </w:p>
        </w:tc>
        <w:tc>
          <w:tcPr>
            <w:tcW w:w="469" w:type="pct"/>
            <w:vAlign w:val="center"/>
          </w:tcPr>
          <w:p w14:paraId="7FF5425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7.934</w:t>
            </w:r>
          </w:p>
        </w:tc>
        <w:tc>
          <w:tcPr>
            <w:tcW w:w="505" w:type="pct"/>
            <w:vAlign w:val="center"/>
          </w:tcPr>
          <w:p w14:paraId="7EFE2DE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181.61</w:t>
            </w:r>
            <w:r w:rsidRPr="005E5C1E">
              <w:rPr>
                <w:rFonts w:asciiTheme="majorBidi" w:hAnsiTheme="majorBidi" w:cstheme="majorBidi"/>
                <w:sz w:val="24"/>
                <w:szCs w:val="24"/>
                <w:vertAlign w:val="superscript"/>
              </w:rPr>
              <w:t>b</w:t>
            </w:r>
          </w:p>
        </w:tc>
        <w:tc>
          <w:tcPr>
            <w:tcW w:w="463" w:type="pct"/>
            <w:vAlign w:val="center"/>
          </w:tcPr>
          <w:p w14:paraId="78333F1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8.039</w:t>
            </w:r>
          </w:p>
        </w:tc>
      </w:tr>
      <w:tr w:rsidR="00E94E9D" w:rsidRPr="005E5C1E" w14:paraId="741C53FD" w14:textId="77777777" w:rsidTr="00E65045">
        <w:trPr>
          <w:trHeight w:val="368"/>
          <w:jc w:val="center"/>
        </w:trPr>
        <w:tc>
          <w:tcPr>
            <w:tcW w:w="1182" w:type="pct"/>
          </w:tcPr>
          <w:p w14:paraId="1BAF73B1" w14:textId="77777777" w:rsidR="00E94E9D" w:rsidRPr="005E5C1E" w:rsidRDefault="00E94E9D" w:rsidP="008E36A5">
            <w:pPr>
              <w:rPr>
                <w:rFonts w:asciiTheme="majorBidi" w:hAnsiTheme="majorBidi" w:cstheme="majorBidi"/>
                <w:sz w:val="24"/>
                <w:szCs w:val="24"/>
              </w:rPr>
            </w:pPr>
            <w:r w:rsidRPr="005E5C1E">
              <w:rPr>
                <w:rFonts w:asciiTheme="majorBidi" w:hAnsiTheme="majorBidi" w:cstheme="majorBidi"/>
                <w:b/>
                <w:bCs/>
                <w:sz w:val="24"/>
                <w:szCs w:val="24"/>
              </w:rPr>
              <w:t>Mean Value</w:t>
            </w:r>
          </w:p>
        </w:tc>
        <w:tc>
          <w:tcPr>
            <w:tcW w:w="470" w:type="pct"/>
            <w:vAlign w:val="center"/>
          </w:tcPr>
          <w:p w14:paraId="34F61EF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212.55</w:t>
            </w:r>
          </w:p>
        </w:tc>
        <w:tc>
          <w:tcPr>
            <w:tcW w:w="463" w:type="pct"/>
            <w:vAlign w:val="center"/>
          </w:tcPr>
          <w:p w14:paraId="610F0F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19DFC60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215.23</w:t>
            </w:r>
          </w:p>
        </w:tc>
        <w:tc>
          <w:tcPr>
            <w:tcW w:w="506" w:type="pct"/>
            <w:vAlign w:val="center"/>
          </w:tcPr>
          <w:p w14:paraId="38BDF93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6B0E0BD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199.40</w:t>
            </w:r>
          </w:p>
        </w:tc>
        <w:tc>
          <w:tcPr>
            <w:tcW w:w="469" w:type="pct"/>
            <w:vAlign w:val="center"/>
          </w:tcPr>
          <w:p w14:paraId="14EA24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58849F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200.54</w:t>
            </w:r>
          </w:p>
        </w:tc>
        <w:tc>
          <w:tcPr>
            <w:tcW w:w="463" w:type="pct"/>
            <w:vAlign w:val="center"/>
          </w:tcPr>
          <w:p w14:paraId="088BBE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12CECF34" w14:textId="77777777" w:rsidTr="00E65045">
        <w:trPr>
          <w:trHeight w:val="368"/>
          <w:jc w:val="center"/>
        </w:trPr>
        <w:tc>
          <w:tcPr>
            <w:tcW w:w="1182" w:type="pct"/>
          </w:tcPr>
          <w:p w14:paraId="7DCF11A2"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F-Calculated</w:t>
            </w:r>
          </w:p>
        </w:tc>
        <w:tc>
          <w:tcPr>
            <w:tcW w:w="470" w:type="pct"/>
            <w:vAlign w:val="center"/>
          </w:tcPr>
          <w:p w14:paraId="0BE4767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28.12</w:t>
            </w:r>
          </w:p>
        </w:tc>
        <w:tc>
          <w:tcPr>
            <w:tcW w:w="463" w:type="pct"/>
            <w:vAlign w:val="center"/>
          </w:tcPr>
          <w:p w14:paraId="56A10AB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7B241E3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18.63</w:t>
            </w:r>
          </w:p>
        </w:tc>
        <w:tc>
          <w:tcPr>
            <w:tcW w:w="506" w:type="pct"/>
            <w:vAlign w:val="center"/>
          </w:tcPr>
          <w:p w14:paraId="33A8E0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70AFEC3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26.22</w:t>
            </w:r>
          </w:p>
        </w:tc>
        <w:tc>
          <w:tcPr>
            <w:tcW w:w="469" w:type="pct"/>
            <w:vAlign w:val="center"/>
          </w:tcPr>
          <w:p w14:paraId="2805C23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FF86F5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22.13</w:t>
            </w:r>
          </w:p>
        </w:tc>
        <w:tc>
          <w:tcPr>
            <w:tcW w:w="463" w:type="pct"/>
            <w:vAlign w:val="center"/>
          </w:tcPr>
          <w:p w14:paraId="78D4B27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08B6FA66" w14:textId="77777777" w:rsidTr="00E65045">
        <w:trPr>
          <w:trHeight w:val="368"/>
          <w:jc w:val="center"/>
        </w:trPr>
        <w:tc>
          <w:tcPr>
            <w:tcW w:w="1182" w:type="pct"/>
          </w:tcPr>
          <w:p w14:paraId="22EFC73F"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p-value</w:t>
            </w:r>
          </w:p>
        </w:tc>
        <w:tc>
          <w:tcPr>
            <w:tcW w:w="470" w:type="pct"/>
            <w:vAlign w:val="center"/>
          </w:tcPr>
          <w:p w14:paraId="63BB8F0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2D6BFD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22F29D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506" w:type="pct"/>
            <w:vAlign w:val="center"/>
          </w:tcPr>
          <w:p w14:paraId="5096963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3C0C81B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9" w:type="pct"/>
            <w:vAlign w:val="center"/>
          </w:tcPr>
          <w:p w14:paraId="46D8E78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0A36F9A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7A14BD8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4761068F" w14:textId="77777777" w:rsidTr="00E65045">
        <w:trPr>
          <w:trHeight w:val="368"/>
          <w:jc w:val="center"/>
        </w:trPr>
        <w:tc>
          <w:tcPr>
            <w:tcW w:w="1182" w:type="pct"/>
            <w:vAlign w:val="center"/>
          </w:tcPr>
          <w:p w14:paraId="6EB0CA5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Initial nitrogen (Kg/ha)</w:t>
            </w:r>
          </w:p>
        </w:tc>
        <w:tc>
          <w:tcPr>
            <w:tcW w:w="1914" w:type="pct"/>
            <w:gridSpan w:val="4"/>
            <w:vAlign w:val="center"/>
          </w:tcPr>
          <w:p w14:paraId="0F4F10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- 223.11</w:t>
            </w:r>
          </w:p>
          <w:p w14:paraId="6731F3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181.03</w:t>
            </w:r>
          </w:p>
        </w:tc>
        <w:tc>
          <w:tcPr>
            <w:tcW w:w="1900" w:type="pct"/>
            <w:gridSpan w:val="4"/>
            <w:vAlign w:val="center"/>
          </w:tcPr>
          <w:p w14:paraId="0267B8A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208.16</w:t>
            </w:r>
          </w:p>
          <w:p w14:paraId="60235A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168.10</w:t>
            </w:r>
          </w:p>
        </w:tc>
      </w:tr>
    </w:tbl>
    <w:p w14:paraId="7045709E" w14:textId="77777777" w:rsidR="00E94E9D" w:rsidRDefault="00E94E9D" w:rsidP="008E36A5">
      <w:pPr>
        <w:spacing w:after="0" w:line="360" w:lineRule="auto"/>
        <w:jc w:val="both"/>
        <w:rPr>
          <w:rFonts w:asciiTheme="majorBidi" w:hAnsiTheme="majorBidi" w:cstheme="majorBidi"/>
          <w:sz w:val="24"/>
          <w:szCs w:val="24"/>
        </w:rPr>
      </w:pPr>
    </w:p>
    <w:p w14:paraId="4CE3D5FE" w14:textId="77777777" w:rsidR="00E94E9D" w:rsidRDefault="00E94E9D" w:rsidP="008E36A5">
      <w:pPr>
        <w:spacing w:after="0" w:line="240" w:lineRule="auto"/>
        <w:ind w:left="993" w:hanging="993"/>
        <w:jc w:val="center"/>
        <w:rPr>
          <w:rFonts w:asciiTheme="majorBidi" w:hAnsiTheme="majorBidi" w:cstheme="majorBidi"/>
          <w:b/>
          <w:bCs/>
          <w:sz w:val="24"/>
          <w:szCs w:val="24"/>
        </w:rPr>
      </w:pPr>
    </w:p>
    <w:p w14:paraId="32FE40FB" w14:textId="4BED0FF1"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lastRenderedPageBreak/>
        <w:t>Table 4</w:t>
      </w:r>
      <w:r w:rsidRPr="007E0448">
        <w:rPr>
          <w:rFonts w:asciiTheme="majorBidi" w:hAnsiTheme="majorBidi" w:cstheme="majorBidi"/>
          <w:sz w:val="24"/>
          <w:szCs w:val="24"/>
        </w:rPr>
        <w:t xml:space="preserve"> Available </w:t>
      </w:r>
      <w:bookmarkStart w:id="24" w:name="_Hlk188633102"/>
      <w:r w:rsidRPr="007E0448">
        <w:rPr>
          <w:rFonts w:asciiTheme="majorBidi" w:hAnsiTheme="majorBidi" w:cstheme="majorBidi"/>
          <w:sz w:val="24"/>
          <w:szCs w:val="24"/>
        </w:rPr>
        <w:t xml:space="preserve">phosphorous (Kg/ha) </w:t>
      </w:r>
      <w:bookmarkEnd w:id="24"/>
      <w:r w:rsidRPr="007E0448">
        <w:rPr>
          <w:rFonts w:asciiTheme="majorBidi" w:hAnsiTheme="majorBidi" w:cstheme="majorBidi"/>
          <w:sz w:val="24"/>
          <w:szCs w:val="24"/>
        </w:rPr>
        <w:t>at the depth of 0-15cm and 15-30 cm in the agroforestry system in sole and combinations</w:t>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506990" w14:paraId="2932A0BF" w14:textId="77777777" w:rsidTr="00E65045">
        <w:trPr>
          <w:trHeight w:val="383"/>
          <w:jc w:val="center"/>
        </w:trPr>
        <w:tc>
          <w:tcPr>
            <w:tcW w:w="3161" w:type="dxa"/>
            <w:vMerge w:val="restart"/>
          </w:tcPr>
          <w:p w14:paraId="5F0FA018"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Treatments name</w:t>
            </w:r>
          </w:p>
        </w:tc>
        <w:tc>
          <w:tcPr>
            <w:tcW w:w="5116" w:type="dxa"/>
            <w:gridSpan w:val="4"/>
          </w:tcPr>
          <w:p w14:paraId="757D9A6C"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0-15 cm</w:t>
            </w:r>
          </w:p>
        </w:tc>
        <w:tc>
          <w:tcPr>
            <w:tcW w:w="5091" w:type="dxa"/>
            <w:gridSpan w:val="5"/>
          </w:tcPr>
          <w:p w14:paraId="6E9A1C0A"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15-30 cm</w:t>
            </w:r>
          </w:p>
        </w:tc>
      </w:tr>
      <w:tr w:rsidR="00E94E9D" w:rsidRPr="00506990" w14:paraId="56C43F40" w14:textId="77777777" w:rsidTr="00E65045">
        <w:trPr>
          <w:gridAfter w:val="1"/>
          <w:wAfter w:w="11" w:type="dxa"/>
          <w:trHeight w:val="202"/>
          <w:jc w:val="center"/>
        </w:trPr>
        <w:tc>
          <w:tcPr>
            <w:tcW w:w="3161" w:type="dxa"/>
            <w:vMerge/>
          </w:tcPr>
          <w:p w14:paraId="164D95A2" w14:textId="77777777" w:rsidR="00E94E9D" w:rsidRPr="00506990" w:rsidRDefault="00E94E9D" w:rsidP="008E36A5">
            <w:pPr>
              <w:jc w:val="center"/>
              <w:rPr>
                <w:rFonts w:asciiTheme="majorBidi" w:hAnsiTheme="majorBidi" w:cstheme="majorBidi"/>
                <w:sz w:val="24"/>
                <w:szCs w:val="24"/>
              </w:rPr>
            </w:pPr>
          </w:p>
        </w:tc>
        <w:tc>
          <w:tcPr>
            <w:tcW w:w="1256" w:type="dxa"/>
          </w:tcPr>
          <w:p w14:paraId="39721DF3"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1237" w:type="dxa"/>
          </w:tcPr>
          <w:p w14:paraId="69F3D2A9"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271" w:type="dxa"/>
          </w:tcPr>
          <w:p w14:paraId="49E58000"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1352" w:type="dxa"/>
          </w:tcPr>
          <w:p w14:paraId="046C5B57"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238" w:type="dxa"/>
          </w:tcPr>
          <w:p w14:paraId="4BF8DC3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1254" w:type="dxa"/>
          </w:tcPr>
          <w:p w14:paraId="2524177F"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351" w:type="dxa"/>
          </w:tcPr>
          <w:p w14:paraId="74A638D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1237" w:type="dxa"/>
          </w:tcPr>
          <w:p w14:paraId="27DFFB9B"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r>
      <w:tr w:rsidR="00E94E9D" w:rsidRPr="00506990" w14:paraId="5104B2F9" w14:textId="77777777" w:rsidTr="00E65045">
        <w:trPr>
          <w:gridAfter w:val="1"/>
          <w:wAfter w:w="11" w:type="dxa"/>
          <w:trHeight w:val="383"/>
          <w:jc w:val="center"/>
        </w:trPr>
        <w:tc>
          <w:tcPr>
            <w:tcW w:w="3161" w:type="dxa"/>
          </w:tcPr>
          <w:p w14:paraId="41BB613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T1:Eucalyptus+Mentha+Tulsi</w:t>
            </w:r>
          </w:p>
        </w:tc>
        <w:tc>
          <w:tcPr>
            <w:tcW w:w="1256" w:type="dxa"/>
            <w:vAlign w:val="center"/>
          </w:tcPr>
          <w:p w14:paraId="4C8CD16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23.44</w:t>
            </w:r>
            <w:r w:rsidRPr="005E5C1E">
              <w:rPr>
                <w:rFonts w:asciiTheme="majorBidi" w:hAnsiTheme="majorBidi" w:cstheme="majorBidi"/>
                <w:sz w:val="24"/>
                <w:szCs w:val="24"/>
                <w:vertAlign w:val="superscript"/>
              </w:rPr>
              <w:t>bc</w:t>
            </w:r>
          </w:p>
        </w:tc>
        <w:tc>
          <w:tcPr>
            <w:tcW w:w="1237" w:type="dxa"/>
            <w:vAlign w:val="center"/>
          </w:tcPr>
          <w:p w14:paraId="5149F0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0.878</w:t>
            </w:r>
          </w:p>
        </w:tc>
        <w:tc>
          <w:tcPr>
            <w:tcW w:w="1271" w:type="dxa"/>
            <w:vAlign w:val="center"/>
          </w:tcPr>
          <w:p w14:paraId="1CA7AB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23.93</w:t>
            </w:r>
            <w:r w:rsidRPr="005E5C1E">
              <w:rPr>
                <w:rFonts w:asciiTheme="majorBidi" w:hAnsiTheme="majorBidi" w:cstheme="majorBidi"/>
                <w:sz w:val="24"/>
                <w:szCs w:val="24"/>
                <w:vertAlign w:val="superscript"/>
              </w:rPr>
              <w:t>b</w:t>
            </w:r>
          </w:p>
        </w:tc>
        <w:tc>
          <w:tcPr>
            <w:tcW w:w="1352" w:type="dxa"/>
            <w:vAlign w:val="center"/>
          </w:tcPr>
          <w:p w14:paraId="676C700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1.357</w:t>
            </w:r>
          </w:p>
        </w:tc>
        <w:tc>
          <w:tcPr>
            <w:tcW w:w="1238" w:type="dxa"/>
            <w:vAlign w:val="center"/>
          </w:tcPr>
          <w:p w14:paraId="46136E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19.63</w:t>
            </w:r>
            <w:r w:rsidRPr="005E5C1E">
              <w:rPr>
                <w:rFonts w:asciiTheme="majorBidi" w:hAnsiTheme="majorBidi" w:cstheme="majorBidi"/>
                <w:sz w:val="24"/>
                <w:szCs w:val="24"/>
                <w:vertAlign w:val="superscript"/>
              </w:rPr>
              <w:t>b</w:t>
            </w:r>
          </w:p>
        </w:tc>
        <w:tc>
          <w:tcPr>
            <w:tcW w:w="1254" w:type="dxa"/>
            <w:vAlign w:val="center"/>
          </w:tcPr>
          <w:p w14:paraId="729349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0.475</w:t>
            </w:r>
          </w:p>
        </w:tc>
        <w:tc>
          <w:tcPr>
            <w:tcW w:w="1351" w:type="dxa"/>
            <w:vAlign w:val="center"/>
          </w:tcPr>
          <w:p w14:paraId="177861D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19.88</w:t>
            </w:r>
            <w:r w:rsidRPr="005E5C1E">
              <w:rPr>
                <w:rFonts w:asciiTheme="majorBidi" w:hAnsiTheme="majorBidi" w:cstheme="majorBidi"/>
                <w:sz w:val="24"/>
                <w:szCs w:val="24"/>
                <w:vertAlign w:val="superscript"/>
              </w:rPr>
              <w:t>b</w:t>
            </w:r>
          </w:p>
        </w:tc>
        <w:tc>
          <w:tcPr>
            <w:tcW w:w="1237" w:type="dxa"/>
            <w:vAlign w:val="center"/>
          </w:tcPr>
          <w:p w14:paraId="004E25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0.412</w:t>
            </w:r>
          </w:p>
        </w:tc>
      </w:tr>
      <w:tr w:rsidR="00E94E9D" w:rsidRPr="00506990" w14:paraId="4DE81461" w14:textId="77777777" w:rsidTr="00E65045">
        <w:trPr>
          <w:gridAfter w:val="1"/>
          <w:wAfter w:w="11" w:type="dxa"/>
          <w:trHeight w:val="368"/>
          <w:jc w:val="center"/>
        </w:trPr>
        <w:tc>
          <w:tcPr>
            <w:tcW w:w="3161" w:type="dxa"/>
          </w:tcPr>
          <w:p w14:paraId="3C52DF3D"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T2:E</w:t>
            </w:r>
            <w:r>
              <w:rPr>
                <w:rFonts w:asciiTheme="majorBidi" w:hAnsiTheme="majorBidi" w:cstheme="majorBidi"/>
                <w:sz w:val="24"/>
                <w:szCs w:val="24"/>
              </w:rPr>
              <w:t>uc</w:t>
            </w:r>
            <w:r w:rsidRPr="00506990">
              <w:rPr>
                <w:rFonts w:asciiTheme="majorBidi" w:hAnsiTheme="majorBidi" w:cstheme="majorBidi"/>
                <w:sz w:val="24"/>
                <w:szCs w:val="24"/>
              </w:rPr>
              <w:t>alyptus+Mentha</w:t>
            </w:r>
          </w:p>
        </w:tc>
        <w:tc>
          <w:tcPr>
            <w:tcW w:w="1256" w:type="dxa"/>
            <w:vAlign w:val="center"/>
          </w:tcPr>
          <w:p w14:paraId="524AF4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26.07</w:t>
            </w:r>
            <w:r w:rsidRPr="005E5C1E">
              <w:rPr>
                <w:rFonts w:asciiTheme="majorBidi" w:hAnsiTheme="majorBidi" w:cstheme="majorBidi"/>
                <w:sz w:val="24"/>
                <w:szCs w:val="24"/>
                <w:vertAlign w:val="superscript"/>
              </w:rPr>
              <w:t>ab</w:t>
            </w:r>
          </w:p>
        </w:tc>
        <w:tc>
          <w:tcPr>
            <w:tcW w:w="1237" w:type="dxa"/>
            <w:vAlign w:val="center"/>
          </w:tcPr>
          <w:p w14:paraId="209DA3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2.516</w:t>
            </w:r>
          </w:p>
        </w:tc>
        <w:tc>
          <w:tcPr>
            <w:tcW w:w="1271" w:type="dxa"/>
            <w:vAlign w:val="center"/>
          </w:tcPr>
          <w:p w14:paraId="5A9FE9B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27.13</w:t>
            </w:r>
            <w:r w:rsidRPr="005E5C1E">
              <w:rPr>
                <w:rFonts w:asciiTheme="majorBidi" w:hAnsiTheme="majorBidi" w:cstheme="majorBidi"/>
                <w:sz w:val="24"/>
                <w:szCs w:val="24"/>
                <w:vertAlign w:val="superscript"/>
              </w:rPr>
              <w:t>a</w:t>
            </w:r>
          </w:p>
        </w:tc>
        <w:tc>
          <w:tcPr>
            <w:tcW w:w="1352" w:type="dxa"/>
            <w:vAlign w:val="center"/>
          </w:tcPr>
          <w:p w14:paraId="43D52F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2.078</w:t>
            </w:r>
          </w:p>
        </w:tc>
        <w:tc>
          <w:tcPr>
            <w:tcW w:w="1238" w:type="dxa"/>
            <w:vAlign w:val="center"/>
          </w:tcPr>
          <w:p w14:paraId="648DFE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22.57</w:t>
            </w:r>
            <w:r w:rsidRPr="005E5C1E">
              <w:rPr>
                <w:rFonts w:asciiTheme="majorBidi" w:hAnsiTheme="majorBidi" w:cstheme="majorBidi"/>
                <w:sz w:val="24"/>
                <w:szCs w:val="24"/>
                <w:vertAlign w:val="superscript"/>
              </w:rPr>
              <w:t>a</w:t>
            </w:r>
          </w:p>
        </w:tc>
        <w:tc>
          <w:tcPr>
            <w:tcW w:w="1254" w:type="dxa"/>
            <w:vAlign w:val="center"/>
          </w:tcPr>
          <w:p w14:paraId="366B48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2.218</w:t>
            </w:r>
          </w:p>
        </w:tc>
        <w:tc>
          <w:tcPr>
            <w:tcW w:w="1351" w:type="dxa"/>
            <w:vAlign w:val="center"/>
          </w:tcPr>
          <w:p w14:paraId="4CBFC8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23.43</w:t>
            </w:r>
            <w:r w:rsidRPr="005E5C1E">
              <w:rPr>
                <w:rFonts w:asciiTheme="majorBidi" w:hAnsiTheme="majorBidi" w:cstheme="majorBidi"/>
                <w:sz w:val="24"/>
                <w:szCs w:val="24"/>
                <w:vertAlign w:val="superscript"/>
              </w:rPr>
              <w:t>a</w:t>
            </w:r>
          </w:p>
        </w:tc>
        <w:tc>
          <w:tcPr>
            <w:tcW w:w="1237" w:type="dxa"/>
            <w:vAlign w:val="center"/>
          </w:tcPr>
          <w:p w14:paraId="746B27F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2.357</w:t>
            </w:r>
          </w:p>
        </w:tc>
      </w:tr>
      <w:tr w:rsidR="00E94E9D" w:rsidRPr="00506990" w14:paraId="45FDE1A4" w14:textId="77777777" w:rsidTr="00E65045">
        <w:trPr>
          <w:gridAfter w:val="1"/>
          <w:wAfter w:w="11" w:type="dxa"/>
          <w:trHeight w:val="383"/>
          <w:jc w:val="center"/>
        </w:trPr>
        <w:tc>
          <w:tcPr>
            <w:tcW w:w="3161" w:type="dxa"/>
          </w:tcPr>
          <w:p w14:paraId="5B62A02F" w14:textId="77777777" w:rsidR="00E94E9D" w:rsidRPr="00506990" w:rsidRDefault="00E94E9D" w:rsidP="008E36A5">
            <w:pPr>
              <w:rPr>
                <w:rFonts w:asciiTheme="majorBidi" w:hAnsiTheme="majorBidi" w:cstheme="majorBidi"/>
                <w:sz w:val="24"/>
                <w:szCs w:val="24"/>
              </w:rPr>
            </w:pPr>
            <w:bookmarkStart w:id="25" w:name="_Hlk188633581"/>
            <w:r w:rsidRPr="00506990">
              <w:rPr>
                <w:rFonts w:asciiTheme="majorBidi" w:hAnsiTheme="majorBidi" w:cstheme="majorBidi"/>
                <w:sz w:val="24"/>
                <w:szCs w:val="24"/>
              </w:rPr>
              <w:t>T3:Eucalyptus+Tulsi</w:t>
            </w:r>
            <w:bookmarkEnd w:id="25"/>
          </w:p>
        </w:tc>
        <w:tc>
          <w:tcPr>
            <w:tcW w:w="1256" w:type="dxa"/>
            <w:vAlign w:val="center"/>
          </w:tcPr>
          <w:p w14:paraId="71A807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28.65</w:t>
            </w:r>
            <w:r w:rsidRPr="005E5C1E">
              <w:rPr>
                <w:rFonts w:asciiTheme="majorBidi" w:hAnsiTheme="majorBidi" w:cstheme="majorBidi"/>
                <w:sz w:val="24"/>
                <w:szCs w:val="24"/>
                <w:vertAlign w:val="superscript"/>
              </w:rPr>
              <w:t>a</w:t>
            </w:r>
          </w:p>
        </w:tc>
        <w:tc>
          <w:tcPr>
            <w:tcW w:w="1237" w:type="dxa"/>
            <w:vAlign w:val="center"/>
          </w:tcPr>
          <w:p w14:paraId="564171A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1.099</w:t>
            </w:r>
          </w:p>
        </w:tc>
        <w:tc>
          <w:tcPr>
            <w:tcW w:w="1271" w:type="dxa"/>
            <w:vAlign w:val="center"/>
          </w:tcPr>
          <w:p w14:paraId="27B14C6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29.05</w:t>
            </w:r>
            <w:r w:rsidRPr="005E5C1E">
              <w:rPr>
                <w:rFonts w:asciiTheme="majorBidi" w:hAnsiTheme="majorBidi" w:cstheme="majorBidi"/>
                <w:sz w:val="24"/>
                <w:szCs w:val="24"/>
                <w:vertAlign w:val="superscript"/>
              </w:rPr>
              <w:t>a</w:t>
            </w:r>
          </w:p>
        </w:tc>
        <w:tc>
          <w:tcPr>
            <w:tcW w:w="1352" w:type="dxa"/>
            <w:vAlign w:val="center"/>
          </w:tcPr>
          <w:p w14:paraId="57CD3B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0.638</w:t>
            </w:r>
          </w:p>
        </w:tc>
        <w:tc>
          <w:tcPr>
            <w:tcW w:w="1238" w:type="dxa"/>
            <w:vAlign w:val="center"/>
          </w:tcPr>
          <w:p w14:paraId="7781B10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24.83</w:t>
            </w:r>
            <w:r w:rsidRPr="005E5C1E">
              <w:rPr>
                <w:rFonts w:asciiTheme="majorBidi" w:hAnsiTheme="majorBidi" w:cstheme="majorBidi"/>
                <w:sz w:val="24"/>
                <w:szCs w:val="24"/>
                <w:vertAlign w:val="superscript"/>
              </w:rPr>
              <w:t>a</w:t>
            </w:r>
          </w:p>
        </w:tc>
        <w:tc>
          <w:tcPr>
            <w:tcW w:w="1254" w:type="dxa"/>
            <w:vAlign w:val="center"/>
          </w:tcPr>
          <w:p w14:paraId="4570DB3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1.133</w:t>
            </w:r>
          </w:p>
        </w:tc>
        <w:tc>
          <w:tcPr>
            <w:tcW w:w="1351" w:type="dxa"/>
            <w:vAlign w:val="center"/>
          </w:tcPr>
          <w:p w14:paraId="1595C0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25.86</w:t>
            </w:r>
            <w:r w:rsidRPr="005E5C1E">
              <w:rPr>
                <w:rFonts w:asciiTheme="majorBidi" w:hAnsiTheme="majorBidi" w:cstheme="majorBidi"/>
                <w:sz w:val="24"/>
                <w:szCs w:val="24"/>
                <w:vertAlign w:val="superscript"/>
              </w:rPr>
              <w:t>a</w:t>
            </w:r>
          </w:p>
        </w:tc>
        <w:tc>
          <w:tcPr>
            <w:tcW w:w="1237" w:type="dxa"/>
            <w:vAlign w:val="center"/>
          </w:tcPr>
          <w:p w14:paraId="2D0C25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1.153</w:t>
            </w:r>
          </w:p>
        </w:tc>
      </w:tr>
      <w:tr w:rsidR="00E94E9D" w:rsidRPr="00506990" w14:paraId="56211583" w14:textId="77777777" w:rsidTr="00E65045">
        <w:trPr>
          <w:gridAfter w:val="1"/>
          <w:wAfter w:w="11" w:type="dxa"/>
          <w:trHeight w:val="368"/>
          <w:jc w:val="center"/>
        </w:trPr>
        <w:tc>
          <w:tcPr>
            <w:tcW w:w="3161" w:type="dxa"/>
          </w:tcPr>
          <w:p w14:paraId="37C61ECE"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T4:Eucalyptus Sole</w:t>
            </w:r>
          </w:p>
        </w:tc>
        <w:tc>
          <w:tcPr>
            <w:tcW w:w="1256" w:type="dxa"/>
            <w:vAlign w:val="center"/>
          </w:tcPr>
          <w:p w14:paraId="469890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22.05</w:t>
            </w:r>
            <w:r w:rsidRPr="005E5C1E">
              <w:rPr>
                <w:rFonts w:asciiTheme="majorBidi" w:hAnsiTheme="majorBidi" w:cstheme="majorBidi"/>
                <w:sz w:val="24"/>
                <w:szCs w:val="24"/>
                <w:vertAlign w:val="superscript"/>
              </w:rPr>
              <w:t>cd</w:t>
            </w:r>
          </w:p>
        </w:tc>
        <w:tc>
          <w:tcPr>
            <w:tcW w:w="1237" w:type="dxa"/>
            <w:vAlign w:val="center"/>
          </w:tcPr>
          <w:p w14:paraId="65EFBC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0.583</w:t>
            </w:r>
          </w:p>
        </w:tc>
        <w:tc>
          <w:tcPr>
            <w:tcW w:w="1271" w:type="dxa"/>
            <w:vAlign w:val="center"/>
          </w:tcPr>
          <w:p w14:paraId="392C184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22.15</w:t>
            </w:r>
            <w:r w:rsidRPr="005E5C1E">
              <w:rPr>
                <w:rFonts w:asciiTheme="majorBidi" w:hAnsiTheme="majorBidi" w:cstheme="majorBidi"/>
                <w:sz w:val="24"/>
                <w:szCs w:val="24"/>
                <w:vertAlign w:val="superscript"/>
              </w:rPr>
              <w:t>b</w:t>
            </w:r>
          </w:p>
        </w:tc>
        <w:tc>
          <w:tcPr>
            <w:tcW w:w="1352" w:type="dxa"/>
            <w:vAlign w:val="center"/>
          </w:tcPr>
          <w:p w14:paraId="6BAB96D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1.393</w:t>
            </w:r>
          </w:p>
        </w:tc>
        <w:tc>
          <w:tcPr>
            <w:tcW w:w="1238" w:type="dxa"/>
            <w:vAlign w:val="center"/>
          </w:tcPr>
          <w:p w14:paraId="30C74B9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18.28</w:t>
            </w:r>
            <w:r w:rsidRPr="005E5C1E">
              <w:rPr>
                <w:rFonts w:asciiTheme="majorBidi" w:hAnsiTheme="majorBidi" w:cstheme="majorBidi"/>
                <w:sz w:val="24"/>
                <w:szCs w:val="24"/>
                <w:vertAlign w:val="superscript"/>
              </w:rPr>
              <w:t>bc</w:t>
            </w:r>
          </w:p>
        </w:tc>
        <w:tc>
          <w:tcPr>
            <w:tcW w:w="1254" w:type="dxa"/>
            <w:vAlign w:val="center"/>
          </w:tcPr>
          <w:p w14:paraId="68AAC4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0.864</w:t>
            </w:r>
          </w:p>
        </w:tc>
        <w:tc>
          <w:tcPr>
            <w:tcW w:w="1351" w:type="dxa"/>
            <w:vAlign w:val="center"/>
          </w:tcPr>
          <w:p w14:paraId="7A4DD9F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19.76</w:t>
            </w:r>
            <w:r w:rsidRPr="005E5C1E">
              <w:rPr>
                <w:rFonts w:asciiTheme="majorBidi" w:hAnsiTheme="majorBidi" w:cstheme="majorBidi"/>
                <w:sz w:val="24"/>
                <w:szCs w:val="24"/>
                <w:vertAlign w:val="superscript"/>
              </w:rPr>
              <w:t>b</w:t>
            </w:r>
          </w:p>
        </w:tc>
        <w:tc>
          <w:tcPr>
            <w:tcW w:w="1237" w:type="dxa"/>
            <w:vAlign w:val="center"/>
          </w:tcPr>
          <w:p w14:paraId="17B000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0.349</w:t>
            </w:r>
          </w:p>
        </w:tc>
      </w:tr>
      <w:tr w:rsidR="00E94E9D" w:rsidRPr="00506990" w14:paraId="5F27F3A1" w14:textId="77777777" w:rsidTr="00E65045">
        <w:trPr>
          <w:gridAfter w:val="1"/>
          <w:wAfter w:w="11" w:type="dxa"/>
          <w:trHeight w:val="383"/>
          <w:jc w:val="center"/>
        </w:trPr>
        <w:tc>
          <w:tcPr>
            <w:tcW w:w="3161" w:type="dxa"/>
          </w:tcPr>
          <w:p w14:paraId="4E431503" w14:textId="77777777" w:rsidR="00E94E9D" w:rsidRPr="00506990" w:rsidRDefault="00E94E9D" w:rsidP="008E36A5">
            <w:pPr>
              <w:rPr>
                <w:rFonts w:asciiTheme="majorBidi" w:hAnsiTheme="majorBidi" w:cstheme="majorBidi"/>
                <w:sz w:val="24"/>
                <w:szCs w:val="24"/>
              </w:rPr>
            </w:pPr>
            <w:bookmarkStart w:id="26" w:name="_Hlk188633719"/>
            <w:r w:rsidRPr="00506990">
              <w:rPr>
                <w:rFonts w:asciiTheme="majorBidi" w:hAnsiTheme="majorBidi" w:cstheme="majorBidi"/>
                <w:sz w:val="24"/>
                <w:szCs w:val="24"/>
              </w:rPr>
              <w:t xml:space="preserve">T5:Mentha+ Tulsi Sole </w:t>
            </w:r>
            <w:bookmarkEnd w:id="26"/>
          </w:p>
        </w:tc>
        <w:tc>
          <w:tcPr>
            <w:tcW w:w="1256" w:type="dxa"/>
            <w:vAlign w:val="center"/>
          </w:tcPr>
          <w:p w14:paraId="7E89E6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16.98</w:t>
            </w:r>
            <w:r w:rsidRPr="005E5C1E">
              <w:rPr>
                <w:rFonts w:asciiTheme="majorBidi" w:hAnsiTheme="majorBidi" w:cstheme="majorBidi"/>
                <w:sz w:val="24"/>
                <w:szCs w:val="24"/>
                <w:vertAlign w:val="superscript"/>
              </w:rPr>
              <w:t>e</w:t>
            </w:r>
          </w:p>
        </w:tc>
        <w:tc>
          <w:tcPr>
            <w:tcW w:w="1237" w:type="dxa"/>
            <w:vAlign w:val="center"/>
          </w:tcPr>
          <w:p w14:paraId="0B5A22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0.420</w:t>
            </w:r>
          </w:p>
        </w:tc>
        <w:tc>
          <w:tcPr>
            <w:tcW w:w="1271" w:type="dxa"/>
            <w:vAlign w:val="center"/>
          </w:tcPr>
          <w:p w14:paraId="1BD9B5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17.33</w:t>
            </w:r>
            <w:r w:rsidRPr="005E5C1E">
              <w:rPr>
                <w:rFonts w:asciiTheme="majorBidi" w:hAnsiTheme="majorBidi" w:cstheme="majorBidi"/>
                <w:sz w:val="24"/>
                <w:szCs w:val="24"/>
                <w:vertAlign w:val="superscript"/>
              </w:rPr>
              <w:t>c</w:t>
            </w:r>
          </w:p>
        </w:tc>
        <w:tc>
          <w:tcPr>
            <w:tcW w:w="1352" w:type="dxa"/>
            <w:vAlign w:val="center"/>
          </w:tcPr>
          <w:p w14:paraId="0A213CB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1.138</w:t>
            </w:r>
          </w:p>
        </w:tc>
        <w:tc>
          <w:tcPr>
            <w:tcW w:w="1238" w:type="dxa"/>
            <w:vAlign w:val="center"/>
          </w:tcPr>
          <w:p w14:paraId="382302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13.49</w:t>
            </w:r>
            <w:r w:rsidRPr="005E5C1E">
              <w:rPr>
                <w:rFonts w:asciiTheme="majorBidi" w:hAnsiTheme="majorBidi" w:cstheme="majorBidi"/>
                <w:sz w:val="24"/>
                <w:szCs w:val="24"/>
                <w:vertAlign w:val="superscript"/>
              </w:rPr>
              <w:t>d</w:t>
            </w:r>
          </w:p>
        </w:tc>
        <w:tc>
          <w:tcPr>
            <w:tcW w:w="1254" w:type="dxa"/>
            <w:vAlign w:val="center"/>
          </w:tcPr>
          <w:p w14:paraId="3232801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0.474</w:t>
            </w:r>
          </w:p>
        </w:tc>
        <w:tc>
          <w:tcPr>
            <w:tcW w:w="1351" w:type="dxa"/>
            <w:vAlign w:val="center"/>
          </w:tcPr>
          <w:p w14:paraId="566943C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13.83</w:t>
            </w:r>
            <w:r w:rsidRPr="005E5C1E">
              <w:rPr>
                <w:rFonts w:asciiTheme="majorBidi" w:hAnsiTheme="majorBidi" w:cstheme="majorBidi"/>
                <w:sz w:val="24"/>
                <w:szCs w:val="24"/>
                <w:vertAlign w:val="superscript"/>
              </w:rPr>
              <w:t>d</w:t>
            </w:r>
          </w:p>
        </w:tc>
        <w:tc>
          <w:tcPr>
            <w:tcW w:w="1237" w:type="dxa"/>
            <w:vAlign w:val="center"/>
          </w:tcPr>
          <w:p w14:paraId="1F5A1D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0.427</w:t>
            </w:r>
          </w:p>
        </w:tc>
      </w:tr>
      <w:tr w:rsidR="00E94E9D" w:rsidRPr="00506990" w14:paraId="191E6BF0" w14:textId="77777777" w:rsidTr="00E65045">
        <w:trPr>
          <w:gridAfter w:val="1"/>
          <w:wAfter w:w="11" w:type="dxa"/>
          <w:trHeight w:val="383"/>
          <w:jc w:val="center"/>
        </w:trPr>
        <w:tc>
          <w:tcPr>
            <w:tcW w:w="3161" w:type="dxa"/>
          </w:tcPr>
          <w:p w14:paraId="1ABA4C3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T6:Mentha Sole</w:t>
            </w:r>
          </w:p>
        </w:tc>
        <w:tc>
          <w:tcPr>
            <w:tcW w:w="1256" w:type="dxa"/>
            <w:vAlign w:val="center"/>
          </w:tcPr>
          <w:p w14:paraId="7809D2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18.63</w:t>
            </w:r>
            <w:r w:rsidRPr="005E5C1E">
              <w:rPr>
                <w:rFonts w:asciiTheme="majorBidi" w:hAnsiTheme="majorBidi" w:cstheme="majorBidi"/>
                <w:sz w:val="24"/>
                <w:szCs w:val="24"/>
                <w:vertAlign w:val="superscript"/>
              </w:rPr>
              <w:t>de</w:t>
            </w:r>
          </w:p>
        </w:tc>
        <w:tc>
          <w:tcPr>
            <w:tcW w:w="1237" w:type="dxa"/>
            <w:vAlign w:val="center"/>
          </w:tcPr>
          <w:p w14:paraId="2BDAD5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0.318</w:t>
            </w:r>
          </w:p>
        </w:tc>
        <w:tc>
          <w:tcPr>
            <w:tcW w:w="1271" w:type="dxa"/>
            <w:vAlign w:val="center"/>
          </w:tcPr>
          <w:p w14:paraId="054F8F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19.03</w:t>
            </w:r>
            <w:r w:rsidRPr="005E5C1E">
              <w:rPr>
                <w:rFonts w:asciiTheme="majorBidi" w:hAnsiTheme="majorBidi" w:cstheme="majorBidi"/>
                <w:sz w:val="24"/>
                <w:szCs w:val="24"/>
                <w:vertAlign w:val="superscript"/>
              </w:rPr>
              <w:t>bc</w:t>
            </w:r>
          </w:p>
        </w:tc>
        <w:tc>
          <w:tcPr>
            <w:tcW w:w="1352" w:type="dxa"/>
            <w:vAlign w:val="center"/>
          </w:tcPr>
          <w:p w14:paraId="584C2C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1.155</w:t>
            </w:r>
          </w:p>
        </w:tc>
        <w:tc>
          <w:tcPr>
            <w:tcW w:w="1238" w:type="dxa"/>
            <w:vAlign w:val="center"/>
          </w:tcPr>
          <w:p w14:paraId="7D54D8F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15.49</w:t>
            </w:r>
            <w:r w:rsidRPr="005E5C1E">
              <w:rPr>
                <w:rFonts w:asciiTheme="majorBidi" w:hAnsiTheme="majorBidi" w:cstheme="majorBidi"/>
                <w:sz w:val="24"/>
                <w:szCs w:val="24"/>
                <w:vertAlign w:val="superscript"/>
              </w:rPr>
              <w:t>cd</w:t>
            </w:r>
          </w:p>
        </w:tc>
        <w:tc>
          <w:tcPr>
            <w:tcW w:w="1254" w:type="dxa"/>
            <w:vAlign w:val="center"/>
          </w:tcPr>
          <w:p w14:paraId="3B1520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0.352</w:t>
            </w:r>
          </w:p>
        </w:tc>
        <w:tc>
          <w:tcPr>
            <w:tcW w:w="1351" w:type="dxa"/>
            <w:vAlign w:val="center"/>
          </w:tcPr>
          <w:p w14:paraId="348315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16.36</w:t>
            </w:r>
            <w:r w:rsidRPr="005E5C1E">
              <w:rPr>
                <w:rFonts w:asciiTheme="majorBidi" w:hAnsiTheme="majorBidi" w:cstheme="majorBidi"/>
                <w:sz w:val="24"/>
                <w:szCs w:val="24"/>
                <w:vertAlign w:val="superscript"/>
              </w:rPr>
              <w:t>cd</w:t>
            </w:r>
          </w:p>
        </w:tc>
        <w:tc>
          <w:tcPr>
            <w:tcW w:w="1237" w:type="dxa"/>
            <w:vAlign w:val="center"/>
          </w:tcPr>
          <w:p w14:paraId="23EB68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0.452</w:t>
            </w:r>
          </w:p>
        </w:tc>
      </w:tr>
      <w:tr w:rsidR="00E94E9D" w:rsidRPr="00506990" w14:paraId="5ABA4720" w14:textId="77777777" w:rsidTr="00E65045">
        <w:trPr>
          <w:gridAfter w:val="1"/>
          <w:wAfter w:w="11" w:type="dxa"/>
          <w:trHeight w:val="368"/>
          <w:jc w:val="center"/>
        </w:trPr>
        <w:tc>
          <w:tcPr>
            <w:tcW w:w="3161" w:type="dxa"/>
          </w:tcPr>
          <w:p w14:paraId="3F1F9607"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T7:Tulsi sole</w:t>
            </w:r>
          </w:p>
        </w:tc>
        <w:tc>
          <w:tcPr>
            <w:tcW w:w="1256" w:type="dxa"/>
            <w:vAlign w:val="center"/>
          </w:tcPr>
          <w:p w14:paraId="39CB5B1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20.51</w:t>
            </w:r>
            <w:r w:rsidRPr="005E5C1E">
              <w:rPr>
                <w:rFonts w:asciiTheme="majorBidi" w:hAnsiTheme="majorBidi" w:cstheme="majorBidi"/>
                <w:sz w:val="24"/>
                <w:szCs w:val="24"/>
                <w:vertAlign w:val="superscript"/>
              </w:rPr>
              <w:t>cde</w:t>
            </w:r>
          </w:p>
        </w:tc>
        <w:tc>
          <w:tcPr>
            <w:tcW w:w="1237" w:type="dxa"/>
            <w:vAlign w:val="center"/>
          </w:tcPr>
          <w:p w14:paraId="4972654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0.399</w:t>
            </w:r>
          </w:p>
        </w:tc>
        <w:tc>
          <w:tcPr>
            <w:tcW w:w="1271" w:type="dxa"/>
            <w:vAlign w:val="center"/>
          </w:tcPr>
          <w:p w14:paraId="44A56D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21.14</w:t>
            </w:r>
            <w:r w:rsidRPr="005E5C1E">
              <w:rPr>
                <w:rFonts w:asciiTheme="majorBidi" w:hAnsiTheme="majorBidi" w:cstheme="majorBidi"/>
                <w:sz w:val="24"/>
                <w:szCs w:val="24"/>
                <w:vertAlign w:val="superscript"/>
              </w:rPr>
              <w:t>bc</w:t>
            </w:r>
          </w:p>
        </w:tc>
        <w:tc>
          <w:tcPr>
            <w:tcW w:w="1352" w:type="dxa"/>
            <w:vAlign w:val="center"/>
          </w:tcPr>
          <w:p w14:paraId="1961E8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1.210</w:t>
            </w:r>
          </w:p>
        </w:tc>
        <w:tc>
          <w:tcPr>
            <w:tcW w:w="1238" w:type="dxa"/>
            <w:vAlign w:val="center"/>
          </w:tcPr>
          <w:p w14:paraId="5C1C5E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17.35</w:t>
            </w:r>
            <w:r w:rsidRPr="005E5C1E">
              <w:rPr>
                <w:rFonts w:asciiTheme="majorBidi" w:hAnsiTheme="majorBidi" w:cstheme="majorBidi"/>
                <w:sz w:val="24"/>
                <w:szCs w:val="24"/>
                <w:vertAlign w:val="superscript"/>
              </w:rPr>
              <w:t>bc</w:t>
            </w:r>
          </w:p>
        </w:tc>
        <w:tc>
          <w:tcPr>
            <w:tcW w:w="1254" w:type="dxa"/>
            <w:vAlign w:val="center"/>
          </w:tcPr>
          <w:p w14:paraId="4773735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0.650</w:t>
            </w:r>
          </w:p>
        </w:tc>
        <w:tc>
          <w:tcPr>
            <w:tcW w:w="1351" w:type="dxa"/>
            <w:vAlign w:val="center"/>
          </w:tcPr>
          <w:p w14:paraId="331C62A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18.04</w:t>
            </w:r>
            <w:r w:rsidRPr="005E5C1E">
              <w:rPr>
                <w:rFonts w:asciiTheme="majorBidi" w:hAnsiTheme="majorBidi" w:cstheme="majorBidi"/>
                <w:sz w:val="24"/>
                <w:szCs w:val="24"/>
                <w:vertAlign w:val="superscript"/>
              </w:rPr>
              <w:t>bc</w:t>
            </w:r>
          </w:p>
        </w:tc>
        <w:tc>
          <w:tcPr>
            <w:tcW w:w="1237" w:type="dxa"/>
            <w:vAlign w:val="center"/>
          </w:tcPr>
          <w:p w14:paraId="6301E4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0.688</w:t>
            </w:r>
          </w:p>
        </w:tc>
      </w:tr>
      <w:tr w:rsidR="00E94E9D" w:rsidRPr="00506990" w14:paraId="4AB1152D" w14:textId="77777777" w:rsidTr="00E65045">
        <w:trPr>
          <w:gridAfter w:val="1"/>
          <w:wAfter w:w="11" w:type="dxa"/>
          <w:trHeight w:val="368"/>
          <w:jc w:val="center"/>
        </w:trPr>
        <w:tc>
          <w:tcPr>
            <w:tcW w:w="3161" w:type="dxa"/>
          </w:tcPr>
          <w:p w14:paraId="37477D9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b/>
                <w:bCs/>
                <w:sz w:val="24"/>
                <w:szCs w:val="24"/>
              </w:rPr>
              <w:t>Mean Value</w:t>
            </w:r>
          </w:p>
        </w:tc>
        <w:tc>
          <w:tcPr>
            <w:tcW w:w="1256" w:type="dxa"/>
            <w:vAlign w:val="center"/>
          </w:tcPr>
          <w:p w14:paraId="4CA9604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22.34</w:t>
            </w:r>
          </w:p>
        </w:tc>
        <w:tc>
          <w:tcPr>
            <w:tcW w:w="1237" w:type="dxa"/>
            <w:vAlign w:val="center"/>
          </w:tcPr>
          <w:p w14:paraId="18DF182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41AF396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22.69</w:t>
            </w:r>
          </w:p>
        </w:tc>
        <w:tc>
          <w:tcPr>
            <w:tcW w:w="1352" w:type="dxa"/>
            <w:vAlign w:val="center"/>
          </w:tcPr>
          <w:p w14:paraId="7A3A3A6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26E033C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18.80</w:t>
            </w:r>
          </w:p>
        </w:tc>
        <w:tc>
          <w:tcPr>
            <w:tcW w:w="1254" w:type="dxa"/>
            <w:vAlign w:val="center"/>
          </w:tcPr>
          <w:p w14:paraId="02300E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08BB359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19.60</w:t>
            </w:r>
          </w:p>
        </w:tc>
        <w:tc>
          <w:tcPr>
            <w:tcW w:w="1237" w:type="dxa"/>
            <w:vAlign w:val="center"/>
          </w:tcPr>
          <w:p w14:paraId="110367C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99B3C33" w14:textId="77777777" w:rsidTr="00E65045">
        <w:trPr>
          <w:gridAfter w:val="1"/>
          <w:wAfter w:w="11" w:type="dxa"/>
          <w:trHeight w:val="368"/>
          <w:jc w:val="center"/>
        </w:trPr>
        <w:tc>
          <w:tcPr>
            <w:tcW w:w="3161" w:type="dxa"/>
          </w:tcPr>
          <w:p w14:paraId="06862C6A"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F-Calculated</w:t>
            </w:r>
          </w:p>
        </w:tc>
        <w:tc>
          <w:tcPr>
            <w:tcW w:w="1256" w:type="dxa"/>
            <w:vAlign w:val="center"/>
          </w:tcPr>
          <w:p w14:paraId="64629E3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13.81</w:t>
            </w:r>
          </w:p>
        </w:tc>
        <w:tc>
          <w:tcPr>
            <w:tcW w:w="1237" w:type="dxa"/>
            <w:vAlign w:val="center"/>
          </w:tcPr>
          <w:p w14:paraId="365BCD2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7AD9A3E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11.75</w:t>
            </w:r>
          </w:p>
        </w:tc>
        <w:tc>
          <w:tcPr>
            <w:tcW w:w="1352" w:type="dxa"/>
            <w:vAlign w:val="center"/>
          </w:tcPr>
          <w:p w14:paraId="0A72069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537302A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19.03</w:t>
            </w:r>
          </w:p>
        </w:tc>
        <w:tc>
          <w:tcPr>
            <w:tcW w:w="1254" w:type="dxa"/>
            <w:vAlign w:val="center"/>
          </w:tcPr>
          <w:p w14:paraId="7E39A4E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0478CC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19.11</w:t>
            </w:r>
          </w:p>
        </w:tc>
        <w:tc>
          <w:tcPr>
            <w:tcW w:w="1237" w:type="dxa"/>
            <w:vAlign w:val="center"/>
          </w:tcPr>
          <w:p w14:paraId="295A55D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18B0A81E" w14:textId="77777777" w:rsidTr="00E65045">
        <w:trPr>
          <w:gridAfter w:val="1"/>
          <w:wAfter w:w="11" w:type="dxa"/>
          <w:trHeight w:val="368"/>
          <w:jc w:val="center"/>
        </w:trPr>
        <w:tc>
          <w:tcPr>
            <w:tcW w:w="3161" w:type="dxa"/>
          </w:tcPr>
          <w:p w14:paraId="23611B04"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p-value</w:t>
            </w:r>
          </w:p>
        </w:tc>
        <w:tc>
          <w:tcPr>
            <w:tcW w:w="1256" w:type="dxa"/>
            <w:vAlign w:val="center"/>
          </w:tcPr>
          <w:p w14:paraId="5F561B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0.001</w:t>
            </w:r>
          </w:p>
        </w:tc>
        <w:tc>
          <w:tcPr>
            <w:tcW w:w="1237" w:type="dxa"/>
            <w:vAlign w:val="center"/>
          </w:tcPr>
          <w:p w14:paraId="056BEB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18411F4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0.002</w:t>
            </w:r>
          </w:p>
        </w:tc>
        <w:tc>
          <w:tcPr>
            <w:tcW w:w="1352" w:type="dxa"/>
            <w:vAlign w:val="center"/>
          </w:tcPr>
          <w:p w14:paraId="155A263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3E79A92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1254" w:type="dxa"/>
            <w:vAlign w:val="center"/>
          </w:tcPr>
          <w:p w14:paraId="5C5B49C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352B61B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1237" w:type="dxa"/>
            <w:vAlign w:val="center"/>
          </w:tcPr>
          <w:p w14:paraId="5C50895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4F74AFC" w14:textId="77777777" w:rsidTr="00E65045">
        <w:trPr>
          <w:gridAfter w:val="1"/>
          <w:wAfter w:w="11" w:type="dxa"/>
          <w:trHeight w:val="368"/>
          <w:jc w:val="center"/>
        </w:trPr>
        <w:tc>
          <w:tcPr>
            <w:tcW w:w="3161" w:type="dxa"/>
          </w:tcPr>
          <w:p w14:paraId="4C2E498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 xml:space="preserve">Initial </w:t>
            </w:r>
            <w:r w:rsidRPr="00506990">
              <w:rPr>
                <w:rFonts w:asciiTheme="majorBidi" w:hAnsiTheme="majorBidi" w:cstheme="majorBidi"/>
                <w:b/>
                <w:bCs/>
                <w:sz w:val="24"/>
                <w:szCs w:val="24"/>
                <w:lang w:val="en-US"/>
              </w:rPr>
              <w:t xml:space="preserve">Phosphorous </w:t>
            </w:r>
            <w:r w:rsidRPr="00506990">
              <w:rPr>
                <w:rFonts w:asciiTheme="majorBidi" w:hAnsiTheme="majorBidi" w:cstheme="majorBidi"/>
                <w:b/>
                <w:bCs/>
                <w:sz w:val="24"/>
                <w:szCs w:val="24"/>
              </w:rPr>
              <w:t>(Kg/ha)</w:t>
            </w:r>
          </w:p>
        </w:tc>
        <w:tc>
          <w:tcPr>
            <w:tcW w:w="5116" w:type="dxa"/>
            <w:gridSpan w:val="4"/>
            <w:vAlign w:val="center"/>
          </w:tcPr>
          <w:p w14:paraId="26C6EC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20.41</w:t>
            </w:r>
          </w:p>
          <w:p w14:paraId="3868D02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16.11</w:t>
            </w:r>
          </w:p>
        </w:tc>
        <w:tc>
          <w:tcPr>
            <w:tcW w:w="5080" w:type="dxa"/>
            <w:gridSpan w:val="4"/>
          </w:tcPr>
          <w:p w14:paraId="2806A87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17.23</w:t>
            </w:r>
          </w:p>
          <w:p w14:paraId="227887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12.46</w:t>
            </w:r>
          </w:p>
        </w:tc>
      </w:tr>
    </w:tbl>
    <w:p w14:paraId="1E045AD3" w14:textId="77777777" w:rsidR="00E94E9D" w:rsidRDefault="00E94E9D" w:rsidP="008E36A5">
      <w:pPr>
        <w:spacing w:after="0" w:line="360" w:lineRule="auto"/>
        <w:jc w:val="both"/>
        <w:rPr>
          <w:rFonts w:asciiTheme="majorBidi" w:hAnsiTheme="majorBidi" w:cstheme="majorBidi"/>
          <w:sz w:val="24"/>
          <w:szCs w:val="24"/>
        </w:rPr>
      </w:pPr>
    </w:p>
    <w:p w14:paraId="281D09C0" w14:textId="108A299C" w:rsidR="00E94E9D" w:rsidRPr="005E5C1E" w:rsidRDefault="00E94E9D" w:rsidP="008E36A5">
      <w:pPr>
        <w:spacing w:after="0" w:line="240" w:lineRule="auto"/>
        <w:ind w:left="993" w:hanging="993"/>
        <w:jc w:val="center"/>
        <w:rPr>
          <w:rFonts w:asciiTheme="majorBidi" w:hAnsiTheme="majorBidi" w:cstheme="majorBidi"/>
          <w:sz w:val="24"/>
          <w:szCs w:val="24"/>
        </w:rPr>
      </w:pPr>
      <w:commentRangeStart w:id="27"/>
      <w:r w:rsidRPr="007E0448">
        <w:rPr>
          <w:rFonts w:asciiTheme="majorBidi" w:hAnsiTheme="majorBidi" w:cstheme="majorBidi"/>
          <w:b/>
          <w:bCs/>
          <w:sz w:val="24"/>
          <w:szCs w:val="24"/>
        </w:rPr>
        <w:t xml:space="preserve">Table </w:t>
      </w:r>
      <w:r>
        <w:rPr>
          <w:rFonts w:asciiTheme="majorBidi" w:hAnsiTheme="majorBidi" w:cstheme="majorBidi"/>
          <w:b/>
          <w:bCs/>
          <w:sz w:val="24"/>
          <w:szCs w:val="24"/>
        </w:rPr>
        <w:t>5</w:t>
      </w:r>
      <w:r w:rsidRPr="007E0448">
        <w:rPr>
          <w:rFonts w:asciiTheme="majorBidi" w:hAnsiTheme="majorBidi" w:cstheme="majorBidi"/>
          <w:sz w:val="24"/>
          <w:szCs w:val="24"/>
        </w:rPr>
        <w:t xml:space="preserve"> </w:t>
      </w:r>
      <w:r w:rsidRPr="00087D99">
        <w:rPr>
          <w:rFonts w:asciiTheme="majorBidi" w:hAnsiTheme="majorBidi" w:cstheme="majorBidi"/>
          <w:sz w:val="24"/>
          <w:szCs w:val="24"/>
        </w:rPr>
        <w:t>Available potassium (Kg/ha) at the depth of 0-15cm and 15-30 cm in the agroforestry system in sole and combinations</w:t>
      </w:r>
      <w:commentRangeEnd w:id="27"/>
      <w:r w:rsidR="00FD08C6">
        <w:rPr>
          <w:rStyle w:val="CommentReference"/>
        </w:rPr>
        <w:commentReference w:id="27"/>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2A6D0D51" w14:textId="77777777" w:rsidTr="00E65045">
        <w:trPr>
          <w:trHeight w:val="383"/>
          <w:jc w:val="center"/>
        </w:trPr>
        <w:tc>
          <w:tcPr>
            <w:tcW w:w="3161" w:type="dxa"/>
            <w:vMerge w:val="restart"/>
          </w:tcPr>
          <w:p w14:paraId="7D0BCDF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48E92D95"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3486977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3226A4CF" w14:textId="77777777" w:rsidTr="00E65045">
        <w:trPr>
          <w:gridAfter w:val="1"/>
          <w:wAfter w:w="11" w:type="dxa"/>
          <w:trHeight w:val="202"/>
          <w:jc w:val="center"/>
        </w:trPr>
        <w:tc>
          <w:tcPr>
            <w:tcW w:w="3161" w:type="dxa"/>
            <w:vMerge/>
          </w:tcPr>
          <w:p w14:paraId="34A49D8A" w14:textId="77777777" w:rsidR="00E94E9D" w:rsidRPr="00386AEE" w:rsidRDefault="00E94E9D" w:rsidP="008E36A5">
            <w:pPr>
              <w:jc w:val="center"/>
              <w:rPr>
                <w:rFonts w:asciiTheme="majorBidi" w:hAnsiTheme="majorBidi" w:cstheme="majorBidi"/>
                <w:sz w:val="24"/>
                <w:szCs w:val="24"/>
              </w:rPr>
            </w:pPr>
          </w:p>
        </w:tc>
        <w:tc>
          <w:tcPr>
            <w:tcW w:w="1256" w:type="dxa"/>
          </w:tcPr>
          <w:p w14:paraId="2A3C8B0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6FAF5C5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3576880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F4CD89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621E229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392135B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4A15D4C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42903AA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06FEA84B" w14:textId="77777777" w:rsidTr="00E65045">
        <w:trPr>
          <w:gridAfter w:val="1"/>
          <w:wAfter w:w="11" w:type="dxa"/>
          <w:trHeight w:val="383"/>
          <w:jc w:val="center"/>
        </w:trPr>
        <w:tc>
          <w:tcPr>
            <w:tcW w:w="3161" w:type="dxa"/>
          </w:tcPr>
          <w:p w14:paraId="0F8D5D0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3D35FE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117.90</w:t>
            </w:r>
            <w:r w:rsidRPr="00506990">
              <w:rPr>
                <w:rFonts w:asciiTheme="majorBidi" w:hAnsiTheme="majorBidi" w:cstheme="majorBidi"/>
                <w:sz w:val="24"/>
                <w:szCs w:val="24"/>
                <w:vertAlign w:val="superscript"/>
              </w:rPr>
              <w:t>b</w:t>
            </w:r>
          </w:p>
        </w:tc>
        <w:tc>
          <w:tcPr>
            <w:tcW w:w="1237" w:type="dxa"/>
            <w:vAlign w:val="center"/>
          </w:tcPr>
          <w:p w14:paraId="5B6AA5D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1.095</w:t>
            </w:r>
          </w:p>
        </w:tc>
        <w:tc>
          <w:tcPr>
            <w:tcW w:w="1271" w:type="dxa"/>
            <w:vAlign w:val="center"/>
          </w:tcPr>
          <w:p w14:paraId="256A2F2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125.45</w:t>
            </w:r>
            <w:r w:rsidRPr="00506990">
              <w:rPr>
                <w:rFonts w:asciiTheme="majorBidi" w:hAnsiTheme="majorBidi" w:cstheme="majorBidi"/>
                <w:sz w:val="24"/>
                <w:szCs w:val="24"/>
                <w:vertAlign w:val="superscript"/>
              </w:rPr>
              <w:t>c</w:t>
            </w:r>
          </w:p>
        </w:tc>
        <w:tc>
          <w:tcPr>
            <w:tcW w:w="1352" w:type="dxa"/>
            <w:vAlign w:val="center"/>
          </w:tcPr>
          <w:p w14:paraId="75A0E96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3.569</w:t>
            </w:r>
          </w:p>
        </w:tc>
        <w:tc>
          <w:tcPr>
            <w:tcW w:w="1238" w:type="dxa"/>
            <w:vAlign w:val="center"/>
          </w:tcPr>
          <w:p w14:paraId="3925F6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111.76</w:t>
            </w:r>
            <w:r w:rsidRPr="00506990">
              <w:rPr>
                <w:rFonts w:asciiTheme="majorBidi" w:hAnsiTheme="majorBidi" w:cstheme="majorBidi"/>
                <w:sz w:val="24"/>
                <w:szCs w:val="24"/>
                <w:vertAlign w:val="superscript"/>
              </w:rPr>
              <w:t>bc</w:t>
            </w:r>
          </w:p>
        </w:tc>
        <w:tc>
          <w:tcPr>
            <w:tcW w:w="1254" w:type="dxa"/>
            <w:vAlign w:val="center"/>
          </w:tcPr>
          <w:p w14:paraId="0078B6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1.449</w:t>
            </w:r>
          </w:p>
        </w:tc>
        <w:tc>
          <w:tcPr>
            <w:tcW w:w="1351" w:type="dxa"/>
            <w:vAlign w:val="center"/>
          </w:tcPr>
          <w:p w14:paraId="320A1BD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113.71</w:t>
            </w:r>
            <w:r w:rsidRPr="00506990">
              <w:rPr>
                <w:rFonts w:asciiTheme="majorBidi" w:hAnsiTheme="majorBidi" w:cstheme="majorBidi"/>
                <w:sz w:val="24"/>
                <w:szCs w:val="24"/>
                <w:vertAlign w:val="superscript"/>
              </w:rPr>
              <w:t>bc</w:t>
            </w:r>
          </w:p>
        </w:tc>
        <w:tc>
          <w:tcPr>
            <w:tcW w:w="1237" w:type="dxa"/>
            <w:vAlign w:val="center"/>
          </w:tcPr>
          <w:p w14:paraId="48DAA5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1.573</w:t>
            </w:r>
          </w:p>
        </w:tc>
      </w:tr>
      <w:tr w:rsidR="00E94E9D" w:rsidRPr="00386AEE" w14:paraId="75B1FDD8" w14:textId="77777777" w:rsidTr="00E65045">
        <w:trPr>
          <w:gridAfter w:val="1"/>
          <w:wAfter w:w="11" w:type="dxa"/>
          <w:trHeight w:val="368"/>
          <w:jc w:val="center"/>
        </w:trPr>
        <w:tc>
          <w:tcPr>
            <w:tcW w:w="3161" w:type="dxa"/>
          </w:tcPr>
          <w:p w14:paraId="728AFC3E"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58FBBCC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128.91</w:t>
            </w:r>
            <w:r w:rsidRPr="00506990">
              <w:rPr>
                <w:rFonts w:asciiTheme="majorBidi" w:hAnsiTheme="majorBidi" w:cstheme="majorBidi"/>
                <w:sz w:val="24"/>
                <w:szCs w:val="24"/>
                <w:vertAlign w:val="superscript"/>
              </w:rPr>
              <w:t>a</w:t>
            </w:r>
          </w:p>
        </w:tc>
        <w:tc>
          <w:tcPr>
            <w:tcW w:w="1237" w:type="dxa"/>
            <w:vAlign w:val="center"/>
          </w:tcPr>
          <w:p w14:paraId="4C86DC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0.862</w:t>
            </w:r>
          </w:p>
        </w:tc>
        <w:tc>
          <w:tcPr>
            <w:tcW w:w="1271" w:type="dxa"/>
            <w:vAlign w:val="center"/>
          </w:tcPr>
          <w:p w14:paraId="6CB538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133.40</w:t>
            </w:r>
            <w:r w:rsidRPr="00506990">
              <w:rPr>
                <w:rFonts w:asciiTheme="majorBidi" w:hAnsiTheme="majorBidi" w:cstheme="majorBidi"/>
                <w:sz w:val="24"/>
                <w:szCs w:val="24"/>
                <w:vertAlign w:val="superscript"/>
              </w:rPr>
              <w:t>b</w:t>
            </w:r>
          </w:p>
        </w:tc>
        <w:tc>
          <w:tcPr>
            <w:tcW w:w="1352" w:type="dxa"/>
            <w:vAlign w:val="center"/>
          </w:tcPr>
          <w:p w14:paraId="7F49C0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4.732</w:t>
            </w:r>
          </w:p>
        </w:tc>
        <w:tc>
          <w:tcPr>
            <w:tcW w:w="1238" w:type="dxa"/>
            <w:vAlign w:val="center"/>
          </w:tcPr>
          <w:p w14:paraId="4B7CAD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117.29</w:t>
            </w:r>
            <w:r w:rsidRPr="00506990">
              <w:rPr>
                <w:rFonts w:asciiTheme="majorBidi" w:hAnsiTheme="majorBidi" w:cstheme="majorBidi"/>
                <w:sz w:val="24"/>
                <w:szCs w:val="24"/>
                <w:vertAlign w:val="superscript"/>
              </w:rPr>
              <w:t>ab</w:t>
            </w:r>
          </w:p>
        </w:tc>
        <w:tc>
          <w:tcPr>
            <w:tcW w:w="1254" w:type="dxa"/>
            <w:vAlign w:val="center"/>
          </w:tcPr>
          <w:p w14:paraId="090BA0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2.904</w:t>
            </w:r>
          </w:p>
        </w:tc>
        <w:tc>
          <w:tcPr>
            <w:tcW w:w="1351" w:type="dxa"/>
            <w:vAlign w:val="center"/>
          </w:tcPr>
          <w:p w14:paraId="1E27F7A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120.21</w:t>
            </w:r>
            <w:r w:rsidRPr="00506990">
              <w:rPr>
                <w:rFonts w:asciiTheme="majorBidi" w:hAnsiTheme="majorBidi" w:cstheme="majorBidi"/>
                <w:sz w:val="24"/>
                <w:szCs w:val="24"/>
                <w:vertAlign w:val="superscript"/>
              </w:rPr>
              <w:t>ab</w:t>
            </w:r>
          </w:p>
        </w:tc>
        <w:tc>
          <w:tcPr>
            <w:tcW w:w="1237" w:type="dxa"/>
            <w:vAlign w:val="center"/>
          </w:tcPr>
          <w:p w14:paraId="7E53F3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2.707</w:t>
            </w:r>
          </w:p>
        </w:tc>
      </w:tr>
      <w:tr w:rsidR="00E94E9D" w:rsidRPr="00386AEE" w14:paraId="77D8EF7D" w14:textId="77777777" w:rsidTr="00E65045">
        <w:trPr>
          <w:gridAfter w:val="1"/>
          <w:wAfter w:w="11" w:type="dxa"/>
          <w:trHeight w:val="383"/>
          <w:jc w:val="center"/>
        </w:trPr>
        <w:tc>
          <w:tcPr>
            <w:tcW w:w="3161" w:type="dxa"/>
          </w:tcPr>
          <w:p w14:paraId="4864411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49216E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130.97</w:t>
            </w:r>
            <w:r w:rsidRPr="00506990">
              <w:rPr>
                <w:rFonts w:asciiTheme="majorBidi" w:hAnsiTheme="majorBidi" w:cstheme="majorBidi"/>
                <w:sz w:val="24"/>
                <w:szCs w:val="24"/>
                <w:vertAlign w:val="superscript"/>
              </w:rPr>
              <w:t>a</w:t>
            </w:r>
          </w:p>
        </w:tc>
        <w:tc>
          <w:tcPr>
            <w:tcW w:w="1237" w:type="dxa"/>
            <w:vAlign w:val="center"/>
          </w:tcPr>
          <w:p w14:paraId="229D48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2.579</w:t>
            </w:r>
          </w:p>
        </w:tc>
        <w:tc>
          <w:tcPr>
            <w:tcW w:w="1271" w:type="dxa"/>
            <w:vAlign w:val="center"/>
          </w:tcPr>
          <w:p w14:paraId="06EFDA0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140.08</w:t>
            </w:r>
            <w:r w:rsidRPr="00506990">
              <w:rPr>
                <w:rFonts w:asciiTheme="majorBidi" w:hAnsiTheme="majorBidi" w:cstheme="majorBidi"/>
                <w:sz w:val="24"/>
                <w:szCs w:val="24"/>
                <w:vertAlign w:val="superscript"/>
              </w:rPr>
              <w:t>a</w:t>
            </w:r>
          </w:p>
        </w:tc>
        <w:tc>
          <w:tcPr>
            <w:tcW w:w="1352" w:type="dxa"/>
            <w:vAlign w:val="center"/>
          </w:tcPr>
          <w:p w14:paraId="3A8B4DD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1.457</w:t>
            </w:r>
          </w:p>
        </w:tc>
        <w:tc>
          <w:tcPr>
            <w:tcW w:w="1238" w:type="dxa"/>
            <w:vAlign w:val="center"/>
          </w:tcPr>
          <w:p w14:paraId="0D3676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123.89</w:t>
            </w:r>
            <w:r w:rsidRPr="00506990">
              <w:rPr>
                <w:rFonts w:asciiTheme="majorBidi" w:hAnsiTheme="majorBidi" w:cstheme="majorBidi"/>
                <w:sz w:val="24"/>
                <w:szCs w:val="24"/>
                <w:vertAlign w:val="superscript"/>
              </w:rPr>
              <w:t>a</w:t>
            </w:r>
          </w:p>
        </w:tc>
        <w:tc>
          <w:tcPr>
            <w:tcW w:w="1254" w:type="dxa"/>
            <w:vAlign w:val="center"/>
          </w:tcPr>
          <w:p w14:paraId="7D79FD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3.264</w:t>
            </w:r>
          </w:p>
        </w:tc>
        <w:tc>
          <w:tcPr>
            <w:tcW w:w="1351" w:type="dxa"/>
            <w:vAlign w:val="center"/>
          </w:tcPr>
          <w:p w14:paraId="4BF9717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127.15</w:t>
            </w:r>
            <w:r w:rsidRPr="00506990">
              <w:rPr>
                <w:rFonts w:asciiTheme="majorBidi" w:hAnsiTheme="majorBidi" w:cstheme="majorBidi"/>
                <w:sz w:val="24"/>
                <w:szCs w:val="24"/>
                <w:vertAlign w:val="superscript"/>
              </w:rPr>
              <w:t>a</w:t>
            </w:r>
          </w:p>
        </w:tc>
        <w:tc>
          <w:tcPr>
            <w:tcW w:w="1237" w:type="dxa"/>
            <w:vAlign w:val="center"/>
          </w:tcPr>
          <w:p w14:paraId="3B81A66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3.682</w:t>
            </w:r>
          </w:p>
        </w:tc>
      </w:tr>
      <w:tr w:rsidR="00E94E9D" w:rsidRPr="00386AEE" w14:paraId="4E37BC28" w14:textId="77777777" w:rsidTr="00E65045">
        <w:trPr>
          <w:gridAfter w:val="1"/>
          <w:wAfter w:w="11" w:type="dxa"/>
          <w:trHeight w:val="368"/>
          <w:jc w:val="center"/>
        </w:trPr>
        <w:tc>
          <w:tcPr>
            <w:tcW w:w="3161" w:type="dxa"/>
          </w:tcPr>
          <w:p w14:paraId="5868923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3EBDE8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115.95</w:t>
            </w:r>
            <w:r w:rsidRPr="00506990">
              <w:rPr>
                <w:rFonts w:asciiTheme="majorBidi" w:hAnsiTheme="majorBidi" w:cstheme="majorBidi"/>
                <w:sz w:val="24"/>
                <w:szCs w:val="24"/>
                <w:vertAlign w:val="superscript"/>
              </w:rPr>
              <w:t>bc</w:t>
            </w:r>
          </w:p>
        </w:tc>
        <w:tc>
          <w:tcPr>
            <w:tcW w:w="1237" w:type="dxa"/>
            <w:vAlign w:val="center"/>
          </w:tcPr>
          <w:p w14:paraId="169029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1.724</w:t>
            </w:r>
          </w:p>
        </w:tc>
        <w:tc>
          <w:tcPr>
            <w:tcW w:w="1271" w:type="dxa"/>
            <w:vAlign w:val="center"/>
          </w:tcPr>
          <w:p w14:paraId="339F204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123.73</w:t>
            </w:r>
            <w:r w:rsidRPr="00506990">
              <w:rPr>
                <w:rFonts w:asciiTheme="majorBidi" w:hAnsiTheme="majorBidi" w:cstheme="majorBidi"/>
                <w:sz w:val="24"/>
                <w:szCs w:val="24"/>
                <w:vertAlign w:val="superscript"/>
              </w:rPr>
              <w:t>c</w:t>
            </w:r>
          </w:p>
        </w:tc>
        <w:tc>
          <w:tcPr>
            <w:tcW w:w="1352" w:type="dxa"/>
            <w:vAlign w:val="center"/>
          </w:tcPr>
          <w:p w14:paraId="7AA699C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3.562</w:t>
            </w:r>
          </w:p>
        </w:tc>
        <w:tc>
          <w:tcPr>
            <w:tcW w:w="1238" w:type="dxa"/>
            <w:vAlign w:val="center"/>
          </w:tcPr>
          <w:p w14:paraId="6466AB3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110.86</w:t>
            </w:r>
            <w:r w:rsidRPr="00506990">
              <w:rPr>
                <w:rFonts w:asciiTheme="majorBidi" w:hAnsiTheme="majorBidi" w:cstheme="majorBidi"/>
                <w:sz w:val="24"/>
                <w:szCs w:val="24"/>
                <w:vertAlign w:val="superscript"/>
              </w:rPr>
              <w:t>bcd</w:t>
            </w:r>
          </w:p>
        </w:tc>
        <w:tc>
          <w:tcPr>
            <w:tcW w:w="1254" w:type="dxa"/>
            <w:vAlign w:val="center"/>
          </w:tcPr>
          <w:p w14:paraId="51C3CFF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1.510</w:t>
            </w:r>
          </w:p>
        </w:tc>
        <w:tc>
          <w:tcPr>
            <w:tcW w:w="1351" w:type="dxa"/>
            <w:vAlign w:val="center"/>
          </w:tcPr>
          <w:p w14:paraId="600E5F9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113.31</w:t>
            </w:r>
            <w:r w:rsidRPr="00506990">
              <w:rPr>
                <w:rFonts w:asciiTheme="majorBidi" w:hAnsiTheme="majorBidi" w:cstheme="majorBidi"/>
                <w:sz w:val="24"/>
                <w:szCs w:val="24"/>
                <w:vertAlign w:val="superscript"/>
              </w:rPr>
              <w:t>bc</w:t>
            </w:r>
          </w:p>
        </w:tc>
        <w:tc>
          <w:tcPr>
            <w:tcW w:w="1237" w:type="dxa"/>
            <w:vAlign w:val="center"/>
          </w:tcPr>
          <w:p w14:paraId="22771A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1.094</w:t>
            </w:r>
          </w:p>
        </w:tc>
      </w:tr>
      <w:tr w:rsidR="00E94E9D" w:rsidRPr="00386AEE" w14:paraId="6D6F7F0F" w14:textId="77777777" w:rsidTr="00E65045">
        <w:trPr>
          <w:gridAfter w:val="1"/>
          <w:wAfter w:w="11" w:type="dxa"/>
          <w:trHeight w:val="383"/>
          <w:jc w:val="center"/>
        </w:trPr>
        <w:tc>
          <w:tcPr>
            <w:tcW w:w="3161" w:type="dxa"/>
          </w:tcPr>
          <w:p w14:paraId="4B3A245F"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1092223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102.22</w:t>
            </w:r>
            <w:r w:rsidRPr="00506990">
              <w:rPr>
                <w:rFonts w:asciiTheme="majorBidi" w:hAnsiTheme="majorBidi" w:cstheme="majorBidi"/>
                <w:sz w:val="24"/>
                <w:szCs w:val="24"/>
                <w:vertAlign w:val="superscript"/>
              </w:rPr>
              <w:t>e</w:t>
            </w:r>
          </w:p>
        </w:tc>
        <w:tc>
          <w:tcPr>
            <w:tcW w:w="1237" w:type="dxa"/>
            <w:vAlign w:val="center"/>
          </w:tcPr>
          <w:p w14:paraId="51363E7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2.088</w:t>
            </w:r>
          </w:p>
        </w:tc>
        <w:tc>
          <w:tcPr>
            <w:tcW w:w="1271" w:type="dxa"/>
            <w:vAlign w:val="center"/>
          </w:tcPr>
          <w:p w14:paraId="2907297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110.70</w:t>
            </w:r>
            <w:r w:rsidRPr="00506990">
              <w:rPr>
                <w:rFonts w:asciiTheme="majorBidi" w:hAnsiTheme="majorBidi" w:cstheme="majorBidi"/>
                <w:sz w:val="24"/>
                <w:szCs w:val="24"/>
                <w:vertAlign w:val="superscript"/>
              </w:rPr>
              <w:t>e</w:t>
            </w:r>
          </w:p>
        </w:tc>
        <w:tc>
          <w:tcPr>
            <w:tcW w:w="1352" w:type="dxa"/>
            <w:vAlign w:val="center"/>
          </w:tcPr>
          <w:p w14:paraId="12CE39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4.307</w:t>
            </w:r>
          </w:p>
        </w:tc>
        <w:tc>
          <w:tcPr>
            <w:tcW w:w="1238" w:type="dxa"/>
            <w:vAlign w:val="center"/>
          </w:tcPr>
          <w:p w14:paraId="0C7764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96.76</w:t>
            </w:r>
            <w:r w:rsidRPr="00506990">
              <w:rPr>
                <w:rFonts w:asciiTheme="majorBidi" w:hAnsiTheme="majorBidi" w:cstheme="majorBidi"/>
                <w:sz w:val="24"/>
                <w:szCs w:val="24"/>
                <w:vertAlign w:val="superscript"/>
              </w:rPr>
              <w:t>e</w:t>
            </w:r>
          </w:p>
        </w:tc>
        <w:tc>
          <w:tcPr>
            <w:tcW w:w="1254" w:type="dxa"/>
            <w:vAlign w:val="center"/>
          </w:tcPr>
          <w:p w14:paraId="5B68C58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2.512</w:t>
            </w:r>
          </w:p>
        </w:tc>
        <w:tc>
          <w:tcPr>
            <w:tcW w:w="1351" w:type="dxa"/>
            <w:vAlign w:val="center"/>
          </w:tcPr>
          <w:p w14:paraId="5D6E7A3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98.59</w:t>
            </w:r>
            <w:r w:rsidRPr="00506990">
              <w:rPr>
                <w:rFonts w:asciiTheme="majorBidi" w:hAnsiTheme="majorBidi" w:cstheme="majorBidi"/>
                <w:sz w:val="24"/>
                <w:szCs w:val="24"/>
                <w:vertAlign w:val="superscript"/>
              </w:rPr>
              <w:t>d</w:t>
            </w:r>
          </w:p>
        </w:tc>
        <w:tc>
          <w:tcPr>
            <w:tcW w:w="1237" w:type="dxa"/>
            <w:vAlign w:val="center"/>
          </w:tcPr>
          <w:p w14:paraId="7252CC2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2.564</w:t>
            </w:r>
          </w:p>
        </w:tc>
      </w:tr>
      <w:tr w:rsidR="00E94E9D" w:rsidRPr="00386AEE" w14:paraId="662ECFDC" w14:textId="77777777" w:rsidTr="00E65045">
        <w:trPr>
          <w:gridAfter w:val="1"/>
          <w:wAfter w:w="11" w:type="dxa"/>
          <w:trHeight w:val="383"/>
          <w:jc w:val="center"/>
        </w:trPr>
        <w:tc>
          <w:tcPr>
            <w:tcW w:w="3161" w:type="dxa"/>
          </w:tcPr>
          <w:p w14:paraId="696A62F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lastRenderedPageBreak/>
              <w:t>T6:Mentha Sole</w:t>
            </w:r>
          </w:p>
        </w:tc>
        <w:tc>
          <w:tcPr>
            <w:tcW w:w="1256" w:type="dxa"/>
            <w:vAlign w:val="center"/>
          </w:tcPr>
          <w:p w14:paraId="3162F1E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107.61</w:t>
            </w:r>
            <w:r w:rsidRPr="00506990">
              <w:rPr>
                <w:rFonts w:asciiTheme="majorBidi" w:hAnsiTheme="majorBidi" w:cstheme="majorBidi"/>
                <w:sz w:val="24"/>
                <w:szCs w:val="24"/>
                <w:vertAlign w:val="superscript"/>
              </w:rPr>
              <w:t>de</w:t>
            </w:r>
          </w:p>
        </w:tc>
        <w:tc>
          <w:tcPr>
            <w:tcW w:w="1237" w:type="dxa"/>
            <w:vAlign w:val="center"/>
          </w:tcPr>
          <w:p w14:paraId="3BE6D4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3.149</w:t>
            </w:r>
          </w:p>
        </w:tc>
        <w:tc>
          <w:tcPr>
            <w:tcW w:w="1271" w:type="dxa"/>
            <w:vAlign w:val="center"/>
          </w:tcPr>
          <w:p w14:paraId="21704B9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116.25</w:t>
            </w:r>
            <w:r w:rsidRPr="00506990">
              <w:rPr>
                <w:rFonts w:asciiTheme="majorBidi" w:hAnsiTheme="majorBidi" w:cstheme="majorBidi"/>
                <w:sz w:val="24"/>
                <w:szCs w:val="24"/>
                <w:vertAlign w:val="superscript"/>
              </w:rPr>
              <w:t>de</w:t>
            </w:r>
          </w:p>
        </w:tc>
        <w:tc>
          <w:tcPr>
            <w:tcW w:w="1352" w:type="dxa"/>
            <w:vAlign w:val="center"/>
          </w:tcPr>
          <w:p w14:paraId="6C0FB7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2.593</w:t>
            </w:r>
          </w:p>
        </w:tc>
        <w:tc>
          <w:tcPr>
            <w:tcW w:w="1238" w:type="dxa"/>
            <w:vAlign w:val="center"/>
          </w:tcPr>
          <w:p w14:paraId="3207D0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101.21</w:t>
            </w:r>
            <w:r w:rsidRPr="00506990">
              <w:rPr>
                <w:rFonts w:asciiTheme="majorBidi" w:hAnsiTheme="majorBidi" w:cstheme="majorBidi"/>
                <w:sz w:val="24"/>
                <w:szCs w:val="24"/>
                <w:vertAlign w:val="superscript"/>
              </w:rPr>
              <w:t>de</w:t>
            </w:r>
          </w:p>
        </w:tc>
        <w:tc>
          <w:tcPr>
            <w:tcW w:w="1254" w:type="dxa"/>
            <w:vAlign w:val="center"/>
          </w:tcPr>
          <w:p w14:paraId="70DA9E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3.307</w:t>
            </w:r>
          </w:p>
        </w:tc>
        <w:tc>
          <w:tcPr>
            <w:tcW w:w="1351" w:type="dxa"/>
            <w:vAlign w:val="center"/>
          </w:tcPr>
          <w:p w14:paraId="0DF221D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104.01</w:t>
            </w:r>
            <w:r w:rsidRPr="00506990">
              <w:rPr>
                <w:rFonts w:asciiTheme="majorBidi" w:hAnsiTheme="majorBidi" w:cstheme="majorBidi"/>
                <w:sz w:val="24"/>
                <w:szCs w:val="24"/>
                <w:vertAlign w:val="superscript"/>
              </w:rPr>
              <w:t>cd</w:t>
            </w:r>
          </w:p>
        </w:tc>
        <w:tc>
          <w:tcPr>
            <w:tcW w:w="1237" w:type="dxa"/>
            <w:vAlign w:val="center"/>
          </w:tcPr>
          <w:p w14:paraId="1D08659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2.937</w:t>
            </w:r>
          </w:p>
        </w:tc>
      </w:tr>
      <w:tr w:rsidR="00E94E9D" w:rsidRPr="00386AEE" w14:paraId="5A007730" w14:textId="77777777" w:rsidTr="00E65045">
        <w:trPr>
          <w:gridAfter w:val="1"/>
          <w:wAfter w:w="11" w:type="dxa"/>
          <w:trHeight w:val="368"/>
          <w:jc w:val="center"/>
        </w:trPr>
        <w:tc>
          <w:tcPr>
            <w:tcW w:w="3161" w:type="dxa"/>
          </w:tcPr>
          <w:p w14:paraId="2CE921FC" w14:textId="77777777" w:rsidR="00E94E9D" w:rsidRPr="00386AEE" w:rsidRDefault="00E94E9D" w:rsidP="008E36A5">
            <w:pPr>
              <w:rPr>
                <w:rFonts w:asciiTheme="majorBidi" w:hAnsiTheme="majorBidi" w:cstheme="majorBidi"/>
                <w:b/>
                <w:bCs/>
                <w:sz w:val="24"/>
                <w:szCs w:val="24"/>
              </w:rPr>
            </w:pPr>
            <w:bookmarkStart w:id="28" w:name="_Hlk188638634"/>
            <w:r w:rsidRPr="00386AEE">
              <w:rPr>
                <w:rFonts w:asciiTheme="majorBidi" w:hAnsiTheme="majorBidi" w:cstheme="majorBidi"/>
                <w:sz w:val="24"/>
                <w:szCs w:val="24"/>
              </w:rPr>
              <w:t>T7:Tulsi sole</w:t>
            </w:r>
            <w:bookmarkEnd w:id="28"/>
          </w:p>
        </w:tc>
        <w:tc>
          <w:tcPr>
            <w:tcW w:w="1256" w:type="dxa"/>
            <w:vAlign w:val="center"/>
          </w:tcPr>
          <w:p w14:paraId="06C98C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110.64</w:t>
            </w:r>
            <w:r w:rsidRPr="00506990">
              <w:rPr>
                <w:rFonts w:asciiTheme="majorBidi" w:hAnsiTheme="majorBidi" w:cstheme="majorBidi"/>
                <w:sz w:val="24"/>
                <w:szCs w:val="24"/>
                <w:vertAlign w:val="superscript"/>
              </w:rPr>
              <w:t>cd</w:t>
            </w:r>
          </w:p>
        </w:tc>
        <w:tc>
          <w:tcPr>
            <w:tcW w:w="1237" w:type="dxa"/>
            <w:vAlign w:val="center"/>
          </w:tcPr>
          <w:p w14:paraId="7D0F925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0.799</w:t>
            </w:r>
          </w:p>
        </w:tc>
        <w:tc>
          <w:tcPr>
            <w:tcW w:w="1271" w:type="dxa"/>
            <w:vAlign w:val="center"/>
          </w:tcPr>
          <w:p w14:paraId="596DDA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118.21</w:t>
            </w:r>
            <w:r w:rsidRPr="00506990">
              <w:rPr>
                <w:rFonts w:asciiTheme="majorBidi" w:hAnsiTheme="majorBidi" w:cstheme="majorBidi"/>
                <w:sz w:val="24"/>
                <w:szCs w:val="24"/>
                <w:vertAlign w:val="superscript"/>
              </w:rPr>
              <w:t>d</w:t>
            </w:r>
          </w:p>
        </w:tc>
        <w:tc>
          <w:tcPr>
            <w:tcW w:w="1352" w:type="dxa"/>
            <w:vAlign w:val="center"/>
          </w:tcPr>
          <w:p w14:paraId="6663C0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3.714</w:t>
            </w:r>
          </w:p>
        </w:tc>
        <w:tc>
          <w:tcPr>
            <w:tcW w:w="1238" w:type="dxa"/>
            <w:vAlign w:val="center"/>
          </w:tcPr>
          <w:p w14:paraId="1BEE3EC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103.25</w:t>
            </w:r>
            <w:r w:rsidRPr="00506990">
              <w:rPr>
                <w:rFonts w:asciiTheme="majorBidi" w:hAnsiTheme="majorBidi" w:cstheme="majorBidi"/>
                <w:sz w:val="24"/>
                <w:szCs w:val="24"/>
                <w:vertAlign w:val="superscript"/>
              </w:rPr>
              <w:t>cde</w:t>
            </w:r>
          </w:p>
        </w:tc>
        <w:tc>
          <w:tcPr>
            <w:tcW w:w="1254" w:type="dxa"/>
            <w:vAlign w:val="center"/>
          </w:tcPr>
          <w:p w14:paraId="1DEB7F4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4.201</w:t>
            </w:r>
          </w:p>
        </w:tc>
        <w:tc>
          <w:tcPr>
            <w:tcW w:w="1351" w:type="dxa"/>
            <w:vAlign w:val="center"/>
          </w:tcPr>
          <w:p w14:paraId="6E7FCE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106.15</w:t>
            </w:r>
            <w:r w:rsidRPr="00506990">
              <w:rPr>
                <w:rFonts w:asciiTheme="majorBidi" w:hAnsiTheme="majorBidi" w:cstheme="majorBidi"/>
                <w:sz w:val="24"/>
                <w:szCs w:val="24"/>
                <w:vertAlign w:val="superscript"/>
              </w:rPr>
              <w:t>cd</w:t>
            </w:r>
          </w:p>
        </w:tc>
        <w:tc>
          <w:tcPr>
            <w:tcW w:w="1237" w:type="dxa"/>
            <w:vAlign w:val="center"/>
          </w:tcPr>
          <w:p w14:paraId="382E0E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4.417</w:t>
            </w:r>
          </w:p>
        </w:tc>
      </w:tr>
      <w:tr w:rsidR="00E94E9D" w:rsidRPr="00386AEE" w14:paraId="073A3023" w14:textId="77777777" w:rsidTr="00E65045">
        <w:trPr>
          <w:gridAfter w:val="1"/>
          <w:wAfter w:w="11" w:type="dxa"/>
          <w:trHeight w:val="368"/>
          <w:jc w:val="center"/>
        </w:trPr>
        <w:tc>
          <w:tcPr>
            <w:tcW w:w="3161" w:type="dxa"/>
          </w:tcPr>
          <w:p w14:paraId="5EE9506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37BDF20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116.31</w:t>
            </w:r>
          </w:p>
        </w:tc>
        <w:tc>
          <w:tcPr>
            <w:tcW w:w="1237" w:type="dxa"/>
            <w:vAlign w:val="center"/>
          </w:tcPr>
          <w:p w14:paraId="0CF9FCD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6D665E5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123.97</w:t>
            </w:r>
          </w:p>
        </w:tc>
        <w:tc>
          <w:tcPr>
            <w:tcW w:w="1352" w:type="dxa"/>
            <w:vAlign w:val="center"/>
          </w:tcPr>
          <w:p w14:paraId="0B3ED27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41D714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109.29</w:t>
            </w:r>
          </w:p>
        </w:tc>
        <w:tc>
          <w:tcPr>
            <w:tcW w:w="1254" w:type="dxa"/>
            <w:vAlign w:val="center"/>
          </w:tcPr>
          <w:p w14:paraId="788EA9C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1413DEA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111.88</w:t>
            </w:r>
          </w:p>
        </w:tc>
        <w:tc>
          <w:tcPr>
            <w:tcW w:w="1237" w:type="dxa"/>
            <w:vAlign w:val="center"/>
          </w:tcPr>
          <w:p w14:paraId="5950AE4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45669081" w14:textId="77777777" w:rsidTr="00E65045">
        <w:trPr>
          <w:gridAfter w:val="1"/>
          <w:wAfter w:w="11" w:type="dxa"/>
          <w:trHeight w:val="368"/>
          <w:jc w:val="center"/>
        </w:trPr>
        <w:tc>
          <w:tcPr>
            <w:tcW w:w="3161" w:type="dxa"/>
          </w:tcPr>
          <w:p w14:paraId="5E55627D"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0CB042F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31.87</w:t>
            </w:r>
          </w:p>
        </w:tc>
        <w:tc>
          <w:tcPr>
            <w:tcW w:w="1237" w:type="dxa"/>
            <w:vAlign w:val="center"/>
          </w:tcPr>
          <w:p w14:paraId="610579E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A22AF5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35.23</w:t>
            </w:r>
          </w:p>
        </w:tc>
        <w:tc>
          <w:tcPr>
            <w:tcW w:w="1352" w:type="dxa"/>
            <w:vAlign w:val="center"/>
          </w:tcPr>
          <w:p w14:paraId="0FAE8D2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366AE3F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9.44</w:t>
            </w:r>
          </w:p>
        </w:tc>
        <w:tc>
          <w:tcPr>
            <w:tcW w:w="1254" w:type="dxa"/>
            <w:vAlign w:val="center"/>
          </w:tcPr>
          <w:p w14:paraId="3DB96FA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DFD0E1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10.36</w:t>
            </w:r>
          </w:p>
        </w:tc>
        <w:tc>
          <w:tcPr>
            <w:tcW w:w="1237" w:type="dxa"/>
            <w:vAlign w:val="center"/>
          </w:tcPr>
          <w:p w14:paraId="4013746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5BC72FC7" w14:textId="77777777" w:rsidTr="00E65045">
        <w:trPr>
          <w:gridAfter w:val="1"/>
          <w:wAfter w:w="11" w:type="dxa"/>
          <w:trHeight w:val="368"/>
          <w:jc w:val="center"/>
        </w:trPr>
        <w:tc>
          <w:tcPr>
            <w:tcW w:w="3161" w:type="dxa"/>
          </w:tcPr>
          <w:p w14:paraId="0AC277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6180DCB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37" w:type="dxa"/>
            <w:vAlign w:val="center"/>
          </w:tcPr>
          <w:p w14:paraId="279FB2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347E22D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352" w:type="dxa"/>
            <w:vAlign w:val="center"/>
          </w:tcPr>
          <w:p w14:paraId="660C747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6DBEC1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1254" w:type="dxa"/>
            <w:vAlign w:val="center"/>
          </w:tcPr>
          <w:p w14:paraId="3DFC19E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B7B531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1237" w:type="dxa"/>
            <w:vAlign w:val="center"/>
          </w:tcPr>
          <w:p w14:paraId="152F89D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5066A82" w14:textId="77777777" w:rsidTr="00E65045">
        <w:trPr>
          <w:gridAfter w:val="1"/>
          <w:wAfter w:w="11" w:type="dxa"/>
          <w:trHeight w:val="368"/>
          <w:jc w:val="center"/>
        </w:trPr>
        <w:tc>
          <w:tcPr>
            <w:tcW w:w="3161" w:type="dxa"/>
          </w:tcPr>
          <w:p w14:paraId="0380D41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 xml:space="preserve">Initial </w:t>
            </w:r>
            <w:r w:rsidRPr="00386AEE">
              <w:rPr>
                <w:rFonts w:asciiTheme="majorBidi" w:hAnsiTheme="majorBidi" w:cstheme="majorBidi"/>
                <w:b/>
                <w:bCs/>
                <w:sz w:val="24"/>
                <w:szCs w:val="24"/>
                <w:lang w:val="en-US"/>
              </w:rPr>
              <w:t>Potassium</w:t>
            </w:r>
            <w:r w:rsidRPr="00386AEE">
              <w:rPr>
                <w:rFonts w:asciiTheme="majorBidi" w:hAnsiTheme="majorBidi" w:cstheme="majorBidi"/>
                <w:b/>
                <w:bCs/>
                <w:sz w:val="24"/>
                <w:szCs w:val="24"/>
              </w:rPr>
              <w:t xml:space="preserve"> (Kg/ha)</w:t>
            </w:r>
          </w:p>
        </w:tc>
        <w:tc>
          <w:tcPr>
            <w:tcW w:w="5116" w:type="dxa"/>
            <w:gridSpan w:val="4"/>
            <w:vAlign w:val="center"/>
          </w:tcPr>
          <w:p w14:paraId="005628D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114.36</w:t>
            </w:r>
          </w:p>
          <w:p w14:paraId="046889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100.11</w:t>
            </w:r>
          </w:p>
        </w:tc>
        <w:tc>
          <w:tcPr>
            <w:tcW w:w="5080" w:type="dxa"/>
            <w:gridSpan w:val="4"/>
          </w:tcPr>
          <w:p w14:paraId="3981400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108.16</w:t>
            </w:r>
          </w:p>
          <w:p w14:paraId="2E82A52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93.31</w:t>
            </w:r>
          </w:p>
        </w:tc>
      </w:tr>
    </w:tbl>
    <w:p w14:paraId="3A89C1C1" w14:textId="77777777" w:rsidR="00E94E9D" w:rsidRDefault="00E94E9D" w:rsidP="008E36A5">
      <w:pPr>
        <w:spacing w:after="0"/>
        <w:jc w:val="both"/>
        <w:rPr>
          <w:rFonts w:asciiTheme="majorBidi" w:hAnsiTheme="majorBidi" w:cstheme="majorBidi"/>
          <w:b/>
          <w:bCs/>
          <w:sz w:val="24"/>
          <w:szCs w:val="24"/>
        </w:rPr>
        <w:sectPr w:rsidR="00E94E9D" w:rsidSect="00E94E9D">
          <w:pgSz w:w="16838" w:h="11906" w:orient="landscape"/>
          <w:pgMar w:top="1440" w:right="1440" w:bottom="1440" w:left="1440" w:header="708" w:footer="708" w:gutter="0"/>
          <w:cols w:space="708"/>
          <w:docGrid w:linePitch="360"/>
        </w:sectPr>
      </w:pPr>
    </w:p>
    <w:p w14:paraId="1F6D2AA3" w14:textId="390F218E" w:rsidR="00AB340F" w:rsidRPr="002113DD" w:rsidRDefault="008E36A5" w:rsidP="008E36A5">
      <w:pPr>
        <w:spacing w:after="0"/>
        <w:jc w:val="both"/>
        <w:rPr>
          <w:rFonts w:asciiTheme="majorBidi" w:hAnsiTheme="majorBidi" w:cstheme="majorBidi"/>
          <w:b/>
          <w:bCs/>
          <w:sz w:val="24"/>
          <w:szCs w:val="24"/>
        </w:rPr>
      </w:pPr>
      <w:commentRangeStart w:id="29"/>
      <w:r w:rsidRPr="002113DD">
        <w:rPr>
          <w:rFonts w:asciiTheme="majorBidi" w:hAnsiTheme="majorBidi" w:cstheme="majorBidi"/>
          <w:b/>
          <w:bCs/>
          <w:sz w:val="24"/>
          <w:szCs w:val="24"/>
        </w:rPr>
        <w:lastRenderedPageBreak/>
        <w:t>REFERENCES</w:t>
      </w:r>
      <w:commentRangeEnd w:id="29"/>
      <w:r w:rsidR="008D3435">
        <w:rPr>
          <w:rStyle w:val="CommentReference"/>
        </w:rPr>
        <w:commentReference w:id="29"/>
      </w:r>
    </w:p>
    <w:p w14:paraId="4599D9B7" w14:textId="74041065"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Abbasi Surki, A., Nazari, M., Fallah, S., and Iranipour, R. (2021). Improvement of the soil properties, nutrients, and carbon stocks in different cereal–legume agroforestry systems. </w:t>
      </w:r>
      <w:r w:rsidRPr="003A3EB9">
        <w:rPr>
          <w:rFonts w:asciiTheme="majorBidi" w:hAnsiTheme="majorBidi" w:cstheme="majorBidi"/>
          <w:i/>
          <w:iCs/>
          <w:sz w:val="24"/>
          <w:szCs w:val="24"/>
        </w:rPr>
        <w:t>International Journal of Environmental Science and Technology</w:t>
      </w:r>
      <w:r w:rsidRPr="003A3EB9">
        <w:rPr>
          <w:rFonts w:asciiTheme="majorBidi" w:hAnsiTheme="majorBidi" w:cstheme="majorBidi"/>
          <w:sz w:val="24"/>
          <w:szCs w:val="24"/>
        </w:rPr>
        <w:t>, </w:t>
      </w:r>
      <w:r w:rsidRPr="003A3EB9">
        <w:rPr>
          <w:rFonts w:asciiTheme="majorBidi" w:hAnsiTheme="majorBidi" w:cstheme="majorBidi"/>
          <w:i/>
          <w:iCs/>
          <w:sz w:val="24"/>
          <w:szCs w:val="24"/>
        </w:rPr>
        <w:t>18</w:t>
      </w:r>
      <w:r w:rsidRPr="003A3EB9">
        <w:rPr>
          <w:rFonts w:asciiTheme="majorBidi" w:hAnsiTheme="majorBidi" w:cstheme="majorBidi"/>
          <w:sz w:val="24"/>
          <w:szCs w:val="24"/>
        </w:rPr>
        <w:t>, 123-130.</w:t>
      </w:r>
    </w:p>
    <w:p w14:paraId="25776F57" w14:textId="77777777" w:rsidR="00B429D2" w:rsidRPr="003A3EB9" w:rsidRDefault="00B429D2" w:rsidP="008E36A5">
      <w:pPr>
        <w:spacing w:after="0" w:line="360" w:lineRule="auto"/>
        <w:jc w:val="both"/>
        <w:rPr>
          <w:rFonts w:asciiTheme="majorBidi" w:hAnsiTheme="majorBidi" w:cstheme="majorBidi"/>
          <w:sz w:val="24"/>
          <w:szCs w:val="24"/>
        </w:rPr>
      </w:pPr>
    </w:p>
    <w:p w14:paraId="3A421C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Aweto, A. O., and Moleele, N. M. (2005). Impact of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on an alluvial soil in south eastern Botswana. </w:t>
      </w:r>
      <w:r w:rsidRPr="003A3EB9">
        <w:rPr>
          <w:rFonts w:asciiTheme="majorBidi" w:hAnsiTheme="majorBidi" w:cstheme="majorBidi"/>
          <w:i/>
          <w:iCs/>
          <w:sz w:val="24"/>
          <w:szCs w:val="24"/>
        </w:rPr>
        <w:t>International journal of environmental studies</w:t>
      </w:r>
      <w:r w:rsidRPr="003A3EB9">
        <w:rPr>
          <w:rFonts w:asciiTheme="majorBidi" w:hAnsiTheme="majorBidi" w:cstheme="majorBidi"/>
          <w:sz w:val="24"/>
          <w:szCs w:val="24"/>
        </w:rPr>
        <w:t xml:space="preserve">, 62(2), 163-170. </w:t>
      </w:r>
      <w:hyperlink r:id="rId15" w:history="1">
        <w:r w:rsidRPr="003A3EB9">
          <w:rPr>
            <w:rFonts w:asciiTheme="majorBidi" w:hAnsiTheme="majorBidi" w:cstheme="majorBidi"/>
            <w:sz w:val="24"/>
            <w:szCs w:val="24"/>
          </w:rPr>
          <w:t>https://doi.org/10.1080/0020723042000275141</w:t>
        </w:r>
      </w:hyperlink>
    </w:p>
    <w:p w14:paraId="5F0F1C32" w14:textId="77777777" w:rsidR="00B429D2" w:rsidRPr="003A3EB9" w:rsidRDefault="00B429D2" w:rsidP="008E36A5">
      <w:pPr>
        <w:spacing w:after="0" w:line="360" w:lineRule="auto"/>
        <w:jc w:val="both"/>
        <w:rPr>
          <w:rFonts w:asciiTheme="majorBidi" w:hAnsiTheme="majorBidi" w:cstheme="majorBidi"/>
          <w:sz w:val="24"/>
          <w:szCs w:val="24"/>
        </w:rPr>
      </w:pPr>
    </w:p>
    <w:p w14:paraId="154448C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Balamurugan, J., Kumar, K., Swamy, A., and Rajarajan, A. (2000). Effects of </w:t>
      </w:r>
      <w:r w:rsidRPr="00C63DD8">
        <w:rPr>
          <w:rFonts w:asciiTheme="majorBidi" w:hAnsiTheme="majorBidi" w:cstheme="majorBidi"/>
          <w:i/>
          <w:iCs/>
          <w:sz w:val="24"/>
          <w:szCs w:val="24"/>
        </w:rPr>
        <w:t>Eucalyptus citriodora</w:t>
      </w:r>
      <w:r w:rsidRPr="003A3EB9">
        <w:rPr>
          <w:rFonts w:asciiTheme="majorBidi" w:hAnsiTheme="majorBidi" w:cstheme="majorBidi"/>
          <w:sz w:val="24"/>
          <w:szCs w:val="24"/>
        </w:rPr>
        <w:t xml:space="preserve"> on the physical and chemical properties of soils.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48</w:t>
      </w:r>
      <w:r w:rsidRPr="003A3EB9">
        <w:rPr>
          <w:rFonts w:asciiTheme="majorBidi" w:hAnsiTheme="majorBidi" w:cstheme="majorBidi"/>
          <w:sz w:val="24"/>
          <w:szCs w:val="24"/>
        </w:rPr>
        <w:t>(3), 491-495.</w:t>
      </w:r>
    </w:p>
    <w:p w14:paraId="3277F607" w14:textId="77777777" w:rsidR="00B429D2" w:rsidRPr="003A3EB9" w:rsidRDefault="00B429D2" w:rsidP="008E36A5">
      <w:pPr>
        <w:spacing w:after="0" w:line="360" w:lineRule="auto"/>
        <w:jc w:val="both"/>
        <w:rPr>
          <w:rFonts w:asciiTheme="majorBidi" w:hAnsiTheme="majorBidi" w:cstheme="majorBidi"/>
          <w:sz w:val="24"/>
          <w:szCs w:val="24"/>
        </w:rPr>
      </w:pPr>
    </w:p>
    <w:p w14:paraId="77A8EAD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Bhardwaj, S. D., Pankaj Panwar, P. P., and Sachil Gautam, S. G. (2001). Biomass production potential and nutrient dynamics of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under high density plantations.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127: 144-153.</w:t>
      </w:r>
    </w:p>
    <w:p w14:paraId="290F14BE" w14:textId="77777777" w:rsidR="00B429D2" w:rsidRPr="003A3EB9" w:rsidRDefault="00B429D2" w:rsidP="008E36A5">
      <w:pPr>
        <w:spacing w:after="0" w:line="360" w:lineRule="auto"/>
        <w:jc w:val="both"/>
        <w:rPr>
          <w:rFonts w:asciiTheme="majorBidi" w:hAnsiTheme="majorBidi" w:cstheme="majorBidi"/>
          <w:sz w:val="24"/>
          <w:szCs w:val="24"/>
        </w:rPr>
      </w:pPr>
    </w:p>
    <w:p w14:paraId="2645E6D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Buresh, R. J., Rowe, E. C., Livesley, S. J., Cadisch, G., and Mafongoya, P. (2004). Opportunities for capture of deep soil nutrients. In: van Noordwijk M, Cadisch G and Ong CK,editors.</w:t>
      </w:r>
      <w:r w:rsidRPr="003A3EB9">
        <w:t xml:space="preserve"> </w:t>
      </w:r>
      <w:r w:rsidRPr="003A3EB9">
        <w:rPr>
          <w:rFonts w:asciiTheme="majorBidi" w:hAnsiTheme="majorBidi" w:cstheme="majorBidi"/>
          <w:sz w:val="24"/>
          <w:szCs w:val="24"/>
        </w:rPr>
        <w:t>Belowground interactions in  tropical agroecosystems: concepts and models with multiple plant components. Wallingford: CABI International,109-125.</w:t>
      </w:r>
    </w:p>
    <w:p w14:paraId="3A763123" w14:textId="77777777" w:rsidR="00B429D2" w:rsidRPr="003A3EB9" w:rsidRDefault="00B429D2" w:rsidP="008E36A5">
      <w:pPr>
        <w:spacing w:after="0" w:line="360" w:lineRule="auto"/>
        <w:jc w:val="both"/>
        <w:rPr>
          <w:rFonts w:asciiTheme="majorBidi" w:hAnsiTheme="majorBidi" w:cstheme="majorBidi"/>
          <w:sz w:val="24"/>
          <w:szCs w:val="24"/>
        </w:rPr>
      </w:pPr>
    </w:p>
    <w:p w14:paraId="62B58A8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Dereje, J., Mulugeta, L., and Kassa, H. (2012) Expansion of eucalyptus farm forestry and its determinants in Arsi Negelle District, south central Ethiopia. </w:t>
      </w:r>
      <w:r w:rsidRPr="003A3EB9">
        <w:rPr>
          <w:rFonts w:asciiTheme="majorBidi" w:hAnsiTheme="majorBidi" w:cstheme="majorBidi"/>
          <w:i/>
          <w:iCs/>
          <w:sz w:val="24"/>
          <w:szCs w:val="24"/>
        </w:rPr>
        <w:t>Small Scale Forestry</w:t>
      </w:r>
      <w:r w:rsidRPr="003A3EB9">
        <w:rPr>
          <w:rFonts w:asciiTheme="majorBidi" w:hAnsiTheme="majorBidi" w:cstheme="majorBidi"/>
          <w:sz w:val="24"/>
          <w:szCs w:val="24"/>
        </w:rPr>
        <w:t>. 11(3):389-405.</w:t>
      </w:r>
    </w:p>
    <w:p w14:paraId="55A92800" w14:textId="77777777" w:rsidR="00B429D2" w:rsidRPr="003A3EB9" w:rsidRDefault="00B429D2" w:rsidP="008E36A5">
      <w:pPr>
        <w:spacing w:after="0" w:line="360" w:lineRule="auto"/>
        <w:jc w:val="both"/>
        <w:rPr>
          <w:rFonts w:asciiTheme="majorBidi" w:hAnsiTheme="majorBidi" w:cstheme="majorBidi"/>
          <w:sz w:val="24"/>
          <w:szCs w:val="24"/>
        </w:rPr>
      </w:pPr>
    </w:p>
    <w:p w14:paraId="698FBD9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Devi, S., Bhardwaj, K. K., Dahiya, G., Sharma, M. K., Verma, A. K., and Louhar, G. (2020). Effect of agri-silvi-horticultural system on soil chemical properties and available nutrients at different depths in Haryana.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41</w:t>
      </w:r>
      <w:r w:rsidRPr="003A3EB9">
        <w:rPr>
          <w:rFonts w:asciiTheme="majorBidi" w:hAnsiTheme="majorBidi" w:cstheme="majorBidi"/>
          <w:sz w:val="24"/>
          <w:szCs w:val="24"/>
        </w:rPr>
        <w:t>(2), 267-275.</w:t>
      </w:r>
    </w:p>
    <w:p w14:paraId="576598BC" w14:textId="77777777" w:rsidR="00B429D2" w:rsidRPr="003A3EB9" w:rsidRDefault="00B429D2" w:rsidP="008E36A5">
      <w:pPr>
        <w:spacing w:after="0" w:line="360" w:lineRule="auto"/>
        <w:jc w:val="both"/>
        <w:rPr>
          <w:rFonts w:asciiTheme="majorBidi" w:hAnsiTheme="majorBidi" w:cstheme="majorBidi"/>
          <w:sz w:val="24"/>
          <w:szCs w:val="24"/>
        </w:rPr>
      </w:pPr>
    </w:p>
    <w:p w14:paraId="4A687F2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Gupta, N., Kukal, S. S., Bawa, S. S., and Dhaliwal, G. S. (2009). Soil organic carbon and aggregation under poplar based agroforestry system in relation to tree age and soil type. In </w:t>
      </w:r>
      <w:r w:rsidRPr="003A3EB9">
        <w:rPr>
          <w:rFonts w:asciiTheme="majorBidi" w:hAnsiTheme="majorBidi" w:cstheme="majorBidi"/>
          <w:i/>
          <w:iCs/>
          <w:sz w:val="24"/>
          <w:szCs w:val="24"/>
        </w:rPr>
        <w:t>Advances in Agroforestry,</w:t>
      </w:r>
      <w:r w:rsidRPr="003A3EB9">
        <w:rPr>
          <w:rFonts w:asciiTheme="majorBidi" w:hAnsiTheme="majorBidi" w:cstheme="majorBidi"/>
          <w:sz w:val="24"/>
          <w:szCs w:val="24"/>
        </w:rPr>
        <w:t xml:space="preserve"> 76: 27-35. Springer, Dordrecht.</w:t>
      </w:r>
    </w:p>
    <w:p w14:paraId="1C23A4FD" w14:textId="77777777" w:rsidR="00B429D2" w:rsidRPr="003A3EB9" w:rsidRDefault="00B429D2" w:rsidP="008E36A5">
      <w:pPr>
        <w:spacing w:after="0" w:line="360" w:lineRule="auto"/>
        <w:jc w:val="both"/>
        <w:rPr>
          <w:rFonts w:asciiTheme="majorBidi" w:hAnsiTheme="majorBidi" w:cstheme="majorBidi"/>
          <w:sz w:val="24"/>
          <w:szCs w:val="24"/>
        </w:rPr>
      </w:pPr>
    </w:p>
    <w:p w14:paraId="25E2D1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Jackson, M. L. (1973) Soil Chemical Analysis. Prentice hall of India Pvt. Ltd., New Delhi.</w:t>
      </w:r>
    </w:p>
    <w:p w14:paraId="0985A5B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Jha, M. N., Dimri, B. M., and Gupta, M. K. (1996). Soil nutrient changes under different ages of Eucalyptus monocultures.</w:t>
      </w:r>
      <w:r w:rsidRPr="00C63DD8">
        <w:rPr>
          <w:rFonts w:asciiTheme="majorBidi" w:hAnsiTheme="majorBidi" w:cstheme="majorBidi"/>
          <w:i/>
          <w:iCs/>
          <w:sz w:val="24"/>
          <w:szCs w:val="24"/>
        </w:rPr>
        <w:t>Indian Forester</w:t>
      </w:r>
      <w:r w:rsidRPr="003A3EB9">
        <w:rPr>
          <w:rFonts w:asciiTheme="majorBidi" w:hAnsiTheme="majorBidi" w:cstheme="majorBidi"/>
          <w:sz w:val="24"/>
          <w:szCs w:val="24"/>
        </w:rPr>
        <w:t>. 122:55-60.</w:t>
      </w:r>
    </w:p>
    <w:p w14:paraId="439777BE" w14:textId="77777777" w:rsidR="00B429D2" w:rsidRPr="003A3EB9" w:rsidRDefault="00B429D2" w:rsidP="008E36A5">
      <w:pPr>
        <w:spacing w:after="0" w:line="360" w:lineRule="auto"/>
        <w:jc w:val="both"/>
        <w:rPr>
          <w:rFonts w:asciiTheme="majorBidi" w:hAnsiTheme="majorBidi" w:cstheme="majorBidi"/>
          <w:sz w:val="24"/>
          <w:szCs w:val="24"/>
        </w:rPr>
      </w:pPr>
    </w:p>
    <w:p w14:paraId="673400C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Kassa, H., Dondeyne, S., Poesen, J., Frankl, A., and Nyssen, J. (2017). Impact of deforestation on soil fertility, soil carbon and nitrogen stocks: the case of the Gacheb catchment in the White Nile Basin, Ethiopia. </w:t>
      </w:r>
      <w:r w:rsidRPr="003A3EB9">
        <w:rPr>
          <w:rFonts w:asciiTheme="majorBidi" w:hAnsiTheme="majorBidi" w:cstheme="majorBidi"/>
          <w:i/>
          <w:iCs/>
          <w:sz w:val="24"/>
          <w:szCs w:val="24"/>
        </w:rPr>
        <w:t>Agriculture, Ecosystems and Environment</w:t>
      </w:r>
      <w:r w:rsidRPr="003A3EB9">
        <w:rPr>
          <w:rFonts w:asciiTheme="majorBidi" w:hAnsiTheme="majorBidi" w:cstheme="majorBidi"/>
          <w:sz w:val="24"/>
          <w:szCs w:val="24"/>
        </w:rPr>
        <w:t>, </w:t>
      </w:r>
      <w:r w:rsidRPr="003A3EB9">
        <w:rPr>
          <w:rFonts w:asciiTheme="majorBidi" w:hAnsiTheme="majorBidi" w:cstheme="majorBidi"/>
          <w:i/>
          <w:iCs/>
          <w:sz w:val="24"/>
          <w:szCs w:val="24"/>
        </w:rPr>
        <w:t>247</w:t>
      </w:r>
      <w:r w:rsidRPr="003A3EB9">
        <w:rPr>
          <w:rFonts w:asciiTheme="majorBidi" w:hAnsiTheme="majorBidi" w:cstheme="majorBidi"/>
          <w:sz w:val="24"/>
          <w:szCs w:val="24"/>
        </w:rPr>
        <w:t xml:space="preserve">, 273-282. </w:t>
      </w:r>
    </w:p>
    <w:p w14:paraId="46A605AB" w14:textId="77777777" w:rsidR="00B429D2" w:rsidRPr="003A3EB9" w:rsidRDefault="00B429D2" w:rsidP="008E36A5">
      <w:pPr>
        <w:spacing w:after="0" w:line="360" w:lineRule="auto"/>
        <w:jc w:val="both"/>
        <w:rPr>
          <w:rFonts w:asciiTheme="majorBidi" w:hAnsiTheme="majorBidi" w:cstheme="majorBidi"/>
          <w:sz w:val="24"/>
          <w:szCs w:val="24"/>
        </w:rPr>
      </w:pPr>
    </w:p>
    <w:p w14:paraId="510F9AB4"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Kaur, R., Singh, B., and Dhaliwal, S. S. (2020). Dynamics of soil cationic micronutrients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Bartr.)-based agroforestry system in India. </w:t>
      </w:r>
      <w:r w:rsidRPr="003A3EB9">
        <w:rPr>
          <w:rFonts w:asciiTheme="majorBidi" w:hAnsiTheme="majorBidi" w:cstheme="majorBidi"/>
          <w:i/>
          <w:iCs/>
          <w:sz w:val="24"/>
          <w:szCs w:val="24"/>
        </w:rPr>
        <w:t>Journal of Soil Science and Plant Nutrition</w:t>
      </w:r>
      <w:r w:rsidRPr="003A3EB9">
        <w:rPr>
          <w:rFonts w:asciiTheme="majorBidi" w:hAnsiTheme="majorBidi" w:cstheme="majorBidi"/>
          <w:sz w:val="24"/>
          <w:szCs w:val="24"/>
        </w:rPr>
        <w:t>, </w:t>
      </w:r>
      <w:r w:rsidRPr="003A3EB9">
        <w:rPr>
          <w:rFonts w:asciiTheme="majorBidi" w:hAnsiTheme="majorBidi" w:cstheme="majorBidi"/>
          <w:i/>
          <w:iCs/>
          <w:sz w:val="24"/>
          <w:szCs w:val="24"/>
        </w:rPr>
        <w:t>20</w:t>
      </w:r>
      <w:r w:rsidRPr="003A3EB9">
        <w:rPr>
          <w:rFonts w:asciiTheme="majorBidi" w:hAnsiTheme="majorBidi" w:cstheme="majorBidi"/>
          <w:sz w:val="24"/>
          <w:szCs w:val="24"/>
        </w:rPr>
        <w:t>, 2025-2041.</w:t>
      </w:r>
    </w:p>
    <w:p w14:paraId="723B1BE6" w14:textId="77777777" w:rsidR="00B429D2" w:rsidRPr="003A3EB9" w:rsidRDefault="00B429D2" w:rsidP="008E36A5">
      <w:pPr>
        <w:spacing w:after="0" w:line="360" w:lineRule="auto"/>
        <w:jc w:val="both"/>
        <w:rPr>
          <w:rFonts w:asciiTheme="majorBidi" w:hAnsiTheme="majorBidi" w:cstheme="majorBidi"/>
          <w:sz w:val="24"/>
          <w:szCs w:val="24"/>
        </w:rPr>
      </w:pPr>
    </w:p>
    <w:p w14:paraId="5EAECA4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A., Das, D. K., and Singh, S. K. (2019). Variation in key soil properties after eleven years of poplar plantation in calciorthents of Bihar.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40</w:t>
      </w:r>
      <w:r w:rsidRPr="003A3EB9">
        <w:rPr>
          <w:rFonts w:asciiTheme="majorBidi" w:hAnsiTheme="majorBidi" w:cstheme="majorBidi"/>
          <w:sz w:val="24"/>
          <w:szCs w:val="24"/>
        </w:rPr>
        <w:t xml:space="preserve">(2), 269-275. </w:t>
      </w:r>
    </w:p>
    <w:p w14:paraId="7F7A9172" w14:textId="77777777" w:rsidR="00B429D2" w:rsidRPr="003A3EB9" w:rsidRDefault="00B429D2" w:rsidP="008E36A5">
      <w:pPr>
        <w:spacing w:after="0" w:line="360" w:lineRule="auto"/>
        <w:jc w:val="both"/>
        <w:rPr>
          <w:rFonts w:asciiTheme="majorBidi" w:hAnsiTheme="majorBidi" w:cstheme="majorBidi"/>
          <w:sz w:val="24"/>
          <w:szCs w:val="24"/>
        </w:rPr>
      </w:pPr>
    </w:p>
    <w:p w14:paraId="7291D17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Kumar, P., Mishra, A. K., Chaudhari, S. K., Basak, N., Rai, P., Singh, K., ... and Sharma, D. K. (2018). Carbon pools and nutrient dynamics under Eucalyptus-based agroforestry system in semi-arid region of north-west India.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xml:space="preserve">, 66(2), 188-199. </w:t>
      </w:r>
    </w:p>
    <w:p w14:paraId="2CBE787F" w14:textId="77777777" w:rsidR="00B429D2" w:rsidRPr="003A3EB9" w:rsidRDefault="00B429D2" w:rsidP="008E36A5">
      <w:pPr>
        <w:spacing w:after="0" w:line="360" w:lineRule="auto"/>
        <w:jc w:val="both"/>
        <w:rPr>
          <w:rFonts w:asciiTheme="majorBidi" w:hAnsiTheme="majorBidi" w:cstheme="majorBidi"/>
          <w:sz w:val="24"/>
          <w:szCs w:val="24"/>
        </w:rPr>
      </w:pPr>
    </w:p>
    <w:p w14:paraId="5F1CADDF"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T., Kumari, B., Arya, S., and Kaushik, P. (2019). Effect of different spacings of Eucalyptus based agroforestry systems soil nutrient status and chemical properties in semi-arid ecosystem of India. </w:t>
      </w:r>
      <w:r w:rsidRPr="003A3EB9">
        <w:rPr>
          <w:rFonts w:asciiTheme="majorBidi" w:hAnsiTheme="majorBidi" w:cstheme="majorBidi"/>
          <w:i/>
          <w:iCs/>
          <w:sz w:val="24"/>
          <w:szCs w:val="24"/>
        </w:rPr>
        <w:t>Journal of Pharmacognosy and Phytochemistry</w:t>
      </w:r>
      <w:r w:rsidRPr="003A3EB9">
        <w:rPr>
          <w:rFonts w:asciiTheme="majorBidi" w:hAnsiTheme="majorBidi" w:cstheme="majorBidi"/>
          <w:sz w:val="24"/>
          <w:szCs w:val="24"/>
        </w:rPr>
        <w:t xml:space="preserve">, 8(3), 18-23. </w:t>
      </w:r>
    </w:p>
    <w:p w14:paraId="79D85769" w14:textId="77777777" w:rsidR="00B429D2" w:rsidRPr="003A3EB9" w:rsidRDefault="00B429D2" w:rsidP="008E36A5">
      <w:pPr>
        <w:spacing w:after="0" w:line="360" w:lineRule="auto"/>
        <w:jc w:val="both"/>
        <w:rPr>
          <w:rFonts w:asciiTheme="majorBidi" w:hAnsiTheme="majorBidi" w:cstheme="majorBidi"/>
          <w:sz w:val="24"/>
          <w:szCs w:val="24"/>
        </w:rPr>
      </w:pPr>
    </w:p>
    <w:p w14:paraId="6A472B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Lal, P. (2004). Integrated development of farm-forestry plantations and wood based industries.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130</w:t>
      </w:r>
      <w:r w:rsidRPr="003A3EB9">
        <w:rPr>
          <w:rFonts w:asciiTheme="majorBidi" w:hAnsiTheme="majorBidi" w:cstheme="majorBidi"/>
          <w:sz w:val="24"/>
          <w:szCs w:val="24"/>
        </w:rPr>
        <w:t xml:space="preserve">(1), 71-78. </w:t>
      </w:r>
    </w:p>
    <w:p w14:paraId="0430A704" w14:textId="77777777" w:rsidR="00B429D2" w:rsidRPr="003A3EB9" w:rsidRDefault="00B429D2" w:rsidP="008E36A5">
      <w:pPr>
        <w:spacing w:after="0" w:line="360" w:lineRule="auto"/>
        <w:jc w:val="both"/>
        <w:rPr>
          <w:rFonts w:asciiTheme="majorBidi" w:hAnsiTheme="majorBidi" w:cstheme="majorBidi"/>
          <w:sz w:val="24"/>
          <w:szCs w:val="24"/>
        </w:rPr>
      </w:pPr>
    </w:p>
    <w:p w14:paraId="47566E9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Licker, R., Johnston, M., Foley, J. A., Barford, C., Kucharik, C. J., Monfreda, C., and Ramankutty, N. (2010). Mind the gap: how do climate and agricultural management explain the ‘yield gap’of croplands around the world?. </w:t>
      </w:r>
      <w:r w:rsidRPr="003A3EB9">
        <w:rPr>
          <w:rFonts w:asciiTheme="majorBidi" w:hAnsiTheme="majorBidi" w:cstheme="majorBidi"/>
          <w:i/>
          <w:iCs/>
          <w:sz w:val="24"/>
          <w:szCs w:val="24"/>
        </w:rPr>
        <w:t>Global ecology and biogeography</w:t>
      </w:r>
      <w:r w:rsidRPr="003A3EB9">
        <w:rPr>
          <w:rFonts w:asciiTheme="majorBidi" w:hAnsiTheme="majorBidi" w:cstheme="majorBidi"/>
          <w:sz w:val="24"/>
          <w:szCs w:val="24"/>
        </w:rPr>
        <w:t>, </w:t>
      </w:r>
      <w:r w:rsidRPr="003A3EB9">
        <w:rPr>
          <w:rFonts w:asciiTheme="majorBidi" w:hAnsiTheme="majorBidi" w:cstheme="majorBidi"/>
          <w:i/>
          <w:iCs/>
          <w:sz w:val="24"/>
          <w:szCs w:val="24"/>
        </w:rPr>
        <w:t>19</w:t>
      </w:r>
      <w:r w:rsidRPr="003A3EB9">
        <w:rPr>
          <w:rFonts w:asciiTheme="majorBidi" w:hAnsiTheme="majorBidi" w:cstheme="majorBidi"/>
          <w:sz w:val="24"/>
          <w:szCs w:val="24"/>
        </w:rPr>
        <w:t>(6), 769-782.</w:t>
      </w:r>
    </w:p>
    <w:p w14:paraId="38A2A1ED" w14:textId="77777777" w:rsidR="00B429D2" w:rsidRPr="003A3EB9" w:rsidRDefault="00B429D2" w:rsidP="008E36A5">
      <w:pPr>
        <w:spacing w:after="0" w:line="360" w:lineRule="auto"/>
        <w:jc w:val="both"/>
        <w:rPr>
          <w:rFonts w:asciiTheme="majorBidi" w:hAnsiTheme="majorBidi" w:cstheme="majorBidi"/>
          <w:sz w:val="24"/>
          <w:szCs w:val="24"/>
        </w:rPr>
      </w:pPr>
    </w:p>
    <w:p w14:paraId="59DD635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Meena, V. S., Mondal, T., Pandey, B. M., Mukherjee, A., Yadav, R. P., Choudhary, M., ... and Pattanayak, A. (2018). Land use changes: Strategies to improve soil carbon and nitrogen storage pattern in the mid-Himalaya ecosystem, India.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321</w:t>
      </w:r>
      <w:r w:rsidRPr="003A3EB9">
        <w:rPr>
          <w:rFonts w:asciiTheme="majorBidi" w:hAnsiTheme="majorBidi" w:cstheme="majorBidi"/>
          <w:sz w:val="24"/>
          <w:szCs w:val="24"/>
        </w:rPr>
        <w:t xml:space="preserve">, 69-78. </w:t>
      </w:r>
    </w:p>
    <w:p w14:paraId="4D806480" w14:textId="77777777" w:rsidR="00B429D2" w:rsidRPr="003A3EB9" w:rsidRDefault="00B429D2" w:rsidP="008E36A5">
      <w:pPr>
        <w:spacing w:after="0" w:line="360" w:lineRule="auto"/>
        <w:jc w:val="both"/>
        <w:rPr>
          <w:rFonts w:asciiTheme="majorBidi" w:hAnsiTheme="majorBidi" w:cstheme="majorBidi"/>
          <w:sz w:val="24"/>
          <w:szCs w:val="24"/>
        </w:rPr>
      </w:pPr>
    </w:p>
    <w:p w14:paraId="1D398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Nasim, M., Qureshi, R. H., Saqib, M., Aziz, T., Nawaz, S., Akhtar, J., and Anwar-ul-Haq, M. (2007). Properties of salt affected soil under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in field conditions. </w:t>
      </w:r>
      <w:r w:rsidRPr="003A3EB9">
        <w:rPr>
          <w:rFonts w:asciiTheme="majorBidi" w:hAnsiTheme="majorBidi" w:cstheme="majorBidi"/>
          <w:i/>
          <w:iCs/>
          <w:sz w:val="24"/>
          <w:szCs w:val="24"/>
        </w:rPr>
        <w:t>Pakistan Journal of Agricultural Sciience</w:t>
      </w:r>
      <w:r w:rsidRPr="003A3EB9">
        <w:rPr>
          <w:rFonts w:asciiTheme="majorBidi" w:hAnsiTheme="majorBidi" w:cstheme="majorBidi"/>
          <w:sz w:val="24"/>
          <w:szCs w:val="24"/>
        </w:rPr>
        <w:t>, </w:t>
      </w:r>
      <w:r w:rsidRPr="003A3EB9">
        <w:rPr>
          <w:rFonts w:asciiTheme="majorBidi" w:hAnsiTheme="majorBidi" w:cstheme="majorBidi"/>
          <w:i/>
          <w:iCs/>
          <w:sz w:val="24"/>
          <w:szCs w:val="24"/>
        </w:rPr>
        <w:t>44</w:t>
      </w:r>
      <w:r w:rsidRPr="003A3EB9">
        <w:rPr>
          <w:rFonts w:asciiTheme="majorBidi" w:hAnsiTheme="majorBidi" w:cstheme="majorBidi"/>
          <w:sz w:val="24"/>
          <w:szCs w:val="24"/>
        </w:rPr>
        <w:t xml:space="preserve">(3), 401-414. </w:t>
      </w:r>
    </w:p>
    <w:p w14:paraId="79E220FE" w14:textId="77777777" w:rsidR="00B429D2" w:rsidRPr="003A3EB9" w:rsidRDefault="00B429D2" w:rsidP="008E36A5">
      <w:pPr>
        <w:spacing w:after="0" w:line="360" w:lineRule="auto"/>
        <w:jc w:val="both"/>
        <w:rPr>
          <w:rFonts w:asciiTheme="majorBidi" w:hAnsiTheme="majorBidi" w:cstheme="majorBidi"/>
          <w:sz w:val="24"/>
          <w:szCs w:val="24"/>
        </w:rPr>
      </w:pPr>
    </w:p>
    <w:p w14:paraId="42BDD21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Olsen, S. R. (1954). Estimation of Available Phosphorus in Soils by Extraction with Sodium Bicarbonate. </w:t>
      </w:r>
      <w:r w:rsidRPr="003A3EB9">
        <w:rPr>
          <w:rFonts w:asciiTheme="majorBidi" w:hAnsiTheme="majorBidi" w:cstheme="majorBidi"/>
          <w:i/>
          <w:iCs/>
          <w:sz w:val="24"/>
          <w:szCs w:val="24"/>
        </w:rPr>
        <w:t>US Department of Agriculture</w:t>
      </w:r>
      <w:r w:rsidRPr="003A3EB9">
        <w:rPr>
          <w:rFonts w:asciiTheme="majorBidi" w:hAnsiTheme="majorBidi" w:cstheme="majorBidi"/>
          <w:sz w:val="24"/>
          <w:szCs w:val="24"/>
        </w:rPr>
        <w:t>.</w:t>
      </w:r>
    </w:p>
    <w:p w14:paraId="1650BD65" w14:textId="77777777" w:rsidR="00B429D2" w:rsidRPr="003A3EB9" w:rsidRDefault="00B429D2" w:rsidP="008E36A5">
      <w:pPr>
        <w:spacing w:after="0" w:line="360" w:lineRule="auto"/>
        <w:jc w:val="both"/>
        <w:rPr>
          <w:rFonts w:asciiTheme="majorBidi" w:hAnsiTheme="majorBidi" w:cstheme="majorBidi"/>
          <w:sz w:val="24"/>
          <w:szCs w:val="24"/>
        </w:rPr>
      </w:pPr>
    </w:p>
    <w:p w14:paraId="0731BAF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Panse, V. G., and Sukhatme, P. V. (1954). Statistical methods for agricultural workers., 4th Edition, ICAR, New Delhi.</w:t>
      </w:r>
    </w:p>
    <w:p w14:paraId="3D95FB9E" w14:textId="77777777" w:rsidR="00B429D2" w:rsidRPr="003A3EB9" w:rsidRDefault="00B429D2" w:rsidP="008E36A5">
      <w:pPr>
        <w:spacing w:after="0" w:line="360" w:lineRule="auto"/>
        <w:jc w:val="both"/>
        <w:rPr>
          <w:rFonts w:asciiTheme="majorBidi" w:hAnsiTheme="majorBidi" w:cstheme="majorBidi"/>
          <w:sz w:val="24"/>
          <w:szCs w:val="24"/>
        </w:rPr>
      </w:pPr>
    </w:p>
    <w:p w14:paraId="19DF2E5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Ramesh, K. R., Deshmukh, H. K., Sivakumar, K., Guleria, V., Umedsinh, R. D., Krishnakumar, N., Thangamalar, A., Suganya, K., Kiruba, M., Selvan, T., Balasubramanian, P., Ushamalini, C., Thiyagarajan, G., Vincent, S., Rajeswari, P., Bavish, S., Riaz, A., and Senthil, K. (2023). Influence of Eucalyptus Agroforestry on Crop Yields, Soil Properties, and System Economics in Southern Regions of India. Sustainability, 15(4), 3797. </w:t>
      </w:r>
      <w:hyperlink r:id="rId16" w:history="1">
        <w:r w:rsidRPr="003A3EB9">
          <w:rPr>
            <w:rStyle w:val="Hyperlink"/>
            <w:rFonts w:asciiTheme="majorBidi" w:hAnsiTheme="majorBidi" w:cstheme="majorBidi"/>
            <w:sz w:val="24"/>
            <w:szCs w:val="24"/>
          </w:rPr>
          <w:t>https://doi.org/10.3390/su15043797</w:t>
        </w:r>
      </w:hyperlink>
      <w:r w:rsidRPr="003A3EB9">
        <w:rPr>
          <w:rFonts w:asciiTheme="majorBidi" w:hAnsiTheme="majorBidi" w:cstheme="majorBidi"/>
          <w:sz w:val="24"/>
          <w:szCs w:val="24"/>
        </w:rPr>
        <w:t xml:space="preserve"> </w:t>
      </w:r>
    </w:p>
    <w:p w14:paraId="3ACFB25B" w14:textId="77777777" w:rsidR="00B429D2" w:rsidRPr="003A3EB9" w:rsidRDefault="00B429D2" w:rsidP="008E36A5">
      <w:pPr>
        <w:spacing w:after="0" w:line="360" w:lineRule="auto"/>
        <w:jc w:val="both"/>
        <w:rPr>
          <w:rFonts w:asciiTheme="majorBidi" w:hAnsiTheme="majorBidi" w:cstheme="majorBidi"/>
          <w:sz w:val="24"/>
          <w:szCs w:val="24"/>
        </w:rPr>
      </w:pPr>
    </w:p>
    <w:p w14:paraId="22017C7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Ramesh, T., Manjaiah, K. M., Tomar, J. M. S., and Ngachan, S. V. (2013). Effect of multipurpose tree species on soil fertility and CO</w:t>
      </w:r>
      <w:r w:rsidRPr="003A3EB9">
        <w:rPr>
          <w:rFonts w:asciiTheme="majorBidi" w:hAnsiTheme="majorBidi" w:cstheme="majorBidi"/>
          <w:sz w:val="24"/>
          <w:szCs w:val="24"/>
          <w:vertAlign w:val="subscript"/>
        </w:rPr>
        <w:t>2</w:t>
      </w:r>
      <w:r w:rsidRPr="003A3EB9">
        <w:rPr>
          <w:rFonts w:asciiTheme="majorBidi" w:hAnsiTheme="majorBidi" w:cstheme="majorBidi"/>
          <w:sz w:val="24"/>
          <w:szCs w:val="24"/>
        </w:rPr>
        <w:t xml:space="preserve"> efflux under hilly ecosystems of Northeast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1377-1388.</w:t>
      </w:r>
    </w:p>
    <w:p w14:paraId="2FE782F1" w14:textId="77777777" w:rsidR="00B429D2" w:rsidRPr="003A3EB9" w:rsidRDefault="00B429D2" w:rsidP="008E36A5">
      <w:pPr>
        <w:spacing w:after="0" w:line="360" w:lineRule="auto"/>
        <w:jc w:val="both"/>
        <w:rPr>
          <w:rFonts w:asciiTheme="majorBidi" w:hAnsiTheme="majorBidi" w:cstheme="majorBidi"/>
          <w:sz w:val="24"/>
          <w:szCs w:val="24"/>
        </w:rPr>
      </w:pPr>
    </w:p>
    <w:p w14:paraId="2E100E2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Sharma, S., Singh, B., and Sikka, R. (2015). Soil organic carbon and nitrogen pools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plantations in alluvial soils of Punjab,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89</w:t>
      </w:r>
      <w:r w:rsidRPr="003A3EB9">
        <w:rPr>
          <w:rFonts w:asciiTheme="majorBidi" w:hAnsiTheme="majorBidi" w:cstheme="majorBidi"/>
          <w:sz w:val="24"/>
          <w:szCs w:val="24"/>
        </w:rPr>
        <w:t xml:space="preserve">, 1049-1063. </w:t>
      </w:r>
    </w:p>
    <w:p w14:paraId="4243C98F" w14:textId="77777777" w:rsidR="00B429D2" w:rsidRPr="003A3EB9" w:rsidRDefault="00B429D2" w:rsidP="008E36A5">
      <w:pPr>
        <w:spacing w:after="0" w:line="360" w:lineRule="auto"/>
        <w:jc w:val="both"/>
        <w:rPr>
          <w:rFonts w:asciiTheme="majorBidi" w:hAnsiTheme="majorBidi" w:cstheme="majorBidi"/>
          <w:sz w:val="24"/>
          <w:szCs w:val="24"/>
        </w:rPr>
      </w:pPr>
    </w:p>
    <w:p w14:paraId="38FB1DB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Singh, B., Gill, R. I. S., and Gill, P. S. (2010). Soil fertility under various tree species and poplar-based agroforestry system. </w:t>
      </w:r>
      <w:r w:rsidRPr="003A3EB9">
        <w:rPr>
          <w:rFonts w:asciiTheme="majorBidi" w:hAnsiTheme="majorBidi" w:cstheme="majorBidi"/>
          <w:i/>
          <w:iCs/>
          <w:sz w:val="24"/>
          <w:szCs w:val="24"/>
        </w:rPr>
        <w:t>Agricultural Research Journal</w:t>
      </w:r>
      <w:r w:rsidRPr="003A3EB9">
        <w:rPr>
          <w:rFonts w:asciiTheme="majorBidi" w:hAnsiTheme="majorBidi" w:cstheme="majorBidi"/>
          <w:sz w:val="24"/>
          <w:szCs w:val="24"/>
        </w:rPr>
        <w:t>, </w:t>
      </w:r>
      <w:r w:rsidRPr="003A3EB9">
        <w:rPr>
          <w:rFonts w:asciiTheme="majorBidi" w:hAnsiTheme="majorBidi" w:cstheme="majorBidi"/>
          <w:i/>
          <w:iCs/>
          <w:sz w:val="24"/>
          <w:szCs w:val="24"/>
        </w:rPr>
        <w:t>47</w:t>
      </w:r>
      <w:r w:rsidRPr="003A3EB9">
        <w:rPr>
          <w:rFonts w:asciiTheme="majorBidi" w:hAnsiTheme="majorBidi" w:cstheme="majorBidi"/>
          <w:sz w:val="24"/>
          <w:szCs w:val="24"/>
        </w:rPr>
        <w:t>(3-4), 160-64.</w:t>
      </w:r>
    </w:p>
    <w:p w14:paraId="14D2898F" w14:textId="77777777" w:rsidR="00B429D2" w:rsidRPr="003A3EB9" w:rsidRDefault="00B429D2" w:rsidP="008E36A5">
      <w:pPr>
        <w:spacing w:after="0" w:line="360" w:lineRule="auto"/>
        <w:jc w:val="both"/>
        <w:rPr>
          <w:rFonts w:asciiTheme="majorBidi" w:hAnsiTheme="majorBidi" w:cstheme="majorBidi"/>
          <w:sz w:val="24"/>
          <w:szCs w:val="24"/>
        </w:rPr>
      </w:pPr>
    </w:p>
    <w:p w14:paraId="14AF0C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Singh, B., Singh, P., and Gill, R. I. S. (2016). Seasonal variation in biomass and nitrogen content of fine roots of bead tree (</w:t>
      </w:r>
      <w:r w:rsidRPr="00C63DD8">
        <w:rPr>
          <w:rFonts w:asciiTheme="majorBidi" w:hAnsiTheme="majorBidi" w:cstheme="majorBidi"/>
          <w:i/>
          <w:iCs/>
          <w:sz w:val="24"/>
          <w:szCs w:val="24"/>
        </w:rPr>
        <w:t>Melia azedarach</w:t>
      </w:r>
      <w:r w:rsidRPr="003A3EB9">
        <w:rPr>
          <w:rFonts w:asciiTheme="majorBidi" w:hAnsiTheme="majorBidi" w:cstheme="majorBidi"/>
          <w:sz w:val="24"/>
          <w:szCs w:val="24"/>
        </w:rPr>
        <w:t>) under different nutrient levels in an agroforestry system.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(2), 192-200.</w:t>
      </w:r>
    </w:p>
    <w:p w14:paraId="0AC40845" w14:textId="77777777" w:rsidR="00B429D2" w:rsidRPr="003A3EB9" w:rsidRDefault="00B429D2" w:rsidP="008E36A5">
      <w:pPr>
        <w:spacing w:after="0" w:line="360" w:lineRule="auto"/>
        <w:jc w:val="both"/>
        <w:rPr>
          <w:rFonts w:asciiTheme="majorBidi" w:hAnsiTheme="majorBidi" w:cstheme="majorBidi"/>
          <w:sz w:val="24"/>
          <w:szCs w:val="24"/>
        </w:rPr>
      </w:pPr>
    </w:p>
    <w:p w14:paraId="1A79DEF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(2010). Rainfall dependent competition effected productivity of </w:t>
      </w:r>
      <w:r w:rsidRPr="00C63DD8">
        <w:rPr>
          <w:rFonts w:asciiTheme="majorBidi" w:hAnsiTheme="majorBidi" w:cstheme="majorBidi"/>
          <w:i/>
          <w:iCs/>
          <w:sz w:val="24"/>
          <w:szCs w:val="24"/>
        </w:rPr>
        <w:t>V. radiata</w:t>
      </w:r>
      <w:r w:rsidRPr="003A3EB9">
        <w:rPr>
          <w:rFonts w:asciiTheme="majorBidi" w:hAnsiTheme="majorBidi" w:cstheme="majorBidi"/>
          <w:sz w:val="24"/>
          <w:szCs w:val="24"/>
        </w:rPr>
        <w:t xml:space="preserve"> in </w:t>
      </w:r>
      <w:r w:rsidRPr="00C63DD8">
        <w:rPr>
          <w:rFonts w:asciiTheme="majorBidi" w:hAnsiTheme="majorBidi" w:cstheme="majorBidi"/>
          <w:i/>
          <w:iCs/>
          <w:sz w:val="24"/>
          <w:szCs w:val="24"/>
        </w:rPr>
        <w:t>Hardwickia binata</w:t>
      </w:r>
      <w:r w:rsidRPr="003A3EB9">
        <w:rPr>
          <w:rFonts w:asciiTheme="majorBidi" w:hAnsiTheme="majorBidi" w:cstheme="majorBidi"/>
          <w:sz w:val="24"/>
          <w:szCs w:val="24"/>
        </w:rPr>
        <w:t xml:space="preserve"> agroforestry in Indian Desert.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136</w:t>
      </w:r>
      <w:r w:rsidRPr="003A3EB9">
        <w:rPr>
          <w:rFonts w:asciiTheme="majorBidi" w:hAnsiTheme="majorBidi" w:cstheme="majorBidi"/>
          <w:sz w:val="24"/>
          <w:szCs w:val="24"/>
        </w:rPr>
        <w:t>, 301-315.</w:t>
      </w:r>
    </w:p>
    <w:p w14:paraId="018FAA0A" w14:textId="77777777" w:rsidR="00B429D2" w:rsidRPr="003A3EB9" w:rsidRDefault="00B429D2" w:rsidP="008E36A5">
      <w:pPr>
        <w:spacing w:after="0" w:line="360" w:lineRule="auto"/>
        <w:jc w:val="both"/>
        <w:rPr>
          <w:rFonts w:asciiTheme="majorBidi" w:hAnsiTheme="majorBidi" w:cstheme="majorBidi"/>
          <w:sz w:val="24"/>
          <w:szCs w:val="24"/>
        </w:rPr>
      </w:pPr>
    </w:p>
    <w:p w14:paraId="506B96C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and Rathod, T. R. (2007). Growth, production and resource use in </w:t>
      </w:r>
      <w:r w:rsidRPr="00C63DD8">
        <w:rPr>
          <w:rFonts w:asciiTheme="majorBidi" w:hAnsiTheme="majorBidi" w:cstheme="majorBidi"/>
          <w:i/>
          <w:iCs/>
          <w:sz w:val="24"/>
          <w:szCs w:val="24"/>
        </w:rPr>
        <w:t>Colophospermum mopane</w:t>
      </w:r>
      <w:r w:rsidRPr="003A3EB9">
        <w:rPr>
          <w:rFonts w:asciiTheme="majorBidi" w:hAnsiTheme="majorBidi" w:cstheme="majorBidi"/>
          <w:sz w:val="24"/>
          <w:szCs w:val="24"/>
        </w:rPr>
        <w:t>-based agroforestry system in north-western India: (Wachstum, Produktion und Ressourcennutzung in einem auf Colophospermum mopane basierenden Agroforestry-System in Nordwest Indien). </w:t>
      </w:r>
      <w:r w:rsidRPr="003A3EB9">
        <w:rPr>
          <w:rFonts w:asciiTheme="majorBidi" w:hAnsiTheme="majorBidi" w:cstheme="majorBidi"/>
          <w:i/>
          <w:iCs/>
          <w:sz w:val="24"/>
          <w:szCs w:val="24"/>
        </w:rPr>
        <w:t>Archives of Agronomy and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53</w:t>
      </w:r>
      <w:r w:rsidRPr="003A3EB9">
        <w:rPr>
          <w:rFonts w:asciiTheme="majorBidi" w:hAnsiTheme="majorBidi" w:cstheme="majorBidi"/>
          <w:sz w:val="24"/>
          <w:szCs w:val="24"/>
        </w:rPr>
        <w:t xml:space="preserve">(1), 75-88. </w:t>
      </w:r>
    </w:p>
    <w:p w14:paraId="2811E7C4" w14:textId="77777777" w:rsidR="00B429D2" w:rsidRPr="003A3EB9" w:rsidRDefault="00B429D2" w:rsidP="008E36A5">
      <w:pPr>
        <w:spacing w:after="0" w:line="360" w:lineRule="auto"/>
        <w:jc w:val="both"/>
        <w:rPr>
          <w:rFonts w:asciiTheme="majorBidi" w:hAnsiTheme="majorBidi" w:cstheme="majorBidi"/>
          <w:sz w:val="24"/>
          <w:szCs w:val="24"/>
        </w:rPr>
      </w:pPr>
    </w:p>
    <w:p w14:paraId="4A83289A"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N. R., and Jhariya, M. K. (2014). Performance of soybean and soil properties under poplar based agroforestry system in tarai belt of Uttarakhand, India. </w:t>
      </w:r>
      <w:r w:rsidRPr="003A3EB9">
        <w:rPr>
          <w:rFonts w:asciiTheme="majorBidi" w:hAnsiTheme="majorBidi" w:cstheme="majorBidi"/>
          <w:i/>
          <w:iCs/>
          <w:sz w:val="24"/>
          <w:szCs w:val="24"/>
        </w:rPr>
        <w:t>Ecology, Environment and Conservation</w:t>
      </w:r>
      <w:r w:rsidRPr="003A3EB9">
        <w:rPr>
          <w:rFonts w:asciiTheme="majorBidi" w:hAnsiTheme="majorBidi" w:cstheme="majorBidi"/>
          <w:sz w:val="24"/>
          <w:szCs w:val="24"/>
        </w:rPr>
        <w:t>, 20:1569-1573.</w:t>
      </w:r>
    </w:p>
    <w:p w14:paraId="4063FA7C" w14:textId="77777777" w:rsidR="00B429D2" w:rsidRPr="003A3EB9" w:rsidRDefault="00B429D2" w:rsidP="008E36A5">
      <w:pPr>
        <w:spacing w:after="0" w:line="360" w:lineRule="auto"/>
        <w:jc w:val="both"/>
        <w:rPr>
          <w:rFonts w:asciiTheme="majorBidi" w:hAnsiTheme="majorBidi" w:cstheme="majorBidi"/>
          <w:sz w:val="24"/>
          <w:szCs w:val="24"/>
        </w:rPr>
      </w:pPr>
    </w:p>
    <w:p w14:paraId="24B9888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Subbiah, B. V., and Asija, G. L. (1956). A rapid procedure for the estimation of available nitrogen in soils. </w:t>
      </w:r>
      <w:r w:rsidRPr="003A3EB9">
        <w:rPr>
          <w:rFonts w:asciiTheme="majorBidi" w:hAnsiTheme="majorBidi" w:cstheme="majorBidi"/>
          <w:i/>
          <w:iCs/>
          <w:sz w:val="24"/>
          <w:szCs w:val="24"/>
        </w:rPr>
        <w:t>Current Science</w:t>
      </w:r>
      <w:r w:rsidRPr="003A3EB9">
        <w:rPr>
          <w:rFonts w:asciiTheme="majorBidi" w:hAnsiTheme="majorBidi" w:cstheme="majorBidi"/>
          <w:sz w:val="24"/>
          <w:szCs w:val="24"/>
        </w:rPr>
        <w:t xml:space="preserve">. 25:259260. </w:t>
      </w:r>
    </w:p>
    <w:p w14:paraId="02F3B3D4" w14:textId="77777777" w:rsidR="007C0FC0" w:rsidRPr="003A3EB9" w:rsidRDefault="007C0FC0" w:rsidP="008E36A5">
      <w:pPr>
        <w:spacing w:after="0" w:line="360" w:lineRule="auto"/>
        <w:jc w:val="both"/>
        <w:rPr>
          <w:rFonts w:asciiTheme="majorBidi" w:hAnsiTheme="majorBidi" w:cstheme="majorBidi"/>
          <w:sz w:val="24"/>
          <w:szCs w:val="24"/>
        </w:rPr>
      </w:pPr>
    </w:p>
    <w:p w14:paraId="1621D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Tashi, S., Singh, B., Keitel, C., and Adams, M. (2016). Soil carbon and nitrogen stocks in forests along an altitudinal gradient in the eastern Himalayas and a meta‐analysis of global data. </w:t>
      </w:r>
      <w:r w:rsidRPr="003A3EB9">
        <w:rPr>
          <w:rFonts w:asciiTheme="majorBidi" w:hAnsiTheme="majorBidi" w:cstheme="majorBidi"/>
          <w:i/>
          <w:iCs/>
          <w:sz w:val="24"/>
          <w:szCs w:val="24"/>
        </w:rPr>
        <w:t>Global change biology</w:t>
      </w:r>
      <w:r w:rsidRPr="003A3EB9">
        <w:rPr>
          <w:rFonts w:asciiTheme="majorBidi" w:hAnsiTheme="majorBidi" w:cstheme="majorBidi"/>
          <w:sz w:val="24"/>
          <w:szCs w:val="24"/>
        </w:rPr>
        <w:t>, </w:t>
      </w:r>
      <w:r w:rsidRPr="003A3EB9">
        <w:rPr>
          <w:rFonts w:asciiTheme="majorBidi" w:hAnsiTheme="majorBidi" w:cstheme="majorBidi"/>
          <w:i/>
          <w:iCs/>
          <w:sz w:val="24"/>
          <w:szCs w:val="24"/>
        </w:rPr>
        <w:t>22</w:t>
      </w:r>
      <w:r w:rsidRPr="003A3EB9">
        <w:rPr>
          <w:rFonts w:asciiTheme="majorBidi" w:hAnsiTheme="majorBidi" w:cstheme="majorBidi"/>
          <w:sz w:val="24"/>
          <w:szCs w:val="24"/>
        </w:rPr>
        <w:t xml:space="preserve">(6), 2255-2268. </w:t>
      </w:r>
    </w:p>
    <w:p w14:paraId="272FFA89" w14:textId="77777777" w:rsidR="003A3EB9" w:rsidRPr="003A3EB9" w:rsidRDefault="003A3EB9" w:rsidP="008E36A5">
      <w:pPr>
        <w:spacing w:after="0" w:line="360" w:lineRule="auto"/>
        <w:jc w:val="both"/>
        <w:rPr>
          <w:rFonts w:asciiTheme="majorBidi" w:hAnsiTheme="majorBidi" w:cstheme="majorBidi"/>
          <w:sz w:val="24"/>
          <w:szCs w:val="24"/>
        </w:rPr>
      </w:pPr>
    </w:p>
    <w:p w14:paraId="1E12BDCC" w14:textId="77777777" w:rsidR="003A3EB9" w:rsidRPr="003A3EB9" w:rsidRDefault="003A3EB9" w:rsidP="008E36A5">
      <w:pPr>
        <w:spacing w:after="0" w:line="360" w:lineRule="auto"/>
        <w:jc w:val="both"/>
        <w:rPr>
          <w:rFonts w:asciiTheme="majorBidi" w:hAnsiTheme="majorBidi" w:cstheme="majorBidi"/>
          <w:sz w:val="24"/>
          <w:szCs w:val="24"/>
        </w:rPr>
      </w:pPr>
      <w:bookmarkStart w:id="30" w:name="_Hlk190024259"/>
      <w:r w:rsidRPr="003A3EB9">
        <w:rPr>
          <w:rFonts w:asciiTheme="majorBidi" w:hAnsiTheme="majorBidi" w:cstheme="majorBidi"/>
          <w:sz w:val="24"/>
          <w:szCs w:val="24"/>
        </w:rPr>
        <w:t>Tian, Y., Cao, F., and Wang, G. (2013). Soil microbiological properties and enzyme activity in Ginkgo–tea agroforestry compared with monoculture.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1201-1210.</w:t>
      </w:r>
    </w:p>
    <w:bookmarkEnd w:id="30"/>
    <w:p w14:paraId="60F37971" w14:textId="77777777" w:rsidR="00B429D2" w:rsidRPr="003A3EB9" w:rsidRDefault="00B429D2" w:rsidP="008E36A5">
      <w:pPr>
        <w:spacing w:after="0" w:line="360" w:lineRule="auto"/>
        <w:jc w:val="both"/>
        <w:rPr>
          <w:rFonts w:asciiTheme="majorBidi" w:hAnsiTheme="majorBidi" w:cstheme="majorBidi"/>
          <w:sz w:val="24"/>
          <w:szCs w:val="24"/>
        </w:rPr>
      </w:pPr>
    </w:p>
    <w:p w14:paraId="2B02E3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Uthappa, A. R., Bana, O. P. S., Kumar, M., and Kanwal, M. (2015). Soil physico-bio-chemical properties as influenced by varying tree densities in poplar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 ex Marsh.) based agroforestry system. </w:t>
      </w:r>
      <w:r w:rsidRPr="003A3EB9">
        <w:rPr>
          <w:rFonts w:asciiTheme="majorBidi" w:hAnsiTheme="majorBidi" w:cstheme="majorBidi"/>
          <w:i/>
          <w:iCs/>
          <w:sz w:val="24"/>
          <w:szCs w:val="24"/>
        </w:rPr>
        <w:t>Indian Journal of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17</w:t>
      </w:r>
      <w:r w:rsidRPr="003A3EB9">
        <w:rPr>
          <w:rFonts w:asciiTheme="majorBidi" w:hAnsiTheme="majorBidi" w:cstheme="majorBidi"/>
          <w:sz w:val="24"/>
          <w:szCs w:val="24"/>
        </w:rPr>
        <w:t>(1), 81-90.</w:t>
      </w:r>
    </w:p>
    <w:p w14:paraId="07A58034" w14:textId="77777777" w:rsidR="00B429D2" w:rsidRPr="003A3EB9" w:rsidRDefault="00B429D2" w:rsidP="008E36A5">
      <w:pPr>
        <w:spacing w:after="0" w:line="360" w:lineRule="auto"/>
        <w:jc w:val="both"/>
        <w:rPr>
          <w:rFonts w:asciiTheme="majorBidi" w:hAnsiTheme="majorBidi" w:cstheme="majorBidi"/>
          <w:sz w:val="24"/>
          <w:szCs w:val="24"/>
        </w:rPr>
      </w:pPr>
    </w:p>
    <w:p w14:paraId="28D688E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Walkley, A., and Black, I. A. (1934). An examination of the Degtjareff method for determining soil organic matter, and a proposed modification of the chromic acid titration method. </w:t>
      </w:r>
      <w:r w:rsidRPr="003A3EB9">
        <w:rPr>
          <w:rFonts w:asciiTheme="majorBidi" w:hAnsiTheme="majorBidi" w:cstheme="majorBidi"/>
          <w:i/>
          <w:iCs/>
          <w:sz w:val="24"/>
          <w:szCs w:val="24"/>
        </w:rPr>
        <w:t>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 xml:space="preserve">(1), 29-38. </w:t>
      </w:r>
    </w:p>
    <w:p w14:paraId="2A50C93D" w14:textId="77777777" w:rsidR="00B429D2" w:rsidRPr="003A3EB9" w:rsidRDefault="00B429D2" w:rsidP="008E36A5">
      <w:pPr>
        <w:spacing w:after="0" w:line="360" w:lineRule="auto"/>
        <w:jc w:val="both"/>
        <w:rPr>
          <w:rFonts w:asciiTheme="majorBidi" w:hAnsiTheme="majorBidi" w:cstheme="majorBidi"/>
          <w:sz w:val="24"/>
          <w:szCs w:val="24"/>
        </w:rPr>
      </w:pPr>
    </w:p>
    <w:p w14:paraId="494F5C9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Yang, N., Ji, L., Yang, Y., and Yang, L. (2018). The influence of tree species on soil properties and microbial communities following afforestation of abandoned land in northeast China. </w:t>
      </w:r>
      <w:r w:rsidRPr="003A3EB9">
        <w:rPr>
          <w:rFonts w:asciiTheme="majorBidi" w:hAnsiTheme="majorBidi" w:cstheme="majorBidi"/>
          <w:i/>
          <w:iCs/>
          <w:sz w:val="24"/>
          <w:szCs w:val="24"/>
        </w:rPr>
        <w:t>European Journal of Soil Biology</w:t>
      </w:r>
      <w:r w:rsidRPr="003A3EB9">
        <w:rPr>
          <w:rFonts w:asciiTheme="majorBidi" w:hAnsiTheme="majorBidi" w:cstheme="majorBidi"/>
          <w:sz w:val="24"/>
          <w:szCs w:val="24"/>
        </w:rPr>
        <w:t>, </w:t>
      </w:r>
      <w:r w:rsidRPr="003A3EB9">
        <w:rPr>
          <w:rFonts w:asciiTheme="majorBidi" w:hAnsiTheme="majorBidi" w:cstheme="majorBidi"/>
          <w:i/>
          <w:iCs/>
          <w:sz w:val="24"/>
          <w:szCs w:val="24"/>
        </w:rPr>
        <w:t>85</w:t>
      </w:r>
      <w:r w:rsidRPr="003A3EB9">
        <w:rPr>
          <w:rFonts w:asciiTheme="majorBidi" w:hAnsiTheme="majorBidi" w:cstheme="majorBidi"/>
          <w:sz w:val="24"/>
          <w:szCs w:val="24"/>
        </w:rPr>
        <w:t>, 73-78.</w:t>
      </w:r>
    </w:p>
    <w:p w14:paraId="0937F832" w14:textId="77777777" w:rsidR="00B429D2" w:rsidRPr="003A3EB9" w:rsidRDefault="00B429D2" w:rsidP="008E36A5">
      <w:pPr>
        <w:spacing w:after="0" w:line="360" w:lineRule="auto"/>
        <w:jc w:val="both"/>
        <w:rPr>
          <w:rFonts w:asciiTheme="majorBidi" w:hAnsiTheme="majorBidi" w:cstheme="majorBidi"/>
          <w:sz w:val="24"/>
          <w:szCs w:val="24"/>
        </w:rPr>
      </w:pPr>
    </w:p>
    <w:p w14:paraId="049FCFB2" w14:textId="77777777" w:rsidR="00B429D2"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Zhang, W., Liu, W., Xu, M., Deng, J., Han, X., Yang, G., ... and Ren, G. (2019). Response of forest growth to C: N: P stoichiometry in plants and soils during </w:t>
      </w:r>
      <w:r w:rsidRPr="00C63DD8">
        <w:rPr>
          <w:rFonts w:asciiTheme="majorBidi" w:hAnsiTheme="majorBidi" w:cstheme="majorBidi"/>
          <w:i/>
          <w:iCs/>
          <w:sz w:val="24"/>
          <w:szCs w:val="24"/>
        </w:rPr>
        <w:t>Robinia pseudoacacia</w:t>
      </w:r>
      <w:r w:rsidRPr="003A3EB9">
        <w:rPr>
          <w:rFonts w:asciiTheme="majorBidi" w:hAnsiTheme="majorBidi" w:cstheme="majorBidi"/>
          <w:sz w:val="24"/>
          <w:szCs w:val="24"/>
        </w:rPr>
        <w:t xml:space="preserve"> afforestation on the Loess Plateau, China.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337</w:t>
      </w:r>
      <w:r w:rsidRPr="003A3EB9">
        <w:rPr>
          <w:rFonts w:asciiTheme="majorBidi" w:hAnsiTheme="majorBidi" w:cstheme="majorBidi"/>
          <w:sz w:val="24"/>
          <w:szCs w:val="24"/>
        </w:rPr>
        <w:t>, 280-289.</w:t>
      </w:r>
    </w:p>
    <w:sectPr w:rsidR="00B429D2" w:rsidSect="00E94E9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SHIBA" w:date="2025-02-17T09:15:00Z" w:initials="T">
    <w:p w14:paraId="2A15D055" w14:textId="30C141C2" w:rsidR="00DB3DEF" w:rsidRDefault="00DB3DEF">
      <w:pPr>
        <w:pStyle w:val="CommentText"/>
      </w:pPr>
      <w:r>
        <w:rPr>
          <w:rStyle w:val="CommentReference"/>
        </w:rPr>
        <w:annotationRef/>
      </w:r>
      <w:proofErr w:type="gramStart"/>
      <w:r w:rsidRPr="00DB3DEF">
        <w:t>journal</w:t>
      </w:r>
      <w:proofErr w:type="gramEnd"/>
      <w:r w:rsidRPr="00DB3DEF">
        <w:t xml:space="preserve"> layout adjust the template especially the table layout</w:t>
      </w:r>
    </w:p>
  </w:comment>
  <w:comment w:id="1" w:author="TOSHIBA" w:date="2025-02-16T22:00:00Z" w:initials="T">
    <w:p w14:paraId="14CF59BE" w14:textId="46505CFF" w:rsidR="00EE7EA9" w:rsidRDefault="00EE7EA9">
      <w:pPr>
        <w:pStyle w:val="CommentText"/>
      </w:pPr>
      <w:r>
        <w:rPr>
          <w:rStyle w:val="CommentReference"/>
        </w:rPr>
        <w:annotationRef/>
      </w:r>
      <w:r w:rsidRPr="00C25873">
        <w:t>It is better to include important factors that support this research.</w:t>
      </w:r>
    </w:p>
  </w:comment>
  <w:comment w:id="5" w:author="TOSHIBA" w:date="2025-02-16T22:02:00Z" w:initials="T">
    <w:p w14:paraId="140C6FE4" w14:textId="3D4E98C0" w:rsidR="00EE7EA9" w:rsidRDefault="00EE7EA9">
      <w:pPr>
        <w:pStyle w:val="CommentText"/>
      </w:pPr>
      <w:r>
        <w:rPr>
          <w:rStyle w:val="CommentReference"/>
        </w:rPr>
        <w:annotationRef/>
      </w:r>
      <w:proofErr w:type="gramStart"/>
      <w:r w:rsidRPr="00C25873">
        <w:t>should</w:t>
      </w:r>
      <w:proofErr w:type="gramEnd"/>
      <w:r w:rsidRPr="00C25873">
        <w:t xml:space="preserve"> be completed with data</w:t>
      </w:r>
    </w:p>
  </w:comment>
  <w:comment w:id="6" w:author="TOSHIBA" w:date="2025-02-16T22:02:00Z" w:initials="T">
    <w:p w14:paraId="0B46E262" w14:textId="392EB942" w:rsidR="00EE7EA9" w:rsidRDefault="00EE7EA9">
      <w:pPr>
        <w:pStyle w:val="CommentText"/>
      </w:pPr>
      <w:r>
        <w:rPr>
          <w:rStyle w:val="CommentReference"/>
        </w:rPr>
        <w:annotationRef/>
      </w:r>
      <w:proofErr w:type="gramStart"/>
      <w:r w:rsidRPr="00C25873">
        <w:t>should</w:t>
      </w:r>
      <w:proofErr w:type="gramEnd"/>
      <w:r w:rsidRPr="00C25873">
        <w:t xml:space="preserve"> be completed with data</w:t>
      </w:r>
    </w:p>
  </w:comment>
  <w:comment w:id="7" w:author="TOSHIBA" w:date="2025-02-16T22:09:00Z" w:initials="T">
    <w:p w14:paraId="1DC30BCB" w14:textId="112B3FE1" w:rsidR="00EE7EA9" w:rsidRDefault="00EE7EA9">
      <w:pPr>
        <w:pStyle w:val="CommentText"/>
      </w:pPr>
      <w:r>
        <w:rPr>
          <w:rStyle w:val="CommentReference"/>
        </w:rPr>
        <w:annotationRef/>
      </w:r>
      <w:proofErr w:type="gramStart"/>
      <w:r w:rsidRPr="00183298">
        <w:t>writing</w:t>
      </w:r>
      <w:proofErr w:type="gramEnd"/>
      <w:r w:rsidRPr="00183298">
        <w:t xml:space="preserve"> needs to have paragraphs</w:t>
      </w:r>
    </w:p>
  </w:comment>
  <w:comment w:id="8" w:author="TOSHIBA" w:date="2025-02-17T08:59:00Z" w:initials="T">
    <w:p w14:paraId="432F2B8A" w14:textId="27B54CF8" w:rsidR="00EE7EA9" w:rsidRDefault="00EE7EA9">
      <w:pPr>
        <w:pStyle w:val="CommentText"/>
      </w:pPr>
      <w:r>
        <w:rPr>
          <w:rStyle w:val="CommentReference"/>
        </w:rPr>
        <w:annotationRef/>
      </w:r>
      <w:proofErr w:type="gramStart"/>
      <w:r w:rsidRPr="00EE7EA9">
        <w:t>put</w:t>
      </w:r>
      <w:proofErr w:type="gramEnd"/>
      <w:r w:rsidRPr="00EE7EA9">
        <w:t xml:space="preserve"> in reference</w:t>
      </w:r>
    </w:p>
  </w:comment>
  <w:comment w:id="9" w:author="TOSHIBA" w:date="2025-02-16T22:07:00Z" w:initials="T">
    <w:p w14:paraId="549E0114" w14:textId="1AC96A7A" w:rsidR="00EE7EA9" w:rsidRDefault="00EE7EA9">
      <w:pPr>
        <w:pStyle w:val="CommentText"/>
      </w:pPr>
      <w:r>
        <w:rPr>
          <w:rStyle w:val="CommentReference"/>
        </w:rPr>
        <w:annotationRef/>
      </w:r>
      <w:r w:rsidRPr="001D6C1D">
        <w:t>It is best to complete it with a map of the area</w:t>
      </w:r>
    </w:p>
  </w:comment>
  <w:comment w:id="10" w:author="TOSHIBA" w:date="2025-02-16T22:11:00Z" w:initials="T">
    <w:p w14:paraId="433E5AF4" w14:textId="45F3DC55" w:rsidR="00EE7EA9" w:rsidRDefault="00EE7EA9">
      <w:pPr>
        <w:pStyle w:val="CommentText"/>
      </w:pPr>
      <w:r>
        <w:rPr>
          <w:rStyle w:val="CommentReference"/>
        </w:rPr>
        <w:annotationRef/>
      </w:r>
      <w:proofErr w:type="gramStart"/>
      <w:r w:rsidRPr="00183298">
        <w:t>please</w:t>
      </w:r>
      <w:proofErr w:type="gramEnd"/>
      <w:r w:rsidRPr="00183298">
        <w:t xml:space="preserve"> complete the temperature data</w:t>
      </w:r>
    </w:p>
  </w:comment>
  <w:comment w:id="11" w:author="TOSHIBA" w:date="2025-02-16T22:13:00Z" w:initials="T">
    <w:p w14:paraId="11B15CE3" w14:textId="5F9E8CB5" w:rsidR="00EE7EA9" w:rsidRDefault="00EE7EA9">
      <w:pPr>
        <w:pStyle w:val="CommentText"/>
      </w:pPr>
      <w:r>
        <w:rPr>
          <w:rStyle w:val="CommentReference"/>
        </w:rPr>
        <w:annotationRef/>
      </w:r>
      <w:proofErr w:type="gramStart"/>
      <w:r w:rsidRPr="00193B6F">
        <w:t>writing</w:t>
      </w:r>
      <w:proofErr w:type="gramEnd"/>
      <w:r w:rsidRPr="00193B6F">
        <w:t xml:space="preserve"> needs to have paragraphs</w:t>
      </w:r>
    </w:p>
  </w:comment>
  <w:comment w:id="12" w:author="TOSHIBA" w:date="2025-02-16T22:14:00Z" w:initials="T">
    <w:p w14:paraId="6088EE64" w14:textId="6DA81ABE" w:rsidR="00EE7EA9" w:rsidRDefault="00EE7EA9">
      <w:pPr>
        <w:pStyle w:val="CommentText"/>
      </w:pPr>
      <w:r>
        <w:rPr>
          <w:rStyle w:val="CommentReference"/>
        </w:rPr>
        <w:annotationRef/>
      </w:r>
      <w:proofErr w:type="gramStart"/>
      <w:r w:rsidRPr="00193B6F">
        <w:t>writing</w:t>
      </w:r>
      <w:proofErr w:type="gramEnd"/>
      <w:r w:rsidRPr="00193B6F">
        <w:t xml:space="preserve"> needs to have paragraphs</w:t>
      </w:r>
    </w:p>
  </w:comment>
  <w:comment w:id="13" w:author="TOSHIBA" w:date="2025-02-16T22:16:00Z" w:initials="T">
    <w:p w14:paraId="6516E1C8" w14:textId="56629686" w:rsidR="00EE7EA9" w:rsidRDefault="00EE7EA9">
      <w:pPr>
        <w:pStyle w:val="CommentText"/>
      </w:pPr>
      <w:r>
        <w:rPr>
          <w:rStyle w:val="CommentReference"/>
        </w:rPr>
        <w:annotationRef/>
      </w:r>
      <w:r w:rsidRPr="00193B6F">
        <w:t>It is better to complete it with data</w:t>
      </w:r>
    </w:p>
  </w:comment>
  <w:comment w:id="14" w:author="TOSHIBA" w:date="2025-02-17T09:39:00Z" w:initials="T">
    <w:p w14:paraId="3D2ED5CB" w14:textId="35CE471F" w:rsidR="004216B4" w:rsidRDefault="004216B4">
      <w:pPr>
        <w:pStyle w:val="CommentText"/>
      </w:pPr>
      <w:r>
        <w:rPr>
          <w:rStyle w:val="CommentReference"/>
        </w:rPr>
        <w:annotationRef/>
      </w:r>
      <w:r w:rsidRPr="004216B4">
        <w:t>Do not cut the table</w:t>
      </w:r>
      <w:bookmarkStart w:id="16" w:name="_GoBack"/>
      <w:bookmarkEnd w:id="16"/>
    </w:p>
  </w:comment>
  <w:comment w:id="27" w:author="TOSHIBA" w:date="2025-02-17T09:39:00Z" w:initials="T">
    <w:p w14:paraId="1A2639ED" w14:textId="2692E4A3" w:rsidR="00FD08C6" w:rsidRDefault="00FD08C6">
      <w:pPr>
        <w:pStyle w:val="CommentText"/>
      </w:pPr>
      <w:r>
        <w:rPr>
          <w:rStyle w:val="CommentReference"/>
        </w:rPr>
        <w:annotationRef/>
      </w:r>
      <w:r w:rsidRPr="00FD08C6">
        <w:t>Do not cut the table</w:t>
      </w:r>
    </w:p>
  </w:comment>
  <w:comment w:id="29" w:author="TOSHIBA" w:date="2025-02-17T09:19:00Z" w:initials="T">
    <w:p w14:paraId="0484C9F9" w14:textId="60ADF28E" w:rsidR="008D3435" w:rsidRDefault="008D3435">
      <w:pPr>
        <w:pStyle w:val="CommentText"/>
      </w:pPr>
      <w:r>
        <w:rPr>
          <w:rStyle w:val="CommentReference"/>
        </w:rPr>
        <w:annotationRef/>
      </w:r>
      <w:proofErr w:type="gramStart"/>
      <w:r w:rsidRPr="008D3435">
        <w:t>double</w:t>
      </w:r>
      <w:proofErr w:type="gramEnd"/>
      <w:r w:rsidRPr="008D3435">
        <w:t xml:space="preserve"> check the age of the theory source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49205" w14:textId="77777777" w:rsidR="00E242F4" w:rsidRDefault="00E242F4" w:rsidP="002A218C">
      <w:pPr>
        <w:spacing w:after="0" w:line="240" w:lineRule="auto"/>
      </w:pPr>
      <w:r>
        <w:separator/>
      </w:r>
    </w:p>
  </w:endnote>
  <w:endnote w:type="continuationSeparator" w:id="0">
    <w:p w14:paraId="5812494E" w14:textId="77777777" w:rsidR="00E242F4" w:rsidRDefault="00E242F4" w:rsidP="002A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8056F" w14:textId="77777777" w:rsidR="00EE7EA9" w:rsidRDefault="00EE7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C510" w14:textId="77777777" w:rsidR="00EE7EA9" w:rsidRDefault="00EE7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AF90A" w14:textId="77777777" w:rsidR="00EE7EA9" w:rsidRDefault="00EE7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371C2" w14:textId="77777777" w:rsidR="00E242F4" w:rsidRDefault="00E242F4" w:rsidP="002A218C">
      <w:pPr>
        <w:spacing w:after="0" w:line="240" w:lineRule="auto"/>
      </w:pPr>
      <w:r>
        <w:separator/>
      </w:r>
    </w:p>
  </w:footnote>
  <w:footnote w:type="continuationSeparator" w:id="0">
    <w:p w14:paraId="18AFB5CC" w14:textId="77777777" w:rsidR="00E242F4" w:rsidRDefault="00E242F4" w:rsidP="002A2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E6C5" w14:textId="412959C8" w:rsidR="00EE7EA9" w:rsidRDefault="00EE7EA9">
    <w:pPr>
      <w:pStyle w:val="Header"/>
    </w:pPr>
    <w:r>
      <w:rPr>
        <w:noProof/>
      </w:rPr>
      <w:pict w14:anchorId="2AFC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CF23" w14:textId="77B2036A" w:rsidR="00EE7EA9" w:rsidRDefault="00EE7EA9">
    <w:pPr>
      <w:pStyle w:val="Header"/>
    </w:pPr>
    <w:r>
      <w:rPr>
        <w:noProof/>
      </w:rPr>
      <w:pict w14:anchorId="00E1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C592" w14:textId="242F2082" w:rsidR="00EE7EA9" w:rsidRDefault="00EE7EA9">
    <w:pPr>
      <w:pStyle w:val="Header"/>
    </w:pPr>
    <w:r>
      <w:rPr>
        <w:noProof/>
      </w:rPr>
      <w:pict w14:anchorId="0ADEE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394F"/>
    <w:multiLevelType w:val="hybridMultilevel"/>
    <w:tmpl w:val="B6F2D2B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62063E4E"/>
    <w:multiLevelType w:val="hybridMultilevel"/>
    <w:tmpl w:val="27149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24"/>
    <w:rsid w:val="000150A8"/>
    <w:rsid w:val="00015A5A"/>
    <w:rsid w:val="000457E4"/>
    <w:rsid w:val="000526C4"/>
    <w:rsid w:val="00072AEE"/>
    <w:rsid w:val="000A6EF0"/>
    <w:rsid w:val="001167EB"/>
    <w:rsid w:val="00183298"/>
    <w:rsid w:val="00193B6F"/>
    <w:rsid w:val="001D6C1D"/>
    <w:rsid w:val="001F7249"/>
    <w:rsid w:val="002113DD"/>
    <w:rsid w:val="00271573"/>
    <w:rsid w:val="00284732"/>
    <w:rsid w:val="00292E2A"/>
    <w:rsid w:val="002A218C"/>
    <w:rsid w:val="002C7754"/>
    <w:rsid w:val="002E3C14"/>
    <w:rsid w:val="003326C0"/>
    <w:rsid w:val="00377B2C"/>
    <w:rsid w:val="003A3EB9"/>
    <w:rsid w:val="003D3D87"/>
    <w:rsid w:val="003F4DFD"/>
    <w:rsid w:val="00402C33"/>
    <w:rsid w:val="004216B4"/>
    <w:rsid w:val="00423E77"/>
    <w:rsid w:val="00472115"/>
    <w:rsid w:val="004B6D9E"/>
    <w:rsid w:val="005262F2"/>
    <w:rsid w:val="0053031E"/>
    <w:rsid w:val="00551DD2"/>
    <w:rsid w:val="005B2265"/>
    <w:rsid w:val="006025FD"/>
    <w:rsid w:val="00604B3A"/>
    <w:rsid w:val="006116E1"/>
    <w:rsid w:val="00693FA8"/>
    <w:rsid w:val="006E2399"/>
    <w:rsid w:val="0072091E"/>
    <w:rsid w:val="00785875"/>
    <w:rsid w:val="007C0FC0"/>
    <w:rsid w:val="007E4CBE"/>
    <w:rsid w:val="007F6DC1"/>
    <w:rsid w:val="00801E68"/>
    <w:rsid w:val="00846DE4"/>
    <w:rsid w:val="00857F2E"/>
    <w:rsid w:val="00865159"/>
    <w:rsid w:val="008B1374"/>
    <w:rsid w:val="008B2024"/>
    <w:rsid w:val="008D3435"/>
    <w:rsid w:val="008E36A5"/>
    <w:rsid w:val="00916ADC"/>
    <w:rsid w:val="009602E5"/>
    <w:rsid w:val="00993369"/>
    <w:rsid w:val="00A4094D"/>
    <w:rsid w:val="00A6178F"/>
    <w:rsid w:val="00AB340F"/>
    <w:rsid w:val="00B044B6"/>
    <w:rsid w:val="00B429D2"/>
    <w:rsid w:val="00B7549A"/>
    <w:rsid w:val="00B778CC"/>
    <w:rsid w:val="00B91F1C"/>
    <w:rsid w:val="00BF0FB7"/>
    <w:rsid w:val="00C25873"/>
    <w:rsid w:val="00C63DD8"/>
    <w:rsid w:val="00C921A8"/>
    <w:rsid w:val="00CC321A"/>
    <w:rsid w:val="00D03738"/>
    <w:rsid w:val="00D15785"/>
    <w:rsid w:val="00D25574"/>
    <w:rsid w:val="00D5069B"/>
    <w:rsid w:val="00D91C9A"/>
    <w:rsid w:val="00DB3DEF"/>
    <w:rsid w:val="00E0600C"/>
    <w:rsid w:val="00E10813"/>
    <w:rsid w:val="00E242F4"/>
    <w:rsid w:val="00E6433D"/>
    <w:rsid w:val="00E65045"/>
    <w:rsid w:val="00E94E9D"/>
    <w:rsid w:val="00EA1215"/>
    <w:rsid w:val="00EE7EA9"/>
    <w:rsid w:val="00F0757E"/>
    <w:rsid w:val="00F12862"/>
    <w:rsid w:val="00F96196"/>
    <w:rsid w:val="00FD08C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8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24"/>
    <w:rPr>
      <w:rFonts w:eastAsiaTheme="majorEastAsia" w:cstheme="majorBidi"/>
      <w:color w:val="272727" w:themeColor="text1" w:themeTint="D8"/>
    </w:rPr>
  </w:style>
  <w:style w:type="paragraph" w:styleId="Title">
    <w:name w:val="Title"/>
    <w:basedOn w:val="Normal"/>
    <w:next w:val="Normal"/>
    <w:link w:val="TitleChar"/>
    <w:uiPriority w:val="10"/>
    <w:qFormat/>
    <w:rsid w:val="008B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B2024"/>
    <w:rPr>
      <w:i/>
      <w:iCs/>
      <w:color w:val="404040" w:themeColor="text1" w:themeTint="BF"/>
    </w:rPr>
  </w:style>
  <w:style w:type="paragraph" w:styleId="ListParagraph">
    <w:name w:val="List Paragraph"/>
    <w:basedOn w:val="Normal"/>
    <w:uiPriority w:val="34"/>
    <w:qFormat/>
    <w:rsid w:val="008B2024"/>
    <w:pPr>
      <w:ind w:left="720"/>
      <w:contextualSpacing/>
    </w:pPr>
  </w:style>
  <w:style w:type="character" w:styleId="IntenseEmphasis">
    <w:name w:val="Intense Emphasis"/>
    <w:basedOn w:val="DefaultParagraphFont"/>
    <w:uiPriority w:val="21"/>
    <w:qFormat/>
    <w:rsid w:val="008B2024"/>
    <w:rPr>
      <w:i/>
      <w:iCs/>
      <w:color w:val="2F5496" w:themeColor="accent1" w:themeShade="BF"/>
    </w:rPr>
  </w:style>
  <w:style w:type="paragraph" w:styleId="IntenseQuote">
    <w:name w:val="Intense Quote"/>
    <w:basedOn w:val="Normal"/>
    <w:next w:val="Normal"/>
    <w:link w:val="IntenseQuoteChar"/>
    <w:uiPriority w:val="30"/>
    <w:qFormat/>
    <w:rsid w:val="008B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024"/>
    <w:rPr>
      <w:i/>
      <w:iCs/>
      <w:color w:val="2F5496" w:themeColor="accent1" w:themeShade="BF"/>
    </w:rPr>
  </w:style>
  <w:style w:type="character" w:styleId="IntenseReference">
    <w:name w:val="Intense Reference"/>
    <w:basedOn w:val="DefaultParagraphFont"/>
    <w:uiPriority w:val="32"/>
    <w:qFormat/>
    <w:rsid w:val="008B2024"/>
    <w:rPr>
      <w:b/>
      <w:bCs/>
      <w:smallCaps/>
      <w:color w:val="2F5496" w:themeColor="accent1" w:themeShade="BF"/>
      <w:spacing w:val="5"/>
    </w:rPr>
  </w:style>
  <w:style w:type="paragraph" w:styleId="NormalWeb">
    <w:name w:val="Normal (Web)"/>
    <w:basedOn w:val="Normal"/>
    <w:uiPriority w:val="99"/>
    <w:semiHidden/>
    <w:unhideWhenUsed/>
    <w:rsid w:val="0053031E"/>
    <w:rPr>
      <w:rFonts w:ascii="Times New Roman" w:hAnsi="Times New Roman" w:cs="Times New Roman"/>
      <w:sz w:val="24"/>
      <w:szCs w:val="24"/>
    </w:rPr>
  </w:style>
  <w:style w:type="table" w:styleId="TableGrid">
    <w:name w:val="Table Grid"/>
    <w:basedOn w:val="TableNormal"/>
    <w:uiPriority w:val="39"/>
    <w:rsid w:val="00E94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C14"/>
    <w:rPr>
      <w:color w:val="0563C1" w:themeColor="hyperlink"/>
      <w:u w:val="single"/>
    </w:rPr>
  </w:style>
  <w:style w:type="character" w:customStyle="1" w:styleId="UnresolvedMention">
    <w:name w:val="Unresolved Mention"/>
    <w:basedOn w:val="DefaultParagraphFont"/>
    <w:uiPriority w:val="99"/>
    <w:semiHidden/>
    <w:unhideWhenUsed/>
    <w:rsid w:val="00916ADC"/>
    <w:rPr>
      <w:color w:val="605E5C"/>
      <w:shd w:val="clear" w:color="auto" w:fill="E1DFDD"/>
    </w:rPr>
  </w:style>
  <w:style w:type="paragraph" w:styleId="Header">
    <w:name w:val="header"/>
    <w:basedOn w:val="Normal"/>
    <w:link w:val="HeaderChar"/>
    <w:uiPriority w:val="99"/>
    <w:unhideWhenUsed/>
    <w:rsid w:val="002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8C"/>
  </w:style>
  <w:style w:type="paragraph" w:styleId="Footer">
    <w:name w:val="footer"/>
    <w:basedOn w:val="Normal"/>
    <w:link w:val="FooterChar"/>
    <w:uiPriority w:val="99"/>
    <w:unhideWhenUsed/>
    <w:rsid w:val="002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8C"/>
  </w:style>
  <w:style w:type="character" w:styleId="CommentReference">
    <w:name w:val="annotation reference"/>
    <w:basedOn w:val="DefaultParagraphFont"/>
    <w:uiPriority w:val="99"/>
    <w:semiHidden/>
    <w:unhideWhenUsed/>
    <w:rsid w:val="00C25873"/>
    <w:rPr>
      <w:sz w:val="16"/>
      <w:szCs w:val="16"/>
    </w:rPr>
  </w:style>
  <w:style w:type="paragraph" w:styleId="CommentText">
    <w:name w:val="annotation text"/>
    <w:basedOn w:val="Normal"/>
    <w:link w:val="CommentTextChar"/>
    <w:uiPriority w:val="99"/>
    <w:semiHidden/>
    <w:unhideWhenUsed/>
    <w:rsid w:val="00C25873"/>
    <w:pPr>
      <w:spacing w:line="240" w:lineRule="auto"/>
    </w:pPr>
    <w:rPr>
      <w:sz w:val="20"/>
      <w:szCs w:val="20"/>
    </w:rPr>
  </w:style>
  <w:style w:type="character" w:customStyle="1" w:styleId="CommentTextChar">
    <w:name w:val="Comment Text Char"/>
    <w:basedOn w:val="DefaultParagraphFont"/>
    <w:link w:val="CommentText"/>
    <w:uiPriority w:val="99"/>
    <w:semiHidden/>
    <w:rsid w:val="00C25873"/>
    <w:rPr>
      <w:sz w:val="20"/>
      <w:szCs w:val="20"/>
    </w:rPr>
  </w:style>
  <w:style w:type="paragraph" w:styleId="CommentSubject">
    <w:name w:val="annotation subject"/>
    <w:basedOn w:val="CommentText"/>
    <w:next w:val="CommentText"/>
    <w:link w:val="CommentSubjectChar"/>
    <w:uiPriority w:val="99"/>
    <w:semiHidden/>
    <w:unhideWhenUsed/>
    <w:rsid w:val="00C25873"/>
    <w:rPr>
      <w:b/>
      <w:bCs/>
    </w:rPr>
  </w:style>
  <w:style w:type="character" w:customStyle="1" w:styleId="CommentSubjectChar">
    <w:name w:val="Comment Subject Char"/>
    <w:basedOn w:val="CommentTextChar"/>
    <w:link w:val="CommentSubject"/>
    <w:uiPriority w:val="99"/>
    <w:semiHidden/>
    <w:rsid w:val="00C25873"/>
    <w:rPr>
      <w:b/>
      <w:bCs/>
      <w:sz w:val="20"/>
      <w:szCs w:val="20"/>
    </w:rPr>
  </w:style>
  <w:style w:type="paragraph" w:styleId="BalloonText">
    <w:name w:val="Balloon Text"/>
    <w:basedOn w:val="Normal"/>
    <w:link w:val="BalloonTextChar"/>
    <w:uiPriority w:val="99"/>
    <w:semiHidden/>
    <w:unhideWhenUsed/>
    <w:rsid w:val="00C2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24"/>
    <w:rPr>
      <w:rFonts w:eastAsiaTheme="majorEastAsia" w:cstheme="majorBidi"/>
      <w:color w:val="272727" w:themeColor="text1" w:themeTint="D8"/>
    </w:rPr>
  </w:style>
  <w:style w:type="paragraph" w:styleId="Title">
    <w:name w:val="Title"/>
    <w:basedOn w:val="Normal"/>
    <w:next w:val="Normal"/>
    <w:link w:val="TitleChar"/>
    <w:uiPriority w:val="10"/>
    <w:qFormat/>
    <w:rsid w:val="008B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B2024"/>
    <w:rPr>
      <w:i/>
      <w:iCs/>
      <w:color w:val="404040" w:themeColor="text1" w:themeTint="BF"/>
    </w:rPr>
  </w:style>
  <w:style w:type="paragraph" w:styleId="ListParagraph">
    <w:name w:val="List Paragraph"/>
    <w:basedOn w:val="Normal"/>
    <w:uiPriority w:val="34"/>
    <w:qFormat/>
    <w:rsid w:val="008B2024"/>
    <w:pPr>
      <w:ind w:left="720"/>
      <w:contextualSpacing/>
    </w:pPr>
  </w:style>
  <w:style w:type="character" w:styleId="IntenseEmphasis">
    <w:name w:val="Intense Emphasis"/>
    <w:basedOn w:val="DefaultParagraphFont"/>
    <w:uiPriority w:val="21"/>
    <w:qFormat/>
    <w:rsid w:val="008B2024"/>
    <w:rPr>
      <w:i/>
      <w:iCs/>
      <w:color w:val="2F5496" w:themeColor="accent1" w:themeShade="BF"/>
    </w:rPr>
  </w:style>
  <w:style w:type="paragraph" w:styleId="IntenseQuote">
    <w:name w:val="Intense Quote"/>
    <w:basedOn w:val="Normal"/>
    <w:next w:val="Normal"/>
    <w:link w:val="IntenseQuoteChar"/>
    <w:uiPriority w:val="30"/>
    <w:qFormat/>
    <w:rsid w:val="008B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024"/>
    <w:rPr>
      <w:i/>
      <w:iCs/>
      <w:color w:val="2F5496" w:themeColor="accent1" w:themeShade="BF"/>
    </w:rPr>
  </w:style>
  <w:style w:type="character" w:styleId="IntenseReference">
    <w:name w:val="Intense Reference"/>
    <w:basedOn w:val="DefaultParagraphFont"/>
    <w:uiPriority w:val="32"/>
    <w:qFormat/>
    <w:rsid w:val="008B2024"/>
    <w:rPr>
      <w:b/>
      <w:bCs/>
      <w:smallCaps/>
      <w:color w:val="2F5496" w:themeColor="accent1" w:themeShade="BF"/>
      <w:spacing w:val="5"/>
    </w:rPr>
  </w:style>
  <w:style w:type="paragraph" w:styleId="NormalWeb">
    <w:name w:val="Normal (Web)"/>
    <w:basedOn w:val="Normal"/>
    <w:uiPriority w:val="99"/>
    <w:semiHidden/>
    <w:unhideWhenUsed/>
    <w:rsid w:val="0053031E"/>
    <w:rPr>
      <w:rFonts w:ascii="Times New Roman" w:hAnsi="Times New Roman" w:cs="Times New Roman"/>
      <w:sz w:val="24"/>
      <w:szCs w:val="24"/>
    </w:rPr>
  </w:style>
  <w:style w:type="table" w:styleId="TableGrid">
    <w:name w:val="Table Grid"/>
    <w:basedOn w:val="TableNormal"/>
    <w:uiPriority w:val="39"/>
    <w:rsid w:val="00E94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C14"/>
    <w:rPr>
      <w:color w:val="0563C1" w:themeColor="hyperlink"/>
      <w:u w:val="single"/>
    </w:rPr>
  </w:style>
  <w:style w:type="character" w:customStyle="1" w:styleId="UnresolvedMention">
    <w:name w:val="Unresolved Mention"/>
    <w:basedOn w:val="DefaultParagraphFont"/>
    <w:uiPriority w:val="99"/>
    <w:semiHidden/>
    <w:unhideWhenUsed/>
    <w:rsid w:val="00916ADC"/>
    <w:rPr>
      <w:color w:val="605E5C"/>
      <w:shd w:val="clear" w:color="auto" w:fill="E1DFDD"/>
    </w:rPr>
  </w:style>
  <w:style w:type="paragraph" w:styleId="Header">
    <w:name w:val="header"/>
    <w:basedOn w:val="Normal"/>
    <w:link w:val="HeaderChar"/>
    <w:uiPriority w:val="99"/>
    <w:unhideWhenUsed/>
    <w:rsid w:val="002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8C"/>
  </w:style>
  <w:style w:type="paragraph" w:styleId="Footer">
    <w:name w:val="footer"/>
    <w:basedOn w:val="Normal"/>
    <w:link w:val="FooterChar"/>
    <w:uiPriority w:val="99"/>
    <w:unhideWhenUsed/>
    <w:rsid w:val="002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8C"/>
  </w:style>
  <w:style w:type="character" w:styleId="CommentReference">
    <w:name w:val="annotation reference"/>
    <w:basedOn w:val="DefaultParagraphFont"/>
    <w:uiPriority w:val="99"/>
    <w:semiHidden/>
    <w:unhideWhenUsed/>
    <w:rsid w:val="00C25873"/>
    <w:rPr>
      <w:sz w:val="16"/>
      <w:szCs w:val="16"/>
    </w:rPr>
  </w:style>
  <w:style w:type="paragraph" w:styleId="CommentText">
    <w:name w:val="annotation text"/>
    <w:basedOn w:val="Normal"/>
    <w:link w:val="CommentTextChar"/>
    <w:uiPriority w:val="99"/>
    <w:semiHidden/>
    <w:unhideWhenUsed/>
    <w:rsid w:val="00C25873"/>
    <w:pPr>
      <w:spacing w:line="240" w:lineRule="auto"/>
    </w:pPr>
    <w:rPr>
      <w:sz w:val="20"/>
      <w:szCs w:val="20"/>
    </w:rPr>
  </w:style>
  <w:style w:type="character" w:customStyle="1" w:styleId="CommentTextChar">
    <w:name w:val="Comment Text Char"/>
    <w:basedOn w:val="DefaultParagraphFont"/>
    <w:link w:val="CommentText"/>
    <w:uiPriority w:val="99"/>
    <w:semiHidden/>
    <w:rsid w:val="00C25873"/>
    <w:rPr>
      <w:sz w:val="20"/>
      <w:szCs w:val="20"/>
    </w:rPr>
  </w:style>
  <w:style w:type="paragraph" w:styleId="CommentSubject">
    <w:name w:val="annotation subject"/>
    <w:basedOn w:val="CommentText"/>
    <w:next w:val="CommentText"/>
    <w:link w:val="CommentSubjectChar"/>
    <w:uiPriority w:val="99"/>
    <w:semiHidden/>
    <w:unhideWhenUsed/>
    <w:rsid w:val="00C25873"/>
    <w:rPr>
      <w:b/>
      <w:bCs/>
    </w:rPr>
  </w:style>
  <w:style w:type="character" w:customStyle="1" w:styleId="CommentSubjectChar">
    <w:name w:val="Comment Subject Char"/>
    <w:basedOn w:val="CommentTextChar"/>
    <w:link w:val="CommentSubject"/>
    <w:uiPriority w:val="99"/>
    <w:semiHidden/>
    <w:rsid w:val="00C25873"/>
    <w:rPr>
      <w:b/>
      <w:bCs/>
      <w:sz w:val="20"/>
      <w:szCs w:val="20"/>
    </w:rPr>
  </w:style>
  <w:style w:type="paragraph" w:styleId="BalloonText">
    <w:name w:val="Balloon Text"/>
    <w:basedOn w:val="Normal"/>
    <w:link w:val="BalloonTextChar"/>
    <w:uiPriority w:val="99"/>
    <w:semiHidden/>
    <w:unhideWhenUsed/>
    <w:rsid w:val="00C2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23861">
      <w:bodyDiv w:val="1"/>
      <w:marLeft w:val="0"/>
      <w:marRight w:val="0"/>
      <w:marTop w:val="0"/>
      <w:marBottom w:val="0"/>
      <w:divBdr>
        <w:top w:val="none" w:sz="0" w:space="0" w:color="auto"/>
        <w:left w:val="none" w:sz="0" w:space="0" w:color="auto"/>
        <w:bottom w:val="none" w:sz="0" w:space="0" w:color="auto"/>
        <w:right w:val="none" w:sz="0" w:space="0" w:color="auto"/>
      </w:divBdr>
    </w:div>
    <w:div w:id="279380691">
      <w:bodyDiv w:val="1"/>
      <w:marLeft w:val="0"/>
      <w:marRight w:val="0"/>
      <w:marTop w:val="0"/>
      <w:marBottom w:val="0"/>
      <w:divBdr>
        <w:top w:val="none" w:sz="0" w:space="0" w:color="auto"/>
        <w:left w:val="none" w:sz="0" w:space="0" w:color="auto"/>
        <w:bottom w:val="none" w:sz="0" w:space="0" w:color="auto"/>
        <w:right w:val="none" w:sz="0" w:space="0" w:color="auto"/>
      </w:divBdr>
    </w:div>
    <w:div w:id="406460463">
      <w:bodyDiv w:val="1"/>
      <w:marLeft w:val="0"/>
      <w:marRight w:val="0"/>
      <w:marTop w:val="0"/>
      <w:marBottom w:val="0"/>
      <w:divBdr>
        <w:top w:val="none" w:sz="0" w:space="0" w:color="auto"/>
        <w:left w:val="none" w:sz="0" w:space="0" w:color="auto"/>
        <w:bottom w:val="none" w:sz="0" w:space="0" w:color="auto"/>
        <w:right w:val="none" w:sz="0" w:space="0" w:color="auto"/>
      </w:divBdr>
    </w:div>
    <w:div w:id="853231858">
      <w:bodyDiv w:val="1"/>
      <w:marLeft w:val="0"/>
      <w:marRight w:val="0"/>
      <w:marTop w:val="0"/>
      <w:marBottom w:val="0"/>
      <w:divBdr>
        <w:top w:val="none" w:sz="0" w:space="0" w:color="auto"/>
        <w:left w:val="none" w:sz="0" w:space="0" w:color="auto"/>
        <w:bottom w:val="none" w:sz="0" w:space="0" w:color="auto"/>
        <w:right w:val="none" w:sz="0" w:space="0" w:color="auto"/>
      </w:divBdr>
    </w:div>
    <w:div w:id="883178275">
      <w:bodyDiv w:val="1"/>
      <w:marLeft w:val="0"/>
      <w:marRight w:val="0"/>
      <w:marTop w:val="0"/>
      <w:marBottom w:val="0"/>
      <w:divBdr>
        <w:top w:val="none" w:sz="0" w:space="0" w:color="auto"/>
        <w:left w:val="none" w:sz="0" w:space="0" w:color="auto"/>
        <w:bottom w:val="none" w:sz="0" w:space="0" w:color="auto"/>
        <w:right w:val="none" w:sz="0" w:space="0" w:color="auto"/>
      </w:divBdr>
    </w:div>
    <w:div w:id="974994084">
      <w:bodyDiv w:val="1"/>
      <w:marLeft w:val="0"/>
      <w:marRight w:val="0"/>
      <w:marTop w:val="0"/>
      <w:marBottom w:val="0"/>
      <w:divBdr>
        <w:top w:val="none" w:sz="0" w:space="0" w:color="auto"/>
        <w:left w:val="none" w:sz="0" w:space="0" w:color="auto"/>
        <w:bottom w:val="none" w:sz="0" w:space="0" w:color="auto"/>
        <w:right w:val="none" w:sz="0" w:space="0" w:color="auto"/>
      </w:divBdr>
    </w:div>
    <w:div w:id="1205484165">
      <w:bodyDiv w:val="1"/>
      <w:marLeft w:val="0"/>
      <w:marRight w:val="0"/>
      <w:marTop w:val="0"/>
      <w:marBottom w:val="0"/>
      <w:divBdr>
        <w:top w:val="none" w:sz="0" w:space="0" w:color="auto"/>
        <w:left w:val="none" w:sz="0" w:space="0" w:color="auto"/>
        <w:bottom w:val="none" w:sz="0" w:space="0" w:color="auto"/>
        <w:right w:val="none" w:sz="0" w:space="0" w:color="auto"/>
      </w:divBdr>
    </w:div>
    <w:div w:id="1227768048">
      <w:bodyDiv w:val="1"/>
      <w:marLeft w:val="0"/>
      <w:marRight w:val="0"/>
      <w:marTop w:val="0"/>
      <w:marBottom w:val="0"/>
      <w:divBdr>
        <w:top w:val="none" w:sz="0" w:space="0" w:color="auto"/>
        <w:left w:val="none" w:sz="0" w:space="0" w:color="auto"/>
        <w:bottom w:val="none" w:sz="0" w:space="0" w:color="auto"/>
        <w:right w:val="none" w:sz="0" w:space="0" w:color="auto"/>
      </w:divBdr>
    </w:div>
    <w:div w:id="1291327780">
      <w:bodyDiv w:val="1"/>
      <w:marLeft w:val="0"/>
      <w:marRight w:val="0"/>
      <w:marTop w:val="0"/>
      <w:marBottom w:val="0"/>
      <w:divBdr>
        <w:top w:val="none" w:sz="0" w:space="0" w:color="auto"/>
        <w:left w:val="none" w:sz="0" w:space="0" w:color="auto"/>
        <w:bottom w:val="none" w:sz="0" w:space="0" w:color="auto"/>
        <w:right w:val="none" w:sz="0" w:space="0" w:color="auto"/>
      </w:divBdr>
    </w:div>
    <w:div w:id="1435201041">
      <w:bodyDiv w:val="1"/>
      <w:marLeft w:val="0"/>
      <w:marRight w:val="0"/>
      <w:marTop w:val="0"/>
      <w:marBottom w:val="0"/>
      <w:divBdr>
        <w:top w:val="none" w:sz="0" w:space="0" w:color="auto"/>
        <w:left w:val="none" w:sz="0" w:space="0" w:color="auto"/>
        <w:bottom w:val="none" w:sz="0" w:space="0" w:color="auto"/>
        <w:right w:val="none" w:sz="0" w:space="0" w:color="auto"/>
      </w:divBdr>
    </w:div>
    <w:div w:id="1746994544">
      <w:bodyDiv w:val="1"/>
      <w:marLeft w:val="0"/>
      <w:marRight w:val="0"/>
      <w:marTop w:val="0"/>
      <w:marBottom w:val="0"/>
      <w:divBdr>
        <w:top w:val="none" w:sz="0" w:space="0" w:color="auto"/>
        <w:left w:val="none" w:sz="0" w:space="0" w:color="auto"/>
        <w:bottom w:val="none" w:sz="0" w:space="0" w:color="auto"/>
        <w:right w:val="none" w:sz="0" w:space="0" w:color="auto"/>
      </w:divBdr>
    </w:div>
    <w:div w:id="1832284583">
      <w:bodyDiv w:val="1"/>
      <w:marLeft w:val="0"/>
      <w:marRight w:val="0"/>
      <w:marTop w:val="0"/>
      <w:marBottom w:val="0"/>
      <w:divBdr>
        <w:top w:val="none" w:sz="0" w:space="0" w:color="auto"/>
        <w:left w:val="none" w:sz="0" w:space="0" w:color="auto"/>
        <w:bottom w:val="none" w:sz="0" w:space="0" w:color="auto"/>
        <w:right w:val="none" w:sz="0" w:space="0" w:color="auto"/>
      </w:divBdr>
    </w:div>
    <w:div w:id="1849563085">
      <w:bodyDiv w:val="1"/>
      <w:marLeft w:val="0"/>
      <w:marRight w:val="0"/>
      <w:marTop w:val="0"/>
      <w:marBottom w:val="0"/>
      <w:divBdr>
        <w:top w:val="none" w:sz="0" w:space="0" w:color="auto"/>
        <w:left w:val="none" w:sz="0" w:space="0" w:color="auto"/>
        <w:bottom w:val="none" w:sz="0" w:space="0" w:color="auto"/>
        <w:right w:val="none" w:sz="0" w:space="0" w:color="auto"/>
      </w:divBdr>
    </w:div>
    <w:div w:id="20281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u1504379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002072304200027514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SOURABH</dc:creator>
  <cp:lastModifiedBy>TOSHIBA</cp:lastModifiedBy>
  <cp:revision>4</cp:revision>
  <dcterms:created xsi:type="dcterms:W3CDTF">2025-02-17T02:21:00Z</dcterms:created>
  <dcterms:modified xsi:type="dcterms:W3CDTF">2025-02-17T02:40:00Z</dcterms:modified>
</cp:coreProperties>
</file>