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DA6" w:rsidRDefault="00B265C3">
      <w:pPr>
        <w:jc w:val="both"/>
        <w:rPr>
          <w:b/>
          <w:bCs/>
        </w:rPr>
      </w:pPr>
      <w:r>
        <w:rPr>
          <w:b/>
          <w:bCs/>
        </w:rPr>
        <w:t xml:space="preserve">Dietary supplementation of </w:t>
      </w:r>
      <w:r>
        <w:rPr>
          <w:b/>
          <w:bCs/>
          <w:i/>
          <w:iCs/>
        </w:rPr>
        <w:t>Moringa oleifera</w:t>
      </w:r>
      <w:r>
        <w:rPr>
          <w:b/>
          <w:bCs/>
        </w:rPr>
        <w:t xml:space="preserve"> leaf extract and indigenous cow urine on growth performance in broiler birds</w:t>
      </w:r>
    </w:p>
    <w:p w:rsidR="00041FA5" w:rsidRDefault="00041FA5">
      <w:pPr>
        <w:jc w:val="both"/>
        <w:rPr>
          <w:b/>
          <w:bCs/>
        </w:rPr>
      </w:pPr>
    </w:p>
    <w:p w:rsidR="00036DA6" w:rsidRDefault="00036DA6">
      <w:pPr>
        <w:jc w:val="both"/>
        <w:rPr>
          <w:b/>
          <w:bCs/>
        </w:rPr>
      </w:pPr>
    </w:p>
    <w:p w:rsidR="00903263" w:rsidRDefault="00903263">
      <w:pPr>
        <w:jc w:val="both"/>
        <w:rPr>
          <w:b/>
          <w:bCs/>
        </w:rPr>
      </w:pPr>
    </w:p>
    <w:p w:rsidR="00036DA6" w:rsidRDefault="00B265C3">
      <w:pPr>
        <w:jc w:val="center"/>
        <w:rPr>
          <w:b/>
          <w:bCs/>
        </w:rPr>
      </w:pPr>
      <w:r>
        <w:rPr>
          <w:b/>
          <w:bCs/>
        </w:rPr>
        <w:t>ABSTRACT</w:t>
      </w:r>
    </w:p>
    <w:p w:rsidR="00036DA6" w:rsidRDefault="00B265C3">
      <w:pPr>
        <w:ind w:firstLine="1134"/>
        <w:jc w:val="both"/>
      </w:pPr>
      <w:r>
        <w:t xml:space="preserve">The present study was conducted to assess the effects of </w:t>
      </w:r>
      <w:r>
        <w:rPr>
          <w:i/>
          <w:iCs/>
        </w:rPr>
        <w:t>Moringa oleifera</w:t>
      </w:r>
      <w:r>
        <w:t xml:space="preserve"> methanolic leaf extract (MLE) and indigenous cow urine distillate (CUD) on growth performance, carcass and organ weight in broiler birds. 150 nos. day-old broiler chicks (Ross AP strain) were divided into 5 treatment groups, each with 3 replicates of 10 birds were reared for 42days. The treatment groups were as follows: </w:t>
      </w:r>
      <w:bookmarkStart w:id="0" w:name="_Hlk88854168"/>
      <w:r>
        <w:t xml:space="preserve">Group C (Control) consisted of a basal diet, group S (Standard) consisted of a basal diet with Enradin as an antibiotic @ 0.025% in feed, group T1 consisted of </w:t>
      </w:r>
      <w:r>
        <w:rPr>
          <w:i/>
          <w:iCs/>
        </w:rPr>
        <w:t>M. oleifera</w:t>
      </w:r>
      <w:r>
        <w:t xml:space="preserve"> @ 1g/L in drinking water (0.1%) + basal feed, group T2 consisted of Cow urine distillate @ 10ml/L in drinking water (1%) + basal feed, and group T3 consisted of a combination of </w:t>
      </w:r>
      <w:r>
        <w:rPr>
          <w:i/>
          <w:iCs/>
        </w:rPr>
        <w:t>M. oleifera</w:t>
      </w:r>
      <w:r>
        <w:t xml:space="preserve"> @ 1g/L (0.1%) and cow urine distillate @ 10ml/L in drinking water (1%) + basal feed</w:t>
      </w:r>
      <w:bookmarkEnd w:id="0"/>
      <w:r>
        <w:t>. Although, at 3</w:t>
      </w:r>
      <w:r>
        <w:rPr>
          <w:vertAlign w:val="superscript"/>
        </w:rPr>
        <w:t>rd</w:t>
      </w:r>
      <w:r>
        <w:t>, 4</w:t>
      </w:r>
      <w:r>
        <w:rPr>
          <w:vertAlign w:val="superscript"/>
        </w:rPr>
        <w:t>th</w:t>
      </w:r>
      <w:r>
        <w:t>, 5</w:t>
      </w:r>
      <w:r>
        <w:rPr>
          <w:vertAlign w:val="superscript"/>
        </w:rPr>
        <w:t>th</w:t>
      </w:r>
      <w:r>
        <w:t xml:space="preserve"> and 6</w:t>
      </w:r>
      <w:r>
        <w:rPr>
          <w:vertAlign w:val="superscript"/>
        </w:rPr>
        <w:t>th</w:t>
      </w:r>
      <w:r>
        <w:t xml:space="preserve"> week it was significantly (P˂0.05, ˂0.01 and ˂0.001) increased body weight in the birds of S, T1, T2 and T3 groups as compared to the C (Control) group. </w:t>
      </w:r>
      <w:commentRangeStart w:id="1"/>
      <w:r>
        <w:t>Also, the average weekly body weight gain at 1</w:t>
      </w:r>
      <w:r>
        <w:rPr>
          <w:vertAlign w:val="superscript"/>
        </w:rPr>
        <w:t>st</w:t>
      </w:r>
      <w:r>
        <w:t xml:space="preserve"> and 2</w:t>
      </w:r>
      <w:r>
        <w:rPr>
          <w:vertAlign w:val="superscript"/>
        </w:rPr>
        <w:t>nd</w:t>
      </w:r>
      <w:r>
        <w:t xml:space="preserve"> week, while it was significantly (P˂0.05, &lt;0.01 and &lt;0.001) increased in the birds of S, T1, T2 and T3 groups as compared to the C (control) during 3</w:t>
      </w:r>
      <w:r>
        <w:rPr>
          <w:vertAlign w:val="superscript"/>
        </w:rPr>
        <w:t>rd</w:t>
      </w:r>
      <w:r>
        <w:t xml:space="preserve"> and 4</w:t>
      </w:r>
      <w:r>
        <w:rPr>
          <w:vertAlign w:val="superscript"/>
        </w:rPr>
        <w:t>th</w:t>
      </w:r>
      <w:r>
        <w:t xml:space="preserve"> week of administration.</w:t>
      </w:r>
      <w:commentRangeEnd w:id="1"/>
      <w:r>
        <w:rPr>
          <w:rStyle w:val="CommentReference"/>
        </w:rPr>
        <w:commentReference w:id="1"/>
      </w:r>
    </w:p>
    <w:p w:rsidR="00036DA6" w:rsidRDefault="00B265C3">
      <w:pPr>
        <w:jc w:val="both"/>
      </w:pPr>
      <w:r>
        <w:rPr>
          <w:b/>
          <w:bCs/>
        </w:rPr>
        <w:t>Keywords:</w:t>
      </w:r>
      <w:r>
        <w:rPr>
          <w:i/>
          <w:iCs/>
        </w:rPr>
        <w:t>Moringa oleifera</w:t>
      </w:r>
      <w:r>
        <w:t xml:space="preserve"> methanolic leaf extract, growth, cow urine distillate, Enradin, Ross AP strain. </w:t>
      </w:r>
    </w:p>
    <w:p w:rsidR="00036DA6" w:rsidRDefault="00B265C3">
      <w:pPr>
        <w:jc w:val="center"/>
        <w:rPr>
          <w:b/>
          <w:bCs/>
        </w:rPr>
      </w:pPr>
      <w:r>
        <w:rPr>
          <w:b/>
          <w:bCs/>
        </w:rPr>
        <w:t>INTRODUCTION</w:t>
      </w:r>
    </w:p>
    <w:p w:rsidR="00036DA6" w:rsidRDefault="00B265C3">
      <w:pPr>
        <w:ind w:firstLine="1134"/>
        <w:jc w:val="both"/>
      </w:pPr>
      <w:commentRangeStart w:id="2"/>
      <w:r>
        <w:t>India, a highly populated country with 1.39 billion (2021) (</w:t>
      </w:r>
      <w:r>
        <w:rPr>
          <w:b/>
          <w:bCs/>
        </w:rPr>
        <w:t>worldometers.info</w:t>
      </w:r>
      <w:r w:rsidR="004F015A">
        <w:t>).</w:t>
      </w:r>
      <w:commentRangeEnd w:id="2"/>
      <w:r w:rsidR="004F015A">
        <w:rPr>
          <w:rStyle w:val="CommentReference"/>
        </w:rPr>
        <w:commentReference w:id="2"/>
      </w:r>
      <w:r w:rsidR="004F015A">
        <w:t>c</w:t>
      </w:r>
      <w:r>
        <w:t>hicken meat and eggs are the alternative food source. Almost all communities consume chicken meat and eggs. The Indian poultry industry is growing rapidly like other sectors. Poultry production is the most widely disseminated of all livestock industries; it is a key pillar of food security improvement, as well as socio-cultural and economic development in most nations (</w:t>
      </w:r>
      <w:r>
        <w:rPr>
          <w:b/>
          <w:bCs/>
        </w:rPr>
        <w:t>Alders</w:t>
      </w:r>
      <w:r>
        <w:t xml:space="preserve">, 2005; </w:t>
      </w:r>
      <w:r>
        <w:rPr>
          <w:b/>
          <w:bCs/>
        </w:rPr>
        <w:t xml:space="preserve">Dieye </w:t>
      </w:r>
      <w:r>
        <w:rPr>
          <w:i/>
          <w:iCs/>
        </w:rPr>
        <w:t>et al.,</w:t>
      </w:r>
      <w:r>
        <w:t xml:space="preserve"> 2010). Antibiotics are commonly used in drinking water as a growth promoter and to prevent or control pathogenic bacterial diseases in poultry (</w:t>
      </w:r>
      <w:r>
        <w:rPr>
          <w:b/>
          <w:bCs/>
        </w:rPr>
        <w:t>Zeweil</w:t>
      </w:r>
      <w:r>
        <w:rPr>
          <w:i/>
          <w:iCs/>
        </w:rPr>
        <w:t>et al.,</w:t>
      </w:r>
      <w:r>
        <w:t xml:space="preserve"> 2006). The benefit of such a method is that it promotes good health, reduces bird mortality, promotes maximum growth through enhanced nutrient usage and eventually improves profitability. Antibiotics as growth promoters (AGP) were quickly discovered to have adverse side effects (</w:t>
      </w:r>
      <w:r>
        <w:rPr>
          <w:b/>
          <w:bCs/>
        </w:rPr>
        <w:t xml:space="preserve">Makanjuola </w:t>
      </w:r>
      <w:r>
        <w:rPr>
          <w:i/>
          <w:iCs/>
        </w:rPr>
        <w:t>et al.,</w:t>
      </w:r>
      <w:r>
        <w:t xml:space="preserve"> 2014). To overcome that situation herbal growth promoters are mostly recommended. However, there is a paucity of research on the influence of </w:t>
      </w:r>
      <w:r>
        <w:rPr>
          <w:i/>
          <w:iCs/>
        </w:rPr>
        <w:t>M. oleifera</w:t>
      </w:r>
      <w:r>
        <w:t xml:space="preserve"> methanolic leaf extract and indigenous cow urine distillate and their combined effect on growth performance based on hematobiochemical, immunological and oxidative stress parameters and more research is needed. </w:t>
      </w:r>
    </w:p>
    <w:p w:rsidR="00036DA6" w:rsidRDefault="00B265C3">
      <w:pPr>
        <w:jc w:val="center"/>
        <w:rPr>
          <w:b/>
          <w:bCs/>
        </w:rPr>
      </w:pPr>
      <w:r>
        <w:rPr>
          <w:b/>
          <w:bCs/>
        </w:rPr>
        <w:lastRenderedPageBreak/>
        <w:t xml:space="preserve">MATERIALS AND METHODS: </w:t>
      </w:r>
    </w:p>
    <w:p w:rsidR="00036DA6" w:rsidRDefault="00B265C3">
      <w:pPr>
        <w:ind w:firstLine="1134"/>
        <w:jc w:val="both"/>
        <w:rPr>
          <w:lang w:val="en-IN"/>
        </w:rPr>
      </w:pPr>
      <w:r>
        <w:t>The current study was carried out at the College of Veterinary Science and Animal Husbandry, DSVCKV, Durg, Chhattisgarh,</w:t>
      </w:r>
      <w:r w:rsidR="004F015A">
        <w:t xml:space="preserve"> poultry shed of Department of Veterinary Pharmacology and T</w:t>
      </w:r>
      <w:r>
        <w:t xml:space="preserve">oxicology. On broiler chickens, the study was conducted using a completely randomised design. For 42 days, 150 broiler chicks (Ross AP strain) were raised. The day-old chicks were split into five groups, each with three replicates of ten birds. The following were the treatment groups: Group C (Control) had a basal diet without any feed additives, group S (Standard) had a basal diet with Enradin as an antibiotic @ 0.025 % in feed, group T1 had </w:t>
      </w:r>
      <w:r>
        <w:rPr>
          <w:i/>
          <w:iCs/>
        </w:rPr>
        <w:t>M. oleifera</w:t>
      </w:r>
      <w:r>
        <w:t xml:space="preserve"> @ 1g/L in drinking water (0.1%) + basal feed, group T2 had Cow urine distillate @ 10ml/L in drinking water (1%) + basal feed and group T3 had a combination of the above</w:t>
      </w:r>
      <w:r>
        <w:rPr>
          <w:lang w:val="en-US"/>
        </w:rPr>
        <w:t>. The experimental design for the research studies in broiler b</w:t>
      </w:r>
      <w:r w:rsidR="004F015A">
        <w:rPr>
          <w:lang w:val="en-US"/>
        </w:rPr>
        <w:t>irds is demonstrated in Table 1</w:t>
      </w:r>
      <w:r>
        <w:t xml:space="preserve">. The feed and feed formulation were procured from the State feed factory, Dhamdha, Chhattisgarh, India. Twice a day, ad libitum clean drinking water and feed were provided and raised on floors in a deep litter system. </w:t>
      </w:r>
      <w:r>
        <w:rPr>
          <w:lang w:val="en-US"/>
        </w:rPr>
        <w:t xml:space="preserve">As per </w:t>
      </w:r>
      <w:r>
        <w:t>BIS 2007</w:t>
      </w:r>
      <w:r>
        <w:rPr>
          <w:lang w:val="en-US"/>
        </w:rPr>
        <w:t>, the t</w:t>
      </w:r>
      <w:r>
        <w:t xml:space="preserve">able </w:t>
      </w:r>
      <w:r>
        <w:rPr>
          <w:lang w:val="en-US"/>
        </w:rPr>
        <w:t>2,</w:t>
      </w:r>
      <w:r>
        <w:t xml:space="preserve"> shows the experimental diets for broiler pre-starter (1-2 weeks), stater (3-4 weeks), and finisher (5-6 weeks).</w:t>
      </w:r>
    </w:p>
    <w:tbl>
      <w:tblPr>
        <w:tblStyle w:val="TableGrid"/>
        <w:tblpPr w:leftFromText="180" w:rightFromText="180" w:vertAnchor="text" w:horzAnchor="page" w:tblpX="1569" w:tblpY="463"/>
        <w:tblOverlap w:val="never"/>
        <w:tblW w:w="8910" w:type="dxa"/>
        <w:tblLayout w:type="fixed"/>
        <w:tblLook w:val="04A0"/>
      </w:tblPr>
      <w:tblGrid>
        <w:gridCol w:w="2412"/>
        <w:gridCol w:w="1428"/>
        <w:gridCol w:w="1834"/>
        <w:gridCol w:w="1082"/>
        <w:gridCol w:w="1075"/>
        <w:gridCol w:w="1079"/>
      </w:tblGrid>
      <w:tr w:rsidR="00036DA6">
        <w:trPr>
          <w:trHeight w:val="16"/>
        </w:trPr>
        <w:tc>
          <w:tcPr>
            <w:tcW w:w="8906" w:type="dxa"/>
            <w:gridSpan w:val="6"/>
            <w:tcBorders>
              <w:top w:val="nil"/>
              <w:left w:val="nil"/>
              <w:bottom w:val="single" w:sz="4" w:space="0" w:color="auto"/>
              <w:right w:val="nil"/>
            </w:tcBorders>
          </w:tcPr>
          <w:p w:rsidR="00036DA6" w:rsidRDefault="00B265C3">
            <w:pPr>
              <w:spacing w:after="0" w:line="240" w:lineRule="auto"/>
              <w:jc w:val="center"/>
              <w:rPr>
                <w:b/>
                <w:bCs/>
              </w:rPr>
            </w:pPr>
            <w:r>
              <w:rPr>
                <w:b/>
                <w:bCs/>
              </w:rPr>
              <w:t xml:space="preserve">Table </w:t>
            </w:r>
            <w:r>
              <w:rPr>
                <w:b/>
                <w:bCs/>
                <w:lang w:val="en-US"/>
              </w:rPr>
              <w:t>1</w:t>
            </w:r>
            <w:r>
              <w:rPr>
                <w:b/>
                <w:bCs/>
              </w:rPr>
              <w:t>: Experimental design for the research studies in broiler birds</w:t>
            </w:r>
          </w:p>
        </w:tc>
      </w:tr>
      <w:tr w:rsidR="00036DA6">
        <w:trPr>
          <w:trHeight w:val="16"/>
        </w:trPr>
        <w:tc>
          <w:tcPr>
            <w:tcW w:w="2410" w:type="dxa"/>
            <w:vMerge w:val="restart"/>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b/>
                <w:bCs/>
              </w:rPr>
              <w:t>Particulars</w:t>
            </w:r>
          </w:p>
        </w:tc>
        <w:tc>
          <w:tcPr>
            <w:tcW w:w="6496" w:type="dxa"/>
            <w:gridSpan w:val="5"/>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b/>
                <w:bCs/>
              </w:rPr>
              <w:t>Groups</w:t>
            </w:r>
          </w:p>
        </w:tc>
      </w:tr>
      <w:tr w:rsidR="00036DA6">
        <w:trPr>
          <w:trHeight w:val="80"/>
        </w:trPr>
        <w:tc>
          <w:tcPr>
            <w:tcW w:w="8906" w:type="dxa"/>
            <w:vMerge/>
            <w:tcBorders>
              <w:top w:val="single" w:sz="4" w:space="0" w:color="auto"/>
              <w:left w:val="single" w:sz="4" w:space="0" w:color="auto"/>
              <w:bottom w:val="single" w:sz="4" w:space="0" w:color="auto"/>
              <w:right w:val="single" w:sz="4" w:space="0" w:color="auto"/>
            </w:tcBorders>
            <w:vAlign w:val="center"/>
          </w:tcPr>
          <w:p w:rsidR="00036DA6" w:rsidRDefault="00036DA6">
            <w:pPr>
              <w:spacing w:after="0" w:line="240" w:lineRule="auto"/>
              <w:jc w:val="center"/>
              <w:rPr>
                <w:b/>
                <w:bCs/>
              </w:rPr>
            </w:pPr>
          </w:p>
        </w:tc>
        <w:tc>
          <w:tcPr>
            <w:tcW w:w="1427" w:type="dxa"/>
            <w:vMerge w:val="restart"/>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b/>
                <w:bCs/>
              </w:rPr>
              <w:t>C</w:t>
            </w:r>
          </w:p>
          <w:p w:rsidR="00036DA6" w:rsidRDefault="00B265C3">
            <w:pPr>
              <w:spacing w:after="0" w:line="240" w:lineRule="auto"/>
              <w:jc w:val="center"/>
              <w:rPr>
                <w:b/>
                <w:bCs/>
              </w:rPr>
            </w:pPr>
            <w:r>
              <w:rPr>
                <w:b/>
                <w:bCs/>
              </w:rPr>
              <w:t>(Control)</w:t>
            </w:r>
          </w:p>
        </w:tc>
        <w:tc>
          <w:tcPr>
            <w:tcW w:w="1833" w:type="dxa"/>
            <w:vMerge w:val="restart"/>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b/>
                <w:bCs/>
              </w:rPr>
              <w:t>S</w:t>
            </w:r>
          </w:p>
          <w:p w:rsidR="00036DA6" w:rsidRDefault="00B265C3">
            <w:pPr>
              <w:spacing w:after="0" w:line="240" w:lineRule="auto"/>
              <w:jc w:val="center"/>
              <w:rPr>
                <w:b/>
                <w:bCs/>
              </w:rPr>
            </w:pPr>
            <w:r>
              <w:rPr>
                <w:b/>
                <w:bCs/>
              </w:rPr>
              <w:t>(Standard)</w:t>
            </w:r>
          </w:p>
        </w:tc>
        <w:tc>
          <w:tcPr>
            <w:tcW w:w="3236" w:type="dxa"/>
            <w:gridSpan w:val="3"/>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b/>
                <w:bCs/>
              </w:rPr>
              <w:t>Treatment</w:t>
            </w:r>
          </w:p>
        </w:tc>
      </w:tr>
      <w:tr w:rsidR="00036DA6">
        <w:trPr>
          <w:trHeight w:val="57"/>
        </w:trPr>
        <w:tc>
          <w:tcPr>
            <w:tcW w:w="8906" w:type="dxa"/>
            <w:vMerge/>
            <w:tcBorders>
              <w:top w:val="single" w:sz="4" w:space="0" w:color="auto"/>
              <w:left w:val="single" w:sz="4" w:space="0" w:color="auto"/>
              <w:bottom w:val="single" w:sz="4" w:space="0" w:color="auto"/>
              <w:right w:val="single" w:sz="4" w:space="0" w:color="auto"/>
            </w:tcBorders>
            <w:vAlign w:val="center"/>
          </w:tcPr>
          <w:p w:rsidR="00036DA6" w:rsidRDefault="00036DA6">
            <w:pPr>
              <w:spacing w:after="0" w:line="240" w:lineRule="auto"/>
              <w:jc w:val="center"/>
              <w:rPr>
                <w:b/>
                <w:bCs/>
              </w:rPr>
            </w:pPr>
          </w:p>
        </w:tc>
        <w:tc>
          <w:tcPr>
            <w:tcW w:w="6496" w:type="dxa"/>
            <w:vMerge/>
            <w:tcBorders>
              <w:top w:val="single" w:sz="4" w:space="0" w:color="auto"/>
              <w:left w:val="single" w:sz="4" w:space="0" w:color="auto"/>
              <w:bottom w:val="single" w:sz="4" w:space="0" w:color="auto"/>
              <w:right w:val="single" w:sz="4" w:space="0" w:color="auto"/>
            </w:tcBorders>
            <w:vAlign w:val="center"/>
          </w:tcPr>
          <w:p w:rsidR="00036DA6" w:rsidRDefault="00036DA6">
            <w:pPr>
              <w:spacing w:after="0" w:line="240" w:lineRule="auto"/>
              <w:jc w:val="center"/>
              <w:rPr>
                <w:b/>
                <w:bCs/>
              </w:rPr>
            </w:pPr>
          </w:p>
        </w:tc>
        <w:tc>
          <w:tcPr>
            <w:tcW w:w="1833" w:type="dxa"/>
            <w:vMerge/>
            <w:tcBorders>
              <w:top w:val="single" w:sz="4" w:space="0" w:color="auto"/>
              <w:left w:val="single" w:sz="4" w:space="0" w:color="auto"/>
              <w:bottom w:val="single" w:sz="4" w:space="0" w:color="auto"/>
              <w:right w:val="single" w:sz="4" w:space="0" w:color="auto"/>
            </w:tcBorders>
            <w:vAlign w:val="center"/>
          </w:tcPr>
          <w:p w:rsidR="00036DA6" w:rsidRDefault="00036DA6">
            <w:pPr>
              <w:spacing w:after="0" w:line="240" w:lineRule="auto"/>
              <w:jc w:val="center"/>
              <w:rPr>
                <w:b/>
                <w:bCs/>
              </w:rPr>
            </w:pPr>
          </w:p>
        </w:tc>
        <w:tc>
          <w:tcPr>
            <w:tcW w:w="1082"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b/>
                <w:bCs/>
              </w:rPr>
              <w:t>T1</w:t>
            </w:r>
          </w:p>
        </w:tc>
        <w:tc>
          <w:tcPr>
            <w:tcW w:w="1075"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b/>
                <w:bCs/>
              </w:rPr>
              <w:t>T2</w:t>
            </w:r>
          </w:p>
        </w:tc>
        <w:tc>
          <w:tcPr>
            <w:tcW w:w="107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b/>
                <w:bCs/>
              </w:rPr>
              <w:t>T3</w:t>
            </w:r>
          </w:p>
        </w:tc>
      </w:tr>
      <w:tr w:rsidR="00036DA6">
        <w:trPr>
          <w:trHeight w:val="73"/>
        </w:trPr>
        <w:tc>
          <w:tcPr>
            <w:tcW w:w="2410"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Total birds</w:t>
            </w:r>
          </w:p>
        </w:tc>
        <w:tc>
          <w:tcPr>
            <w:tcW w:w="1427"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30</w:t>
            </w:r>
          </w:p>
        </w:tc>
        <w:tc>
          <w:tcPr>
            <w:tcW w:w="1833"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30</w:t>
            </w:r>
          </w:p>
        </w:tc>
        <w:tc>
          <w:tcPr>
            <w:tcW w:w="1082"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30</w:t>
            </w:r>
          </w:p>
        </w:tc>
        <w:tc>
          <w:tcPr>
            <w:tcW w:w="1075"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30</w:t>
            </w:r>
          </w:p>
        </w:tc>
        <w:tc>
          <w:tcPr>
            <w:tcW w:w="107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30</w:t>
            </w:r>
          </w:p>
        </w:tc>
      </w:tr>
      <w:tr w:rsidR="00036DA6">
        <w:trPr>
          <w:trHeight w:val="73"/>
        </w:trPr>
        <w:tc>
          <w:tcPr>
            <w:tcW w:w="2410"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Replicate</w:t>
            </w:r>
          </w:p>
        </w:tc>
        <w:tc>
          <w:tcPr>
            <w:tcW w:w="1427"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3</w:t>
            </w:r>
          </w:p>
        </w:tc>
        <w:tc>
          <w:tcPr>
            <w:tcW w:w="1833"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3</w:t>
            </w:r>
          </w:p>
        </w:tc>
        <w:tc>
          <w:tcPr>
            <w:tcW w:w="1082"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3</w:t>
            </w:r>
          </w:p>
        </w:tc>
        <w:tc>
          <w:tcPr>
            <w:tcW w:w="1075"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3</w:t>
            </w:r>
          </w:p>
        </w:tc>
        <w:tc>
          <w:tcPr>
            <w:tcW w:w="107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3</w:t>
            </w:r>
          </w:p>
        </w:tc>
      </w:tr>
      <w:tr w:rsidR="00036DA6">
        <w:trPr>
          <w:trHeight w:val="73"/>
        </w:trPr>
        <w:tc>
          <w:tcPr>
            <w:tcW w:w="2410"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m:oMathPara>
              <m:oMathParaPr>
                <m:jc m:val="center"/>
              </m:oMathParaPr>
              <m:oMath>
                <m:r>
                  <m:rPr>
                    <m:sty m:val="p"/>
                  </m:rPr>
                  <w:rPr>
                    <w:rFonts w:ascii="Cambria Math" w:hAnsi="Cambria Math"/>
                  </w:rPr>
                  <m:t>Birds/Replicate</m:t>
                </m:r>
              </m:oMath>
            </m:oMathPara>
          </w:p>
        </w:tc>
        <w:tc>
          <w:tcPr>
            <w:tcW w:w="1427"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10</w:t>
            </w:r>
          </w:p>
        </w:tc>
        <w:tc>
          <w:tcPr>
            <w:tcW w:w="1833"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10</w:t>
            </w:r>
          </w:p>
        </w:tc>
        <w:tc>
          <w:tcPr>
            <w:tcW w:w="1082"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10</w:t>
            </w:r>
          </w:p>
        </w:tc>
        <w:tc>
          <w:tcPr>
            <w:tcW w:w="1075"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10</w:t>
            </w:r>
          </w:p>
        </w:tc>
        <w:tc>
          <w:tcPr>
            <w:tcW w:w="107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10</w:t>
            </w:r>
          </w:p>
        </w:tc>
      </w:tr>
      <w:tr w:rsidR="00036DA6">
        <w:trPr>
          <w:trHeight w:val="73"/>
        </w:trPr>
        <w:tc>
          <w:tcPr>
            <w:tcW w:w="2410"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Basal feed</w:t>
            </w:r>
          </w:p>
        </w:tc>
        <w:tc>
          <w:tcPr>
            <w:tcW w:w="1427"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w:t>
            </w:r>
          </w:p>
        </w:tc>
        <w:tc>
          <w:tcPr>
            <w:tcW w:w="1833"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w:t>
            </w:r>
          </w:p>
        </w:tc>
        <w:tc>
          <w:tcPr>
            <w:tcW w:w="1082"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w:t>
            </w:r>
          </w:p>
        </w:tc>
        <w:tc>
          <w:tcPr>
            <w:tcW w:w="1075"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w:t>
            </w:r>
          </w:p>
        </w:tc>
        <w:tc>
          <w:tcPr>
            <w:tcW w:w="107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w:t>
            </w:r>
          </w:p>
        </w:tc>
      </w:tr>
      <w:tr w:rsidR="00036DA6">
        <w:trPr>
          <w:trHeight w:val="24"/>
        </w:trPr>
        <w:tc>
          <w:tcPr>
            <w:tcW w:w="2410"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Enradin (0.025%)</w:t>
            </w:r>
          </w:p>
        </w:tc>
        <w:tc>
          <w:tcPr>
            <w:tcW w:w="1427"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w:t>
            </w:r>
          </w:p>
        </w:tc>
        <w:tc>
          <w:tcPr>
            <w:tcW w:w="1833"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0.25mg/kg feed</w:t>
            </w:r>
          </w:p>
        </w:tc>
        <w:tc>
          <w:tcPr>
            <w:tcW w:w="1082"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w:t>
            </w:r>
          </w:p>
        </w:tc>
        <w:tc>
          <w:tcPr>
            <w:tcW w:w="1075"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w:t>
            </w:r>
          </w:p>
        </w:tc>
        <w:tc>
          <w:tcPr>
            <w:tcW w:w="107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w:t>
            </w:r>
          </w:p>
        </w:tc>
      </w:tr>
      <w:tr w:rsidR="00036DA6">
        <w:trPr>
          <w:trHeight w:val="73"/>
        </w:trPr>
        <w:tc>
          <w:tcPr>
            <w:tcW w:w="2410"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MLE in water (0.1%)</w:t>
            </w:r>
          </w:p>
        </w:tc>
        <w:tc>
          <w:tcPr>
            <w:tcW w:w="1427"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w:t>
            </w:r>
          </w:p>
        </w:tc>
        <w:tc>
          <w:tcPr>
            <w:tcW w:w="1833"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w:t>
            </w:r>
          </w:p>
        </w:tc>
        <w:tc>
          <w:tcPr>
            <w:tcW w:w="1082"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1g/L</w:t>
            </w:r>
          </w:p>
        </w:tc>
        <w:tc>
          <w:tcPr>
            <w:tcW w:w="1075"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w:t>
            </w:r>
          </w:p>
        </w:tc>
        <w:tc>
          <w:tcPr>
            <w:tcW w:w="107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1g/L</w:t>
            </w:r>
          </w:p>
        </w:tc>
      </w:tr>
      <w:tr w:rsidR="00036DA6">
        <w:trPr>
          <w:trHeight w:val="73"/>
        </w:trPr>
        <w:tc>
          <w:tcPr>
            <w:tcW w:w="2410"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CUD in water (1%)</w:t>
            </w:r>
          </w:p>
        </w:tc>
        <w:tc>
          <w:tcPr>
            <w:tcW w:w="1427"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w:t>
            </w:r>
          </w:p>
        </w:tc>
        <w:tc>
          <w:tcPr>
            <w:tcW w:w="1833"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w:t>
            </w:r>
          </w:p>
        </w:tc>
        <w:tc>
          <w:tcPr>
            <w:tcW w:w="1082"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w:t>
            </w:r>
          </w:p>
        </w:tc>
        <w:tc>
          <w:tcPr>
            <w:tcW w:w="1075"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10ml</w:t>
            </w:r>
          </w:p>
        </w:tc>
        <w:tc>
          <w:tcPr>
            <w:tcW w:w="107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10ml</w:t>
            </w:r>
          </w:p>
        </w:tc>
      </w:tr>
    </w:tbl>
    <w:p w:rsidR="00036DA6" w:rsidRDefault="00036DA6">
      <w:pPr>
        <w:ind w:firstLine="1134"/>
        <w:jc w:val="both"/>
      </w:pPr>
    </w:p>
    <w:tbl>
      <w:tblPr>
        <w:tblStyle w:val="TableGrid"/>
        <w:tblW w:w="0" w:type="auto"/>
        <w:jc w:val="center"/>
        <w:tblInd w:w="-119" w:type="dxa"/>
        <w:tblLook w:val="04A0"/>
      </w:tblPr>
      <w:tblGrid>
        <w:gridCol w:w="3490"/>
        <w:gridCol w:w="1605"/>
        <w:gridCol w:w="1443"/>
        <w:gridCol w:w="1288"/>
      </w:tblGrid>
      <w:tr w:rsidR="00036DA6" w:rsidTr="004F015A">
        <w:trPr>
          <w:trHeight w:val="38"/>
          <w:jc w:val="center"/>
        </w:trPr>
        <w:tc>
          <w:tcPr>
            <w:tcW w:w="7826" w:type="dxa"/>
            <w:gridSpan w:val="4"/>
            <w:tcBorders>
              <w:top w:val="nil"/>
              <w:left w:val="nil"/>
              <w:bottom w:val="single" w:sz="4" w:space="0" w:color="auto"/>
              <w:right w:val="nil"/>
            </w:tcBorders>
          </w:tcPr>
          <w:p w:rsidR="00036DA6" w:rsidRDefault="00B265C3">
            <w:pPr>
              <w:spacing w:after="0" w:line="240" w:lineRule="auto"/>
              <w:jc w:val="center"/>
              <w:rPr>
                <w:b/>
                <w:bCs/>
              </w:rPr>
            </w:pPr>
            <w:r>
              <w:rPr>
                <w:b/>
                <w:bCs/>
              </w:rPr>
              <w:t xml:space="preserve">Table </w:t>
            </w:r>
            <w:r>
              <w:rPr>
                <w:b/>
                <w:bCs/>
                <w:lang w:val="en-US"/>
              </w:rPr>
              <w:t>2</w:t>
            </w:r>
            <w:r>
              <w:rPr>
                <w:b/>
                <w:bCs/>
              </w:rPr>
              <w:t>: Ingredient composition of broiler diet</w:t>
            </w:r>
          </w:p>
        </w:tc>
      </w:tr>
      <w:tr w:rsidR="00036DA6" w:rsidTr="004F015A">
        <w:trPr>
          <w:trHeight w:val="38"/>
          <w:jc w:val="center"/>
        </w:trPr>
        <w:tc>
          <w:tcPr>
            <w:tcW w:w="3490"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b/>
                <w:bCs/>
              </w:rPr>
              <w:t>Ingredients</w:t>
            </w:r>
          </w:p>
        </w:tc>
        <w:tc>
          <w:tcPr>
            <w:tcW w:w="1605"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b/>
                <w:bCs/>
              </w:rPr>
              <w:t>Pre-starter</w:t>
            </w:r>
          </w:p>
        </w:tc>
        <w:tc>
          <w:tcPr>
            <w:tcW w:w="1443"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b/>
                <w:bCs/>
              </w:rPr>
              <w:t>Starter</w:t>
            </w:r>
          </w:p>
        </w:tc>
        <w:tc>
          <w:tcPr>
            <w:tcW w:w="12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b/>
                <w:bCs/>
              </w:rPr>
              <w:t>Finisher</w:t>
            </w:r>
          </w:p>
        </w:tc>
      </w:tr>
      <w:tr w:rsidR="00036DA6" w:rsidTr="004F015A">
        <w:trPr>
          <w:trHeight w:val="40"/>
          <w:jc w:val="center"/>
        </w:trPr>
        <w:tc>
          <w:tcPr>
            <w:tcW w:w="3490"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Yellow maize (kg)</w:t>
            </w:r>
          </w:p>
        </w:tc>
        <w:tc>
          <w:tcPr>
            <w:tcW w:w="1605"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54.80</w:t>
            </w:r>
          </w:p>
        </w:tc>
        <w:tc>
          <w:tcPr>
            <w:tcW w:w="1443"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55.00</w:t>
            </w:r>
          </w:p>
        </w:tc>
        <w:tc>
          <w:tcPr>
            <w:tcW w:w="12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55.32</w:t>
            </w:r>
          </w:p>
        </w:tc>
      </w:tr>
      <w:tr w:rsidR="00036DA6" w:rsidTr="004F015A">
        <w:trPr>
          <w:trHeight w:val="38"/>
          <w:jc w:val="center"/>
        </w:trPr>
        <w:tc>
          <w:tcPr>
            <w:tcW w:w="3490"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Deoiled soybean meal (kg)</w:t>
            </w:r>
          </w:p>
        </w:tc>
        <w:tc>
          <w:tcPr>
            <w:tcW w:w="1605"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37.00</w:t>
            </w:r>
          </w:p>
        </w:tc>
        <w:tc>
          <w:tcPr>
            <w:tcW w:w="1443"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32.40</w:t>
            </w:r>
          </w:p>
        </w:tc>
        <w:tc>
          <w:tcPr>
            <w:tcW w:w="12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28.47</w:t>
            </w:r>
          </w:p>
        </w:tc>
      </w:tr>
      <w:tr w:rsidR="00036DA6" w:rsidTr="004F015A">
        <w:trPr>
          <w:trHeight w:val="38"/>
          <w:jc w:val="center"/>
        </w:trPr>
        <w:tc>
          <w:tcPr>
            <w:tcW w:w="3490"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Rice polish (kg)</w:t>
            </w:r>
          </w:p>
        </w:tc>
        <w:tc>
          <w:tcPr>
            <w:tcW w:w="1605"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2.6</w:t>
            </w:r>
          </w:p>
        </w:tc>
        <w:tc>
          <w:tcPr>
            <w:tcW w:w="1443"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7.00</w:t>
            </w:r>
          </w:p>
        </w:tc>
        <w:tc>
          <w:tcPr>
            <w:tcW w:w="12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10.00</w:t>
            </w:r>
          </w:p>
        </w:tc>
      </w:tr>
      <w:tr w:rsidR="00036DA6" w:rsidTr="004F015A">
        <w:trPr>
          <w:trHeight w:val="40"/>
          <w:jc w:val="center"/>
        </w:trPr>
        <w:tc>
          <w:tcPr>
            <w:tcW w:w="3490"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Soybean meal oil (kg)</w:t>
            </w:r>
          </w:p>
        </w:tc>
        <w:tc>
          <w:tcPr>
            <w:tcW w:w="1605"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2.0</w:t>
            </w:r>
          </w:p>
        </w:tc>
        <w:tc>
          <w:tcPr>
            <w:tcW w:w="1443"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2.00</w:t>
            </w:r>
          </w:p>
        </w:tc>
        <w:tc>
          <w:tcPr>
            <w:tcW w:w="12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2.50</w:t>
            </w:r>
          </w:p>
        </w:tc>
      </w:tr>
      <w:tr w:rsidR="00036DA6" w:rsidTr="004F015A">
        <w:trPr>
          <w:trHeight w:val="38"/>
          <w:jc w:val="center"/>
        </w:trPr>
        <w:tc>
          <w:tcPr>
            <w:tcW w:w="3490"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Dicalcium phosphate (DCP) (kg)</w:t>
            </w:r>
          </w:p>
        </w:tc>
        <w:tc>
          <w:tcPr>
            <w:tcW w:w="1605"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1.60</w:t>
            </w:r>
          </w:p>
        </w:tc>
        <w:tc>
          <w:tcPr>
            <w:tcW w:w="1443"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1.60</w:t>
            </w:r>
          </w:p>
        </w:tc>
        <w:tc>
          <w:tcPr>
            <w:tcW w:w="12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1.60</w:t>
            </w:r>
          </w:p>
        </w:tc>
      </w:tr>
      <w:tr w:rsidR="00036DA6" w:rsidTr="004F015A">
        <w:trPr>
          <w:trHeight w:val="38"/>
          <w:jc w:val="center"/>
        </w:trPr>
        <w:tc>
          <w:tcPr>
            <w:tcW w:w="3490"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Limestone powder (LSP) (kg)</w:t>
            </w:r>
          </w:p>
        </w:tc>
        <w:tc>
          <w:tcPr>
            <w:tcW w:w="1605"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0.70</w:t>
            </w:r>
          </w:p>
        </w:tc>
        <w:tc>
          <w:tcPr>
            <w:tcW w:w="1443"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0.70</w:t>
            </w:r>
          </w:p>
        </w:tc>
        <w:tc>
          <w:tcPr>
            <w:tcW w:w="12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0.70</w:t>
            </w:r>
          </w:p>
        </w:tc>
      </w:tr>
      <w:tr w:rsidR="00036DA6" w:rsidTr="004F015A">
        <w:trPr>
          <w:trHeight w:val="40"/>
          <w:jc w:val="center"/>
        </w:trPr>
        <w:tc>
          <w:tcPr>
            <w:tcW w:w="3490"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Methionine (kg)</w:t>
            </w:r>
          </w:p>
        </w:tc>
        <w:tc>
          <w:tcPr>
            <w:tcW w:w="1605"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0.28</w:t>
            </w:r>
          </w:p>
        </w:tc>
        <w:tc>
          <w:tcPr>
            <w:tcW w:w="1443"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0.26</w:t>
            </w:r>
          </w:p>
        </w:tc>
        <w:tc>
          <w:tcPr>
            <w:tcW w:w="12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0.24</w:t>
            </w:r>
          </w:p>
        </w:tc>
      </w:tr>
      <w:tr w:rsidR="00036DA6" w:rsidTr="004F015A">
        <w:trPr>
          <w:trHeight w:val="38"/>
          <w:jc w:val="center"/>
        </w:trPr>
        <w:tc>
          <w:tcPr>
            <w:tcW w:w="3490"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Lysine (kg)</w:t>
            </w:r>
          </w:p>
        </w:tc>
        <w:tc>
          <w:tcPr>
            <w:tcW w:w="1605"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0.04</w:t>
            </w:r>
          </w:p>
        </w:tc>
        <w:tc>
          <w:tcPr>
            <w:tcW w:w="1443"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0.02</w:t>
            </w:r>
          </w:p>
        </w:tc>
        <w:tc>
          <w:tcPr>
            <w:tcW w:w="12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0.17</w:t>
            </w:r>
          </w:p>
        </w:tc>
      </w:tr>
      <w:tr w:rsidR="00036DA6" w:rsidTr="004F015A">
        <w:trPr>
          <w:trHeight w:val="38"/>
          <w:jc w:val="center"/>
        </w:trPr>
        <w:tc>
          <w:tcPr>
            <w:tcW w:w="3490"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Sodium bicarbonate (kg)</w:t>
            </w:r>
          </w:p>
        </w:tc>
        <w:tc>
          <w:tcPr>
            <w:tcW w:w="1605"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0.14</w:t>
            </w:r>
          </w:p>
        </w:tc>
        <w:tc>
          <w:tcPr>
            <w:tcW w:w="1443"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0.15</w:t>
            </w:r>
          </w:p>
        </w:tc>
        <w:tc>
          <w:tcPr>
            <w:tcW w:w="12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0.16</w:t>
            </w:r>
          </w:p>
        </w:tc>
      </w:tr>
      <w:tr w:rsidR="00036DA6" w:rsidTr="004F015A">
        <w:trPr>
          <w:trHeight w:val="38"/>
          <w:jc w:val="center"/>
        </w:trPr>
        <w:tc>
          <w:tcPr>
            <w:tcW w:w="3490"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Common salt (kg)</w:t>
            </w:r>
          </w:p>
        </w:tc>
        <w:tc>
          <w:tcPr>
            <w:tcW w:w="1605"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0.28</w:t>
            </w:r>
          </w:p>
        </w:tc>
        <w:tc>
          <w:tcPr>
            <w:tcW w:w="1443"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0.29</w:t>
            </w:r>
          </w:p>
        </w:tc>
        <w:tc>
          <w:tcPr>
            <w:tcW w:w="12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0.26</w:t>
            </w:r>
          </w:p>
        </w:tc>
      </w:tr>
      <w:tr w:rsidR="00036DA6" w:rsidTr="004F015A">
        <w:trPr>
          <w:trHeight w:val="38"/>
          <w:jc w:val="center"/>
        </w:trPr>
        <w:tc>
          <w:tcPr>
            <w:tcW w:w="3490"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Mineral mixture (kg)</w:t>
            </w:r>
          </w:p>
        </w:tc>
        <w:tc>
          <w:tcPr>
            <w:tcW w:w="1605"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0.56</w:t>
            </w:r>
          </w:p>
        </w:tc>
        <w:tc>
          <w:tcPr>
            <w:tcW w:w="1443"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0.58</w:t>
            </w:r>
          </w:p>
        </w:tc>
        <w:tc>
          <w:tcPr>
            <w:tcW w:w="12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0.58</w:t>
            </w:r>
          </w:p>
        </w:tc>
      </w:tr>
      <w:tr w:rsidR="00036DA6" w:rsidTr="004F015A">
        <w:trPr>
          <w:trHeight w:val="38"/>
          <w:jc w:val="center"/>
        </w:trPr>
        <w:tc>
          <w:tcPr>
            <w:tcW w:w="3490"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Total (kg)</w:t>
            </w:r>
          </w:p>
        </w:tc>
        <w:tc>
          <w:tcPr>
            <w:tcW w:w="1605"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100</w:t>
            </w:r>
          </w:p>
        </w:tc>
        <w:tc>
          <w:tcPr>
            <w:tcW w:w="1443"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100</w:t>
            </w:r>
          </w:p>
        </w:tc>
        <w:tc>
          <w:tcPr>
            <w:tcW w:w="12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100</w:t>
            </w:r>
          </w:p>
        </w:tc>
      </w:tr>
      <w:tr w:rsidR="00036DA6" w:rsidTr="004F015A">
        <w:trPr>
          <w:trHeight w:val="38"/>
          <w:jc w:val="center"/>
        </w:trPr>
        <w:tc>
          <w:tcPr>
            <w:tcW w:w="3490"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CP (%)</w:t>
            </w:r>
          </w:p>
        </w:tc>
        <w:tc>
          <w:tcPr>
            <w:tcW w:w="1605"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23.05</w:t>
            </w:r>
          </w:p>
        </w:tc>
        <w:tc>
          <w:tcPr>
            <w:tcW w:w="1443"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21.50</w:t>
            </w:r>
          </w:p>
        </w:tc>
        <w:tc>
          <w:tcPr>
            <w:tcW w:w="12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20.00</w:t>
            </w:r>
          </w:p>
        </w:tc>
      </w:tr>
      <w:tr w:rsidR="00036DA6" w:rsidTr="004F015A">
        <w:trPr>
          <w:trHeight w:val="38"/>
          <w:jc w:val="center"/>
        </w:trPr>
        <w:tc>
          <w:tcPr>
            <w:tcW w:w="3490"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ME (kcal/kg)</w:t>
            </w:r>
          </w:p>
        </w:tc>
        <w:tc>
          <w:tcPr>
            <w:tcW w:w="1605"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2975.6</w:t>
            </w:r>
          </w:p>
        </w:tc>
        <w:tc>
          <w:tcPr>
            <w:tcW w:w="1443"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3017</w:t>
            </w:r>
          </w:p>
        </w:tc>
        <w:tc>
          <w:tcPr>
            <w:tcW w:w="12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3084</w:t>
            </w:r>
          </w:p>
        </w:tc>
      </w:tr>
    </w:tbl>
    <w:p w:rsidR="00036DA6" w:rsidRDefault="00036DA6">
      <w:pPr>
        <w:ind w:firstLine="1134"/>
        <w:jc w:val="both"/>
      </w:pPr>
    </w:p>
    <w:p w:rsidR="00036DA6" w:rsidRDefault="00B265C3">
      <w:pPr>
        <w:ind w:firstLine="1134"/>
        <w:jc w:val="both"/>
      </w:pPr>
      <w:r>
        <w:rPr>
          <w:b/>
          <w:bCs/>
        </w:rPr>
        <w:lastRenderedPageBreak/>
        <w:t xml:space="preserve">Organ morphometry: </w:t>
      </w:r>
      <w:r>
        <w:t>6 birds of each group (2 birds/replicate) were randomly chosen, weighed and slaughtered, after that the digestive and nondigestive organs were weighed separately. The weights (g) of pre-slaughter live body, eviscerated carcass, breast muscle, wing, drumstick, giblet (i.e., liver, gizzard and heart), neck, bursa, abdominal fat. For dressing % carcass weight was recorded after removing the organs like head, feathers, lungs, shank and viscera. The dressing percentage will be calculated by the formula:</w:t>
      </w:r>
    </w:p>
    <w:p w:rsidR="00036DA6" w:rsidRDefault="00B265C3">
      <w:pPr>
        <w:jc w:val="center"/>
      </w:pPr>
      <w:r>
        <w:t>Dressing % =</w:t>
      </w:r>
      <m:oMath>
        <m:f>
          <m:fPr>
            <m:ctrlPr>
              <w:rPr>
                <w:rFonts w:ascii="Cambria Math" w:hAnsi="Cambria Math"/>
                <w:sz w:val="32"/>
                <w:szCs w:val="32"/>
              </w:rPr>
            </m:ctrlPr>
          </m:fPr>
          <m:num>
            <m:r>
              <m:rPr>
                <m:sty m:val="p"/>
              </m:rPr>
              <w:rPr>
                <w:rFonts w:ascii="Cambria Math" w:hAnsi="Cambria Math"/>
                <w:sz w:val="32"/>
                <w:szCs w:val="32"/>
              </w:rPr>
              <m:t>(Carcass Weight)</m:t>
            </m:r>
          </m:num>
          <m:den>
            <m:r>
              <m:rPr>
                <m:sty m:val="p"/>
              </m:rPr>
              <w:rPr>
                <w:rFonts w:ascii="Cambria Math" w:hAnsi="Cambria Math"/>
                <w:sz w:val="32"/>
                <w:szCs w:val="32"/>
              </w:rPr>
              <m:t>(Live Weight)</m:t>
            </m:r>
          </m:den>
        </m:f>
      </m:oMath>
      <w:r>
        <w:t xml:space="preserve"> × 100</w:t>
      </w:r>
    </w:p>
    <w:p w:rsidR="00036DA6" w:rsidRDefault="00036DA6">
      <w:pPr>
        <w:ind w:firstLine="1134"/>
        <w:jc w:val="both"/>
      </w:pPr>
    </w:p>
    <w:p w:rsidR="00036DA6" w:rsidRDefault="00B265C3">
      <w:pPr>
        <w:jc w:val="both"/>
        <w:rPr>
          <w:b/>
          <w:bCs/>
        </w:rPr>
      </w:pPr>
      <w:r>
        <w:rPr>
          <w:b/>
          <w:bCs/>
        </w:rPr>
        <w:t xml:space="preserve">Preparation of </w:t>
      </w:r>
      <w:r>
        <w:rPr>
          <w:b/>
          <w:bCs/>
          <w:i/>
          <w:iCs/>
        </w:rPr>
        <w:t>M oleifera</w:t>
      </w:r>
      <w:r>
        <w:rPr>
          <w:b/>
          <w:bCs/>
        </w:rPr>
        <w:t xml:space="preserve"> methanolic leaf extract and cow urine distillate</w:t>
      </w:r>
    </w:p>
    <w:p w:rsidR="00036DA6" w:rsidRDefault="00B265C3">
      <w:pPr>
        <w:ind w:firstLine="1134"/>
        <w:jc w:val="both"/>
      </w:pPr>
      <w:r>
        <w:rPr>
          <w:b/>
          <w:bCs/>
        </w:rPr>
        <w:t>Extract preparation:</w:t>
      </w:r>
      <w:r>
        <w:rPr>
          <w:i/>
          <w:iCs/>
        </w:rPr>
        <w:t xml:space="preserve"> M. oleifera</w:t>
      </w:r>
      <w:r>
        <w:t xml:space="preserve"> plant leaves were collected from Krishi Vigyan Kendra’s Medicinal Plant Garden in Anjora. DSVCKV, Durg (C.G.). The Department of Botany, Govt. V.Y.T.P.G. Autonomous College, Durg, acknowledged it botanically (C.G.). Freshly collected leaves were dried in the shade at room temperature before being powdered in a mixer grinder. The leaf powder was then extracted with methanol using the Soxhlet apparatus. </w:t>
      </w:r>
    </w:p>
    <w:p w:rsidR="00036DA6" w:rsidRDefault="00B265C3">
      <w:pPr>
        <w:ind w:firstLine="1134"/>
        <w:jc w:val="both"/>
      </w:pPr>
      <w:r>
        <w:rPr>
          <w:b/>
          <w:bCs/>
        </w:rPr>
        <w:t>Cow urine distillate preparation:</w:t>
      </w:r>
      <w:r>
        <w:t xml:space="preserve"> Early in the morning fresh urine was collected from the non-descriptive indigenous cow of Chhattisgarh, locally known as Kosal</w:t>
      </w:r>
      <w:r w:rsidR="008A7DE9">
        <w:t>i cow from a village, Mahmara, D</w:t>
      </w:r>
      <w:r>
        <w:t>urg. Then the urine was distilled or refined by using the simple distillation apparatus. At least 2L of cow urine distillate was collected in a sterile glass bottle for further use.</w:t>
      </w:r>
    </w:p>
    <w:p w:rsidR="00036DA6" w:rsidRDefault="00B265C3">
      <w:pPr>
        <w:ind w:firstLine="1134"/>
        <w:jc w:val="both"/>
      </w:pPr>
      <w:r>
        <w:t>The experimental design was followed (</w:t>
      </w:r>
      <w:commentRangeStart w:id="3"/>
      <w:r>
        <w:t>In table no 2</w:t>
      </w:r>
      <w:commentRangeEnd w:id="3"/>
      <w:r w:rsidR="008A7DE9">
        <w:rPr>
          <w:rStyle w:val="CommentReference"/>
        </w:rPr>
        <w:commentReference w:id="3"/>
      </w:r>
      <w:r>
        <w:t>) throughout the research was, a total of 5 groups (C, S, T1, T2 and T3), each group consisted of 3 replicate and each replicate with 10 birds, a total of 150 birds.</w:t>
      </w:r>
    </w:p>
    <w:p w:rsidR="00036DA6" w:rsidRDefault="00B265C3">
      <w:pPr>
        <w:jc w:val="both"/>
      </w:pPr>
      <w:r>
        <w:rPr>
          <w:b/>
          <w:bCs/>
        </w:rPr>
        <w:t>Dietary treatments:</w:t>
      </w:r>
    </w:p>
    <w:p w:rsidR="00036DA6" w:rsidRDefault="00B265C3">
      <w:pPr>
        <w:ind w:firstLine="1134"/>
        <w:jc w:val="both"/>
      </w:pPr>
      <w:r>
        <w:t xml:space="preserve">Group C (Control) consisted of a basal diet, group S (Standard) consisted of a basal diet with Enradin as an antibiotic @ 0.025% in feed, group T1 consisted of </w:t>
      </w:r>
      <w:r>
        <w:rPr>
          <w:i/>
          <w:iCs/>
        </w:rPr>
        <w:t>M. oleifera</w:t>
      </w:r>
      <w:r>
        <w:t xml:space="preserve"> @ 1g/L in drinking water (0.1%) + basal feed, group T2 consisted of Cow urine distillate @ 10ml/L in drinking water (1%) + basal feed, and group T3 consisted of a combination of </w:t>
      </w:r>
      <w:r>
        <w:rPr>
          <w:i/>
          <w:iCs/>
        </w:rPr>
        <w:t>M. oleifera</w:t>
      </w:r>
      <w:r>
        <w:t xml:space="preserve"> @ 1g/L (0.1%) and cow urine distillate @ 10ml/L in drinking water (1%) + basal feed. </w:t>
      </w:r>
    </w:p>
    <w:p w:rsidR="00036DA6" w:rsidRDefault="00B265C3">
      <w:pPr>
        <w:jc w:val="both"/>
        <w:rPr>
          <w:b/>
          <w:bCs/>
        </w:rPr>
      </w:pPr>
      <w:r>
        <w:rPr>
          <w:b/>
          <w:bCs/>
        </w:rPr>
        <w:t>Statistical analysis:</w:t>
      </w:r>
    </w:p>
    <w:p w:rsidR="00036DA6" w:rsidRDefault="00B265C3">
      <w:pPr>
        <w:ind w:firstLine="1134"/>
        <w:jc w:val="both"/>
      </w:pPr>
      <w:r>
        <w:t>Statistical analysis was carried out using a completely randomised design (CRD), and data were analysed using analysis of variance (ANOVA) (Snedecor &amp; Cochran, 1987) and Duncan's multiple range test with probability P&lt;0.05 (Duncan, 1955) for significant differences between treatments. The Statistical analysis was carried out by IBM SPSS (23.0).</w:t>
      </w:r>
    </w:p>
    <w:p w:rsidR="00036DA6" w:rsidRDefault="00036DA6"/>
    <w:p w:rsidR="00036DA6" w:rsidRDefault="00B265C3">
      <w:pPr>
        <w:jc w:val="center"/>
        <w:rPr>
          <w:b/>
          <w:bCs/>
        </w:rPr>
      </w:pPr>
      <w:r>
        <w:rPr>
          <w:b/>
          <w:bCs/>
        </w:rPr>
        <w:t>RESULT AND DISCUSSIONS:</w:t>
      </w:r>
    </w:p>
    <w:p w:rsidR="00036DA6" w:rsidRDefault="00B265C3">
      <w:pPr>
        <w:jc w:val="both"/>
        <w:rPr>
          <w:b/>
          <w:bCs/>
        </w:rPr>
      </w:pPr>
      <w:r>
        <w:rPr>
          <w:b/>
          <w:bCs/>
        </w:rPr>
        <w:lastRenderedPageBreak/>
        <w:t xml:space="preserve">Growth performance: </w:t>
      </w:r>
    </w:p>
    <w:p w:rsidR="00036DA6" w:rsidRDefault="00B265C3">
      <w:pPr>
        <w:ind w:firstLine="1134"/>
        <w:jc w:val="both"/>
      </w:pPr>
      <w:r>
        <w:t xml:space="preserve">The dietary supplementation of both </w:t>
      </w:r>
      <w:commentRangeStart w:id="4"/>
      <w:r>
        <w:t xml:space="preserve">MLE and CUD </w:t>
      </w:r>
      <w:commentRangeEnd w:id="4"/>
      <w:r w:rsidR="004D7DBC">
        <w:rPr>
          <w:rStyle w:val="CommentReference"/>
        </w:rPr>
        <w:commentReference w:id="4"/>
      </w:r>
      <w:r>
        <w:t>individually and combined effect on broiler birds’ growth performance (live body weight, body weight gain, feed consumption)</w:t>
      </w:r>
      <w:r w:rsidR="00B1001A">
        <w:t xml:space="preserve">. </w:t>
      </w:r>
    </w:p>
    <w:p w:rsidR="00DD6D03" w:rsidRDefault="00DD6D03">
      <w:pPr>
        <w:ind w:firstLine="1134"/>
        <w:jc w:val="both"/>
      </w:pPr>
    </w:p>
    <w:tbl>
      <w:tblPr>
        <w:tblStyle w:val="TableGrid"/>
        <w:tblW w:w="11045" w:type="dxa"/>
        <w:jc w:val="center"/>
        <w:tblLook w:val="04A0"/>
      </w:tblPr>
      <w:tblGrid>
        <w:gridCol w:w="1354"/>
        <w:gridCol w:w="1739"/>
        <w:gridCol w:w="1988"/>
        <w:gridCol w:w="1988"/>
        <w:gridCol w:w="1988"/>
        <w:gridCol w:w="1988"/>
      </w:tblGrid>
      <w:tr w:rsidR="00036DA6">
        <w:trPr>
          <w:trHeight w:val="147"/>
          <w:jc w:val="center"/>
        </w:trPr>
        <w:tc>
          <w:tcPr>
            <w:tcW w:w="11045" w:type="dxa"/>
            <w:gridSpan w:val="6"/>
            <w:tcBorders>
              <w:top w:val="single" w:sz="4" w:space="0" w:color="auto"/>
              <w:left w:val="single" w:sz="4" w:space="0" w:color="auto"/>
              <w:bottom w:val="single" w:sz="4" w:space="0" w:color="auto"/>
              <w:right w:val="single" w:sz="4" w:space="0" w:color="auto"/>
            </w:tcBorders>
          </w:tcPr>
          <w:p w:rsidR="00036DA6" w:rsidRDefault="00091E95">
            <w:pPr>
              <w:spacing w:after="0" w:line="240" w:lineRule="auto"/>
              <w:jc w:val="center"/>
              <w:rPr>
                <w:rFonts w:eastAsia="Times New Roman"/>
                <w:b/>
                <w:bCs/>
                <w:lang w:eastAsia="en-IN"/>
              </w:rPr>
            </w:pPr>
            <w:r w:rsidRPr="00091E95">
              <w:rPr>
                <w:rFonts w:eastAsia="Times New Roman"/>
                <w:b/>
                <w:bCs/>
                <w:lang w:eastAsia="en-IN"/>
              </w:rPr>
              <w:t>Table 3-</w:t>
            </w:r>
            <w:r>
              <w:rPr>
                <w:rFonts w:eastAsia="Times New Roman"/>
                <w:b/>
                <w:bCs/>
                <w:lang w:eastAsia="en-IN"/>
              </w:rPr>
              <w:t>Effect of dietary supplementation of MLE and indigenous CUD and combination of both on mean live weight (g) of broiler birds (n=30).</w:t>
            </w:r>
          </w:p>
        </w:tc>
      </w:tr>
      <w:tr w:rsidR="00036DA6">
        <w:trPr>
          <w:trHeight w:val="147"/>
          <w:jc w:val="center"/>
        </w:trPr>
        <w:tc>
          <w:tcPr>
            <w:tcW w:w="1354"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b/>
                <w:bCs/>
                <w:lang w:eastAsia="en-IN"/>
              </w:rPr>
              <w:t>Age</w:t>
            </w:r>
          </w:p>
        </w:tc>
        <w:tc>
          <w:tcPr>
            <w:tcW w:w="1739" w:type="dxa"/>
            <w:tcBorders>
              <w:top w:val="single" w:sz="4" w:space="0" w:color="auto"/>
              <w:left w:val="single" w:sz="4" w:space="0" w:color="auto"/>
              <w:bottom w:val="single" w:sz="4" w:space="0" w:color="auto"/>
              <w:right w:val="single" w:sz="4" w:space="0" w:color="auto"/>
            </w:tcBorders>
            <w:vAlign w:val="bottom"/>
          </w:tcPr>
          <w:p w:rsidR="00036DA6" w:rsidRDefault="00B265C3">
            <w:pPr>
              <w:spacing w:after="0" w:line="240" w:lineRule="auto"/>
              <w:jc w:val="center"/>
              <w:rPr>
                <w:b/>
                <w:bCs/>
              </w:rPr>
            </w:pPr>
            <w:r>
              <w:rPr>
                <w:rFonts w:eastAsia="Times New Roman"/>
                <w:b/>
                <w:bCs/>
                <w:lang w:eastAsia="en-IN"/>
              </w:rPr>
              <w:t>C</w:t>
            </w:r>
          </w:p>
        </w:tc>
        <w:tc>
          <w:tcPr>
            <w:tcW w:w="1988" w:type="dxa"/>
            <w:tcBorders>
              <w:top w:val="single" w:sz="4" w:space="0" w:color="auto"/>
              <w:left w:val="single" w:sz="4" w:space="0" w:color="auto"/>
              <w:bottom w:val="single" w:sz="4" w:space="0" w:color="auto"/>
              <w:right w:val="single" w:sz="4" w:space="0" w:color="auto"/>
            </w:tcBorders>
            <w:vAlign w:val="bottom"/>
          </w:tcPr>
          <w:p w:rsidR="00036DA6" w:rsidRDefault="00B265C3">
            <w:pPr>
              <w:spacing w:after="0" w:line="240" w:lineRule="auto"/>
              <w:jc w:val="center"/>
              <w:rPr>
                <w:b/>
                <w:bCs/>
              </w:rPr>
            </w:pPr>
            <w:r>
              <w:rPr>
                <w:rFonts w:eastAsia="Times New Roman"/>
                <w:b/>
                <w:bCs/>
                <w:lang w:eastAsia="en-IN"/>
              </w:rPr>
              <w:t>S</w:t>
            </w:r>
          </w:p>
        </w:tc>
        <w:tc>
          <w:tcPr>
            <w:tcW w:w="1988" w:type="dxa"/>
            <w:tcBorders>
              <w:top w:val="single" w:sz="4" w:space="0" w:color="auto"/>
              <w:left w:val="single" w:sz="4" w:space="0" w:color="auto"/>
              <w:bottom w:val="single" w:sz="4" w:space="0" w:color="auto"/>
              <w:right w:val="single" w:sz="4" w:space="0" w:color="auto"/>
            </w:tcBorders>
            <w:vAlign w:val="bottom"/>
          </w:tcPr>
          <w:p w:rsidR="00036DA6" w:rsidRDefault="00B265C3">
            <w:pPr>
              <w:spacing w:after="0" w:line="240" w:lineRule="auto"/>
              <w:jc w:val="center"/>
              <w:rPr>
                <w:b/>
                <w:bCs/>
              </w:rPr>
            </w:pPr>
            <w:r>
              <w:rPr>
                <w:rFonts w:eastAsia="Times New Roman"/>
                <w:b/>
                <w:bCs/>
                <w:lang w:eastAsia="en-IN"/>
              </w:rPr>
              <w:t>T1</w:t>
            </w:r>
          </w:p>
        </w:tc>
        <w:tc>
          <w:tcPr>
            <w:tcW w:w="1988" w:type="dxa"/>
            <w:tcBorders>
              <w:top w:val="single" w:sz="4" w:space="0" w:color="auto"/>
              <w:left w:val="single" w:sz="4" w:space="0" w:color="auto"/>
              <w:bottom w:val="single" w:sz="4" w:space="0" w:color="auto"/>
              <w:right w:val="single" w:sz="4" w:space="0" w:color="auto"/>
            </w:tcBorders>
            <w:vAlign w:val="bottom"/>
          </w:tcPr>
          <w:p w:rsidR="00036DA6" w:rsidRDefault="00B265C3">
            <w:pPr>
              <w:spacing w:after="0" w:line="240" w:lineRule="auto"/>
              <w:jc w:val="center"/>
              <w:rPr>
                <w:b/>
                <w:bCs/>
              </w:rPr>
            </w:pPr>
            <w:r>
              <w:rPr>
                <w:rFonts w:eastAsia="Times New Roman"/>
                <w:b/>
                <w:bCs/>
                <w:lang w:eastAsia="en-IN"/>
              </w:rPr>
              <w:t>T2</w:t>
            </w:r>
          </w:p>
        </w:tc>
        <w:tc>
          <w:tcPr>
            <w:tcW w:w="1988" w:type="dxa"/>
            <w:tcBorders>
              <w:top w:val="single" w:sz="4" w:space="0" w:color="auto"/>
              <w:left w:val="single" w:sz="4" w:space="0" w:color="auto"/>
              <w:bottom w:val="single" w:sz="4" w:space="0" w:color="auto"/>
              <w:right w:val="single" w:sz="4" w:space="0" w:color="auto"/>
            </w:tcBorders>
            <w:vAlign w:val="bottom"/>
          </w:tcPr>
          <w:p w:rsidR="00036DA6" w:rsidRDefault="00B265C3">
            <w:pPr>
              <w:spacing w:after="0" w:line="240" w:lineRule="auto"/>
              <w:jc w:val="center"/>
              <w:rPr>
                <w:b/>
                <w:bCs/>
              </w:rPr>
            </w:pPr>
            <w:r>
              <w:rPr>
                <w:rFonts w:eastAsia="Times New Roman"/>
                <w:b/>
                <w:bCs/>
                <w:lang w:eastAsia="en-IN"/>
              </w:rPr>
              <w:t>T3</w:t>
            </w:r>
          </w:p>
        </w:tc>
      </w:tr>
      <w:tr w:rsidR="00036DA6">
        <w:trPr>
          <w:trHeight w:val="142"/>
          <w:jc w:val="center"/>
        </w:trPr>
        <w:tc>
          <w:tcPr>
            <w:tcW w:w="1354"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b/>
                <w:bCs/>
                <w:lang w:eastAsia="en-IN"/>
              </w:rPr>
              <w:t>0 day</w:t>
            </w:r>
          </w:p>
        </w:tc>
        <w:tc>
          <w:tcPr>
            <w:tcW w:w="173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lang w:eastAsia="en-IN"/>
              </w:rPr>
              <w:t>51</w:t>
            </w:r>
            <w:r>
              <w:rPr>
                <w:rFonts w:eastAsia="Times New Roman"/>
                <w:lang w:val="en-US"/>
              </w:rPr>
              <w:t>.43</w:t>
            </w:r>
            <w:r>
              <w:rPr>
                <w:rFonts w:eastAsia="Times New Roman"/>
                <w:b/>
                <w:bCs/>
                <w:lang w:val="en-US"/>
              </w:rPr>
              <w:t>±</w:t>
            </w:r>
            <w:r>
              <w:rPr>
                <w:rFonts w:eastAsia="Times New Roman"/>
                <w:lang w:val="en-US"/>
              </w:rPr>
              <w:t>0.84</w:t>
            </w:r>
            <w:r>
              <w:rPr>
                <w:rFonts w:eastAsia="Times New Roman"/>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lang w:val="en-US"/>
              </w:rPr>
              <w:t>52.03</w:t>
            </w:r>
            <w:r>
              <w:rPr>
                <w:rFonts w:eastAsia="Times New Roman"/>
                <w:b/>
                <w:bCs/>
                <w:lang w:val="en-US"/>
              </w:rPr>
              <w:t>±</w:t>
            </w:r>
            <w:r>
              <w:rPr>
                <w:rFonts w:eastAsia="Times New Roman"/>
                <w:lang w:val="en-US"/>
              </w:rPr>
              <w:t>0.78</w:t>
            </w:r>
            <w:r>
              <w:rPr>
                <w:rFonts w:eastAsia="Times New Roman"/>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lang w:val="en-US"/>
              </w:rPr>
              <w:t>52.37</w:t>
            </w:r>
            <w:r>
              <w:rPr>
                <w:rFonts w:eastAsia="Times New Roman"/>
                <w:b/>
                <w:bCs/>
                <w:lang w:val="en-US"/>
              </w:rPr>
              <w:t>±</w:t>
            </w:r>
            <w:r>
              <w:rPr>
                <w:rFonts w:eastAsia="Times New Roman"/>
                <w:lang w:val="en-US"/>
              </w:rPr>
              <w:t>0.66</w:t>
            </w:r>
            <w:r>
              <w:rPr>
                <w:rFonts w:eastAsia="Times New Roman"/>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lang w:val="en-US"/>
              </w:rPr>
              <w:t>51.97</w:t>
            </w:r>
            <w:r>
              <w:rPr>
                <w:rFonts w:eastAsia="Times New Roman"/>
                <w:b/>
                <w:bCs/>
                <w:lang w:val="en-US"/>
              </w:rPr>
              <w:t>±</w:t>
            </w:r>
            <w:r>
              <w:rPr>
                <w:rFonts w:eastAsia="Times New Roman"/>
                <w:lang w:val="en-US"/>
              </w:rPr>
              <w:t>0.57</w:t>
            </w:r>
            <w:r>
              <w:rPr>
                <w:rFonts w:eastAsia="Times New Roman"/>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lang w:eastAsia="en-IN"/>
              </w:rPr>
              <w:t>51</w:t>
            </w:r>
            <w:r>
              <w:rPr>
                <w:rFonts w:eastAsia="Times New Roman"/>
                <w:lang w:val="en-US"/>
              </w:rPr>
              <w:t>.33</w:t>
            </w:r>
            <w:r>
              <w:rPr>
                <w:rFonts w:eastAsia="Times New Roman"/>
                <w:b/>
                <w:bCs/>
                <w:lang w:val="en-US"/>
              </w:rPr>
              <w:t>±</w:t>
            </w:r>
            <w:r>
              <w:rPr>
                <w:rFonts w:eastAsia="Times New Roman"/>
                <w:bCs/>
                <w:lang w:val="en-US"/>
              </w:rPr>
              <w:t>0</w:t>
            </w:r>
            <w:r>
              <w:rPr>
                <w:rFonts w:eastAsia="Times New Roman"/>
                <w:lang w:val="en-US"/>
              </w:rPr>
              <w:t>.75</w:t>
            </w:r>
            <w:r>
              <w:rPr>
                <w:rFonts w:eastAsia="Times New Roman"/>
                <w:vertAlign w:val="superscript"/>
                <w:lang w:val="en-US"/>
              </w:rPr>
              <w:t>a</w:t>
            </w:r>
          </w:p>
        </w:tc>
      </w:tr>
      <w:tr w:rsidR="00036DA6">
        <w:trPr>
          <w:trHeight w:val="295"/>
          <w:jc w:val="center"/>
        </w:trPr>
        <w:tc>
          <w:tcPr>
            <w:tcW w:w="1354"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b/>
                <w:bCs/>
                <w:lang w:eastAsia="en-IN"/>
              </w:rPr>
              <w:t>1</w:t>
            </w:r>
            <w:r>
              <w:rPr>
                <w:rFonts w:eastAsia="Times New Roman"/>
                <w:b/>
                <w:bCs/>
                <w:vertAlign w:val="superscript"/>
                <w:lang w:eastAsia="en-IN"/>
              </w:rPr>
              <w:t xml:space="preserve">st </w:t>
            </w:r>
            <w:r>
              <w:rPr>
                <w:rFonts w:eastAsia="Times New Roman"/>
                <w:b/>
                <w:bCs/>
                <w:lang w:eastAsia="en-IN"/>
              </w:rPr>
              <w:t>Week</w:t>
            </w:r>
          </w:p>
        </w:tc>
        <w:tc>
          <w:tcPr>
            <w:tcW w:w="173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lang w:eastAsia="en-IN"/>
              </w:rPr>
              <w:t>160</w:t>
            </w:r>
            <w:r>
              <w:rPr>
                <w:rFonts w:eastAsia="Times New Roman"/>
                <w:bCs/>
                <w:lang w:val="en-US"/>
              </w:rPr>
              <w:t>.07</w:t>
            </w:r>
            <w:r>
              <w:rPr>
                <w:rFonts w:eastAsia="Times New Roman"/>
                <w:b/>
                <w:bCs/>
                <w:lang w:val="en-US"/>
              </w:rPr>
              <w:t>±</w:t>
            </w:r>
            <w:r>
              <w:rPr>
                <w:rFonts w:eastAsia="Times New Roman"/>
                <w:bCs/>
                <w:lang w:val="en-US"/>
              </w:rPr>
              <w:t>3.57</w:t>
            </w:r>
            <w:r>
              <w:rPr>
                <w:rFonts w:eastAsia="Times New Roman"/>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lang w:val="en-US"/>
              </w:rPr>
              <w:t>165</w:t>
            </w:r>
            <w:r>
              <w:rPr>
                <w:rFonts w:eastAsia="Times New Roman"/>
                <w:bCs/>
                <w:lang w:val="en-US"/>
              </w:rPr>
              <w:t>.83</w:t>
            </w:r>
            <w:r>
              <w:rPr>
                <w:rFonts w:eastAsia="Times New Roman"/>
                <w:b/>
                <w:bCs/>
                <w:lang w:val="en-US"/>
              </w:rPr>
              <w:t>±</w:t>
            </w:r>
            <w:r>
              <w:rPr>
                <w:rFonts w:eastAsia="Times New Roman"/>
                <w:bCs/>
                <w:lang w:val="en-US"/>
              </w:rPr>
              <w:t>4.57</w:t>
            </w:r>
            <w:r>
              <w:rPr>
                <w:rFonts w:eastAsia="Times New Roman"/>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lang w:val="en-US"/>
              </w:rPr>
              <w:t>168.17</w:t>
            </w:r>
            <w:r>
              <w:rPr>
                <w:rFonts w:eastAsia="Times New Roman"/>
                <w:b/>
                <w:bCs/>
                <w:lang w:val="en-US"/>
              </w:rPr>
              <w:t>±</w:t>
            </w:r>
            <w:r>
              <w:rPr>
                <w:rFonts w:eastAsia="Times New Roman"/>
                <w:lang w:val="en-US"/>
              </w:rPr>
              <w:t>4.74</w:t>
            </w:r>
            <w:r>
              <w:rPr>
                <w:rFonts w:eastAsia="Times New Roman"/>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lang w:val="en-US"/>
              </w:rPr>
              <w:t>159.63</w:t>
            </w:r>
            <w:r>
              <w:rPr>
                <w:rFonts w:eastAsia="Times New Roman"/>
                <w:b/>
                <w:bCs/>
                <w:lang w:val="en-US"/>
              </w:rPr>
              <w:t>±</w:t>
            </w:r>
            <w:r>
              <w:rPr>
                <w:rFonts w:eastAsia="Times New Roman"/>
                <w:lang w:val="en-US"/>
              </w:rPr>
              <w:t>5.11</w:t>
            </w:r>
            <w:r>
              <w:rPr>
                <w:rFonts w:eastAsia="Times New Roman"/>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lang w:val="en-US"/>
              </w:rPr>
              <w:t>164.37</w:t>
            </w:r>
            <w:r>
              <w:rPr>
                <w:rFonts w:eastAsia="Times New Roman"/>
                <w:b/>
                <w:bCs/>
                <w:lang w:val="en-US"/>
              </w:rPr>
              <w:t>±</w:t>
            </w:r>
            <w:r>
              <w:rPr>
                <w:rFonts w:eastAsia="Times New Roman"/>
                <w:lang w:val="en-US"/>
              </w:rPr>
              <w:t>4.22</w:t>
            </w:r>
            <w:r>
              <w:rPr>
                <w:rFonts w:eastAsia="Times New Roman"/>
                <w:vertAlign w:val="superscript"/>
                <w:lang w:val="en-US"/>
              </w:rPr>
              <w:t>a</w:t>
            </w:r>
          </w:p>
        </w:tc>
      </w:tr>
      <w:tr w:rsidR="00036DA6">
        <w:trPr>
          <w:trHeight w:val="290"/>
          <w:jc w:val="center"/>
        </w:trPr>
        <w:tc>
          <w:tcPr>
            <w:tcW w:w="1354"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b/>
                <w:bCs/>
                <w:lang w:eastAsia="en-IN"/>
              </w:rPr>
              <w:t>2</w:t>
            </w:r>
            <w:r>
              <w:rPr>
                <w:rFonts w:eastAsia="Times New Roman"/>
                <w:b/>
                <w:bCs/>
                <w:vertAlign w:val="superscript"/>
                <w:lang w:eastAsia="en-IN"/>
              </w:rPr>
              <w:t xml:space="preserve">nd </w:t>
            </w:r>
            <w:r>
              <w:rPr>
                <w:rFonts w:eastAsia="Times New Roman"/>
                <w:b/>
                <w:bCs/>
                <w:lang w:eastAsia="en-IN"/>
              </w:rPr>
              <w:t>Week</w:t>
            </w:r>
          </w:p>
        </w:tc>
        <w:tc>
          <w:tcPr>
            <w:tcW w:w="173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lang w:eastAsia="en-IN"/>
              </w:rPr>
              <w:t>345.20</w:t>
            </w:r>
            <w:r>
              <w:rPr>
                <w:rFonts w:eastAsia="Times New Roman"/>
                <w:b/>
                <w:bCs/>
                <w:lang w:eastAsia="en-IN"/>
              </w:rPr>
              <w:t>±</w:t>
            </w:r>
            <w:r>
              <w:rPr>
                <w:rFonts w:eastAsia="Times New Roman"/>
                <w:lang w:eastAsia="en-IN"/>
              </w:rPr>
              <w:t>8.31</w:t>
            </w:r>
            <w:r>
              <w:rPr>
                <w:rFonts w:eastAsia="Times New Roman"/>
                <w:vertAlign w:val="superscript"/>
                <w:lang w:eastAsia="en-IN"/>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bCs/>
                <w:lang w:val="en-US"/>
              </w:rPr>
              <w:t>355.17</w:t>
            </w:r>
            <w:r>
              <w:rPr>
                <w:rFonts w:eastAsia="Times New Roman"/>
                <w:b/>
                <w:bCs/>
                <w:lang w:val="en-US"/>
              </w:rPr>
              <w:t>±</w:t>
            </w:r>
            <w:r>
              <w:rPr>
                <w:rFonts w:eastAsia="Times New Roman"/>
                <w:bCs/>
                <w:lang w:val="en-US"/>
              </w:rPr>
              <w:t>11.29</w:t>
            </w:r>
            <w:r>
              <w:rPr>
                <w:rFonts w:eastAsia="Times New Roman"/>
                <w:bCs/>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lang w:val="en-US"/>
              </w:rPr>
              <w:t>368.97</w:t>
            </w:r>
            <w:r>
              <w:rPr>
                <w:rFonts w:eastAsia="Times New Roman"/>
                <w:b/>
                <w:bCs/>
                <w:lang w:val="en-US"/>
              </w:rPr>
              <w:t>±</w:t>
            </w:r>
            <w:r>
              <w:rPr>
                <w:rFonts w:eastAsia="Times New Roman"/>
                <w:lang w:val="en-US"/>
              </w:rPr>
              <w:t>4.78</w:t>
            </w:r>
            <w:r>
              <w:rPr>
                <w:rFonts w:eastAsia="Times New Roman"/>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lang w:val="en-US"/>
              </w:rPr>
              <w:t>344.40</w:t>
            </w:r>
            <w:r>
              <w:rPr>
                <w:rFonts w:eastAsia="Times New Roman"/>
                <w:b/>
                <w:bCs/>
                <w:lang w:val="en-US"/>
              </w:rPr>
              <w:t>±</w:t>
            </w:r>
            <w:r>
              <w:rPr>
                <w:rFonts w:eastAsia="Times New Roman"/>
                <w:lang w:val="en-US"/>
              </w:rPr>
              <w:t>10.66</w:t>
            </w:r>
            <w:r>
              <w:rPr>
                <w:rFonts w:eastAsia="Times New Roman"/>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lang w:val="en-US"/>
              </w:rPr>
              <w:t>357.07</w:t>
            </w:r>
            <w:r>
              <w:rPr>
                <w:rFonts w:eastAsia="Times New Roman"/>
                <w:b/>
                <w:bCs/>
                <w:lang w:val="en-US"/>
              </w:rPr>
              <w:t>±</w:t>
            </w:r>
            <w:r>
              <w:rPr>
                <w:rFonts w:eastAsia="Times New Roman"/>
                <w:lang w:val="en-US"/>
              </w:rPr>
              <w:t>8.96</w:t>
            </w:r>
            <w:r>
              <w:rPr>
                <w:rFonts w:eastAsia="Times New Roman"/>
                <w:vertAlign w:val="superscript"/>
                <w:lang w:val="en-US"/>
              </w:rPr>
              <w:t>a</w:t>
            </w:r>
          </w:p>
        </w:tc>
      </w:tr>
      <w:tr w:rsidR="00036DA6">
        <w:trPr>
          <w:trHeight w:val="290"/>
          <w:jc w:val="center"/>
        </w:trPr>
        <w:tc>
          <w:tcPr>
            <w:tcW w:w="1354"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b/>
                <w:bCs/>
                <w:lang w:eastAsia="en-IN"/>
              </w:rPr>
              <w:t>3</w:t>
            </w:r>
            <w:r>
              <w:rPr>
                <w:rFonts w:eastAsia="Times New Roman"/>
                <w:b/>
                <w:bCs/>
                <w:vertAlign w:val="superscript"/>
                <w:lang w:eastAsia="en-IN"/>
              </w:rPr>
              <w:t xml:space="preserve">rd </w:t>
            </w:r>
            <w:r>
              <w:rPr>
                <w:rFonts w:eastAsia="Times New Roman"/>
                <w:b/>
                <w:bCs/>
                <w:lang w:eastAsia="en-IN"/>
              </w:rPr>
              <w:t>Week</w:t>
            </w:r>
          </w:p>
        </w:tc>
        <w:tc>
          <w:tcPr>
            <w:tcW w:w="173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lang w:eastAsia="en-IN"/>
              </w:rPr>
              <w:t>627.80</w:t>
            </w:r>
            <w:r>
              <w:rPr>
                <w:rFonts w:eastAsia="Times New Roman"/>
                <w:b/>
                <w:bCs/>
                <w:lang w:eastAsia="en-IN"/>
              </w:rPr>
              <w:t>±</w:t>
            </w:r>
            <w:r>
              <w:rPr>
                <w:rFonts w:eastAsia="Times New Roman"/>
                <w:lang w:eastAsia="en-IN"/>
              </w:rPr>
              <w:t>10.93</w:t>
            </w:r>
            <w:r>
              <w:rPr>
                <w:rFonts w:eastAsia="Times New Roman"/>
                <w:vertAlign w:val="superscript"/>
                <w:lang w:eastAsia="en-IN"/>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bCs/>
                <w:lang w:val="en-US"/>
              </w:rPr>
              <w:t>681.20</w:t>
            </w:r>
            <w:r>
              <w:rPr>
                <w:rFonts w:eastAsia="Times New Roman"/>
                <w:b/>
                <w:bCs/>
                <w:lang w:val="en-US"/>
              </w:rPr>
              <w:t>±</w:t>
            </w:r>
            <w:r>
              <w:rPr>
                <w:rFonts w:eastAsia="Times New Roman"/>
                <w:bCs/>
                <w:lang w:val="en-US"/>
              </w:rPr>
              <w:t>21.87</w:t>
            </w:r>
            <w:r>
              <w:rPr>
                <w:rFonts w:eastAsia="Times New Roman"/>
                <w:bCs/>
                <w:vertAlign w:val="superscript"/>
                <w:lang w:val="en-US"/>
              </w:rPr>
              <w:t>b</w:t>
            </w:r>
            <w:r>
              <w:rPr>
                <w:rFonts w:eastAsia="Times New Roman"/>
                <w:b/>
                <w:lang w:val="en-US"/>
              </w:rPr>
              <w:t>*</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lang w:val="en-US"/>
              </w:rPr>
              <w:t>811.33</w:t>
            </w:r>
            <w:r>
              <w:rPr>
                <w:rFonts w:eastAsia="Times New Roman"/>
                <w:b/>
                <w:bCs/>
                <w:lang w:val="en-US"/>
              </w:rPr>
              <w:t>±</w:t>
            </w:r>
            <w:r>
              <w:rPr>
                <w:rFonts w:eastAsia="Times New Roman"/>
                <w:lang w:val="en-US"/>
              </w:rPr>
              <w:t>13.42</w:t>
            </w:r>
            <w:r>
              <w:rPr>
                <w:rFonts w:eastAsia="Times New Roman"/>
                <w:vertAlign w:val="superscript"/>
                <w:lang w:val="en-US"/>
              </w:rPr>
              <w:t>c</w:t>
            </w:r>
            <w:r>
              <w:rPr>
                <w:rFonts w:eastAsia="Times New Roman"/>
                <w:b/>
                <w:bCs/>
                <w:lang w:val="en-US"/>
              </w:rPr>
              <w:t>**</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bCs/>
                <w:lang w:val="en-US"/>
              </w:rPr>
              <w:t>706.53</w:t>
            </w:r>
            <w:r>
              <w:rPr>
                <w:rFonts w:eastAsia="Times New Roman"/>
                <w:b/>
                <w:bCs/>
                <w:lang w:val="en-US"/>
              </w:rPr>
              <w:t>±</w:t>
            </w:r>
            <w:r>
              <w:rPr>
                <w:rFonts w:eastAsia="Times New Roman"/>
                <w:bCs/>
                <w:lang w:val="en-US"/>
              </w:rPr>
              <w:t>21.84</w:t>
            </w:r>
            <w:r>
              <w:rPr>
                <w:rFonts w:eastAsia="Times New Roman"/>
                <w:bCs/>
                <w:vertAlign w:val="superscript"/>
                <w:lang w:val="en-US"/>
              </w:rPr>
              <w:t>b</w:t>
            </w:r>
            <w:r>
              <w:rPr>
                <w:rFonts w:eastAsia="Times New Roman"/>
                <w:b/>
                <w:lang w:val="en-US"/>
              </w:rPr>
              <w:t>**</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lang w:val="en-US"/>
              </w:rPr>
              <w:t>731.03</w:t>
            </w:r>
            <w:r>
              <w:rPr>
                <w:rFonts w:eastAsia="Times New Roman"/>
                <w:b/>
                <w:bCs/>
                <w:lang w:val="en-US"/>
              </w:rPr>
              <w:t>±</w:t>
            </w:r>
            <w:r>
              <w:rPr>
                <w:rFonts w:eastAsia="Times New Roman"/>
                <w:lang w:val="en-US"/>
              </w:rPr>
              <w:t>22.45</w:t>
            </w:r>
            <w:r>
              <w:rPr>
                <w:rFonts w:eastAsia="Times New Roman"/>
                <w:vertAlign w:val="superscript"/>
                <w:lang w:val="en-US"/>
              </w:rPr>
              <w:t>b</w:t>
            </w:r>
            <w:r>
              <w:rPr>
                <w:rFonts w:eastAsia="Times New Roman"/>
                <w:b/>
                <w:bCs/>
                <w:lang w:val="en-US"/>
              </w:rPr>
              <w:t>**</w:t>
            </w:r>
          </w:p>
        </w:tc>
      </w:tr>
      <w:tr w:rsidR="00036DA6">
        <w:trPr>
          <w:trHeight w:val="290"/>
          <w:jc w:val="center"/>
        </w:trPr>
        <w:tc>
          <w:tcPr>
            <w:tcW w:w="1354"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b/>
                <w:bCs/>
                <w:lang w:eastAsia="en-IN"/>
              </w:rPr>
              <w:t>4</w:t>
            </w:r>
            <w:r>
              <w:rPr>
                <w:rFonts w:eastAsia="Times New Roman"/>
                <w:b/>
                <w:bCs/>
                <w:vertAlign w:val="superscript"/>
                <w:lang w:eastAsia="en-IN"/>
              </w:rPr>
              <w:t xml:space="preserve">th </w:t>
            </w:r>
            <w:r>
              <w:rPr>
                <w:rFonts w:eastAsia="Times New Roman"/>
                <w:b/>
                <w:bCs/>
                <w:lang w:eastAsia="en-IN"/>
              </w:rPr>
              <w:t>Week</w:t>
            </w:r>
          </w:p>
        </w:tc>
        <w:tc>
          <w:tcPr>
            <w:tcW w:w="173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lang w:eastAsia="en-IN"/>
              </w:rPr>
              <w:t>916.17</w:t>
            </w:r>
            <w:r>
              <w:rPr>
                <w:rFonts w:eastAsia="Times New Roman"/>
                <w:b/>
                <w:bCs/>
                <w:lang w:eastAsia="en-IN"/>
              </w:rPr>
              <w:t>±</w:t>
            </w:r>
            <w:r>
              <w:rPr>
                <w:rFonts w:eastAsia="Times New Roman"/>
                <w:lang w:eastAsia="en-IN"/>
              </w:rPr>
              <w:t>16.77</w:t>
            </w:r>
            <w:r>
              <w:rPr>
                <w:rFonts w:eastAsia="Times New Roman"/>
                <w:vertAlign w:val="superscript"/>
                <w:lang w:eastAsia="en-IN"/>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bCs/>
                <w:lang w:val="en-US"/>
              </w:rPr>
              <w:t>1104.23</w:t>
            </w:r>
            <w:r>
              <w:rPr>
                <w:rFonts w:eastAsia="Times New Roman"/>
                <w:b/>
                <w:bCs/>
                <w:lang w:val="en-US"/>
              </w:rPr>
              <w:t>±</w:t>
            </w:r>
            <w:r>
              <w:rPr>
                <w:rFonts w:eastAsia="Times New Roman"/>
                <w:bCs/>
                <w:lang w:val="en-US"/>
              </w:rPr>
              <w:t>28.57</w:t>
            </w:r>
            <w:r>
              <w:rPr>
                <w:rFonts w:eastAsia="Times New Roman"/>
                <w:bCs/>
                <w:vertAlign w:val="superscript"/>
                <w:lang w:val="en-US"/>
              </w:rPr>
              <w:t>b</w:t>
            </w:r>
            <w:r>
              <w:rPr>
                <w:rFonts w:eastAsia="Times New Roman"/>
                <w:b/>
                <w:lang w:val="en-US"/>
              </w:rPr>
              <w:t>**</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lang w:val="en-US"/>
              </w:rPr>
              <w:t>1319.57</w:t>
            </w:r>
            <w:r>
              <w:rPr>
                <w:rFonts w:eastAsia="Times New Roman"/>
                <w:b/>
                <w:bCs/>
                <w:lang w:val="en-US"/>
              </w:rPr>
              <w:t>±</w:t>
            </w:r>
            <w:r>
              <w:rPr>
                <w:rFonts w:eastAsia="Times New Roman"/>
                <w:lang w:val="en-US"/>
              </w:rPr>
              <w:t>24.87</w:t>
            </w:r>
            <w:r>
              <w:rPr>
                <w:rFonts w:eastAsia="Times New Roman"/>
                <w:vertAlign w:val="superscript"/>
                <w:lang w:val="en-US"/>
              </w:rPr>
              <w:t>d</w:t>
            </w:r>
            <w:r>
              <w:rPr>
                <w:rFonts w:eastAsia="Times New Roman"/>
                <w:b/>
                <w:bCs/>
                <w:lang w:val="en-US"/>
              </w:rPr>
              <w:t>**</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lang w:val="en-US"/>
              </w:rPr>
              <w:t>1202.93</w:t>
            </w:r>
            <w:r>
              <w:rPr>
                <w:rFonts w:eastAsia="Times New Roman"/>
                <w:b/>
                <w:bCs/>
                <w:lang w:val="en-US"/>
              </w:rPr>
              <w:t>±</w:t>
            </w:r>
            <w:r>
              <w:rPr>
                <w:rFonts w:eastAsia="Times New Roman"/>
                <w:lang w:val="en-US"/>
              </w:rPr>
              <w:t>23.02</w:t>
            </w:r>
            <w:r>
              <w:rPr>
                <w:rFonts w:eastAsia="Times New Roman"/>
                <w:vertAlign w:val="superscript"/>
                <w:lang w:val="en-US"/>
              </w:rPr>
              <w:t>c</w:t>
            </w:r>
            <w:r>
              <w:rPr>
                <w:rFonts w:eastAsia="Times New Roman"/>
                <w:b/>
                <w:bCs/>
                <w:lang w:val="en-US"/>
              </w:rPr>
              <w:t>**</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lang w:val="en-US"/>
              </w:rPr>
              <w:t>1279.50</w:t>
            </w:r>
            <w:r>
              <w:rPr>
                <w:rFonts w:eastAsia="Times New Roman"/>
                <w:b/>
                <w:bCs/>
                <w:lang w:val="en-US"/>
              </w:rPr>
              <w:t>±</w:t>
            </w:r>
            <w:r>
              <w:rPr>
                <w:rFonts w:eastAsia="Times New Roman"/>
                <w:lang w:val="en-US"/>
              </w:rPr>
              <w:t>25.46</w:t>
            </w:r>
            <w:r>
              <w:rPr>
                <w:rFonts w:eastAsia="Times New Roman"/>
                <w:vertAlign w:val="superscript"/>
                <w:lang w:val="en-US"/>
              </w:rPr>
              <w:t>d</w:t>
            </w:r>
            <w:r>
              <w:rPr>
                <w:rFonts w:eastAsia="Times New Roman"/>
                <w:b/>
                <w:bCs/>
                <w:lang w:val="en-US"/>
              </w:rPr>
              <w:t>**</w:t>
            </w:r>
          </w:p>
        </w:tc>
      </w:tr>
      <w:tr w:rsidR="00036DA6">
        <w:trPr>
          <w:trHeight w:val="295"/>
          <w:jc w:val="center"/>
        </w:trPr>
        <w:tc>
          <w:tcPr>
            <w:tcW w:w="1354"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b/>
                <w:bCs/>
                <w:lang w:eastAsia="en-IN"/>
              </w:rPr>
              <w:t>5</w:t>
            </w:r>
            <w:r>
              <w:rPr>
                <w:rFonts w:eastAsia="Times New Roman"/>
                <w:b/>
                <w:bCs/>
                <w:vertAlign w:val="superscript"/>
                <w:lang w:eastAsia="en-IN"/>
              </w:rPr>
              <w:t>th</w:t>
            </w:r>
            <w:r>
              <w:rPr>
                <w:rFonts w:eastAsia="Times New Roman"/>
                <w:b/>
                <w:bCs/>
                <w:lang w:eastAsia="en-IN"/>
              </w:rPr>
              <w:t>Week</w:t>
            </w:r>
          </w:p>
        </w:tc>
        <w:tc>
          <w:tcPr>
            <w:tcW w:w="173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lang w:eastAsia="en-IN"/>
              </w:rPr>
              <w:t>1423.07</w:t>
            </w:r>
            <w:r>
              <w:rPr>
                <w:rFonts w:eastAsia="Times New Roman"/>
                <w:b/>
                <w:bCs/>
                <w:lang w:eastAsia="en-IN"/>
              </w:rPr>
              <w:t>±</w:t>
            </w:r>
            <w:r>
              <w:rPr>
                <w:rFonts w:eastAsia="Times New Roman"/>
                <w:lang w:eastAsia="en-IN"/>
              </w:rPr>
              <w:t>18.39</w:t>
            </w:r>
            <w:r>
              <w:rPr>
                <w:rFonts w:eastAsia="Times New Roman"/>
                <w:vertAlign w:val="superscript"/>
                <w:lang w:eastAsia="en-IN"/>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bCs/>
                <w:lang w:val="en-US"/>
              </w:rPr>
              <w:t>1549.53</w:t>
            </w:r>
            <w:r>
              <w:rPr>
                <w:rFonts w:eastAsia="Times New Roman"/>
                <w:b/>
                <w:bCs/>
                <w:lang w:val="en-US"/>
              </w:rPr>
              <w:t>±</w:t>
            </w:r>
            <w:r>
              <w:rPr>
                <w:rFonts w:eastAsia="Times New Roman"/>
                <w:bCs/>
                <w:lang w:val="en-US"/>
              </w:rPr>
              <w:t>26.34</w:t>
            </w:r>
            <w:r>
              <w:rPr>
                <w:rFonts w:eastAsia="Times New Roman"/>
                <w:bCs/>
                <w:vertAlign w:val="superscript"/>
                <w:lang w:val="en-US"/>
              </w:rPr>
              <w:t>b</w:t>
            </w:r>
            <w:r>
              <w:rPr>
                <w:rFonts w:eastAsia="Times New Roman"/>
                <w:b/>
                <w:lang w:val="en-US"/>
              </w:rPr>
              <w:t>**</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bCs/>
                <w:lang w:val="en-US"/>
              </w:rPr>
              <w:t>1798.57</w:t>
            </w:r>
            <w:r>
              <w:rPr>
                <w:rFonts w:eastAsia="Times New Roman"/>
                <w:b/>
                <w:bCs/>
                <w:lang w:val="en-US"/>
              </w:rPr>
              <w:t>±</w:t>
            </w:r>
            <w:r>
              <w:rPr>
                <w:rFonts w:eastAsia="Times New Roman"/>
                <w:bCs/>
                <w:lang w:val="en-US"/>
              </w:rPr>
              <w:t>29.08</w:t>
            </w:r>
            <w:r>
              <w:rPr>
                <w:rFonts w:eastAsia="Times New Roman"/>
                <w:bCs/>
                <w:vertAlign w:val="superscript"/>
                <w:lang w:val="en-US"/>
              </w:rPr>
              <w:t>d</w:t>
            </w:r>
            <w:r>
              <w:rPr>
                <w:rFonts w:eastAsia="Times New Roman"/>
                <w:b/>
                <w:lang w:val="en-US"/>
              </w:rPr>
              <w:t>**</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lang w:val="en-US"/>
              </w:rPr>
              <w:t>1685.80</w:t>
            </w:r>
            <w:r>
              <w:rPr>
                <w:rFonts w:eastAsia="Times New Roman"/>
                <w:b/>
                <w:bCs/>
                <w:lang w:val="en-US"/>
              </w:rPr>
              <w:t>±</w:t>
            </w:r>
            <w:r>
              <w:rPr>
                <w:rFonts w:eastAsia="Times New Roman"/>
                <w:lang w:val="en-US"/>
              </w:rPr>
              <w:t>12.68</w:t>
            </w:r>
            <w:r>
              <w:rPr>
                <w:rFonts w:eastAsia="Times New Roman"/>
                <w:vertAlign w:val="superscript"/>
                <w:lang w:val="en-US"/>
              </w:rPr>
              <w:t>c</w:t>
            </w:r>
            <w:r>
              <w:rPr>
                <w:rFonts w:eastAsia="Times New Roman"/>
                <w:b/>
                <w:bCs/>
                <w:lang w:val="en-US"/>
              </w:rPr>
              <w:t>**</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bCs/>
                <w:lang w:val="en-US"/>
              </w:rPr>
              <w:t>1767.57</w:t>
            </w:r>
            <w:r>
              <w:rPr>
                <w:rFonts w:eastAsia="Times New Roman"/>
                <w:b/>
                <w:bCs/>
                <w:lang w:val="en-US"/>
              </w:rPr>
              <w:t>±</w:t>
            </w:r>
            <w:r>
              <w:rPr>
                <w:rFonts w:eastAsia="Times New Roman"/>
                <w:bCs/>
                <w:lang w:val="en-US"/>
              </w:rPr>
              <w:t>30.57</w:t>
            </w:r>
            <w:r>
              <w:rPr>
                <w:rFonts w:eastAsia="Times New Roman"/>
                <w:bCs/>
                <w:vertAlign w:val="superscript"/>
                <w:lang w:val="en-US"/>
              </w:rPr>
              <w:t>d</w:t>
            </w:r>
            <w:r>
              <w:rPr>
                <w:rFonts w:eastAsia="Times New Roman"/>
                <w:b/>
                <w:lang w:val="en-US"/>
              </w:rPr>
              <w:t>**</w:t>
            </w:r>
          </w:p>
        </w:tc>
      </w:tr>
      <w:tr w:rsidR="00036DA6">
        <w:trPr>
          <w:trHeight w:val="290"/>
          <w:jc w:val="center"/>
        </w:trPr>
        <w:tc>
          <w:tcPr>
            <w:tcW w:w="1354"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b/>
                <w:bCs/>
                <w:lang w:eastAsia="en-IN"/>
              </w:rPr>
              <w:t>6</w:t>
            </w:r>
            <w:r>
              <w:rPr>
                <w:rFonts w:eastAsia="Times New Roman"/>
                <w:b/>
                <w:bCs/>
                <w:vertAlign w:val="superscript"/>
                <w:lang w:eastAsia="en-IN"/>
              </w:rPr>
              <w:t xml:space="preserve">th </w:t>
            </w:r>
            <w:r>
              <w:rPr>
                <w:rFonts w:eastAsia="Times New Roman"/>
                <w:b/>
                <w:bCs/>
                <w:lang w:eastAsia="en-IN"/>
              </w:rPr>
              <w:t>Week</w:t>
            </w:r>
          </w:p>
        </w:tc>
        <w:tc>
          <w:tcPr>
            <w:tcW w:w="173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bCs/>
                <w:lang w:val="en-US"/>
              </w:rPr>
              <w:t>1845.23</w:t>
            </w:r>
            <w:r>
              <w:rPr>
                <w:rFonts w:eastAsia="Times New Roman"/>
                <w:b/>
                <w:bCs/>
                <w:lang w:val="en-US"/>
              </w:rPr>
              <w:t>±</w:t>
            </w:r>
            <w:r>
              <w:rPr>
                <w:rFonts w:eastAsia="Times New Roman"/>
                <w:bCs/>
                <w:lang w:val="en-US"/>
              </w:rPr>
              <w:t>19.61</w:t>
            </w:r>
            <w:r>
              <w:rPr>
                <w:rFonts w:eastAsia="Times New Roman"/>
                <w:bCs/>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bCs/>
                <w:lang w:val="en-US"/>
              </w:rPr>
              <w:t>1928.40</w:t>
            </w:r>
            <w:r>
              <w:rPr>
                <w:rFonts w:eastAsia="Times New Roman"/>
                <w:b/>
                <w:bCs/>
                <w:lang w:val="en-US"/>
              </w:rPr>
              <w:t>±</w:t>
            </w:r>
            <w:r>
              <w:rPr>
                <w:rFonts w:eastAsia="Times New Roman"/>
                <w:bCs/>
                <w:lang w:val="en-US"/>
              </w:rPr>
              <w:t>38.49</w:t>
            </w:r>
            <w:r>
              <w:rPr>
                <w:rFonts w:eastAsia="Times New Roman"/>
                <w:bCs/>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bCs/>
                <w:lang w:val="en-US"/>
              </w:rPr>
              <w:t>2144.03</w:t>
            </w:r>
            <w:r>
              <w:rPr>
                <w:rFonts w:eastAsia="Times New Roman"/>
                <w:b/>
                <w:bCs/>
                <w:lang w:val="en-US"/>
              </w:rPr>
              <w:t>±</w:t>
            </w:r>
            <w:r>
              <w:rPr>
                <w:rFonts w:eastAsia="Times New Roman"/>
                <w:bCs/>
                <w:lang w:val="en-US"/>
              </w:rPr>
              <w:t>34.92</w:t>
            </w:r>
            <w:r>
              <w:rPr>
                <w:rFonts w:eastAsia="Times New Roman"/>
                <w:bCs/>
                <w:vertAlign w:val="superscript"/>
                <w:lang w:val="en-US"/>
              </w:rPr>
              <w:t>b</w:t>
            </w:r>
            <w:r>
              <w:rPr>
                <w:rFonts w:eastAsia="Times New Roman"/>
                <w:b/>
                <w:lang w:val="en-US"/>
              </w:rPr>
              <w:t>**</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bCs/>
                <w:lang w:val="en-US"/>
              </w:rPr>
              <w:t>2086.79</w:t>
            </w:r>
            <w:r>
              <w:rPr>
                <w:rFonts w:eastAsia="Times New Roman"/>
                <w:b/>
                <w:bCs/>
                <w:lang w:val="en-US"/>
              </w:rPr>
              <w:t>±</w:t>
            </w:r>
            <w:r>
              <w:rPr>
                <w:rFonts w:eastAsia="Times New Roman"/>
                <w:bCs/>
                <w:lang w:val="en-US"/>
              </w:rPr>
              <w:t>21.83</w:t>
            </w:r>
            <w:r>
              <w:rPr>
                <w:rFonts w:eastAsia="Times New Roman"/>
                <w:bCs/>
                <w:vertAlign w:val="superscript"/>
                <w:lang w:val="en-US"/>
              </w:rPr>
              <w:t>b</w:t>
            </w:r>
            <w:r>
              <w:rPr>
                <w:rFonts w:eastAsia="Times New Roman"/>
                <w:b/>
                <w:lang w:val="en-US"/>
              </w:rPr>
              <w:t>**</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b/>
                <w:bCs/>
              </w:rPr>
            </w:pPr>
            <w:r>
              <w:rPr>
                <w:rFonts w:eastAsia="Times New Roman"/>
                <w:bCs/>
                <w:lang w:val="en-US"/>
              </w:rPr>
              <w:t>2146.47</w:t>
            </w:r>
            <w:r>
              <w:rPr>
                <w:rFonts w:eastAsia="Times New Roman"/>
                <w:b/>
                <w:bCs/>
                <w:lang w:val="en-US"/>
              </w:rPr>
              <w:t>±</w:t>
            </w:r>
            <w:r>
              <w:rPr>
                <w:rFonts w:eastAsia="Times New Roman"/>
                <w:bCs/>
                <w:lang w:val="en-US"/>
              </w:rPr>
              <w:t>37.12</w:t>
            </w:r>
            <w:r>
              <w:rPr>
                <w:rFonts w:eastAsia="Times New Roman"/>
                <w:bCs/>
                <w:vertAlign w:val="superscript"/>
                <w:lang w:val="en-US"/>
              </w:rPr>
              <w:t>b</w:t>
            </w:r>
            <w:r>
              <w:rPr>
                <w:rFonts w:eastAsia="Times New Roman"/>
                <w:b/>
                <w:lang w:val="en-US"/>
              </w:rPr>
              <w:t>**</w:t>
            </w:r>
          </w:p>
        </w:tc>
      </w:tr>
      <w:tr w:rsidR="00036DA6">
        <w:trPr>
          <w:trHeight w:val="290"/>
          <w:jc w:val="center"/>
        </w:trPr>
        <w:tc>
          <w:tcPr>
            <w:tcW w:w="11045" w:type="dxa"/>
            <w:gridSpan w:val="6"/>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rPr>
                <w:rFonts w:eastAsia="Times New Roman"/>
                <w:bCs/>
                <w:lang w:val="en-US"/>
              </w:rPr>
            </w:pPr>
            <w:r>
              <w:rPr>
                <w:rFonts w:eastAsia="Times New Roman"/>
                <w:bCs/>
                <w:lang w:val="en-US"/>
              </w:rPr>
              <w:t>Means having different superscripts at a particular period of treatment differs significantly (P&lt;0.05)</w:t>
            </w:r>
          </w:p>
          <w:p w:rsidR="00036DA6" w:rsidRDefault="00B265C3">
            <w:pPr>
              <w:spacing w:after="0" w:line="240" w:lineRule="auto"/>
              <w:jc w:val="center"/>
              <w:rPr>
                <w:rFonts w:eastAsia="Times New Roman"/>
                <w:bCs/>
                <w:lang w:val="en-US"/>
              </w:rPr>
            </w:pPr>
            <w:r>
              <w:rPr>
                <w:rFonts w:eastAsia="Times New Roman"/>
                <w:bCs/>
                <w:lang w:val="en-US"/>
              </w:rPr>
              <w:t>*- Significant (P&lt;0.05), **- Highly significant at P&lt;0.01 and &lt;0.001</w:t>
            </w:r>
          </w:p>
        </w:tc>
      </w:tr>
    </w:tbl>
    <w:p w:rsidR="00036DA6" w:rsidRDefault="00036DA6"/>
    <w:p w:rsidR="00036DA6" w:rsidRDefault="00B265C3">
      <w:pPr>
        <w:jc w:val="both"/>
        <w:rPr>
          <w:b/>
          <w:bCs/>
        </w:rPr>
      </w:pPr>
      <w:r>
        <w:rPr>
          <w:b/>
          <w:bCs/>
        </w:rPr>
        <w:t>Organ morphometry and carcass characteristics:</w:t>
      </w:r>
    </w:p>
    <w:p w:rsidR="00036DA6" w:rsidRDefault="00036DA6">
      <w:pPr>
        <w:jc w:val="both"/>
        <w:rPr>
          <w:b/>
          <w:bCs/>
        </w:rPr>
      </w:pPr>
    </w:p>
    <w:p w:rsidR="00036DA6" w:rsidRDefault="00036DA6">
      <w:pPr>
        <w:jc w:val="both"/>
        <w:rPr>
          <w:b/>
          <w:bCs/>
        </w:rPr>
      </w:pPr>
    </w:p>
    <w:tbl>
      <w:tblPr>
        <w:tblStyle w:val="TableGrid"/>
        <w:tblW w:w="11320" w:type="dxa"/>
        <w:jc w:val="center"/>
        <w:tblLook w:val="04A0"/>
      </w:tblPr>
      <w:tblGrid>
        <w:gridCol w:w="1416"/>
        <w:gridCol w:w="1739"/>
        <w:gridCol w:w="2099"/>
        <w:gridCol w:w="2099"/>
        <w:gridCol w:w="1988"/>
        <w:gridCol w:w="1979"/>
      </w:tblGrid>
      <w:tr w:rsidR="00036DA6">
        <w:trPr>
          <w:jc w:val="center"/>
        </w:trPr>
        <w:tc>
          <w:tcPr>
            <w:tcW w:w="11320" w:type="dxa"/>
            <w:gridSpan w:val="6"/>
          </w:tcPr>
          <w:p w:rsidR="00036DA6" w:rsidRDefault="00B265C3">
            <w:pPr>
              <w:spacing w:after="0" w:line="240" w:lineRule="auto"/>
              <w:jc w:val="center"/>
              <w:rPr>
                <w:b/>
                <w:bCs/>
                <w:lang w:val="en-US"/>
              </w:rPr>
            </w:pPr>
            <w:r>
              <w:rPr>
                <w:b/>
                <w:bCs/>
                <w:lang w:val="en-US"/>
              </w:rPr>
              <w:t xml:space="preserve">Table </w:t>
            </w:r>
            <w:r w:rsidR="00A04834">
              <w:rPr>
                <w:b/>
                <w:bCs/>
                <w:lang w:val="en-US"/>
              </w:rPr>
              <w:t>4</w:t>
            </w:r>
            <w:r>
              <w:rPr>
                <w:b/>
                <w:bCs/>
                <w:lang w:val="en-US"/>
              </w:rPr>
              <w:t xml:space="preserve">: Effect of dietary supplementation of MLE and indigenous CUD and combination of both on the </w:t>
            </w:r>
            <w:r>
              <w:rPr>
                <w:b/>
                <w:bCs/>
              </w:rPr>
              <w:t xml:space="preserve">avg. organ weight (g) </w:t>
            </w:r>
            <w:r>
              <w:rPr>
                <w:b/>
                <w:bCs/>
                <w:lang w:val="en-US"/>
              </w:rPr>
              <w:t>of broiler birds (n=6)</w:t>
            </w:r>
          </w:p>
        </w:tc>
      </w:tr>
      <w:tr w:rsidR="00036DA6">
        <w:trPr>
          <w:jc w:val="center"/>
        </w:trPr>
        <w:tc>
          <w:tcPr>
            <w:tcW w:w="11320" w:type="dxa"/>
            <w:gridSpan w:val="6"/>
          </w:tcPr>
          <w:p w:rsidR="00036DA6" w:rsidRDefault="00B265C3">
            <w:pPr>
              <w:spacing w:after="0" w:line="240" w:lineRule="auto"/>
              <w:jc w:val="center"/>
              <w:rPr>
                <w:b/>
                <w:bCs/>
              </w:rPr>
            </w:pPr>
            <w:r>
              <w:rPr>
                <w:b/>
                <w:bCs/>
              </w:rPr>
              <w:t xml:space="preserve">Average Organ Weight (g) </w:t>
            </w:r>
            <w:r>
              <w:rPr>
                <w:b/>
                <w:lang w:val="en-US"/>
              </w:rPr>
              <w:t xml:space="preserve">(Mean </w:t>
            </w:r>
            <w:r>
              <w:rPr>
                <w:b/>
                <w:bCs/>
                <w:lang w:val="en-US"/>
              </w:rPr>
              <w:t>±</w:t>
            </w:r>
            <w:r>
              <w:rPr>
                <w:b/>
                <w:lang w:val="en-US"/>
              </w:rPr>
              <w:t xml:space="preserve"> SE)</w:t>
            </w:r>
          </w:p>
        </w:tc>
      </w:tr>
      <w:tr w:rsidR="00036DA6">
        <w:trPr>
          <w:jc w:val="center"/>
        </w:trPr>
        <w:tc>
          <w:tcPr>
            <w:tcW w:w="1416" w:type="dxa"/>
          </w:tcPr>
          <w:p w:rsidR="00036DA6" w:rsidRDefault="00B265C3">
            <w:pPr>
              <w:spacing w:after="0" w:line="240" w:lineRule="auto"/>
              <w:jc w:val="center"/>
              <w:rPr>
                <w:b/>
                <w:bCs/>
              </w:rPr>
            </w:pPr>
            <w:r>
              <w:rPr>
                <w:b/>
                <w:bCs/>
              </w:rPr>
              <w:t>Organ</w:t>
            </w:r>
          </w:p>
        </w:tc>
        <w:tc>
          <w:tcPr>
            <w:tcW w:w="1739" w:type="dxa"/>
            <w:vAlign w:val="bottom"/>
          </w:tcPr>
          <w:p w:rsidR="00036DA6" w:rsidRDefault="00B265C3">
            <w:pPr>
              <w:spacing w:after="0" w:line="240" w:lineRule="auto"/>
              <w:jc w:val="center"/>
              <w:rPr>
                <w:b/>
                <w:bCs/>
              </w:rPr>
            </w:pPr>
            <w:r>
              <w:rPr>
                <w:b/>
                <w:bCs/>
              </w:rPr>
              <w:t>C</w:t>
            </w:r>
          </w:p>
        </w:tc>
        <w:tc>
          <w:tcPr>
            <w:tcW w:w="2099" w:type="dxa"/>
            <w:vAlign w:val="bottom"/>
          </w:tcPr>
          <w:p w:rsidR="00036DA6" w:rsidRDefault="00B265C3">
            <w:pPr>
              <w:spacing w:after="0" w:line="240" w:lineRule="auto"/>
              <w:jc w:val="center"/>
              <w:rPr>
                <w:b/>
                <w:bCs/>
              </w:rPr>
            </w:pPr>
            <w:r>
              <w:rPr>
                <w:b/>
                <w:bCs/>
              </w:rPr>
              <w:t>S</w:t>
            </w:r>
          </w:p>
        </w:tc>
        <w:tc>
          <w:tcPr>
            <w:tcW w:w="2099" w:type="dxa"/>
            <w:vAlign w:val="bottom"/>
          </w:tcPr>
          <w:p w:rsidR="00036DA6" w:rsidRDefault="00B265C3">
            <w:pPr>
              <w:spacing w:after="0" w:line="240" w:lineRule="auto"/>
              <w:jc w:val="center"/>
              <w:rPr>
                <w:b/>
                <w:bCs/>
              </w:rPr>
            </w:pPr>
            <w:r>
              <w:rPr>
                <w:b/>
                <w:bCs/>
              </w:rPr>
              <w:t>T1</w:t>
            </w:r>
          </w:p>
        </w:tc>
        <w:tc>
          <w:tcPr>
            <w:tcW w:w="1988" w:type="dxa"/>
            <w:vAlign w:val="bottom"/>
          </w:tcPr>
          <w:p w:rsidR="00036DA6" w:rsidRDefault="00B265C3">
            <w:pPr>
              <w:spacing w:after="0" w:line="240" w:lineRule="auto"/>
              <w:jc w:val="center"/>
              <w:rPr>
                <w:b/>
                <w:bCs/>
              </w:rPr>
            </w:pPr>
            <w:r>
              <w:rPr>
                <w:b/>
                <w:bCs/>
              </w:rPr>
              <w:t>T2</w:t>
            </w:r>
          </w:p>
        </w:tc>
        <w:tc>
          <w:tcPr>
            <w:tcW w:w="1979" w:type="dxa"/>
            <w:vAlign w:val="bottom"/>
          </w:tcPr>
          <w:p w:rsidR="00036DA6" w:rsidRDefault="00B265C3">
            <w:pPr>
              <w:spacing w:after="0" w:line="240" w:lineRule="auto"/>
              <w:jc w:val="center"/>
              <w:rPr>
                <w:b/>
                <w:bCs/>
              </w:rPr>
            </w:pPr>
            <w:r>
              <w:rPr>
                <w:b/>
                <w:bCs/>
              </w:rPr>
              <w:t>T3</w:t>
            </w:r>
          </w:p>
        </w:tc>
      </w:tr>
      <w:tr w:rsidR="00036DA6">
        <w:trPr>
          <w:jc w:val="center"/>
        </w:trPr>
        <w:tc>
          <w:tcPr>
            <w:tcW w:w="1416" w:type="dxa"/>
          </w:tcPr>
          <w:p w:rsidR="00036DA6" w:rsidRDefault="00B265C3">
            <w:pPr>
              <w:spacing w:after="0" w:line="240" w:lineRule="auto"/>
              <w:jc w:val="center"/>
              <w:rPr>
                <w:b/>
                <w:bCs/>
              </w:rPr>
            </w:pPr>
            <w:r>
              <w:rPr>
                <w:b/>
                <w:bCs/>
              </w:rPr>
              <w:t>Live body weight (g)</w:t>
            </w:r>
          </w:p>
        </w:tc>
        <w:tc>
          <w:tcPr>
            <w:tcW w:w="1739" w:type="dxa"/>
          </w:tcPr>
          <w:p w:rsidR="00036DA6" w:rsidRDefault="00B265C3">
            <w:pPr>
              <w:spacing w:after="0" w:line="240" w:lineRule="auto"/>
              <w:jc w:val="center"/>
            </w:pPr>
            <w:r>
              <w:t>1559.83</w:t>
            </w:r>
            <w:r>
              <w:rPr>
                <w:b/>
                <w:bCs/>
              </w:rPr>
              <w:t>±</w:t>
            </w:r>
            <w:r>
              <w:t>14.51</w:t>
            </w:r>
            <w:r>
              <w:rPr>
                <w:vertAlign w:val="superscript"/>
                <w:lang w:val="en-US"/>
              </w:rPr>
              <w:t>a</w:t>
            </w:r>
          </w:p>
        </w:tc>
        <w:tc>
          <w:tcPr>
            <w:tcW w:w="2099" w:type="dxa"/>
          </w:tcPr>
          <w:p w:rsidR="00036DA6" w:rsidRDefault="00B265C3">
            <w:pPr>
              <w:spacing w:after="0" w:line="240" w:lineRule="auto"/>
              <w:jc w:val="center"/>
            </w:pPr>
            <w:r>
              <w:t>1709.50</w:t>
            </w:r>
            <w:r>
              <w:rPr>
                <w:b/>
                <w:bCs/>
              </w:rPr>
              <w:t>±</w:t>
            </w:r>
            <w:r>
              <w:t>24.93</w:t>
            </w:r>
            <w:r>
              <w:rPr>
                <w:vertAlign w:val="superscript"/>
                <w:lang w:val="en-US"/>
              </w:rPr>
              <w:t>b,c</w:t>
            </w:r>
            <w:r>
              <w:t>**</w:t>
            </w:r>
          </w:p>
        </w:tc>
        <w:tc>
          <w:tcPr>
            <w:tcW w:w="2099" w:type="dxa"/>
          </w:tcPr>
          <w:p w:rsidR="00036DA6" w:rsidRDefault="00B265C3">
            <w:pPr>
              <w:spacing w:after="0" w:line="240" w:lineRule="auto"/>
              <w:jc w:val="center"/>
            </w:pPr>
            <w:r>
              <w:t>1751.67</w:t>
            </w:r>
            <w:r>
              <w:rPr>
                <w:b/>
                <w:bCs/>
              </w:rPr>
              <w:t>±</w:t>
            </w:r>
            <w:r>
              <w:t>11.41</w:t>
            </w:r>
            <w:r>
              <w:rPr>
                <w:vertAlign w:val="superscript"/>
                <w:lang w:val="en-US"/>
              </w:rPr>
              <w:t>b,c</w:t>
            </w:r>
            <w:r>
              <w:t>**</w:t>
            </w:r>
          </w:p>
        </w:tc>
        <w:tc>
          <w:tcPr>
            <w:tcW w:w="1988" w:type="dxa"/>
          </w:tcPr>
          <w:p w:rsidR="00036DA6" w:rsidRDefault="00B265C3">
            <w:pPr>
              <w:spacing w:after="0" w:line="240" w:lineRule="auto"/>
              <w:jc w:val="center"/>
            </w:pPr>
            <w:r>
              <w:t>1697.50</w:t>
            </w:r>
            <w:r>
              <w:rPr>
                <w:b/>
                <w:bCs/>
              </w:rPr>
              <w:t>±</w:t>
            </w:r>
            <w:r>
              <w:t>22.83</w:t>
            </w:r>
            <w:r>
              <w:rPr>
                <w:vertAlign w:val="superscript"/>
                <w:lang w:val="en-US"/>
              </w:rPr>
              <w:t>b</w:t>
            </w:r>
            <w:r>
              <w:t>**</w:t>
            </w:r>
          </w:p>
        </w:tc>
        <w:tc>
          <w:tcPr>
            <w:tcW w:w="1979" w:type="dxa"/>
          </w:tcPr>
          <w:p w:rsidR="00036DA6" w:rsidRDefault="00B265C3">
            <w:pPr>
              <w:spacing w:after="0" w:line="240" w:lineRule="auto"/>
              <w:jc w:val="center"/>
            </w:pPr>
            <w:r>
              <w:t>1789.50±50.53</w:t>
            </w:r>
            <w:r>
              <w:rPr>
                <w:vertAlign w:val="superscript"/>
              </w:rPr>
              <w:t>c</w:t>
            </w:r>
            <w:r>
              <w:t>**</w:t>
            </w:r>
          </w:p>
        </w:tc>
      </w:tr>
      <w:tr w:rsidR="00036DA6">
        <w:trPr>
          <w:jc w:val="center"/>
        </w:trPr>
        <w:tc>
          <w:tcPr>
            <w:tcW w:w="1416" w:type="dxa"/>
          </w:tcPr>
          <w:p w:rsidR="00036DA6" w:rsidRDefault="00B265C3">
            <w:pPr>
              <w:spacing w:after="0" w:line="240" w:lineRule="auto"/>
              <w:jc w:val="center"/>
              <w:rPr>
                <w:b/>
                <w:bCs/>
              </w:rPr>
            </w:pPr>
            <w:r>
              <w:rPr>
                <w:b/>
                <w:bCs/>
              </w:rPr>
              <w:t>Dressing %</w:t>
            </w:r>
          </w:p>
        </w:tc>
        <w:tc>
          <w:tcPr>
            <w:tcW w:w="1739" w:type="dxa"/>
          </w:tcPr>
          <w:p w:rsidR="00036DA6" w:rsidRDefault="00B265C3">
            <w:pPr>
              <w:spacing w:after="0" w:line="240" w:lineRule="auto"/>
              <w:jc w:val="center"/>
            </w:pPr>
            <w:r>
              <w:t>69.33</w:t>
            </w:r>
            <w:r>
              <w:rPr>
                <w:b/>
                <w:bCs/>
              </w:rPr>
              <w:t>±</w:t>
            </w:r>
            <w:r>
              <w:t>0.49</w:t>
            </w:r>
            <w:r>
              <w:rPr>
                <w:vertAlign w:val="superscript"/>
                <w:lang w:val="en-US"/>
              </w:rPr>
              <w:t>a</w:t>
            </w:r>
          </w:p>
        </w:tc>
        <w:tc>
          <w:tcPr>
            <w:tcW w:w="2099" w:type="dxa"/>
          </w:tcPr>
          <w:p w:rsidR="00036DA6" w:rsidRDefault="00B265C3">
            <w:pPr>
              <w:spacing w:after="0" w:line="240" w:lineRule="auto"/>
              <w:jc w:val="center"/>
            </w:pPr>
            <w:r>
              <w:t>70.67</w:t>
            </w:r>
            <w:r>
              <w:rPr>
                <w:b/>
                <w:bCs/>
              </w:rPr>
              <w:t>±</w:t>
            </w:r>
            <w:r>
              <w:t>0.49</w:t>
            </w:r>
            <w:r>
              <w:rPr>
                <w:vertAlign w:val="superscript"/>
                <w:lang w:val="en-US"/>
              </w:rPr>
              <w:t>a,b</w:t>
            </w:r>
          </w:p>
        </w:tc>
        <w:tc>
          <w:tcPr>
            <w:tcW w:w="2099" w:type="dxa"/>
          </w:tcPr>
          <w:p w:rsidR="00036DA6" w:rsidRDefault="00B265C3">
            <w:pPr>
              <w:spacing w:after="0" w:line="240" w:lineRule="auto"/>
              <w:jc w:val="center"/>
            </w:pPr>
            <w:r>
              <w:t>71.00</w:t>
            </w:r>
            <w:r>
              <w:rPr>
                <w:b/>
                <w:bCs/>
              </w:rPr>
              <w:t>±</w:t>
            </w:r>
            <w:r>
              <w:t>0.36</w:t>
            </w:r>
            <w:r>
              <w:rPr>
                <w:vertAlign w:val="superscript"/>
                <w:lang w:val="en-US"/>
              </w:rPr>
              <w:t xml:space="preserve"> b </w:t>
            </w:r>
            <w:r>
              <w:t>*</w:t>
            </w:r>
          </w:p>
        </w:tc>
        <w:tc>
          <w:tcPr>
            <w:tcW w:w="1988" w:type="dxa"/>
          </w:tcPr>
          <w:p w:rsidR="00036DA6" w:rsidRDefault="00B265C3">
            <w:pPr>
              <w:spacing w:after="0" w:line="240" w:lineRule="auto"/>
              <w:jc w:val="center"/>
            </w:pPr>
            <w:r>
              <w:t>70.00</w:t>
            </w:r>
            <w:r>
              <w:rPr>
                <w:b/>
                <w:bCs/>
              </w:rPr>
              <w:t>±</w:t>
            </w:r>
            <w:r>
              <w:t>0.58</w:t>
            </w:r>
            <w:r>
              <w:rPr>
                <w:vertAlign w:val="superscript"/>
                <w:lang w:val="en-US"/>
              </w:rPr>
              <w:t>a,b</w:t>
            </w:r>
          </w:p>
        </w:tc>
        <w:tc>
          <w:tcPr>
            <w:tcW w:w="1979" w:type="dxa"/>
          </w:tcPr>
          <w:p w:rsidR="00036DA6" w:rsidRDefault="00B265C3">
            <w:pPr>
              <w:spacing w:after="0" w:line="240" w:lineRule="auto"/>
              <w:jc w:val="center"/>
            </w:pPr>
            <w:r>
              <w:t>71.17±0.60</w:t>
            </w:r>
            <w:r>
              <w:rPr>
                <w:vertAlign w:val="superscript"/>
              </w:rPr>
              <w:t>b</w:t>
            </w:r>
            <w:r>
              <w:t>*</w:t>
            </w:r>
          </w:p>
        </w:tc>
      </w:tr>
      <w:tr w:rsidR="00036DA6">
        <w:trPr>
          <w:jc w:val="center"/>
        </w:trPr>
        <w:tc>
          <w:tcPr>
            <w:tcW w:w="1416" w:type="dxa"/>
          </w:tcPr>
          <w:p w:rsidR="00036DA6" w:rsidRDefault="00B265C3">
            <w:pPr>
              <w:spacing w:after="0" w:line="240" w:lineRule="auto"/>
              <w:jc w:val="center"/>
              <w:rPr>
                <w:b/>
                <w:bCs/>
              </w:rPr>
            </w:pPr>
            <w:r>
              <w:rPr>
                <w:b/>
                <w:bCs/>
              </w:rPr>
              <w:t>Eviscerated carcass (g)</w:t>
            </w:r>
          </w:p>
        </w:tc>
        <w:tc>
          <w:tcPr>
            <w:tcW w:w="1739" w:type="dxa"/>
          </w:tcPr>
          <w:p w:rsidR="00036DA6" w:rsidRDefault="00B265C3">
            <w:pPr>
              <w:spacing w:after="0" w:line="240" w:lineRule="auto"/>
              <w:jc w:val="center"/>
            </w:pPr>
            <w:r>
              <w:t>1365.00</w:t>
            </w:r>
            <w:r>
              <w:rPr>
                <w:b/>
                <w:bCs/>
              </w:rPr>
              <w:t>±</w:t>
            </w:r>
            <w:r>
              <w:t>18.32</w:t>
            </w:r>
            <w:r>
              <w:rPr>
                <w:vertAlign w:val="superscript"/>
                <w:lang w:val="en-US"/>
              </w:rPr>
              <w:t>a</w:t>
            </w:r>
          </w:p>
        </w:tc>
        <w:tc>
          <w:tcPr>
            <w:tcW w:w="2099" w:type="dxa"/>
          </w:tcPr>
          <w:p w:rsidR="00036DA6" w:rsidRDefault="00B265C3">
            <w:pPr>
              <w:spacing w:after="0" w:line="240" w:lineRule="auto"/>
              <w:jc w:val="center"/>
            </w:pPr>
            <w:r>
              <w:t>1474.55</w:t>
            </w:r>
            <w:r>
              <w:rPr>
                <w:b/>
                <w:bCs/>
              </w:rPr>
              <w:t>±</w:t>
            </w:r>
            <w:r>
              <w:t>37.01</w:t>
            </w:r>
            <w:r>
              <w:rPr>
                <w:vertAlign w:val="superscript"/>
                <w:lang w:val="en-US"/>
              </w:rPr>
              <w:t>b</w:t>
            </w:r>
            <w:r>
              <w:t>*</w:t>
            </w:r>
          </w:p>
        </w:tc>
        <w:tc>
          <w:tcPr>
            <w:tcW w:w="2099" w:type="dxa"/>
          </w:tcPr>
          <w:p w:rsidR="00036DA6" w:rsidRDefault="00B265C3">
            <w:pPr>
              <w:spacing w:after="0" w:line="240" w:lineRule="auto"/>
              <w:jc w:val="center"/>
            </w:pPr>
            <w:r>
              <w:t>1560.55</w:t>
            </w:r>
            <w:r>
              <w:rPr>
                <w:b/>
                <w:bCs/>
              </w:rPr>
              <w:t>±</w:t>
            </w:r>
            <w:r>
              <w:t>10.60</w:t>
            </w:r>
            <w:r>
              <w:rPr>
                <w:vertAlign w:val="superscript"/>
                <w:lang w:val="en-US"/>
              </w:rPr>
              <w:t>b,c</w:t>
            </w:r>
            <w:r>
              <w:t>**</w:t>
            </w:r>
          </w:p>
        </w:tc>
        <w:tc>
          <w:tcPr>
            <w:tcW w:w="1988" w:type="dxa"/>
          </w:tcPr>
          <w:p w:rsidR="00036DA6" w:rsidRDefault="00B265C3">
            <w:pPr>
              <w:spacing w:after="0" w:line="240" w:lineRule="auto"/>
              <w:jc w:val="center"/>
            </w:pPr>
            <w:r>
              <w:t>1476.53</w:t>
            </w:r>
            <w:r>
              <w:rPr>
                <w:b/>
                <w:bCs/>
              </w:rPr>
              <w:t>±</w:t>
            </w:r>
            <w:r>
              <w:t>24.06</w:t>
            </w:r>
            <w:r>
              <w:rPr>
                <w:vertAlign w:val="superscript"/>
                <w:lang w:val="en-US"/>
              </w:rPr>
              <w:t>b</w:t>
            </w:r>
            <w:r>
              <w:t>**</w:t>
            </w:r>
          </w:p>
        </w:tc>
        <w:tc>
          <w:tcPr>
            <w:tcW w:w="1979" w:type="dxa"/>
          </w:tcPr>
          <w:p w:rsidR="00036DA6" w:rsidRDefault="00B265C3">
            <w:pPr>
              <w:spacing w:after="0" w:line="240" w:lineRule="auto"/>
              <w:jc w:val="center"/>
            </w:pPr>
            <w:r>
              <w:t>1573.91±40.47</w:t>
            </w:r>
            <w:r>
              <w:rPr>
                <w:vertAlign w:val="superscript"/>
              </w:rPr>
              <w:t>c</w:t>
            </w:r>
            <w:r>
              <w:t>**</w:t>
            </w:r>
          </w:p>
        </w:tc>
      </w:tr>
      <w:tr w:rsidR="00036DA6">
        <w:trPr>
          <w:jc w:val="center"/>
        </w:trPr>
        <w:tc>
          <w:tcPr>
            <w:tcW w:w="1416" w:type="dxa"/>
          </w:tcPr>
          <w:p w:rsidR="00036DA6" w:rsidRDefault="00B265C3">
            <w:pPr>
              <w:spacing w:after="0" w:line="240" w:lineRule="auto"/>
              <w:jc w:val="center"/>
              <w:rPr>
                <w:b/>
                <w:bCs/>
              </w:rPr>
            </w:pPr>
            <w:r>
              <w:rPr>
                <w:b/>
                <w:bCs/>
              </w:rPr>
              <w:t>Breast muscle (g)</w:t>
            </w:r>
          </w:p>
        </w:tc>
        <w:tc>
          <w:tcPr>
            <w:tcW w:w="1739" w:type="dxa"/>
          </w:tcPr>
          <w:p w:rsidR="00036DA6" w:rsidRDefault="00B265C3">
            <w:pPr>
              <w:spacing w:after="0" w:line="240" w:lineRule="auto"/>
              <w:jc w:val="center"/>
            </w:pPr>
            <w:r>
              <w:t>381.00</w:t>
            </w:r>
            <w:r>
              <w:rPr>
                <w:b/>
                <w:bCs/>
              </w:rPr>
              <w:t>±</w:t>
            </w:r>
            <w:r>
              <w:t>7.02</w:t>
            </w:r>
            <w:r>
              <w:rPr>
                <w:vertAlign w:val="superscript"/>
                <w:lang w:val="en-US"/>
              </w:rPr>
              <w:t>a</w:t>
            </w:r>
          </w:p>
        </w:tc>
        <w:tc>
          <w:tcPr>
            <w:tcW w:w="2099" w:type="dxa"/>
          </w:tcPr>
          <w:p w:rsidR="00036DA6" w:rsidRDefault="00B265C3">
            <w:pPr>
              <w:spacing w:after="0" w:line="240" w:lineRule="auto"/>
              <w:jc w:val="center"/>
            </w:pPr>
            <w:r>
              <w:t>421.33</w:t>
            </w:r>
            <w:r>
              <w:rPr>
                <w:b/>
                <w:bCs/>
              </w:rPr>
              <w:t>±</w:t>
            </w:r>
            <w:r>
              <w:t>16.24</w:t>
            </w:r>
            <w:r>
              <w:rPr>
                <w:vertAlign w:val="superscript"/>
                <w:lang w:val="en-US"/>
              </w:rPr>
              <w:t>b</w:t>
            </w:r>
            <w:r>
              <w:t>**</w:t>
            </w:r>
          </w:p>
        </w:tc>
        <w:tc>
          <w:tcPr>
            <w:tcW w:w="2099" w:type="dxa"/>
          </w:tcPr>
          <w:p w:rsidR="00036DA6" w:rsidRDefault="00B265C3">
            <w:pPr>
              <w:spacing w:after="0" w:line="240" w:lineRule="auto"/>
              <w:jc w:val="center"/>
            </w:pPr>
            <w:r>
              <w:t>420.83</w:t>
            </w:r>
            <w:r>
              <w:rPr>
                <w:b/>
                <w:bCs/>
              </w:rPr>
              <w:t>±</w:t>
            </w:r>
            <w:r>
              <w:t>4.37</w:t>
            </w:r>
            <w:r>
              <w:rPr>
                <w:vertAlign w:val="superscript"/>
                <w:lang w:val="en-US"/>
              </w:rPr>
              <w:t>b</w:t>
            </w:r>
            <w:r>
              <w:t>**</w:t>
            </w:r>
          </w:p>
        </w:tc>
        <w:tc>
          <w:tcPr>
            <w:tcW w:w="1988" w:type="dxa"/>
          </w:tcPr>
          <w:p w:rsidR="00036DA6" w:rsidRDefault="00B265C3">
            <w:pPr>
              <w:spacing w:after="0" w:line="240" w:lineRule="auto"/>
              <w:jc w:val="center"/>
            </w:pPr>
            <w:r>
              <w:t>406.00</w:t>
            </w:r>
            <w:r>
              <w:rPr>
                <w:b/>
                <w:bCs/>
              </w:rPr>
              <w:t>±</w:t>
            </w:r>
            <w:r>
              <w:t>2.25</w:t>
            </w:r>
            <w:r>
              <w:rPr>
                <w:vertAlign w:val="superscript"/>
                <w:lang w:val="en-US"/>
              </w:rPr>
              <w:t>a,b</w:t>
            </w:r>
          </w:p>
        </w:tc>
        <w:tc>
          <w:tcPr>
            <w:tcW w:w="1979" w:type="dxa"/>
          </w:tcPr>
          <w:p w:rsidR="00036DA6" w:rsidRDefault="00B265C3">
            <w:pPr>
              <w:spacing w:after="0" w:line="240" w:lineRule="auto"/>
              <w:jc w:val="center"/>
            </w:pPr>
            <w:r>
              <w:t>421.67±11.23</w:t>
            </w:r>
            <w:r>
              <w:rPr>
                <w:vertAlign w:val="superscript"/>
              </w:rPr>
              <w:t>b</w:t>
            </w:r>
            <w:r>
              <w:t>**</w:t>
            </w:r>
          </w:p>
        </w:tc>
      </w:tr>
      <w:tr w:rsidR="00036DA6">
        <w:trPr>
          <w:jc w:val="center"/>
        </w:trPr>
        <w:tc>
          <w:tcPr>
            <w:tcW w:w="1416" w:type="dxa"/>
          </w:tcPr>
          <w:p w:rsidR="00036DA6" w:rsidRDefault="00B265C3">
            <w:pPr>
              <w:spacing w:after="0" w:line="240" w:lineRule="auto"/>
              <w:jc w:val="center"/>
              <w:rPr>
                <w:b/>
                <w:bCs/>
              </w:rPr>
            </w:pPr>
            <w:r>
              <w:rPr>
                <w:b/>
                <w:bCs/>
              </w:rPr>
              <w:t>Wing (g)</w:t>
            </w:r>
          </w:p>
        </w:tc>
        <w:tc>
          <w:tcPr>
            <w:tcW w:w="1739" w:type="dxa"/>
          </w:tcPr>
          <w:p w:rsidR="00036DA6" w:rsidRDefault="00B265C3">
            <w:pPr>
              <w:spacing w:after="0" w:line="240" w:lineRule="auto"/>
              <w:jc w:val="center"/>
            </w:pPr>
            <w:r>
              <w:t>57.67</w:t>
            </w:r>
            <w:r>
              <w:rPr>
                <w:b/>
                <w:bCs/>
              </w:rPr>
              <w:t>±</w:t>
            </w:r>
            <w:r>
              <w:t>1.17</w:t>
            </w:r>
            <w:r>
              <w:rPr>
                <w:vertAlign w:val="superscript"/>
                <w:lang w:val="en-US"/>
              </w:rPr>
              <w:t>a</w:t>
            </w:r>
          </w:p>
        </w:tc>
        <w:tc>
          <w:tcPr>
            <w:tcW w:w="2099" w:type="dxa"/>
          </w:tcPr>
          <w:p w:rsidR="00036DA6" w:rsidRDefault="00B265C3">
            <w:pPr>
              <w:spacing w:after="0" w:line="240" w:lineRule="auto"/>
              <w:jc w:val="center"/>
            </w:pPr>
            <w:r>
              <w:t>68.17</w:t>
            </w:r>
            <w:r>
              <w:rPr>
                <w:b/>
                <w:bCs/>
              </w:rPr>
              <w:t>±</w:t>
            </w:r>
            <w:r>
              <w:t>1.70</w:t>
            </w:r>
            <w:r>
              <w:rPr>
                <w:vertAlign w:val="superscript"/>
                <w:lang w:val="en-US"/>
              </w:rPr>
              <w:t>a,b</w:t>
            </w:r>
          </w:p>
        </w:tc>
        <w:tc>
          <w:tcPr>
            <w:tcW w:w="2099" w:type="dxa"/>
          </w:tcPr>
          <w:p w:rsidR="00036DA6" w:rsidRDefault="00B265C3">
            <w:pPr>
              <w:spacing w:after="0" w:line="240" w:lineRule="auto"/>
              <w:jc w:val="center"/>
            </w:pPr>
            <w:r>
              <w:t>70.67</w:t>
            </w:r>
            <w:r>
              <w:rPr>
                <w:b/>
                <w:bCs/>
              </w:rPr>
              <w:t>±</w:t>
            </w:r>
            <w:r>
              <w:t>4.32</w:t>
            </w:r>
            <w:r>
              <w:rPr>
                <w:vertAlign w:val="superscript"/>
                <w:lang w:val="en-US"/>
              </w:rPr>
              <w:t>a,b</w:t>
            </w:r>
          </w:p>
        </w:tc>
        <w:tc>
          <w:tcPr>
            <w:tcW w:w="1988" w:type="dxa"/>
          </w:tcPr>
          <w:p w:rsidR="00036DA6" w:rsidRDefault="00B265C3">
            <w:pPr>
              <w:spacing w:after="0" w:line="240" w:lineRule="auto"/>
              <w:jc w:val="center"/>
            </w:pPr>
            <w:r>
              <w:t>71.00</w:t>
            </w:r>
            <w:r>
              <w:rPr>
                <w:b/>
                <w:bCs/>
              </w:rPr>
              <w:t>±</w:t>
            </w:r>
            <w:r>
              <w:t>2.06</w:t>
            </w:r>
            <w:r>
              <w:rPr>
                <w:vertAlign w:val="superscript"/>
                <w:lang w:val="en-US"/>
              </w:rPr>
              <w:t>a,b</w:t>
            </w:r>
            <w:r>
              <w:t>*</w:t>
            </w:r>
          </w:p>
        </w:tc>
        <w:tc>
          <w:tcPr>
            <w:tcW w:w="1979" w:type="dxa"/>
          </w:tcPr>
          <w:p w:rsidR="00036DA6" w:rsidRDefault="00B265C3">
            <w:pPr>
              <w:spacing w:after="0" w:line="240" w:lineRule="auto"/>
              <w:jc w:val="center"/>
            </w:pPr>
            <w:r>
              <w:t>80.33±8.60</w:t>
            </w:r>
            <w:r>
              <w:rPr>
                <w:vertAlign w:val="superscript"/>
              </w:rPr>
              <w:t>b</w:t>
            </w:r>
            <w:r>
              <w:t>**</w:t>
            </w:r>
          </w:p>
        </w:tc>
      </w:tr>
      <w:tr w:rsidR="00036DA6">
        <w:trPr>
          <w:jc w:val="center"/>
        </w:trPr>
        <w:tc>
          <w:tcPr>
            <w:tcW w:w="1416" w:type="dxa"/>
          </w:tcPr>
          <w:p w:rsidR="00036DA6" w:rsidRDefault="00B265C3">
            <w:pPr>
              <w:spacing w:after="0" w:line="240" w:lineRule="auto"/>
              <w:jc w:val="center"/>
              <w:rPr>
                <w:b/>
                <w:bCs/>
              </w:rPr>
            </w:pPr>
            <w:r>
              <w:rPr>
                <w:b/>
                <w:bCs/>
              </w:rPr>
              <w:t>Drumstick (g)</w:t>
            </w:r>
          </w:p>
        </w:tc>
        <w:tc>
          <w:tcPr>
            <w:tcW w:w="1739" w:type="dxa"/>
          </w:tcPr>
          <w:p w:rsidR="00036DA6" w:rsidRDefault="00B265C3">
            <w:pPr>
              <w:spacing w:after="0" w:line="240" w:lineRule="auto"/>
              <w:jc w:val="center"/>
            </w:pPr>
            <w:r>
              <w:t>81.83</w:t>
            </w:r>
            <w:r>
              <w:rPr>
                <w:b/>
                <w:bCs/>
              </w:rPr>
              <w:t>±</w:t>
            </w:r>
            <w:r>
              <w:t>0.94</w:t>
            </w:r>
            <w:r>
              <w:rPr>
                <w:vertAlign w:val="superscript"/>
                <w:lang w:val="en-US"/>
              </w:rPr>
              <w:t>a</w:t>
            </w:r>
          </w:p>
        </w:tc>
        <w:tc>
          <w:tcPr>
            <w:tcW w:w="2099" w:type="dxa"/>
          </w:tcPr>
          <w:p w:rsidR="00036DA6" w:rsidRDefault="00B265C3">
            <w:pPr>
              <w:spacing w:after="0" w:line="240" w:lineRule="auto"/>
              <w:jc w:val="center"/>
            </w:pPr>
            <w:r>
              <w:t>88.67</w:t>
            </w:r>
            <w:r>
              <w:rPr>
                <w:b/>
                <w:bCs/>
              </w:rPr>
              <w:t>±</w:t>
            </w:r>
            <w:r>
              <w:t>1.78</w:t>
            </w:r>
            <w:r>
              <w:rPr>
                <w:vertAlign w:val="superscript"/>
                <w:lang w:val="en-US"/>
              </w:rPr>
              <w:t>a</w:t>
            </w:r>
          </w:p>
        </w:tc>
        <w:tc>
          <w:tcPr>
            <w:tcW w:w="2099" w:type="dxa"/>
          </w:tcPr>
          <w:p w:rsidR="00036DA6" w:rsidRDefault="00B265C3">
            <w:pPr>
              <w:spacing w:after="0" w:line="240" w:lineRule="auto"/>
              <w:jc w:val="center"/>
            </w:pPr>
            <w:r>
              <w:t>91.67</w:t>
            </w:r>
            <w:r>
              <w:rPr>
                <w:b/>
                <w:bCs/>
              </w:rPr>
              <w:t>±</w:t>
            </w:r>
            <w:r>
              <w:t>1.91</w:t>
            </w:r>
            <w:r>
              <w:rPr>
                <w:vertAlign w:val="superscript"/>
                <w:lang w:val="en-US"/>
              </w:rPr>
              <w:t>a,b</w:t>
            </w:r>
          </w:p>
        </w:tc>
        <w:tc>
          <w:tcPr>
            <w:tcW w:w="1988" w:type="dxa"/>
          </w:tcPr>
          <w:p w:rsidR="00036DA6" w:rsidRDefault="00B265C3">
            <w:pPr>
              <w:spacing w:after="0" w:line="240" w:lineRule="auto"/>
              <w:jc w:val="center"/>
            </w:pPr>
            <w:r>
              <w:t>88.17</w:t>
            </w:r>
            <w:r>
              <w:rPr>
                <w:b/>
                <w:bCs/>
              </w:rPr>
              <w:t>±</w:t>
            </w:r>
            <w:r>
              <w:t>1.05</w:t>
            </w:r>
            <w:r>
              <w:rPr>
                <w:vertAlign w:val="superscript"/>
                <w:lang w:val="en-US"/>
              </w:rPr>
              <w:t>a</w:t>
            </w:r>
          </w:p>
        </w:tc>
        <w:tc>
          <w:tcPr>
            <w:tcW w:w="1979" w:type="dxa"/>
          </w:tcPr>
          <w:p w:rsidR="00036DA6" w:rsidRDefault="00B265C3">
            <w:pPr>
              <w:spacing w:after="0" w:line="240" w:lineRule="auto"/>
              <w:jc w:val="center"/>
            </w:pPr>
            <w:r>
              <w:t>99.17±6.99</w:t>
            </w:r>
            <w:r>
              <w:rPr>
                <w:vertAlign w:val="superscript"/>
              </w:rPr>
              <w:t>b</w:t>
            </w:r>
            <w:r>
              <w:t>**</w:t>
            </w:r>
          </w:p>
        </w:tc>
      </w:tr>
      <w:tr w:rsidR="00036DA6">
        <w:trPr>
          <w:jc w:val="center"/>
        </w:trPr>
        <w:tc>
          <w:tcPr>
            <w:tcW w:w="1416" w:type="dxa"/>
          </w:tcPr>
          <w:p w:rsidR="00036DA6" w:rsidRDefault="00B265C3">
            <w:pPr>
              <w:spacing w:after="0" w:line="240" w:lineRule="auto"/>
              <w:jc w:val="center"/>
              <w:rPr>
                <w:b/>
                <w:bCs/>
              </w:rPr>
            </w:pPr>
            <w:r>
              <w:rPr>
                <w:b/>
                <w:bCs/>
              </w:rPr>
              <w:t>Liver (g)</w:t>
            </w:r>
          </w:p>
        </w:tc>
        <w:tc>
          <w:tcPr>
            <w:tcW w:w="1739" w:type="dxa"/>
          </w:tcPr>
          <w:p w:rsidR="00036DA6" w:rsidRDefault="00B265C3">
            <w:pPr>
              <w:spacing w:after="0" w:line="240" w:lineRule="auto"/>
              <w:jc w:val="center"/>
            </w:pPr>
            <w:r>
              <w:t>33.50</w:t>
            </w:r>
            <w:r>
              <w:rPr>
                <w:b/>
                <w:bCs/>
              </w:rPr>
              <w:t>±</w:t>
            </w:r>
            <w:r>
              <w:t>1.89</w:t>
            </w:r>
            <w:r>
              <w:rPr>
                <w:vertAlign w:val="superscript"/>
                <w:lang w:val="en-US"/>
              </w:rPr>
              <w:t>a</w:t>
            </w:r>
          </w:p>
        </w:tc>
        <w:tc>
          <w:tcPr>
            <w:tcW w:w="2099" w:type="dxa"/>
          </w:tcPr>
          <w:p w:rsidR="00036DA6" w:rsidRDefault="00B265C3">
            <w:pPr>
              <w:spacing w:after="0" w:line="240" w:lineRule="auto"/>
              <w:jc w:val="center"/>
            </w:pPr>
            <w:r>
              <w:t>41.67</w:t>
            </w:r>
            <w:r>
              <w:rPr>
                <w:b/>
                <w:bCs/>
              </w:rPr>
              <w:t>±</w:t>
            </w:r>
            <w:r>
              <w:t>1.08</w:t>
            </w:r>
            <w:r>
              <w:rPr>
                <w:vertAlign w:val="superscript"/>
                <w:lang w:val="en-US"/>
              </w:rPr>
              <w:t>b</w:t>
            </w:r>
            <w:r>
              <w:t>**</w:t>
            </w:r>
          </w:p>
        </w:tc>
        <w:tc>
          <w:tcPr>
            <w:tcW w:w="2099" w:type="dxa"/>
          </w:tcPr>
          <w:p w:rsidR="00036DA6" w:rsidRDefault="00B265C3">
            <w:pPr>
              <w:spacing w:after="0" w:line="240" w:lineRule="auto"/>
              <w:jc w:val="center"/>
            </w:pPr>
            <w:r>
              <w:t>41.67</w:t>
            </w:r>
            <w:r>
              <w:rPr>
                <w:b/>
                <w:bCs/>
              </w:rPr>
              <w:t>±</w:t>
            </w:r>
            <w:r>
              <w:t>0.95</w:t>
            </w:r>
            <w:r>
              <w:rPr>
                <w:vertAlign w:val="superscript"/>
                <w:lang w:val="en-US"/>
              </w:rPr>
              <w:t>b</w:t>
            </w:r>
            <w:r>
              <w:t>**</w:t>
            </w:r>
          </w:p>
        </w:tc>
        <w:tc>
          <w:tcPr>
            <w:tcW w:w="1988" w:type="dxa"/>
          </w:tcPr>
          <w:p w:rsidR="00036DA6" w:rsidRDefault="00B265C3">
            <w:pPr>
              <w:spacing w:after="0" w:line="240" w:lineRule="auto"/>
              <w:jc w:val="center"/>
            </w:pPr>
            <w:r>
              <w:t>39.67</w:t>
            </w:r>
            <w:r>
              <w:rPr>
                <w:b/>
                <w:bCs/>
              </w:rPr>
              <w:t>±</w:t>
            </w:r>
            <w:r>
              <w:t>1.20</w:t>
            </w:r>
            <w:r>
              <w:rPr>
                <w:vertAlign w:val="superscript"/>
                <w:lang w:val="en-US"/>
              </w:rPr>
              <w:t>b</w:t>
            </w:r>
            <w:r>
              <w:t>**</w:t>
            </w:r>
          </w:p>
        </w:tc>
        <w:tc>
          <w:tcPr>
            <w:tcW w:w="1979" w:type="dxa"/>
          </w:tcPr>
          <w:p w:rsidR="00036DA6" w:rsidRDefault="00B265C3">
            <w:pPr>
              <w:spacing w:after="0" w:line="240" w:lineRule="auto"/>
              <w:jc w:val="center"/>
            </w:pPr>
            <w:r>
              <w:t>42.33±2.15</w:t>
            </w:r>
            <w:r>
              <w:rPr>
                <w:vertAlign w:val="superscript"/>
              </w:rPr>
              <w:t>b</w:t>
            </w:r>
            <w:r>
              <w:t>**</w:t>
            </w:r>
          </w:p>
        </w:tc>
      </w:tr>
      <w:tr w:rsidR="00036DA6">
        <w:trPr>
          <w:jc w:val="center"/>
        </w:trPr>
        <w:tc>
          <w:tcPr>
            <w:tcW w:w="1416" w:type="dxa"/>
          </w:tcPr>
          <w:p w:rsidR="00036DA6" w:rsidRDefault="00B265C3">
            <w:pPr>
              <w:spacing w:after="0" w:line="240" w:lineRule="auto"/>
              <w:jc w:val="center"/>
              <w:rPr>
                <w:b/>
                <w:bCs/>
              </w:rPr>
            </w:pPr>
            <w:r>
              <w:rPr>
                <w:b/>
                <w:bCs/>
              </w:rPr>
              <w:t>Gizzard (g)</w:t>
            </w:r>
          </w:p>
        </w:tc>
        <w:tc>
          <w:tcPr>
            <w:tcW w:w="1739" w:type="dxa"/>
          </w:tcPr>
          <w:p w:rsidR="00036DA6" w:rsidRDefault="00B265C3">
            <w:pPr>
              <w:spacing w:after="0" w:line="240" w:lineRule="auto"/>
              <w:jc w:val="center"/>
            </w:pPr>
            <w:r>
              <w:t>19.27</w:t>
            </w:r>
            <w:r>
              <w:rPr>
                <w:b/>
                <w:bCs/>
              </w:rPr>
              <w:t>±</w:t>
            </w:r>
            <w:r>
              <w:t>0.28</w:t>
            </w:r>
            <w:r>
              <w:rPr>
                <w:vertAlign w:val="superscript"/>
                <w:lang w:val="en-US"/>
              </w:rPr>
              <w:t>a</w:t>
            </w:r>
          </w:p>
        </w:tc>
        <w:tc>
          <w:tcPr>
            <w:tcW w:w="2099" w:type="dxa"/>
          </w:tcPr>
          <w:p w:rsidR="00036DA6" w:rsidRDefault="00B265C3">
            <w:pPr>
              <w:spacing w:after="0" w:line="240" w:lineRule="auto"/>
              <w:jc w:val="center"/>
            </w:pPr>
            <w:r>
              <w:t>21.78</w:t>
            </w:r>
            <w:r>
              <w:rPr>
                <w:b/>
                <w:bCs/>
              </w:rPr>
              <w:t>±</w:t>
            </w:r>
            <w:r>
              <w:t>0.56</w:t>
            </w:r>
            <w:r>
              <w:rPr>
                <w:vertAlign w:val="superscript"/>
                <w:lang w:val="en-US"/>
              </w:rPr>
              <w:t>b</w:t>
            </w:r>
            <w:r>
              <w:t>**</w:t>
            </w:r>
          </w:p>
        </w:tc>
        <w:tc>
          <w:tcPr>
            <w:tcW w:w="2099" w:type="dxa"/>
          </w:tcPr>
          <w:p w:rsidR="00036DA6" w:rsidRDefault="00B265C3">
            <w:pPr>
              <w:spacing w:after="0" w:line="240" w:lineRule="auto"/>
              <w:jc w:val="center"/>
            </w:pPr>
            <w:r>
              <w:t>22.60</w:t>
            </w:r>
            <w:r>
              <w:rPr>
                <w:b/>
                <w:bCs/>
              </w:rPr>
              <w:t>±</w:t>
            </w:r>
            <w:r>
              <w:t>0.32</w:t>
            </w:r>
            <w:r>
              <w:rPr>
                <w:vertAlign w:val="superscript"/>
                <w:lang w:val="en-US"/>
              </w:rPr>
              <w:t>b</w:t>
            </w:r>
            <w:r>
              <w:t>**</w:t>
            </w:r>
          </w:p>
        </w:tc>
        <w:tc>
          <w:tcPr>
            <w:tcW w:w="1988" w:type="dxa"/>
          </w:tcPr>
          <w:p w:rsidR="00036DA6" w:rsidRDefault="00B265C3">
            <w:pPr>
              <w:spacing w:after="0" w:line="240" w:lineRule="auto"/>
              <w:jc w:val="center"/>
            </w:pPr>
            <w:r>
              <w:t>21.73</w:t>
            </w:r>
            <w:r>
              <w:rPr>
                <w:b/>
                <w:bCs/>
              </w:rPr>
              <w:t>±</w:t>
            </w:r>
            <w:r>
              <w:t>0.11</w:t>
            </w:r>
            <w:r>
              <w:rPr>
                <w:vertAlign w:val="superscript"/>
                <w:lang w:val="en-US"/>
              </w:rPr>
              <w:t>b</w:t>
            </w:r>
            <w:r>
              <w:t>**</w:t>
            </w:r>
          </w:p>
        </w:tc>
        <w:tc>
          <w:tcPr>
            <w:tcW w:w="1979" w:type="dxa"/>
          </w:tcPr>
          <w:p w:rsidR="00036DA6" w:rsidRDefault="00B265C3">
            <w:pPr>
              <w:spacing w:after="0" w:line="240" w:lineRule="auto"/>
              <w:jc w:val="center"/>
            </w:pPr>
            <w:r>
              <w:t>22.73±0.85</w:t>
            </w:r>
            <w:r>
              <w:rPr>
                <w:vertAlign w:val="superscript"/>
              </w:rPr>
              <w:t>b</w:t>
            </w:r>
            <w:r>
              <w:t>**</w:t>
            </w:r>
          </w:p>
        </w:tc>
      </w:tr>
      <w:tr w:rsidR="00036DA6">
        <w:trPr>
          <w:jc w:val="center"/>
        </w:trPr>
        <w:tc>
          <w:tcPr>
            <w:tcW w:w="1416" w:type="dxa"/>
          </w:tcPr>
          <w:p w:rsidR="00036DA6" w:rsidRDefault="00B265C3">
            <w:pPr>
              <w:spacing w:after="0" w:line="240" w:lineRule="auto"/>
              <w:jc w:val="center"/>
              <w:rPr>
                <w:b/>
                <w:bCs/>
              </w:rPr>
            </w:pPr>
            <w:r>
              <w:rPr>
                <w:b/>
                <w:bCs/>
              </w:rPr>
              <w:t>Heart (g)</w:t>
            </w:r>
          </w:p>
        </w:tc>
        <w:tc>
          <w:tcPr>
            <w:tcW w:w="1739" w:type="dxa"/>
          </w:tcPr>
          <w:p w:rsidR="00036DA6" w:rsidRDefault="00B265C3">
            <w:pPr>
              <w:spacing w:after="0" w:line="240" w:lineRule="auto"/>
              <w:jc w:val="center"/>
            </w:pPr>
            <w:r>
              <w:t>7.20</w:t>
            </w:r>
            <w:r>
              <w:rPr>
                <w:b/>
                <w:bCs/>
              </w:rPr>
              <w:t>±</w:t>
            </w:r>
            <w:r>
              <w:t>0.21</w:t>
            </w:r>
            <w:r>
              <w:rPr>
                <w:vertAlign w:val="superscript"/>
                <w:lang w:val="en-US"/>
              </w:rPr>
              <w:t>a</w:t>
            </w:r>
          </w:p>
        </w:tc>
        <w:tc>
          <w:tcPr>
            <w:tcW w:w="2099" w:type="dxa"/>
          </w:tcPr>
          <w:p w:rsidR="00036DA6" w:rsidRDefault="00B265C3">
            <w:pPr>
              <w:spacing w:after="0" w:line="240" w:lineRule="auto"/>
              <w:jc w:val="center"/>
            </w:pPr>
            <w:r>
              <w:t>8.88</w:t>
            </w:r>
            <w:r>
              <w:rPr>
                <w:b/>
                <w:bCs/>
              </w:rPr>
              <w:t>±</w:t>
            </w:r>
            <w:r>
              <w:t>0.36</w:t>
            </w:r>
            <w:r>
              <w:rPr>
                <w:vertAlign w:val="superscript"/>
                <w:lang w:val="en-US"/>
              </w:rPr>
              <w:t xml:space="preserve">b </w:t>
            </w:r>
            <w:r>
              <w:t>**</w:t>
            </w:r>
          </w:p>
        </w:tc>
        <w:tc>
          <w:tcPr>
            <w:tcW w:w="2099" w:type="dxa"/>
          </w:tcPr>
          <w:p w:rsidR="00036DA6" w:rsidRDefault="00B265C3">
            <w:pPr>
              <w:spacing w:after="0" w:line="240" w:lineRule="auto"/>
              <w:jc w:val="center"/>
            </w:pPr>
            <w:r>
              <w:t>10.03</w:t>
            </w:r>
            <w:r>
              <w:rPr>
                <w:b/>
                <w:bCs/>
              </w:rPr>
              <w:t>±</w:t>
            </w:r>
            <w:r>
              <w:t>0.16</w:t>
            </w:r>
            <w:r>
              <w:rPr>
                <w:vertAlign w:val="superscript"/>
                <w:lang w:val="en-US"/>
              </w:rPr>
              <w:t>c</w:t>
            </w:r>
            <w:r>
              <w:t>**</w:t>
            </w:r>
          </w:p>
        </w:tc>
        <w:tc>
          <w:tcPr>
            <w:tcW w:w="1988" w:type="dxa"/>
          </w:tcPr>
          <w:p w:rsidR="00036DA6" w:rsidRDefault="00B265C3">
            <w:pPr>
              <w:spacing w:after="0" w:line="240" w:lineRule="auto"/>
              <w:jc w:val="center"/>
            </w:pPr>
            <w:r>
              <w:t>9.52</w:t>
            </w:r>
            <w:r>
              <w:rPr>
                <w:b/>
                <w:bCs/>
              </w:rPr>
              <w:t>±</w:t>
            </w:r>
            <w:r>
              <w:t>0.11</w:t>
            </w:r>
            <w:r>
              <w:rPr>
                <w:vertAlign w:val="superscript"/>
                <w:lang w:val="en-US"/>
              </w:rPr>
              <w:t>b,c</w:t>
            </w:r>
            <w:r>
              <w:t>**</w:t>
            </w:r>
          </w:p>
        </w:tc>
        <w:tc>
          <w:tcPr>
            <w:tcW w:w="1979" w:type="dxa"/>
          </w:tcPr>
          <w:p w:rsidR="00036DA6" w:rsidRDefault="00B265C3">
            <w:pPr>
              <w:spacing w:after="0" w:line="240" w:lineRule="auto"/>
              <w:jc w:val="center"/>
            </w:pPr>
            <w:r>
              <w:t>9.45±0.43</w:t>
            </w:r>
            <w:r>
              <w:rPr>
                <w:vertAlign w:val="superscript"/>
              </w:rPr>
              <w:t>b,c</w:t>
            </w:r>
            <w:r>
              <w:t>**</w:t>
            </w:r>
          </w:p>
        </w:tc>
      </w:tr>
      <w:tr w:rsidR="00036DA6">
        <w:trPr>
          <w:jc w:val="center"/>
        </w:trPr>
        <w:tc>
          <w:tcPr>
            <w:tcW w:w="1416" w:type="dxa"/>
          </w:tcPr>
          <w:p w:rsidR="00036DA6" w:rsidRDefault="00B265C3">
            <w:pPr>
              <w:spacing w:after="0" w:line="240" w:lineRule="auto"/>
              <w:jc w:val="center"/>
              <w:rPr>
                <w:b/>
                <w:bCs/>
              </w:rPr>
            </w:pPr>
            <w:r>
              <w:rPr>
                <w:b/>
                <w:bCs/>
              </w:rPr>
              <w:t>Neck (g)</w:t>
            </w:r>
          </w:p>
        </w:tc>
        <w:tc>
          <w:tcPr>
            <w:tcW w:w="1739" w:type="dxa"/>
          </w:tcPr>
          <w:p w:rsidR="00036DA6" w:rsidRDefault="00B265C3">
            <w:pPr>
              <w:spacing w:after="0" w:line="240" w:lineRule="auto"/>
              <w:jc w:val="center"/>
            </w:pPr>
            <w:r>
              <w:t>95.00</w:t>
            </w:r>
            <w:r>
              <w:rPr>
                <w:b/>
                <w:bCs/>
              </w:rPr>
              <w:t>±</w:t>
            </w:r>
            <w:r>
              <w:t>0.73</w:t>
            </w:r>
            <w:r>
              <w:rPr>
                <w:vertAlign w:val="superscript"/>
                <w:lang w:val="en-US"/>
              </w:rPr>
              <w:t>a</w:t>
            </w:r>
          </w:p>
        </w:tc>
        <w:tc>
          <w:tcPr>
            <w:tcW w:w="2099" w:type="dxa"/>
          </w:tcPr>
          <w:p w:rsidR="00036DA6" w:rsidRDefault="00B265C3">
            <w:pPr>
              <w:spacing w:after="0" w:line="240" w:lineRule="auto"/>
              <w:jc w:val="center"/>
            </w:pPr>
            <w:r>
              <w:t>98.33</w:t>
            </w:r>
            <w:r>
              <w:rPr>
                <w:b/>
                <w:bCs/>
              </w:rPr>
              <w:t>±</w:t>
            </w:r>
            <w:r>
              <w:t>1.05</w:t>
            </w:r>
            <w:r>
              <w:rPr>
                <w:vertAlign w:val="superscript"/>
                <w:lang w:val="en-US"/>
              </w:rPr>
              <w:t>a,b</w:t>
            </w:r>
          </w:p>
        </w:tc>
        <w:tc>
          <w:tcPr>
            <w:tcW w:w="2099" w:type="dxa"/>
          </w:tcPr>
          <w:p w:rsidR="00036DA6" w:rsidRDefault="00B265C3">
            <w:pPr>
              <w:spacing w:after="0" w:line="240" w:lineRule="auto"/>
              <w:jc w:val="center"/>
            </w:pPr>
            <w:r>
              <w:t>97.33</w:t>
            </w:r>
            <w:r>
              <w:rPr>
                <w:b/>
                <w:bCs/>
              </w:rPr>
              <w:t>±</w:t>
            </w:r>
            <w:r>
              <w:t>0.71</w:t>
            </w:r>
            <w:r>
              <w:rPr>
                <w:vertAlign w:val="superscript"/>
                <w:lang w:val="en-US"/>
              </w:rPr>
              <w:t>a</w:t>
            </w:r>
          </w:p>
        </w:tc>
        <w:tc>
          <w:tcPr>
            <w:tcW w:w="1988" w:type="dxa"/>
          </w:tcPr>
          <w:p w:rsidR="00036DA6" w:rsidRDefault="00B265C3">
            <w:pPr>
              <w:spacing w:after="0" w:line="240" w:lineRule="auto"/>
              <w:jc w:val="center"/>
            </w:pPr>
            <w:r>
              <w:t>96.00</w:t>
            </w:r>
            <w:r>
              <w:rPr>
                <w:b/>
                <w:bCs/>
              </w:rPr>
              <w:t>±</w:t>
            </w:r>
            <w:r>
              <w:t>0.93</w:t>
            </w:r>
            <w:r>
              <w:rPr>
                <w:vertAlign w:val="superscript"/>
                <w:lang w:val="en-US"/>
              </w:rPr>
              <w:t>a</w:t>
            </w:r>
          </w:p>
        </w:tc>
        <w:tc>
          <w:tcPr>
            <w:tcW w:w="1979" w:type="dxa"/>
          </w:tcPr>
          <w:p w:rsidR="00036DA6" w:rsidRDefault="00B265C3">
            <w:pPr>
              <w:spacing w:after="0" w:line="240" w:lineRule="auto"/>
              <w:jc w:val="center"/>
            </w:pPr>
            <w:r>
              <w:t>101.00±1.93</w:t>
            </w:r>
            <w:r>
              <w:rPr>
                <w:vertAlign w:val="superscript"/>
              </w:rPr>
              <w:t>b</w:t>
            </w:r>
            <w:r>
              <w:t>**</w:t>
            </w:r>
          </w:p>
        </w:tc>
      </w:tr>
      <w:tr w:rsidR="00036DA6">
        <w:trPr>
          <w:jc w:val="center"/>
        </w:trPr>
        <w:tc>
          <w:tcPr>
            <w:tcW w:w="1416" w:type="dxa"/>
          </w:tcPr>
          <w:p w:rsidR="00036DA6" w:rsidRDefault="00B265C3">
            <w:pPr>
              <w:spacing w:after="0" w:line="240" w:lineRule="auto"/>
              <w:jc w:val="center"/>
              <w:rPr>
                <w:b/>
                <w:bCs/>
              </w:rPr>
            </w:pPr>
            <w:r>
              <w:rPr>
                <w:b/>
                <w:bCs/>
              </w:rPr>
              <w:t>Bursa (g)</w:t>
            </w:r>
          </w:p>
        </w:tc>
        <w:tc>
          <w:tcPr>
            <w:tcW w:w="1739" w:type="dxa"/>
          </w:tcPr>
          <w:p w:rsidR="00036DA6" w:rsidRDefault="00B265C3">
            <w:pPr>
              <w:spacing w:after="0" w:line="240" w:lineRule="auto"/>
              <w:jc w:val="center"/>
            </w:pPr>
            <w:r>
              <w:t>1.73</w:t>
            </w:r>
            <w:r>
              <w:rPr>
                <w:b/>
                <w:bCs/>
              </w:rPr>
              <w:t>±</w:t>
            </w:r>
            <w:r>
              <w:t>0.02</w:t>
            </w:r>
            <w:r>
              <w:rPr>
                <w:vertAlign w:val="superscript"/>
                <w:lang w:val="en-US"/>
              </w:rPr>
              <w:t>a</w:t>
            </w:r>
          </w:p>
        </w:tc>
        <w:tc>
          <w:tcPr>
            <w:tcW w:w="2099" w:type="dxa"/>
          </w:tcPr>
          <w:p w:rsidR="00036DA6" w:rsidRDefault="00B265C3">
            <w:pPr>
              <w:spacing w:after="0" w:line="240" w:lineRule="auto"/>
              <w:jc w:val="center"/>
            </w:pPr>
            <w:r>
              <w:t>1.89</w:t>
            </w:r>
            <w:r>
              <w:rPr>
                <w:b/>
                <w:bCs/>
              </w:rPr>
              <w:t>±</w:t>
            </w:r>
            <w:r>
              <w:t>0.11</w:t>
            </w:r>
            <w:r>
              <w:rPr>
                <w:vertAlign w:val="superscript"/>
                <w:lang w:val="en-US"/>
              </w:rPr>
              <w:t>a,b</w:t>
            </w:r>
          </w:p>
        </w:tc>
        <w:tc>
          <w:tcPr>
            <w:tcW w:w="2099" w:type="dxa"/>
          </w:tcPr>
          <w:p w:rsidR="00036DA6" w:rsidRDefault="00B265C3">
            <w:pPr>
              <w:spacing w:after="0" w:line="240" w:lineRule="auto"/>
              <w:jc w:val="center"/>
            </w:pPr>
            <w:r>
              <w:t>1.89</w:t>
            </w:r>
            <w:r>
              <w:rPr>
                <w:b/>
                <w:bCs/>
              </w:rPr>
              <w:t>±</w:t>
            </w:r>
            <w:r>
              <w:t>0.06</w:t>
            </w:r>
            <w:r>
              <w:rPr>
                <w:vertAlign w:val="superscript"/>
                <w:lang w:val="en-US"/>
              </w:rPr>
              <w:t>a,b</w:t>
            </w:r>
          </w:p>
        </w:tc>
        <w:tc>
          <w:tcPr>
            <w:tcW w:w="1988" w:type="dxa"/>
          </w:tcPr>
          <w:p w:rsidR="00036DA6" w:rsidRDefault="00B265C3">
            <w:pPr>
              <w:spacing w:after="0" w:line="240" w:lineRule="auto"/>
              <w:jc w:val="center"/>
            </w:pPr>
            <w:r>
              <w:t>1.78</w:t>
            </w:r>
            <w:r>
              <w:rPr>
                <w:b/>
                <w:bCs/>
              </w:rPr>
              <w:t>±</w:t>
            </w:r>
            <w:r>
              <w:t>0.06</w:t>
            </w:r>
            <w:r>
              <w:rPr>
                <w:vertAlign w:val="superscript"/>
                <w:lang w:val="en-US"/>
              </w:rPr>
              <w:t>a</w:t>
            </w:r>
          </w:p>
        </w:tc>
        <w:tc>
          <w:tcPr>
            <w:tcW w:w="1979" w:type="dxa"/>
          </w:tcPr>
          <w:p w:rsidR="00036DA6" w:rsidRDefault="00B265C3">
            <w:pPr>
              <w:spacing w:after="0" w:line="240" w:lineRule="auto"/>
              <w:jc w:val="center"/>
            </w:pPr>
            <w:r>
              <w:t>2.09±0.14</w:t>
            </w:r>
            <w:r>
              <w:rPr>
                <w:vertAlign w:val="superscript"/>
              </w:rPr>
              <w:t>b</w:t>
            </w:r>
            <w:r>
              <w:t>**</w:t>
            </w:r>
          </w:p>
        </w:tc>
      </w:tr>
      <w:tr w:rsidR="00036DA6">
        <w:trPr>
          <w:jc w:val="center"/>
        </w:trPr>
        <w:tc>
          <w:tcPr>
            <w:tcW w:w="1416" w:type="dxa"/>
          </w:tcPr>
          <w:p w:rsidR="00036DA6" w:rsidRDefault="00B265C3">
            <w:pPr>
              <w:spacing w:after="0" w:line="240" w:lineRule="auto"/>
              <w:jc w:val="center"/>
              <w:rPr>
                <w:b/>
                <w:bCs/>
              </w:rPr>
            </w:pPr>
            <w:r>
              <w:rPr>
                <w:b/>
                <w:bCs/>
              </w:rPr>
              <w:t>Abdominal fats (g)</w:t>
            </w:r>
          </w:p>
        </w:tc>
        <w:tc>
          <w:tcPr>
            <w:tcW w:w="1739" w:type="dxa"/>
          </w:tcPr>
          <w:p w:rsidR="00036DA6" w:rsidRDefault="00B265C3">
            <w:pPr>
              <w:spacing w:after="0" w:line="240" w:lineRule="auto"/>
              <w:jc w:val="center"/>
            </w:pPr>
            <w:r>
              <w:t>37.00</w:t>
            </w:r>
            <w:r>
              <w:rPr>
                <w:b/>
                <w:bCs/>
              </w:rPr>
              <w:t>±</w:t>
            </w:r>
            <w:r>
              <w:t>0.73</w:t>
            </w:r>
            <w:r>
              <w:rPr>
                <w:vertAlign w:val="superscript"/>
                <w:lang w:val="en-US"/>
              </w:rPr>
              <w:t>a</w:t>
            </w:r>
          </w:p>
        </w:tc>
        <w:tc>
          <w:tcPr>
            <w:tcW w:w="2099" w:type="dxa"/>
          </w:tcPr>
          <w:p w:rsidR="00036DA6" w:rsidRDefault="00B265C3">
            <w:pPr>
              <w:spacing w:after="0" w:line="240" w:lineRule="auto"/>
              <w:jc w:val="center"/>
            </w:pPr>
            <w:r>
              <w:t>40.17</w:t>
            </w:r>
            <w:r>
              <w:rPr>
                <w:b/>
                <w:bCs/>
              </w:rPr>
              <w:t>±</w:t>
            </w:r>
            <w:r>
              <w:t>1.38</w:t>
            </w:r>
            <w:r>
              <w:rPr>
                <w:vertAlign w:val="superscript"/>
                <w:lang w:val="en-US"/>
              </w:rPr>
              <w:t>a,b</w:t>
            </w:r>
          </w:p>
        </w:tc>
        <w:tc>
          <w:tcPr>
            <w:tcW w:w="2099" w:type="dxa"/>
          </w:tcPr>
          <w:p w:rsidR="00036DA6" w:rsidRDefault="00B265C3">
            <w:pPr>
              <w:spacing w:after="0" w:line="240" w:lineRule="auto"/>
              <w:jc w:val="center"/>
            </w:pPr>
            <w:r>
              <w:t>43.33</w:t>
            </w:r>
            <w:r>
              <w:rPr>
                <w:b/>
                <w:bCs/>
              </w:rPr>
              <w:t>±</w:t>
            </w:r>
            <w:r>
              <w:t>0.80</w:t>
            </w:r>
            <w:r>
              <w:rPr>
                <w:vertAlign w:val="superscript"/>
                <w:lang w:val="en-US"/>
              </w:rPr>
              <w:t>b</w:t>
            </w:r>
            <w:r>
              <w:t>**</w:t>
            </w:r>
          </w:p>
        </w:tc>
        <w:tc>
          <w:tcPr>
            <w:tcW w:w="1988" w:type="dxa"/>
          </w:tcPr>
          <w:p w:rsidR="00036DA6" w:rsidRDefault="00B265C3">
            <w:pPr>
              <w:spacing w:after="0" w:line="240" w:lineRule="auto"/>
              <w:jc w:val="center"/>
            </w:pPr>
            <w:r>
              <w:t>40.33</w:t>
            </w:r>
            <w:r>
              <w:rPr>
                <w:b/>
                <w:bCs/>
              </w:rPr>
              <w:t>±</w:t>
            </w:r>
            <w:r>
              <w:t>0.95</w:t>
            </w:r>
            <w:r>
              <w:rPr>
                <w:vertAlign w:val="superscript"/>
                <w:lang w:val="en-US"/>
              </w:rPr>
              <w:t>a,b</w:t>
            </w:r>
          </w:p>
        </w:tc>
        <w:tc>
          <w:tcPr>
            <w:tcW w:w="1979" w:type="dxa"/>
          </w:tcPr>
          <w:p w:rsidR="00036DA6" w:rsidRDefault="00B265C3">
            <w:pPr>
              <w:spacing w:after="0" w:line="240" w:lineRule="auto"/>
              <w:jc w:val="center"/>
            </w:pPr>
            <w:r>
              <w:t>41.67±1.89</w:t>
            </w:r>
            <w:r>
              <w:rPr>
                <w:vertAlign w:val="superscript"/>
              </w:rPr>
              <w:t>b</w:t>
            </w:r>
            <w:r>
              <w:t>*</w:t>
            </w:r>
          </w:p>
        </w:tc>
      </w:tr>
      <w:tr w:rsidR="00036DA6">
        <w:trPr>
          <w:jc w:val="center"/>
        </w:trPr>
        <w:tc>
          <w:tcPr>
            <w:tcW w:w="11320" w:type="dxa"/>
            <w:gridSpan w:val="6"/>
          </w:tcPr>
          <w:p w:rsidR="00036DA6" w:rsidRDefault="00B265C3">
            <w:pPr>
              <w:spacing w:after="0" w:line="240" w:lineRule="auto"/>
              <w:jc w:val="both"/>
              <w:rPr>
                <w:bCs/>
                <w:lang w:val="en-US"/>
              </w:rPr>
            </w:pPr>
            <w:r>
              <w:rPr>
                <w:bCs/>
                <w:lang w:val="en-US"/>
              </w:rPr>
              <w:t xml:space="preserve">Means having different superscripts at a particular period of treatment differs significantly (P&lt;0.05) </w:t>
            </w:r>
          </w:p>
          <w:p w:rsidR="00036DA6" w:rsidRDefault="00B265C3">
            <w:pPr>
              <w:spacing w:after="0" w:line="240" w:lineRule="auto"/>
              <w:jc w:val="both"/>
            </w:pPr>
            <w:r>
              <w:rPr>
                <w:b/>
                <w:bCs/>
              </w:rPr>
              <w:t>*</w:t>
            </w:r>
            <w:r>
              <w:t xml:space="preserve">- Significant (P&lt;0.05), </w:t>
            </w:r>
            <w:r>
              <w:rPr>
                <w:b/>
                <w:bCs/>
              </w:rPr>
              <w:t>**</w:t>
            </w:r>
            <w:r>
              <w:t>- Highly significant at P&lt;0.01and &lt;0.001</w:t>
            </w:r>
          </w:p>
        </w:tc>
      </w:tr>
    </w:tbl>
    <w:p w:rsidR="00036DA6" w:rsidRDefault="00036DA6">
      <w:pPr>
        <w:jc w:val="both"/>
        <w:rPr>
          <w:b/>
          <w:bCs/>
        </w:rPr>
      </w:pPr>
    </w:p>
    <w:p w:rsidR="00036DA6" w:rsidRDefault="00B265C3">
      <w:pPr>
        <w:ind w:firstLine="1134"/>
        <w:jc w:val="both"/>
      </w:pPr>
      <w:r>
        <w:t>The effect of MLE and CUD administration alone and in combination on the organ morphometry (dressing percentage, carcass yield and the weights of the drumstick, wing, abdominal fat, breast muscle, liver, gizzard, hea</w:t>
      </w:r>
      <w:r w:rsidR="004D7DBC">
        <w:t>rt, neck and bursa of fabricius)</w:t>
      </w:r>
      <w:r>
        <w:t xml:space="preserve"> of broiler birds are presented in Table </w:t>
      </w:r>
      <w:r w:rsidR="00A04834">
        <w:t>4</w:t>
      </w:r>
      <w:r>
        <w:t>. The pre-slaughter live weights of the birds from the Standard, CUD, MLE and T3 (MLE+CUD) groups were significantly (P&lt;0.01) higher for organ morphometry than the Control group. The dressing percentages of slaughtered birds in the MLE and T3 (MLE+CUD) groups were significantly (P&lt;0.01) higher than in the control diet birds. However, there were no significant differences in the dressing percentages of the standard and CUD groups at 42 days of age. The eviscerated carcass weights of slaughtered birds from the Standard, CUD, MLE and T3 (MLE+CUD) groups were found to be significantly (P&lt;0.05) higher than birds fed control diets. The weights of the breast muscles of slaughtered birds from the S (Standard), T1 (MLE) and T3 (MLE+CUD) groups were found to be significantly (P&lt;0.05) higher than birds fed control diets. The wings of slaughtered birds from the T2 (CUD) and T3 (MLE+CUD) groups were found to be significantly (P&lt;0.05) heavier than birds fed control diets. Drumstick weights were significantly (P&lt;0.01) higher in the T3 (MLE+CUD) group than in the control diet birds. There were no significant differences in the weights of the drumsticks between the S (standard), T1 (MLE) and T2 (CUD) groups at 42 days of age. Liver weights were significantly (P&lt;0.01) higher in the S (standard), T2 (CUD), T1 (MLE) and T3 (MLE+CUD) groups than in the control diet birds. Gizzard weights were significantly (P&lt;0.01) higher in the S (standard), T1 (MLE) and T3 (MLE+CUD) groups than in the control diet birds. Heart weights were significantly (P&lt;0.01) higher in the S (standard), T1 (MLE), T2 (CUD) and T3 (MLE+CUD) groups than in the control diet birds. Neck weights were significantly (P&lt;0.01) higher in the T3 (MLE+CUD) group only than in the C (control) diet birds. Bursa of fabricius weight was significantly (P&lt;0.01) higher in the T3 (MLE+CUD) group only than in the C (control) diet birds. The weights of the abdominal fats of slaughtered birds from the T1 (MLE) and T3 (MLE+CUD) groups were found to be significantly (P&lt;0.05) higher than birds fed control diets.</w:t>
      </w:r>
    </w:p>
    <w:p w:rsidR="00036DA6" w:rsidRDefault="00B265C3">
      <w:pPr>
        <w:ind w:firstLine="1134"/>
        <w:jc w:val="both"/>
      </w:pPr>
      <w:r>
        <w:t xml:space="preserve">In contrary to Mehala </w:t>
      </w:r>
      <w:r>
        <w:rPr>
          <w:i/>
          <w:iCs/>
        </w:rPr>
        <w:t>et al</w:t>
      </w:r>
      <w:r>
        <w:t xml:space="preserve">. (2021) and Eze </w:t>
      </w:r>
      <w:r>
        <w:rPr>
          <w:i/>
          <w:iCs/>
        </w:rPr>
        <w:t>et al</w:t>
      </w:r>
      <w:r>
        <w:t xml:space="preserve">. (2012), who found no effect on carcass weight and relative organ weight among the treatment groups due to dietary supplementation of panchagavya, phytogenic and methanolic </w:t>
      </w:r>
      <w:r>
        <w:rPr>
          <w:i/>
          <w:iCs/>
        </w:rPr>
        <w:t>M. oleifera</w:t>
      </w:r>
      <w:r>
        <w:t xml:space="preserve"> leaf extract as feed additives, our findings showed that both CUD alone and the combination (MLE+CUD) administered groups showed a significant improvement in carcass weight and relative organ weight. Similarly, David </w:t>
      </w:r>
      <w:r>
        <w:rPr>
          <w:i/>
          <w:iCs/>
        </w:rPr>
        <w:t>et al</w:t>
      </w:r>
      <w:r>
        <w:t xml:space="preserve">. (2012) reported that increasing the live weight, weight after bleeding and weight after defeathering were all improved after using </w:t>
      </w:r>
      <w:r>
        <w:rPr>
          <w:i/>
          <w:iCs/>
        </w:rPr>
        <w:t>M. oleifera</w:t>
      </w:r>
      <w:r>
        <w:t xml:space="preserve"> leaves and fruit powders. According to Khempaka</w:t>
      </w:r>
      <w:r w:rsidR="00452B47">
        <w:t xml:space="preserve"> </w:t>
      </w:r>
      <w:r>
        <w:rPr>
          <w:i/>
          <w:iCs/>
        </w:rPr>
        <w:t>et al</w:t>
      </w:r>
      <w:r>
        <w:t>. (2009), the percentages of eviscerated carcasses and giblets found in broilers fed dried cassava pulp were not significantly different from those found in the control. Fabricius’ bursa was the largest in T3 birds and was significantly (P ≤0.05) larger than in T2 birds, which was much lower than the usual set standards for a good bursa to bodyweight ratio ranging between 0.18 and 0.30 (Cazaban and Gardin, 2012). The bursa plays an important role in boosting immunity in young</w:t>
      </w:r>
      <w:r w:rsidR="00452B47">
        <w:t xml:space="preserve"> birds. Ideally, the bursa to body </w:t>
      </w:r>
      <w:r>
        <w:t xml:space="preserve">wt ratio of meat-type breeds increases linearly to a strong </w:t>
      </w:r>
      <w:r>
        <w:lastRenderedPageBreak/>
        <w:t xml:space="preserve">bursa development against a relatively slow body development; then, from 6 weeks onwards, when body growth is optimal, bursa development stabilises and it gradually declines in weight (Cazaban and Gardin, 2012). </w:t>
      </w:r>
    </w:p>
    <w:p w:rsidR="00036DA6" w:rsidRDefault="00B265C3">
      <w:pPr>
        <w:ind w:firstLine="1134"/>
        <w:jc w:val="both"/>
      </w:pPr>
      <w:r>
        <w:t xml:space="preserve">In the current case, possibly the T3 birds had synergistic effects in bodyweight growth and visceral organ development, increasing bursa weight. Hernández </w:t>
      </w:r>
      <w:r>
        <w:rPr>
          <w:i/>
          <w:iCs/>
        </w:rPr>
        <w:t>et al</w:t>
      </w:r>
      <w:r>
        <w:t xml:space="preserve">. (2011) found that broilers fed sorghum had significantly larger gizzards and higher gizzard content than those fed wheat diets. On the plus side, according to a review by Wallace </w:t>
      </w:r>
      <w:r>
        <w:rPr>
          <w:i/>
          <w:iCs/>
        </w:rPr>
        <w:t>et al</w:t>
      </w:r>
      <w:r>
        <w:t xml:space="preserve">. (2010), dietary inclusion of plant extracts did not affect feed consumption and FCR, despite positive effects on body weight, body weight gain, organ weight and/or energy utilisation. Coarse ingredients have been shown to benefit the development of the gizzard by ensuring complete grinding, a well-regulated digester flow and the secretion of digestive juices without compromising intestinal health and/or the bird's genetic potential (Selle </w:t>
      </w:r>
      <w:r>
        <w:rPr>
          <w:i/>
          <w:iCs/>
        </w:rPr>
        <w:t>et al</w:t>
      </w:r>
      <w:r>
        <w:t>., 2010; Sacranie</w:t>
      </w:r>
      <w:r>
        <w:rPr>
          <w:i/>
          <w:iCs/>
        </w:rPr>
        <w:t>et al</w:t>
      </w:r>
      <w:r>
        <w:t>., 2012).</w:t>
      </w:r>
    </w:p>
    <w:p w:rsidR="00036DA6" w:rsidRDefault="00B265C3">
      <w:pPr>
        <w:ind w:firstLine="1134"/>
        <w:jc w:val="both"/>
      </w:pPr>
      <w:r>
        <w:rPr>
          <w:b/>
          <w:bCs/>
        </w:rPr>
        <w:t xml:space="preserve">Weekly live bodyweight: </w:t>
      </w:r>
      <w:r w:rsidR="00452B47">
        <w:t>T</w:t>
      </w:r>
      <w:r>
        <w:t xml:space="preserve">he effect of dietary inclusion of Indigenous CUD and MLE alone and in combination on the average weekly live weight of broiler birds are showing in Table </w:t>
      </w:r>
      <w:r w:rsidR="00A04834">
        <w:t>5</w:t>
      </w:r>
      <w:r>
        <w:t>. No significant (P&lt;0.05) differences were observed in the average weekly live weight of broiler birds of S (Standard), T1 (MLE), T2 (CUD) and T3 (MLE+CUD) groups at day old (0 day) showing completely random design (CRD) of the groups. At the 1</w:t>
      </w:r>
      <w:r>
        <w:rPr>
          <w:vertAlign w:val="superscript"/>
        </w:rPr>
        <w:t>st</w:t>
      </w:r>
      <w:r>
        <w:t xml:space="preserve"> and 2</w:t>
      </w:r>
      <w:r>
        <w:rPr>
          <w:vertAlign w:val="superscript"/>
        </w:rPr>
        <w:t>nd</w:t>
      </w:r>
      <w:r>
        <w:t xml:space="preserve"> weeks of the experiment, no significant difference was found among the groups. While at 3</w:t>
      </w:r>
      <w:r>
        <w:rPr>
          <w:vertAlign w:val="superscript"/>
        </w:rPr>
        <w:t>rd</w:t>
      </w:r>
      <w:r>
        <w:t>, 4</w:t>
      </w:r>
      <w:r>
        <w:rPr>
          <w:vertAlign w:val="superscript"/>
        </w:rPr>
        <w:t>th</w:t>
      </w:r>
      <w:r>
        <w:t>, 5</w:t>
      </w:r>
      <w:r>
        <w:rPr>
          <w:vertAlign w:val="superscript"/>
        </w:rPr>
        <w:t>th</w:t>
      </w:r>
      <w:r>
        <w:t xml:space="preserve"> and 6</w:t>
      </w:r>
      <w:r>
        <w:rPr>
          <w:vertAlign w:val="superscript"/>
        </w:rPr>
        <w:t>th</w:t>
      </w:r>
      <w:r>
        <w:t xml:space="preserve"> week it was significantly (P˂0.05, P&lt;0.01 and P&lt;0.001) increased body weight in the birds of S, T1, T2 and T3 groups as compared to the C (Control) group. </w:t>
      </w:r>
      <w:commentRangeStart w:id="5"/>
      <w:r>
        <w:t xml:space="preserve">Similarly, Sushma </w:t>
      </w:r>
      <w:r>
        <w:rPr>
          <w:i/>
          <w:iCs/>
        </w:rPr>
        <w:t>et al.</w:t>
      </w:r>
      <w:r>
        <w:t xml:space="preserve"> (2021) reported that the average body weight of the CUD (obtained from Ongole, Sahiwal and HF crossbred) fed gr</w:t>
      </w:r>
      <w:r w:rsidR="0067651C">
        <w:t>oups were higher compared to the</w:t>
      </w:r>
      <w:r>
        <w:t xml:space="preserve"> control group</w:t>
      </w:r>
      <w:commentRangeEnd w:id="5"/>
      <w:r w:rsidR="0067651C">
        <w:rPr>
          <w:rStyle w:val="CommentReference"/>
        </w:rPr>
        <w:commentReference w:id="5"/>
      </w:r>
      <w:r>
        <w:t>. Also, Faluyi</w:t>
      </w:r>
      <w:r>
        <w:rPr>
          <w:i/>
          <w:iCs/>
        </w:rPr>
        <w:t>et al.</w:t>
      </w:r>
      <w:r>
        <w:t xml:space="preserve"> (2018) </w:t>
      </w:r>
      <w:r>
        <w:rPr>
          <w:i/>
          <w:iCs/>
        </w:rPr>
        <w:t>M. oleifera</w:t>
      </w:r>
      <w:r>
        <w:t xml:space="preserve"> aqueous leaf extract resulted in a significant (P≤0.05) increase in the final bodyweight of the experimental birds.</w:t>
      </w:r>
    </w:p>
    <w:p w:rsidR="00036DA6" w:rsidRDefault="00036DA6">
      <w:pPr>
        <w:ind w:firstLine="1134"/>
        <w:jc w:val="both"/>
      </w:pPr>
    </w:p>
    <w:tbl>
      <w:tblPr>
        <w:tblStyle w:val="TableGrid"/>
        <w:tblW w:w="10712" w:type="dxa"/>
        <w:jc w:val="center"/>
        <w:tblLook w:val="04A0"/>
      </w:tblPr>
      <w:tblGrid>
        <w:gridCol w:w="1021"/>
        <w:gridCol w:w="1739"/>
        <w:gridCol w:w="1988"/>
        <w:gridCol w:w="1988"/>
        <w:gridCol w:w="1988"/>
        <w:gridCol w:w="1988"/>
      </w:tblGrid>
      <w:tr w:rsidR="00036DA6">
        <w:trPr>
          <w:trHeight w:val="78"/>
          <w:jc w:val="center"/>
        </w:trPr>
        <w:tc>
          <w:tcPr>
            <w:tcW w:w="10712" w:type="dxa"/>
            <w:gridSpan w:val="6"/>
            <w:tcBorders>
              <w:top w:val="nil"/>
              <w:left w:val="nil"/>
              <w:bottom w:val="single" w:sz="4" w:space="0" w:color="auto"/>
              <w:right w:val="nil"/>
            </w:tcBorders>
          </w:tcPr>
          <w:p w:rsidR="00036DA6" w:rsidRDefault="00B265C3">
            <w:pPr>
              <w:spacing w:after="0" w:line="240" w:lineRule="auto"/>
              <w:jc w:val="center"/>
            </w:pPr>
            <w:r>
              <w:rPr>
                <w:lang w:val="en-US"/>
              </w:rPr>
              <w:t xml:space="preserve">Table </w:t>
            </w:r>
            <w:r w:rsidR="00A04834">
              <w:rPr>
                <w:lang w:val="en-US"/>
              </w:rPr>
              <w:t>5</w:t>
            </w:r>
            <w:r>
              <w:rPr>
                <w:lang w:val="en-US"/>
              </w:rPr>
              <w:t>: Effect of dietary supplementation of MLE and indigenous CUD and combination of both on average weekly live weight (g) of broiler chicks (n=30).</w:t>
            </w:r>
          </w:p>
        </w:tc>
      </w:tr>
      <w:tr w:rsidR="00036DA6">
        <w:trPr>
          <w:trHeight w:val="78"/>
          <w:jc w:val="center"/>
        </w:trPr>
        <w:tc>
          <w:tcPr>
            <w:tcW w:w="10712" w:type="dxa"/>
            <w:gridSpan w:val="6"/>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rPr>
                <w:lang w:val="en-US"/>
              </w:rPr>
              <w:t>Average weekly live weight (g) (Mean ± SE)</w:t>
            </w:r>
          </w:p>
        </w:tc>
      </w:tr>
      <w:tr w:rsidR="00036DA6">
        <w:trPr>
          <w:trHeight w:val="78"/>
          <w:jc w:val="center"/>
        </w:trPr>
        <w:tc>
          <w:tcPr>
            <w:tcW w:w="1021"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Age</w:t>
            </w:r>
          </w:p>
        </w:tc>
        <w:tc>
          <w:tcPr>
            <w:tcW w:w="1739" w:type="dxa"/>
            <w:tcBorders>
              <w:top w:val="single" w:sz="4" w:space="0" w:color="auto"/>
              <w:left w:val="single" w:sz="4" w:space="0" w:color="auto"/>
              <w:bottom w:val="single" w:sz="4" w:space="0" w:color="auto"/>
              <w:right w:val="single" w:sz="4" w:space="0" w:color="auto"/>
            </w:tcBorders>
            <w:vAlign w:val="bottom"/>
          </w:tcPr>
          <w:p w:rsidR="00036DA6" w:rsidRDefault="00B265C3">
            <w:pPr>
              <w:spacing w:after="0" w:line="240" w:lineRule="auto"/>
              <w:jc w:val="center"/>
            </w:pPr>
            <w:r>
              <w:rPr>
                <w:b/>
                <w:bCs/>
              </w:rPr>
              <w:t>C</w:t>
            </w:r>
          </w:p>
        </w:tc>
        <w:tc>
          <w:tcPr>
            <w:tcW w:w="1988" w:type="dxa"/>
            <w:tcBorders>
              <w:top w:val="single" w:sz="4" w:space="0" w:color="auto"/>
              <w:left w:val="single" w:sz="4" w:space="0" w:color="auto"/>
              <w:bottom w:val="single" w:sz="4" w:space="0" w:color="auto"/>
              <w:right w:val="single" w:sz="4" w:space="0" w:color="auto"/>
            </w:tcBorders>
            <w:vAlign w:val="bottom"/>
          </w:tcPr>
          <w:p w:rsidR="00036DA6" w:rsidRDefault="00B265C3">
            <w:pPr>
              <w:spacing w:after="0" w:line="240" w:lineRule="auto"/>
              <w:jc w:val="center"/>
            </w:pPr>
            <w:r>
              <w:rPr>
                <w:b/>
                <w:bCs/>
              </w:rPr>
              <w:t>S</w:t>
            </w:r>
          </w:p>
        </w:tc>
        <w:tc>
          <w:tcPr>
            <w:tcW w:w="1988" w:type="dxa"/>
            <w:tcBorders>
              <w:top w:val="single" w:sz="4" w:space="0" w:color="auto"/>
              <w:left w:val="single" w:sz="4" w:space="0" w:color="auto"/>
              <w:bottom w:val="single" w:sz="4" w:space="0" w:color="auto"/>
              <w:right w:val="single" w:sz="4" w:space="0" w:color="auto"/>
            </w:tcBorders>
            <w:vAlign w:val="bottom"/>
          </w:tcPr>
          <w:p w:rsidR="00036DA6" w:rsidRDefault="00B265C3">
            <w:pPr>
              <w:spacing w:after="0" w:line="240" w:lineRule="auto"/>
              <w:jc w:val="center"/>
            </w:pPr>
            <w:r>
              <w:rPr>
                <w:b/>
                <w:bCs/>
              </w:rPr>
              <w:t>T1</w:t>
            </w:r>
          </w:p>
        </w:tc>
        <w:tc>
          <w:tcPr>
            <w:tcW w:w="1988" w:type="dxa"/>
            <w:tcBorders>
              <w:top w:val="single" w:sz="4" w:space="0" w:color="auto"/>
              <w:left w:val="single" w:sz="4" w:space="0" w:color="auto"/>
              <w:bottom w:val="single" w:sz="4" w:space="0" w:color="auto"/>
              <w:right w:val="single" w:sz="4" w:space="0" w:color="auto"/>
            </w:tcBorders>
            <w:vAlign w:val="bottom"/>
          </w:tcPr>
          <w:p w:rsidR="00036DA6" w:rsidRDefault="00B265C3">
            <w:pPr>
              <w:spacing w:after="0" w:line="240" w:lineRule="auto"/>
              <w:jc w:val="center"/>
            </w:pPr>
            <w:r>
              <w:rPr>
                <w:b/>
                <w:bCs/>
              </w:rPr>
              <w:t>T2</w:t>
            </w:r>
          </w:p>
        </w:tc>
        <w:tc>
          <w:tcPr>
            <w:tcW w:w="1988" w:type="dxa"/>
            <w:tcBorders>
              <w:top w:val="single" w:sz="4" w:space="0" w:color="auto"/>
              <w:left w:val="single" w:sz="4" w:space="0" w:color="auto"/>
              <w:bottom w:val="single" w:sz="4" w:space="0" w:color="auto"/>
              <w:right w:val="single" w:sz="4" w:space="0" w:color="auto"/>
            </w:tcBorders>
            <w:vAlign w:val="bottom"/>
          </w:tcPr>
          <w:p w:rsidR="00036DA6" w:rsidRDefault="00B265C3">
            <w:pPr>
              <w:spacing w:after="0" w:line="240" w:lineRule="auto"/>
              <w:jc w:val="center"/>
            </w:pPr>
            <w:r>
              <w:rPr>
                <w:b/>
                <w:bCs/>
              </w:rPr>
              <w:t>T3</w:t>
            </w:r>
          </w:p>
        </w:tc>
      </w:tr>
      <w:tr w:rsidR="00036DA6">
        <w:trPr>
          <w:trHeight w:val="153"/>
          <w:jc w:val="center"/>
        </w:trPr>
        <w:tc>
          <w:tcPr>
            <w:tcW w:w="1021"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0 day</w:t>
            </w:r>
          </w:p>
        </w:tc>
        <w:tc>
          <w:tcPr>
            <w:tcW w:w="173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51</w:t>
            </w:r>
            <w:r>
              <w:rPr>
                <w:lang w:val="en-US"/>
              </w:rPr>
              <w:t>.43</w:t>
            </w:r>
            <w:r>
              <w:rPr>
                <w:b/>
                <w:bCs/>
                <w:lang w:val="en-US"/>
              </w:rPr>
              <w:t>±</w:t>
            </w:r>
            <w:r>
              <w:rPr>
                <w:lang w:val="en-US"/>
              </w:rPr>
              <w:t>0.84</w:t>
            </w:r>
            <w:r>
              <w:rPr>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rPr>
                <w:lang w:val="en-US"/>
              </w:rPr>
              <w:t>52.03</w:t>
            </w:r>
            <w:r>
              <w:rPr>
                <w:b/>
                <w:bCs/>
                <w:lang w:val="en-US"/>
              </w:rPr>
              <w:t>±</w:t>
            </w:r>
            <w:r>
              <w:rPr>
                <w:lang w:val="en-US"/>
              </w:rPr>
              <w:t>0.78</w:t>
            </w:r>
            <w:r>
              <w:rPr>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rPr>
                <w:lang w:val="en-US"/>
              </w:rPr>
              <w:t>52.37</w:t>
            </w:r>
            <w:r>
              <w:rPr>
                <w:b/>
                <w:bCs/>
                <w:lang w:val="en-US"/>
              </w:rPr>
              <w:t>±</w:t>
            </w:r>
            <w:r>
              <w:rPr>
                <w:lang w:val="en-US"/>
              </w:rPr>
              <w:t>0.66</w:t>
            </w:r>
            <w:r>
              <w:rPr>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rPr>
                <w:lang w:val="en-US"/>
              </w:rPr>
              <w:t>51.97</w:t>
            </w:r>
            <w:r>
              <w:rPr>
                <w:b/>
                <w:bCs/>
                <w:lang w:val="en-US"/>
              </w:rPr>
              <w:t>±</w:t>
            </w:r>
            <w:r>
              <w:rPr>
                <w:lang w:val="en-US"/>
              </w:rPr>
              <w:t>0.57</w:t>
            </w:r>
            <w:r>
              <w:rPr>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51</w:t>
            </w:r>
            <w:r>
              <w:rPr>
                <w:lang w:val="en-US"/>
              </w:rPr>
              <w:t>.33</w:t>
            </w:r>
            <w:r>
              <w:rPr>
                <w:b/>
                <w:bCs/>
                <w:lang w:val="en-US"/>
              </w:rPr>
              <w:t>±</w:t>
            </w:r>
            <w:r>
              <w:rPr>
                <w:bCs/>
                <w:lang w:val="en-US"/>
              </w:rPr>
              <w:t>0</w:t>
            </w:r>
            <w:r>
              <w:rPr>
                <w:lang w:val="en-US"/>
              </w:rPr>
              <w:t>.75</w:t>
            </w:r>
            <w:r>
              <w:rPr>
                <w:vertAlign w:val="superscript"/>
                <w:lang w:val="en-US"/>
              </w:rPr>
              <w:t>a</w:t>
            </w:r>
          </w:p>
        </w:tc>
      </w:tr>
      <w:tr w:rsidR="00036DA6">
        <w:trPr>
          <w:trHeight w:val="158"/>
          <w:jc w:val="center"/>
        </w:trPr>
        <w:tc>
          <w:tcPr>
            <w:tcW w:w="1021"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1</w:t>
            </w:r>
            <w:r>
              <w:rPr>
                <w:vertAlign w:val="superscript"/>
              </w:rPr>
              <w:t xml:space="preserve">st </w:t>
            </w:r>
            <w:r>
              <w:t>Week</w:t>
            </w:r>
          </w:p>
        </w:tc>
        <w:tc>
          <w:tcPr>
            <w:tcW w:w="173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160</w:t>
            </w:r>
            <w:r>
              <w:rPr>
                <w:bCs/>
                <w:lang w:val="en-US"/>
              </w:rPr>
              <w:t>.07</w:t>
            </w:r>
            <w:r>
              <w:rPr>
                <w:b/>
                <w:bCs/>
                <w:lang w:val="en-US"/>
              </w:rPr>
              <w:t>±</w:t>
            </w:r>
            <w:r>
              <w:rPr>
                <w:bCs/>
                <w:lang w:val="en-US"/>
              </w:rPr>
              <w:t>3.57</w:t>
            </w:r>
            <w:r>
              <w:rPr>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rPr>
                <w:lang w:val="en-US"/>
              </w:rPr>
              <w:t>165</w:t>
            </w:r>
            <w:r>
              <w:rPr>
                <w:bCs/>
                <w:lang w:val="en-US"/>
              </w:rPr>
              <w:t>.83</w:t>
            </w:r>
            <w:r>
              <w:rPr>
                <w:b/>
                <w:bCs/>
                <w:lang w:val="en-US"/>
              </w:rPr>
              <w:t>±</w:t>
            </w:r>
            <w:r>
              <w:rPr>
                <w:bCs/>
                <w:lang w:val="en-US"/>
              </w:rPr>
              <w:t>4.57</w:t>
            </w:r>
            <w:r>
              <w:rPr>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rPr>
                <w:lang w:val="en-US"/>
              </w:rPr>
              <w:t>168.17</w:t>
            </w:r>
            <w:r>
              <w:rPr>
                <w:b/>
                <w:bCs/>
                <w:lang w:val="en-US"/>
              </w:rPr>
              <w:t>±</w:t>
            </w:r>
            <w:r>
              <w:rPr>
                <w:lang w:val="en-US"/>
              </w:rPr>
              <w:t>4.74</w:t>
            </w:r>
            <w:r>
              <w:rPr>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rPr>
                <w:lang w:val="en-US"/>
              </w:rPr>
              <w:t>159.63</w:t>
            </w:r>
            <w:r>
              <w:rPr>
                <w:b/>
                <w:bCs/>
                <w:lang w:val="en-US"/>
              </w:rPr>
              <w:t>±</w:t>
            </w:r>
            <w:r>
              <w:rPr>
                <w:lang w:val="en-US"/>
              </w:rPr>
              <w:t>5.11</w:t>
            </w:r>
            <w:r>
              <w:rPr>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rPr>
                <w:lang w:val="en-US"/>
              </w:rPr>
              <w:t>164.37</w:t>
            </w:r>
            <w:r>
              <w:rPr>
                <w:b/>
                <w:bCs/>
                <w:lang w:val="en-US"/>
              </w:rPr>
              <w:t>±</w:t>
            </w:r>
            <w:r>
              <w:rPr>
                <w:lang w:val="en-US"/>
              </w:rPr>
              <w:t>4.22</w:t>
            </w:r>
            <w:r>
              <w:rPr>
                <w:vertAlign w:val="superscript"/>
                <w:lang w:val="en-US"/>
              </w:rPr>
              <w:t>a</w:t>
            </w:r>
          </w:p>
        </w:tc>
      </w:tr>
      <w:tr w:rsidR="00036DA6">
        <w:trPr>
          <w:trHeight w:val="158"/>
          <w:jc w:val="center"/>
        </w:trPr>
        <w:tc>
          <w:tcPr>
            <w:tcW w:w="1021"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2</w:t>
            </w:r>
            <w:r>
              <w:rPr>
                <w:vertAlign w:val="superscript"/>
              </w:rPr>
              <w:t xml:space="preserve">nd </w:t>
            </w:r>
            <w:r>
              <w:t>Week</w:t>
            </w:r>
          </w:p>
        </w:tc>
        <w:tc>
          <w:tcPr>
            <w:tcW w:w="173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345.20</w:t>
            </w:r>
            <w:r>
              <w:rPr>
                <w:b/>
                <w:bCs/>
              </w:rPr>
              <w:t>±</w:t>
            </w:r>
            <w:r>
              <w:t>8.31</w:t>
            </w:r>
            <w:r>
              <w:rPr>
                <w:vertAlign w:val="superscript"/>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rPr>
                <w:bCs/>
                <w:lang w:val="en-US"/>
              </w:rPr>
              <w:t>355.17</w:t>
            </w:r>
            <w:r>
              <w:rPr>
                <w:b/>
                <w:bCs/>
                <w:lang w:val="en-US"/>
              </w:rPr>
              <w:t>±</w:t>
            </w:r>
            <w:r>
              <w:rPr>
                <w:bCs/>
                <w:lang w:val="en-US"/>
              </w:rPr>
              <w:t>11.29</w:t>
            </w:r>
            <w:r>
              <w:rPr>
                <w:bCs/>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rPr>
                <w:lang w:val="en-US"/>
              </w:rPr>
              <w:t>368.97</w:t>
            </w:r>
            <w:r>
              <w:rPr>
                <w:b/>
                <w:bCs/>
                <w:lang w:val="en-US"/>
              </w:rPr>
              <w:t>±</w:t>
            </w:r>
            <w:r>
              <w:rPr>
                <w:lang w:val="en-US"/>
              </w:rPr>
              <w:t>4.78</w:t>
            </w:r>
            <w:r>
              <w:rPr>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rPr>
                <w:lang w:val="en-US"/>
              </w:rPr>
              <w:t>344.40</w:t>
            </w:r>
            <w:r>
              <w:rPr>
                <w:b/>
                <w:bCs/>
                <w:lang w:val="en-US"/>
              </w:rPr>
              <w:t>±</w:t>
            </w:r>
            <w:r>
              <w:rPr>
                <w:lang w:val="en-US"/>
              </w:rPr>
              <w:t>10.66</w:t>
            </w:r>
            <w:r>
              <w:rPr>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rPr>
                <w:lang w:val="en-US"/>
              </w:rPr>
              <w:t>357.07</w:t>
            </w:r>
            <w:r>
              <w:rPr>
                <w:b/>
                <w:bCs/>
                <w:lang w:val="en-US"/>
              </w:rPr>
              <w:t>±</w:t>
            </w:r>
            <w:r>
              <w:rPr>
                <w:lang w:val="en-US"/>
              </w:rPr>
              <w:t>8.96</w:t>
            </w:r>
            <w:r>
              <w:rPr>
                <w:vertAlign w:val="superscript"/>
                <w:lang w:val="en-US"/>
              </w:rPr>
              <w:t>a</w:t>
            </w:r>
          </w:p>
        </w:tc>
      </w:tr>
      <w:tr w:rsidR="00036DA6">
        <w:trPr>
          <w:trHeight w:val="158"/>
          <w:jc w:val="center"/>
        </w:trPr>
        <w:tc>
          <w:tcPr>
            <w:tcW w:w="1021"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3</w:t>
            </w:r>
            <w:r>
              <w:rPr>
                <w:vertAlign w:val="superscript"/>
              </w:rPr>
              <w:t xml:space="preserve">rd </w:t>
            </w:r>
            <w:r>
              <w:t>Week</w:t>
            </w:r>
          </w:p>
        </w:tc>
        <w:tc>
          <w:tcPr>
            <w:tcW w:w="173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627.80</w:t>
            </w:r>
            <w:r>
              <w:rPr>
                <w:b/>
                <w:bCs/>
              </w:rPr>
              <w:t>±</w:t>
            </w:r>
            <w:r>
              <w:t>10.93</w:t>
            </w:r>
            <w:r>
              <w:rPr>
                <w:vertAlign w:val="superscript"/>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rPr>
                <w:bCs/>
                <w:lang w:val="en-US"/>
              </w:rPr>
              <w:t>681.20</w:t>
            </w:r>
            <w:r>
              <w:rPr>
                <w:b/>
                <w:bCs/>
                <w:lang w:val="en-US"/>
              </w:rPr>
              <w:t>±</w:t>
            </w:r>
            <w:r>
              <w:rPr>
                <w:bCs/>
                <w:lang w:val="en-US"/>
              </w:rPr>
              <w:t>21.87</w:t>
            </w:r>
            <w:r>
              <w:rPr>
                <w:bCs/>
                <w:vertAlign w:val="superscript"/>
                <w:lang w:val="en-US"/>
              </w:rPr>
              <w:t>b</w:t>
            </w:r>
            <w:r>
              <w:rPr>
                <w:b/>
                <w:lang w:val="en-US"/>
              </w:rPr>
              <w:t>*</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rPr>
                <w:lang w:val="en-US"/>
              </w:rPr>
              <w:t>811.33</w:t>
            </w:r>
            <w:r>
              <w:rPr>
                <w:b/>
                <w:bCs/>
                <w:lang w:val="en-US"/>
              </w:rPr>
              <w:t>±</w:t>
            </w:r>
            <w:r>
              <w:rPr>
                <w:lang w:val="en-US"/>
              </w:rPr>
              <w:t>13.42</w:t>
            </w:r>
            <w:r>
              <w:rPr>
                <w:vertAlign w:val="superscript"/>
                <w:lang w:val="en-US"/>
              </w:rPr>
              <w:t>c</w:t>
            </w:r>
            <w:r>
              <w:rPr>
                <w:b/>
                <w:bCs/>
                <w:lang w:val="en-US"/>
              </w:rPr>
              <w:t>**</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rPr>
                <w:bCs/>
                <w:lang w:val="en-US"/>
              </w:rPr>
              <w:t>706.53</w:t>
            </w:r>
            <w:r>
              <w:rPr>
                <w:b/>
                <w:bCs/>
                <w:lang w:val="en-US"/>
              </w:rPr>
              <w:t>±</w:t>
            </w:r>
            <w:r>
              <w:rPr>
                <w:bCs/>
                <w:lang w:val="en-US"/>
              </w:rPr>
              <w:t>21.84</w:t>
            </w:r>
            <w:r>
              <w:rPr>
                <w:bCs/>
                <w:vertAlign w:val="superscript"/>
                <w:lang w:val="en-US"/>
              </w:rPr>
              <w:t>b</w:t>
            </w:r>
            <w:r>
              <w:rPr>
                <w:b/>
                <w:lang w:val="en-US"/>
              </w:rPr>
              <w:t>**</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rPr>
                <w:lang w:val="en-US"/>
              </w:rPr>
              <w:t>731.03</w:t>
            </w:r>
            <w:r>
              <w:rPr>
                <w:b/>
                <w:bCs/>
                <w:lang w:val="en-US"/>
              </w:rPr>
              <w:t>±</w:t>
            </w:r>
            <w:r>
              <w:rPr>
                <w:lang w:val="en-US"/>
              </w:rPr>
              <w:t>22.45</w:t>
            </w:r>
            <w:r>
              <w:rPr>
                <w:vertAlign w:val="superscript"/>
                <w:lang w:val="en-US"/>
              </w:rPr>
              <w:t>b</w:t>
            </w:r>
            <w:r>
              <w:rPr>
                <w:b/>
                <w:bCs/>
                <w:lang w:val="en-US"/>
              </w:rPr>
              <w:t>**</w:t>
            </w:r>
          </w:p>
        </w:tc>
      </w:tr>
      <w:tr w:rsidR="00036DA6">
        <w:trPr>
          <w:trHeight w:val="158"/>
          <w:jc w:val="center"/>
        </w:trPr>
        <w:tc>
          <w:tcPr>
            <w:tcW w:w="1021"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4</w:t>
            </w:r>
            <w:r>
              <w:rPr>
                <w:vertAlign w:val="superscript"/>
              </w:rPr>
              <w:t xml:space="preserve">th </w:t>
            </w:r>
            <w:r>
              <w:t>Week</w:t>
            </w:r>
          </w:p>
        </w:tc>
        <w:tc>
          <w:tcPr>
            <w:tcW w:w="173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916.17</w:t>
            </w:r>
            <w:r>
              <w:rPr>
                <w:b/>
                <w:bCs/>
              </w:rPr>
              <w:t>±</w:t>
            </w:r>
            <w:r>
              <w:t>16.77</w:t>
            </w:r>
            <w:r>
              <w:rPr>
                <w:vertAlign w:val="superscript"/>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rPr>
                <w:bCs/>
                <w:lang w:val="en-US"/>
              </w:rPr>
              <w:t>1104.23</w:t>
            </w:r>
            <w:r>
              <w:rPr>
                <w:b/>
                <w:bCs/>
                <w:lang w:val="en-US"/>
              </w:rPr>
              <w:t>±</w:t>
            </w:r>
            <w:r>
              <w:rPr>
                <w:bCs/>
                <w:lang w:val="en-US"/>
              </w:rPr>
              <w:t>28.57</w:t>
            </w:r>
            <w:r>
              <w:rPr>
                <w:bCs/>
                <w:vertAlign w:val="superscript"/>
                <w:lang w:val="en-US"/>
              </w:rPr>
              <w:t>b</w:t>
            </w:r>
            <w:r>
              <w:rPr>
                <w:b/>
                <w:lang w:val="en-US"/>
              </w:rPr>
              <w:t>**</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rPr>
                <w:lang w:val="en-US"/>
              </w:rPr>
              <w:t>1319.57</w:t>
            </w:r>
            <w:r>
              <w:rPr>
                <w:b/>
                <w:bCs/>
                <w:lang w:val="en-US"/>
              </w:rPr>
              <w:t>±</w:t>
            </w:r>
            <w:r>
              <w:rPr>
                <w:lang w:val="en-US"/>
              </w:rPr>
              <w:t>24.87</w:t>
            </w:r>
            <w:r>
              <w:rPr>
                <w:vertAlign w:val="superscript"/>
                <w:lang w:val="en-US"/>
              </w:rPr>
              <w:t>d</w:t>
            </w:r>
            <w:r>
              <w:rPr>
                <w:b/>
                <w:bCs/>
                <w:lang w:val="en-US"/>
              </w:rPr>
              <w:t>**</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rPr>
                <w:lang w:val="en-US"/>
              </w:rPr>
              <w:t>1202.93</w:t>
            </w:r>
            <w:r>
              <w:rPr>
                <w:b/>
                <w:bCs/>
                <w:lang w:val="en-US"/>
              </w:rPr>
              <w:t>±</w:t>
            </w:r>
            <w:r>
              <w:rPr>
                <w:lang w:val="en-US"/>
              </w:rPr>
              <w:t>23.02</w:t>
            </w:r>
            <w:r>
              <w:rPr>
                <w:vertAlign w:val="superscript"/>
                <w:lang w:val="en-US"/>
              </w:rPr>
              <w:t>c</w:t>
            </w:r>
            <w:r>
              <w:rPr>
                <w:b/>
                <w:bCs/>
                <w:lang w:val="en-US"/>
              </w:rPr>
              <w:t>**</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rPr>
                <w:lang w:val="en-US"/>
              </w:rPr>
              <w:t>1279.50</w:t>
            </w:r>
            <w:r>
              <w:rPr>
                <w:b/>
                <w:bCs/>
                <w:lang w:val="en-US"/>
              </w:rPr>
              <w:t>±</w:t>
            </w:r>
            <w:r>
              <w:rPr>
                <w:lang w:val="en-US"/>
              </w:rPr>
              <w:t>25.46</w:t>
            </w:r>
            <w:r>
              <w:rPr>
                <w:vertAlign w:val="superscript"/>
                <w:lang w:val="en-US"/>
              </w:rPr>
              <w:t>d</w:t>
            </w:r>
            <w:r>
              <w:rPr>
                <w:b/>
                <w:bCs/>
                <w:lang w:val="en-US"/>
              </w:rPr>
              <w:t>**</w:t>
            </w:r>
          </w:p>
        </w:tc>
      </w:tr>
      <w:tr w:rsidR="00036DA6">
        <w:trPr>
          <w:trHeight w:val="153"/>
          <w:jc w:val="center"/>
        </w:trPr>
        <w:tc>
          <w:tcPr>
            <w:tcW w:w="1021"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5</w:t>
            </w:r>
            <w:r>
              <w:rPr>
                <w:vertAlign w:val="superscript"/>
              </w:rPr>
              <w:t>th</w:t>
            </w:r>
            <w:r>
              <w:t>Week</w:t>
            </w:r>
          </w:p>
        </w:tc>
        <w:tc>
          <w:tcPr>
            <w:tcW w:w="173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1423.07</w:t>
            </w:r>
            <w:r>
              <w:rPr>
                <w:b/>
                <w:bCs/>
              </w:rPr>
              <w:t>±</w:t>
            </w:r>
            <w:r>
              <w:t>18.39</w:t>
            </w:r>
            <w:r>
              <w:rPr>
                <w:vertAlign w:val="superscript"/>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rPr>
                <w:bCs/>
                <w:lang w:val="en-US"/>
              </w:rPr>
              <w:t>1549.53</w:t>
            </w:r>
            <w:r>
              <w:rPr>
                <w:b/>
                <w:bCs/>
                <w:lang w:val="en-US"/>
              </w:rPr>
              <w:t>±</w:t>
            </w:r>
            <w:r>
              <w:rPr>
                <w:bCs/>
                <w:lang w:val="en-US"/>
              </w:rPr>
              <w:t>26.34</w:t>
            </w:r>
            <w:r>
              <w:rPr>
                <w:bCs/>
                <w:vertAlign w:val="superscript"/>
                <w:lang w:val="en-US"/>
              </w:rPr>
              <w:t>b</w:t>
            </w:r>
            <w:r>
              <w:rPr>
                <w:b/>
                <w:lang w:val="en-US"/>
              </w:rPr>
              <w:t>**</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rPr>
                <w:bCs/>
                <w:lang w:val="en-US"/>
              </w:rPr>
              <w:t>1798.57</w:t>
            </w:r>
            <w:r>
              <w:rPr>
                <w:b/>
                <w:bCs/>
                <w:lang w:val="en-US"/>
              </w:rPr>
              <w:t>±</w:t>
            </w:r>
            <w:r>
              <w:rPr>
                <w:bCs/>
                <w:lang w:val="en-US"/>
              </w:rPr>
              <w:t>29.08</w:t>
            </w:r>
            <w:r>
              <w:rPr>
                <w:bCs/>
                <w:vertAlign w:val="superscript"/>
                <w:lang w:val="en-US"/>
              </w:rPr>
              <w:t>d</w:t>
            </w:r>
            <w:r>
              <w:rPr>
                <w:b/>
                <w:lang w:val="en-US"/>
              </w:rPr>
              <w:t>**</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rPr>
                <w:lang w:val="en-US"/>
              </w:rPr>
              <w:t>1685.80</w:t>
            </w:r>
            <w:r>
              <w:rPr>
                <w:b/>
                <w:bCs/>
                <w:lang w:val="en-US"/>
              </w:rPr>
              <w:t>±</w:t>
            </w:r>
            <w:r>
              <w:rPr>
                <w:lang w:val="en-US"/>
              </w:rPr>
              <w:t>12.68</w:t>
            </w:r>
            <w:r>
              <w:rPr>
                <w:vertAlign w:val="superscript"/>
                <w:lang w:val="en-US"/>
              </w:rPr>
              <w:t>c</w:t>
            </w:r>
            <w:r>
              <w:rPr>
                <w:b/>
                <w:bCs/>
                <w:lang w:val="en-US"/>
              </w:rPr>
              <w:t>**</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rPr>
                <w:bCs/>
                <w:lang w:val="en-US"/>
              </w:rPr>
              <w:t>1767.57</w:t>
            </w:r>
            <w:r>
              <w:rPr>
                <w:b/>
                <w:bCs/>
                <w:lang w:val="en-US"/>
              </w:rPr>
              <w:t>±</w:t>
            </w:r>
            <w:r>
              <w:rPr>
                <w:bCs/>
                <w:lang w:val="en-US"/>
              </w:rPr>
              <w:t>30.57</w:t>
            </w:r>
            <w:r>
              <w:rPr>
                <w:bCs/>
                <w:vertAlign w:val="superscript"/>
                <w:lang w:val="en-US"/>
              </w:rPr>
              <w:t>d</w:t>
            </w:r>
            <w:r>
              <w:rPr>
                <w:b/>
                <w:lang w:val="en-US"/>
              </w:rPr>
              <w:t>**</w:t>
            </w:r>
          </w:p>
        </w:tc>
      </w:tr>
      <w:tr w:rsidR="00036DA6">
        <w:trPr>
          <w:trHeight w:val="158"/>
          <w:jc w:val="center"/>
        </w:trPr>
        <w:tc>
          <w:tcPr>
            <w:tcW w:w="1021"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t>6</w:t>
            </w:r>
            <w:r>
              <w:rPr>
                <w:vertAlign w:val="superscript"/>
              </w:rPr>
              <w:t xml:space="preserve">th </w:t>
            </w:r>
            <w:r>
              <w:t>Week</w:t>
            </w:r>
          </w:p>
        </w:tc>
        <w:tc>
          <w:tcPr>
            <w:tcW w:w="173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rPr>
                <w:bCs/>
                <w:lang w:val="en-US"/>
              </w:rPr>
              <w:t>1845.23</w:t>
            </w:r>
            <w:r>
              <w:rPr>
                <w:b/>
                <w:bCs/>
                <w:lang w:val="en-US"/>
              </w:rPr>
              <w:t>±</w:t>
            </w:r>
            <w:r>
              <w:rPr>
                <w:bCs/>
                <w:lang w:val="en-US"/>
              </w:rPr>
              <w:t>19.61</w:t>
            </w:r>
            <w:r>
              <w:rPr>
                <w:bCs/>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rPr>
                <w:bCs/>
                <w:lang w:val="en-US"/>
              </w:rPr>
              <w:t>1928.40</w:t>
            </w:r>
            <w:r>
              <w:rPr>
                <w:b/>
                <w:bCs/>
                <w:lang w:val="en-US"/>
              </w:rPr>
              <w:t>±</w:t>
            </w:r>
            <w:r>
              <w:rPr>
                <w:bCs/>
                <w:lang w:val="en-US"/>
              </w:rPr>
              <w:t>38.49</w:t>
            </w:r>
            <w:r>
              <w:rPr>
                <w:bCs/>
                <w:vertAlign w:val="superscript"/>
                <w:lang w:val="en-US"/>
              </w:rPr>
              <w:t>a</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rPr>
                <w:bCs/>
                <w:lang w:val="en-US"/>
              </w:rPr>
              <w:t>2144.03</w:t>
            </w:r>
            <w:r>
              <w:rPr>
                <w:b/>
                <w:bCs/>
                <w:lang w:val="en-US"/>
              </w:rPr>
              <w:t>±</w:t>
            </w:r>
            <w:r>
              <w:rPr>
                <w:bCs/>
                <w:lang w:val="en-US"/>
              </w:rPr>
              <w:t>34.92</w:t>
            </w:r>
            <w:r>
              <w:rPr>
                <w:bCs/>
                <w:vertAlign w:val="superscript"/>
                <w:lang w:val="en-US"/>
              </w:rPr>
              <w:t>b</w:t>
            </w:r>
            <w:r>
              <w:rPr>
                <w:b/>
                <w:lang w:val="en-US"/>
              </w:rPr>
              <w:t>**</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rPr>
                <w:bCs/>
                <w:lang w:val="en-US"/>
              </w:rPr>
              <w:t>2086.79</w:t>
            </w:r>
            <w:r>
              <w:rPr>
                <w:b/>
                <w:bCs/>
                <w:lang w:val="en-US"/>
              </w:rPr>
              <w:t>±</w:t>
            </w:r>
            <w:r>
              <w:rPr>
                <w:bCs/>
                <w:lang w:val="en-US"/>
              </w:rPr>
              <w:t>21.83</w:t>
            </w:r>
            <w:r>
              <w:rPr>
                <w:bCs/>
                <w:vertAlign w:val="superscript"/>
                <w:lang w:val="en-US"/>
              </w:rPr>
              <w:t>b</w:t>
            </w:r>
            <w:r>
              <w:rPr>
                <w:b/>
                <w:lang w:val="en-US"/>
              </w:rPr>
              <w:t>**</w:t>
            </w:r>
          </w:p>
        </w:tc>
        <w:tc>
          <w:tcPr>
            <w:tcW w:w="1988"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center"/>
            </w:pPr>
            <w:r>
              <w:rPr>
                <w:bCs/>
                <w:lang w:val="en-US"/>
              </w:rPr>
              <w:t>2146.47</w:t>
            </w:r>
            <w:r>
              <w:rPr>
                <w:b/>
                <w:bCs/>
                <w:lang w:val="en-US"/>
              </w:rPr>
              <w:t>±</w:t>
            </w:r>
            <w:r>
              <w:rPr>
                <w:bCs/>
                <w:lang w:val="en-US"/>
              </w:rPr>
              <w:t>37.12</w:t>
            </w:r>
            <w:r>
              <w:rPr>
                <w:bCs/>
                <w:vertAlign w:val="superscript"/>
                <w:lang w:val="en-US"/>
              </w:rPr>
              <w:t>b</w:t>
            </w:r>
            <w:r>
              <w:rPr>
                <w:b/>
                <w:lang w:val="en-US"/>
              </w:rPr>
              <w:t>**</w:t>
            </w:r>
          </w:p>
        </w:tc>
      </w:tr>
    </w:tbl>
    <w:p w:rsidR="00036DA6" w:rsidRDefault="00036DA6"/>
    <w:p w:rsidR="00036DA6" w:rsidRDefault="00B265C3">
      <w:pPr>
        <w:ind w:firstLine="1134"/>
        <w:jc w:val="both"/>
      </w:pPr>
      <w:r>
        <w:rPr>
          <w:b/>
          <w:bCs/>
        </w:rPr>
        <w:lastRenderedPageBreak/>
        <w:t xml:space="preserve">Weekly body weight gain: </w:t>
      </w:r>
      <w:r>
        <w:t>At the 1</w:t>
      </w:r>
      <w:r>
        <w:rPr>
          <w:vertAlign w:val="superscript"/>
        </w:rPr>
        <w:t>st</w:t>
      </w:r>
      <w:r>
        <w:t xml:space="preserve"> and 2</w:t>
      </w:r>
      <w:r>
        <w:rPr>
          <w:vertAlign w:val="superscript"/>
        </w:rPr>
        <w:t>nd</w:t>
      </w:r>
      <w:r>
        <w:t xml:space="preserve"> weeks, there were no significant (P&lt;0.05) differences in average cumulative body gain between the S (Standard), T1 (MLE), T2 (CUD), and T3 (MLE+CUD) groups, but it was significantly (P&lt;0.05, &lt;0.01 and &lt;0.001) increased in the S, T1, T2 and T3 groups compared to the C (control) group during the 3</w:t>
      </w:r>
      <w:r>
        <w:rPr>
          <w:vertAlign w:val="superscript"/>
        </w:rPr>
        <w:t>rd</w:t>
      </w:r>
      <w:r>
        <w:t xml:space="preserve"> and 4</w:t>
      </w:r>
      <w:r>
        <w:rPr>
          <w:vertAlign w:val="superscript"/>
        </w:rPr>
        <w:t>th</w:t>
      </w:r>
      <w:r>
        <w:t xml:space="preserve"> weeks of administration. However, there was no significant change among the treatment groups by the 5</w:t>
      </w:r>
      <w:r>
        <w:rPr>
          <w:vertAlign w:val="superscript"/>
        </w:rPr>
        <w:t>th</w:t>
      </w:r>
      <w:r>
        <w:t xml:space="preserve"> week, but by the 6</w:t>
      </w:r>
      <w:r>
        <w:rPr>
          <w:vertAlign w:val="superscript"/>
        </w:rPr>
        <w:t>th</w:t>
      </w:r>
      <w:r>
        <w:t xml:space="preserve"> week, the T1 (MLE) group's birds were substantially (P&lt;0.05) demonstrating greater mean weekly body weight growth across the treatment groups as compared to the control group </w:t>
      </w:r>
      <w:commentRangeStart w:id="6"/>
      <w:r>
        <w:t>(table ).</w:t>
      </w:r>
      <w:commentRangeEnd w:id="6"/>
      <w:r w:rsidR="003D79EA">
        <w:rPr>
          <w:rStyle w:val="CommentReference"/>
        </w:rPr>
        <w:commentReference w:id="6"/>
      </w:r>
    </w:p>
    <w:p w:rsidR="00036DA6" w:rsidRDefault="00B265C3">
      <w:pPr>
        <w:ind w:firstLine="1134"/>
        <w:jc w:val="both"/>
      </w:pPr>
      <w:r>
        <w:t xml:space="preserve">In a similar study, Eze </w:t>
      </w:r>
      <w:r>
        <w:rPr>
          <w:i/>
          <w:iCs/>
        </w:rPr>
        <w:t>et al</w:t>
      </w:r>
      <w:r>
        <w:t xml:space="preserve">. (2012) found that the MLE-treated group gained more weight than the control group. Birds on the aqueous </w:t>
      </w:r>
      <w:r>
        <w:rPr>
          <w:i/>
          <w:iCs/>
        </w:rPr>
        <w:t>M. oleifera</w:t>
      </w:r>
      <w:r>
        <w:t xml:space="preserve"> leaf extract treatment also had the highest ultimate bodyweight and daily body weight gain, according to Alabi </w:t>
      </w:r>
      <w:r>
        <w:rPr>
          <w:i/>
          <w:iCs/>
        </w:rPr>
        <w:t>et al.,</w:t>
      </w:r>
      <w:r>
        <w:t xml:space="preserve"> (2017). Similarly, the MLE-treated group gained more weight than the control group, according to our data. Sushma </w:t>
      </w:r>
      <w:r>
        <w:rPr>
          <w:i/>
          <w:iCs/>
        </w:rPr>
        <w:t xml:space="preserve">et al. </w:t>
      </w:r>
      <w:r>
        <w:t>(2021) reported that the average body weight of the CUD treated groups was 16.95 %, 10.72 %, and 2.12 % higher than the control group in T-2, T-3, and T-4, respectively.</w:t>
      </w:r>
    </w:p>
    <w:p w:rsidR="00036DA6" w:rsidRDefault="00B265C3">
      <w:pPr>
        <w:ind w:firstLine="1134"/>
        <w:jc w:val="both"/>
      </w:pPr>
      <w:r>
        <w:t xml:space="preserve">The reason for the improved bodyweight gain could be due to the high protein content of </w:t>
      </w:r>
      <w:r>
        <w:rPr>
          <w:i/>
          <w:iCs/>
        </w:rPr>
        <w:t>M. oleifera</w:t>
      </w:r>
      <w:r>
        <w:t xml:space="preserve"> leaf meal as claimed by Agashe </w:t>
      </w:r>
      <w:r>
        <w:rPr>
          <w:i/>
          <w:iCs/>
        </w:rPr>
        <w:t>et al.</w:t>
      </w:r>
      <w:r>
        <w:t xml:space="preserve"> (2017) and cow urine also contains Na, N, S, Vit A, B, C, D, E, minerals, citric, succinic, Ca salts, phosphate, lactose, carbolic acid, enzymes, creatinine, and hormones (Jain </w:t>
      </w:r>
      <w:r>
        <w:rPr>
          <w:i/>
          <w:iCs/>
        </w:rPr>
        <w:t>et al.,</w:t>
      </w:r>
      <w:r>
        <w:t xml:space="preserve"> 2010) may be due to that birds of T1, T2 and T3 groups have higher avg. body weight gain. </w:t>
      </w:r>
    </w:p>
    <w:p w:rsidR="00036DA6" w:rsidRDefault="00036DA6">
      <w:pPr>
        <w:ind w:firstLine="1134"/>
        <w:jc w:val="both"/>
      </w:pPr>
    </w:p>
    <w:tbl>
      <w:tblPr>
        <w:tblStyle w:val="TableGrid"/>
        <w:tblW w:w="10425" w:type="dxa"/>
        <w:jc w:val="center"/>
        <w:tblLayout w:type="fixed"/>
        <w:tblLook w:val="04A0"/>
      </w:tblPr>
      <w:tblGrid>
        <w:gridCol w:w="1366"/>
        <w:gridCol w:w="1682"/>
        <w:gridCol w:w="1749"/>
        <w:gridCol w:w="1852"/>
        <w:gridCol w:w="1749"/>
        <w:gridCol w:w="2027"/>
      </w:tblGrid>
      <w:tr w:rsidR="00036DA6">
        <w:trPr>
          <w:trHeight w:val="98"/>
          <w:jc w:val="center"/>
        </w:trPr>
        <w:tc>
          <w:tcPr>
            <w:tcW w:w="10424" w:type="dxa"/>
            <w:gridSpan w:val="6"/>
            <w:tcBorders>
              <w:top w:val="nil"/>
              <w:left w:val="nil"/>
              <w:bottom w:val="single" w:sz="4" w:space="0" w:color="auto"/>
              <w:right w:val="nil"/>
            </w:tcBorders>
          </w:tcPr>
          <w:p w:rsidR="00036DA6" w:rsidRDefault="00B265C3">
            <w:pPr>
              <w:spacing w:after="0" w:line="240" w:lineRule="auto"/>
              <w:jc w:val="both"/>
            </w:pPr>
            <w:r>
              <w:rPr>
                <w:lang w:val="en-US"/>
              </w:rPr>
              <w:t xml:space="preserve">Table </w:t>
            </w:r>
            <w:r w:rsidR="00A04834">
              <w:rPr>
                <w:lang w:val="en-US"/>
              </w:rPr>
              <w:t>6</w:t>
            </w:r>
            <w:r>
              <w:rPr>
                <w:lang w:val="en-US"/>
              </w:rPr>
              <w:t>: Effect of dietary supplementation of MLE and indigenous CUD and combination of both on average weekly body weight (g) gain of broiler chicks (n=30).</w:t>
            </w:r>
          </w:p>
        </w:tc>
      </w:tr>
      <w:tr w:rsidR="00036DA6">
        <w:trPr>
          <w:trHeight w:val="98"/>
          <w:jc w:val="center"/>
        </w:trPr>
        <w:tc>
          <w:tcPr>
            <w:tcW w:w="10424" w:type="dxa"/>
            <w:gridSpan w:val="6"/>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rPr>
                <w:lang w:val="en-US"/>
              </w:rPr>
              <w:t xml:space="preserve">Average weekly body weight </w:t>
            </w:r>
            <w:r>
              <w:t>gain</w:t>
            </w:r>
            <w:r>
              <w:rPr>
                <w:lang w:val="en-US"/>
              </w:rPr>
              <w:t xml:space="preserve"> (g) (Mean ± SE)</w:t>
            </w:r>
          </w:p>
        </w:tc>
      </w:tr>
      <w:tr w:rsidR="00036DA6">
        <w:trPr>
          <w:trHeight w:val="98"/>
          <w:jc w:val="center"/>
        </w:trPr>
        <w:tc>
          <w:tcPr>
            <w:tcW w:w="1365"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t>Age</w:t>
            </w:r>
          </w:p>
        </w:tc>
        <w:tc>
          <w:tcPr>
            <w:tcW w:w="1682" w:type="dxa"/>
            <w:tcBorders>
              <w:top w:val="single" w:sz="4" w:space="0" w:color="auto"/>
              <w:left w:val="single" w:sz="4" w:space="0" w:color="auto"/>
              <w:bottom w:val="single" w:sz="4" w:space="0" w:color="auto"/>
              <w:right w:val="single" w:sz="4" w:space="0" w:color="auto"/>
            </w:tcBorders>
            <w:vAlign w:val="bottom"/>
          </w:tcPr>
          <w:p w:rsidR="00036DA6" w:rsidRDefault="00B265C3">
            <w:pPr>
              <w:spacing w:after="0" w:line="240" w:lineRule="auto"/>
              <w:jc w:val="both"/>
            </w:pPr>
            <w:r>
              <w:rPr>
                <w:b/>
                <w:bCs/>
              </w:rPr>
              <w:t>C</w:t>
            </w:r>
          </w:p>
        </w:tc>
        <w:tc>
          <w:tcPr>
            <w:tcW w:w="1749" w:type="dxa"/>
            <w:tcBorders>
              <w:top w:val="single" w:sz="4" w:space="0" w:color="auto"/>
              <w:left w:val="single" w:sz="4" w:space="0" w:color="auto"/>
              <w:bottom w:val="single" w:sz="4" w:space="0" w:color="auto"/>
              <w:right w:val="single" w:sz="4" w:space="0" w:color="auto"/>
            </w:tcBorders>
            <w:vAlign w:val="bottom"/>
          </w:tcPr>
          <w:p w:rsidR="00036DA6" w:rsidRDefault="00B265C3">
            <w:pPr>
              <w:spacing w:after="0" w:line="240" w:lineRule="auto"/>
              <w:jc w:val="both"/>
            </w:pPr>
            <w:r>
              <w:rPr>
                <w:b/>
                <w:bCs/>
              </w:rPr>
              <w:t>S</w:t>
            </w:r>
          </w:p>
        </w:tc>
        <w:tc>
          <w:tcPr>
            <w:tcW w:w="1852" w:type="dxa"/>
            <w:tcBorders>
              <w:top w:val="single" w:sz="4" w:space="0" w:color="auto"/>
              <w:left w:val="single" w:sz="4" w:space="0" w:color="auto"/>
              <w:bottom w:val="single" w:sz="4" w:space="0" w:color="auto"/>
              <w:right w:val="single" w:sz="4" w:space="0" w:color="auto"/>
            </w:tcBorders>
            <w:vAlign w:val="bottom"/>
          </w:tcPr>
          <w:p w:rsidR="00036DA6" w:rsidRDefault="00B265C3">
            <w:pPr>
              <w:spacing w:after="0" w:line="240" w:lineRule="auto"/>
              <w:jc w:val="both"/>
            </w:pPr>
            <w:r>
              <w:rPr>
                <w:b/>
                <w:bCs/>
              </w:rPr>
              <w:t>T1</w:t>
            </w:r>
          </w:p>
        </w:tc>
        <w:tc>
          <w:tcPr>
            <w:tcW w:w="1749" w:type="dxa"/>
            <w:tcBorders>
              <w:top w:val="single" w:sz="4" w:space="0" w:color="auto"/>
              <w:left w:val="single" w:sz="4" w:space="0" w:color="auto"/>
              <w:bottom w:val="single" w:sz="4" w:space="0" w:color="auto"/>
              <w:right w:val="single" w:sz="4" w:space="0" w:color="auto"/>
            </w:tcBorders>
            <w:vAlign w:val="bottom"/>
          </w:tcPr>
          <w:p w:rsidR="00036DA6" w:rsidRDefault="00B265C3">
            <w:pPr>
              <w:spacing w:after="0" w:line="240" w:lineRule="auto"/>
              <w:jc w:val="both"/>
            </w:pPr>
            <w:r>
              <w:rPr>
                <w:b/>
                <w:bCs/>
              </w:rPr>
              <w:t>T2</w:t>
            </w:r>
          </w:p>
        </w:tc>
        <w:tc>
          <w:tcPr>
            <w:tcW w:w="2024" w:type="dxa"/>
            <w:tcBorders>
              <w:top w:val="single" w:sz="4" w:space="0" w:color="auto"/>
              <w:left w:val="single" w:sz="4" w:space="0" w:color="auto"/>
              <w:bottom w:val="single" w:sz="4" w:space="0" w:color="auto"/>
              <w:right w:val="single" w:sz="4" w:space="0" w:color="auto"/>
            </w:tcBorders>
            <w:vAlign w:val="bottom"/>
          </w:tcPr>
          <w:p w:rsidR="00036DA6" w:rsidRDefault="00B265C3">
            <w:pPr>
              <w:spacing w:after="0" w:line="240" w:lineRule="auto"/>
              <w:jc w:val="both"/>
            </w:pPr>
            <w:r>
              <w:rPr>
                <w:b/>
                <w:bCs/>
              </w:rPr>
              <w:t>T3</w:t>
            </w:r>
          </w:p>
        </w:tc>
      </w:tr>
      <w:tr w:rsidR="00036DA6">
        <w:trPr>
          <w:trHeight w:val="194"/>
          <w:jc w:val="center"/>
        </w:trPr>
        <w:tc>
          <w:tcPr>
            <w:tcW w:w="1365"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rPr>
                <w:lang w:val="en-US"/>
              </w:rPr>
            </w:pPr>
            <w:r>
              <w:t>1</w:t>
            </w:r>
            <w:r>
              <w:rPr>
                <w:vertAlign w:val="superscript"/>
              </w:rPr>
              <w:t xml:space="preserve">st </w:t>
            </w:r>
            <w:r>
              <w:t>Week</w:t>
            </w:r>
          </w:p>
        </w:tc>
        <w:tc>
          <w:tcPr>
            <w:tcW w:w="1682"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rPr>
                <w:lang w:val="en-US"/>
              </w:rPr>
              <w:t>108.63</w:t>
            </w:r>
            <w:r>
              <w:rPr>
                <w:b/>
                <w:bCs/>
                <w:lang w:val="en-US"/>
              </w:rPr>
              <w:t>±</w:t>
            </w:r>
            <w:r>
              <w:rPr>
                <w:lang w:val="en-US"/>
              </w:rPr>
              <w:t>3.86</w:t>
            </w:r>
            <w:r>
              <w:rPr>
                <w:vertAlign w:val="superscript"/>
                <w:lang w:val="en-US"/>
              </w:rPr>
              <w:t>a</w:t>
            </w:r>
          </w:p>
        </w:tc>
        <w:tc>
          <w:tcPr>
            <w:tcW w:w="174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rPr>
                <w:lang w:val="en-US"/>
              </w:rPr>
              <w:t>113.80</w:t>
            </w:r>
            <w:r>
              <w:rPr>
                <w:b/>
                <w:bCs/>
                <w:lang w:val="en-US"/>
              </w:rPr>
              <w:t>±</w:t>
            </w:r>
            <w:r>
              <w:rPr>
                <w:lang w:val="en-US"/>
              </w:rPr>
              <w:t>4.94</w:t>
            </w:r>
            <w:r>
              <w:rPr>
                <w:vertAlign w:val="superscript"/>
                <w:lang w:val="en-US"/>
              </w:rPr>
              <w:t>a</w:t>
            </w:r>
          </w:p>
        </w:tc>
        <w:tc>
          <w:tcPr>
            <w:tcW w:w="1852"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rPr>
                <w:lang w:val="en-US"/>
              </w:rPr>
              <w:t>115.80</w:t>
            </w:r>
            <w:r>
              <w:rPr>
                <w:b/>
                <w:bCs/>
                <w:lang w:val="en-US"/>
              </w:rPr>
              <w:t>±</w:t>
            </w:r>
            <w:r>
              <w:rPr>
                <w:lang w:val="en-US"/>
              </w:rPr>
              <w:t>4.82</w:t>
            </w:r>
            <w:r>
              <w:rPr>
                <w:vertAlign w:val="superscript"/>
                <w:lang w:val="en-US"/>
              </w:rPr>
              <w:t>a</w:t>
            </w:r>
          </w:p>
        </w:tc>
        <w:tc>
          <w:tcPr>
            <w:tcW w:w="174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rPr>
                <w:lang w:val="en-US"/>
              </w:rPr>
              <w:t>107.67</w:t>
            </w:r>
            <w:r>
              <w:rPr>
                <w:b/>
                <w:bCs/>
                <w:lang w:val="en-US"/>
              </w:rPr>
              <w:t>±</w:t>
            </w:r>
            <w:r>
              <w:rPr>
                <w:lang w:val="en-US"/>
              </w:rPr>
              <w:t>5.19</w:t>
            </w:r>
            <w:r>
              <w:rPr>
                <w:vertAlign w:val="superscript"/>
                <w:lang w:val="en-US"/>
              </w:rPr>
              <w:t>a</w:t>
            </w:r>
          </w:p>
        </w:tc>
        <w:tc>
          <w:tcPr>
            <w:tcW w:w="2024"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rPr>
                <w:lang w:val="en-US"/>
              </w:rPr>
              <w:t>113.03</w:t>
            </w:r>
            <w:r>
              <w:rPr>
                <w:b/>
                <w:bCs/>
                <w:lang w:val="en-US"/>
              </w:rPr>
              <w:t>±</w:t>
            </w:r>
            <w:r>
              <w:rPr>
                <w:lang w:val="en-US"/>
              </w:rPr>
              <w:t>4.18</w:t>
            </w:r>
            <w:r>
              <w:rPr>
                <w:vertAlign w:val="superscript"/>
                <w:lang w:val="en-US"/>
              </w:rPr>
              <w:t>a</w:t>
            </w:r>
          </w:p>
        </w:tc>
      </w:tr>
      <w:tr w:rsidR="00036DA6">
        <w:trPr>
          <w:trHeight w:val="200"/>
          <w:jc w:val="center"/>
        </w:trPr>
        <w:tc>
          <w:tcPr>
            <w:tcW w:w="1365"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rPr>
                <w:lang w:val="en-US"/>
              </w:rPr>
            </w:pPr>
            <w:r>
              <w:t>2</w:t>
            </w:r>
            <w:r>
              <w:rPr>
                <w:vertAlign w:val="superscript"/>
              </w:rPr>
              <w:t xml:space="preserve">nd </w:t>
            </w:r>
            <w:r>
              <w:t>Week</w:t>
            </w:r>
          </w:p>
        </w:tc>
        <w:tc>
          <w:tcPr>
            <w:tcW w:w="1682"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rPr>
                <w:bCs/>
                <w:lang w:val="en-US"/>
              </w:rPr>
              <w:t>185.13</w:t>
            </w:r>
            <w:r>
              <w:rPr>
                <w:b/>
                <w:bCs/>
                <w:lang w:val="en-US"/>
              </w:rPr>
              <w:t>±</w:t>
            </w:r>
            <w:r>
              <w:rPr>
                <w:lang w:val="en-US"/>
              </w:rPr>
              <w:t>8.40</w:t>
            </w:r>
            <w:r>
              <w:rPr>
                <w:vertAlign w:val="superscript"/>
                <w:lang w:val="en-US"/>
              </w:rPr>
              <w:t>a</w:t>
            </w:r>
          </w:p>
        </w:tc>
        <w:tc>
          <w:tcPr>
            <w:tcW w:w="174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rPr>
                <w:lang w:val="en-US"/>
              </w:rPr>
              <w:t>189.33</w:t>
            </w:r>
            <w:r>
              <w:rPr>
                <w:b/>
                <w:bCs/>
                <w:lang w:val="en-US"/>
              </w:rPr>
              <w:t>±</w:t>
            </w:r>
            <w:r>
              <w:rPr>
                <w:lang w:val="en-US"/>
              </w:rPr>
              <w:t>13.00</w:t>
            </w:r>
            <w:r>
              <w:rPr>
                <w:vertAlign w:val="superscript"/>
                <w:lang w:val="en-US"/>
              </w:rPr>
              <w:t>a</w:t>
            </w:r>
          </w:p>
        </w:tc>
        <w:tc>
          <w:tcPr>
            <w:tcW w:w="1852"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rPr>
                <w:lang w:val="en-US"/>
              </w:rPr>
              <w:t>200.80</w:t>
            </w:r>
            <w:r>
              <w:rPr>
                <w:b/>
                <w:bCs/>
                <w:lang w:val="en-US"/>
              </w:rPr>
              <w:t>±</w:t>
            </w:r>
            <w:r>
              <w:rPr>
                <w:lang w:val="en-US"/>
              </w:rPr>
              <w:t>7.69</w:t>
            </w:r>
            <w:r>
              <w:rPr>
                <w:vertAlign w:val="superscript"/>
                <w:lang w:val="en-US"/>
              </w:rPr>
              <w:t>a</w:t>
            </w:r>
          </w:p>
        </w:tc>
        <w:tc>
          <w:tcPr>
            <w:tcW w:w="174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rPr>
                <w:lang w:val="en-US"/>
              </w:rPr>
              <w:t>184.77</w:t>
            </w:r>
            <w:r>
              <w:rPr>
                <w:b/>
                <w:bCs/>
                <w:lang w:val="en-US"/>
              </w:rPr>
              <w:t>±</w:t>
            </w:r>
            <w:r>
              <w:rPr>
                <w:lang w:val="en-US"/>
              </w:rPr>
              <w:t>12.47</w:t>
            </w:r>
            <w:r>
              <w:rPr>
                <w:vertAlign w:val="superscript"/>
                <w:lang w:val="en-US"/>
              </w:rPr>
              <w:t>a</w:t>
            </w:r>
          </w:p>
        </w:tc>
        <w:tc>
          <w:tcPr>
            <w:tcW w:w="2024"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rPr>
                <w:lang w:val="en-US"/>
              </w:rPr>
              <w:t>192.70</w:t>
            </w:r>
            <w:r>
              <w:rPr>
                <w:b/>
                <w:bCs/>
                <w:lang w:val="en-US"/>
              </w:rPr>
              <w:t>±</w:t>
            </w:r>
            <w:r>
              <w:rPr>
                <w:lang w:val="en-US"/>
              </w:rPr>
              <w:t>11.18</w:t>
            </w:r>
            <w:r>
              <w:rPr>
                <w:vertAlign w:val="superscript"/>
                <w:lang w:val="en-US"/>
              </w:rPr>
              <w:t>a</w:t>
            </w:r>
          </w:p>
        </w:tc>
      </w:tr>
      <w:tr w:rsidR="00036DA6">
        <w:trPr>
          <w:trHeight w:val="200"/>
          <w:jc w:val="center"/>
        </w:trPr>
        <w:tc>
          <w:tcPr>
            <w:tcW w:w="1365"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t>3</w:t>
            </w:r>
            <w:r>
              <w:rPr>
                <w:vertAlign w:val="superscript"/>
              </w:rPr>
              <w:t xml:space="preserve">rd </w:t>
            </w:r>
            <w:r>
              <w:t>Week</w:t>
            </w:r>
          </w:p>
        </w:tc>
        <w:tc>
          <w:tcPr>
            <w:tcW w:w="1682"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t>282.60</w:t>
            </w:r>
            <w:r>
              <w:rPr>
                <w:b/>
                <w:bCs/>
                <w:lang w:val="en-US"/>
              </w:rPr>
              <w:t>±</w:t>
            </w:r>
            <w:r>
              <w:rPr>
                <w:lang w:val="en-US"/>
              </w:rPr>
              <w:t>14.36</w:t>
            </w:r>
            <w:r>
              <w:rPr>
                <w:vertAlign w:val="superscript"/>
                <w:lang w:val="en-US"/>
              </w:rPr>
              <w:t>a</w:t>
            </w:r>
          </w:p>
        </w:tc>
        <w:tc>
          <w:tcPr>
            <w:tcW w:w="174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rPr>
                <w:bCs/>
                <w:lang w:val="en-US"/>
              </w:rPr>
              <w:t>326.03</w:t>
            </w:r>
            <w:r>
              <w:rPr>
                <w:b/>
                <w:bCs/>
                <w:lang w:val="en-US"/>
              </w:rPr>
              <w:t>±</w:t>
            </w:r>
            <w:r>
              <w:rPr>
                <w:lang w:val="en-US"/>
              </w:rPr>
              <w:t>21.78</w:t>
            </w:r>
            <w:r>
              <w:rPr>
                <w:vertAlign w:val="superscript"/>
                <w:lang w:val="en-US"/>
              </w:rPr>
              <w:t>a,b</w:t>
            </w:r>
          </w:p>
        </w:tc>
        <w:tc>
          <w:tcPr>
            <w:tcW w:w="1852"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rPr>
                <w:lang w:val="en-US"/>
              </w:rPr>
              <w:t>442.37</w:t>
            </w:r>
            <w:r>
              <w:rPr>
                <w:b/>
                <w:bCs/>
                <w:lang w:val="en-US"/>
              </w:rPr>
              <w:t>±</w:t>
            </w:r>
            <w:r>
              <w:rPr>
                <w:lang w:val="en-US"/>
              </w:rPr>
              <w:t>13.79</w:t>
            </w:r>
            <w:r>
              <w:rPr>
                <w:vertAlign w:val="superscript"/>
                <w:lang w:val="en-US"/>
              </w:rPr>
              <w:t>c</w:t>
            </w:r>
            <w:r>
              <w:rPr>
                <w:b/>
                <w:bCs/>
                <w:lang w:val="en-US"/>
              </w:rPr>
              <w:t>**</w:t>
            </w:r>
          </w:p>
        </w:tc>
        <w:tc>
          <w:tcPr>
            <w:tcW w:w="174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rPr>
                <w:bCs/>
                <w:lang w:val="en-US"/>
              </w:rPr>
              <w:t>362.13</w:t>
            </w:r>
            <w:r>
              <w:rPr>
                <w:b/>
                <w:bCs/>
                <w:lang w:val="en-US"/>
              </w:rPr>
              <w:t>±</w:t>
            </w:r>
            <w:r>
              <w:rPr>
                <w:lang w:val="en-US"/>
              </w:rPr>
              <w:t>26.79</w:t>
            </w:r>
            <w:r>
              <w:rPr>
                <w:vertAlign w:val="superscript"/>
                <w:lang w:val="en-US"/>
              </w:rPr>
              <w:t>b</w:t>
            </w:r>
            <w:r>
              <w:rPr>
                <w:b/>
                <w:bCs/>
                <w:lang w:val="en-US"/>
              </w:rPr>
              <w:t>**</w:t>
            </w:r>
          </w:p>
        </w:tc>
        <w:tc>
          <w:tcPr>
            <w:tcW w:w="2024"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rPr>
                <w:lang w:val="en-US"/>
              </w:rPr>
              <w:t>373.97</w:t>
            </w:r>
            <w:r>
              <w:rPr>
                <w:b/>
                <w:bCs/>
                <w:lang w:val="en-US"/>
              </w:rPr>
              <w:t>±</w:t>
            </w:r>
            <w:r>
              <w:rPr>
                <w:lang w:val="en-US"/>
              </w:rPr>
              <w:t>25.79</w:t>
            </w:r>
            <w:r>
              <w:rPr>
                <w:vertAlign w:val="superscript"/>
                <w:lang w:val="en-US"/>
              </w:rPr>
              <w:t>b</w:t>
            </w:r>
            <w:r>
              <w:rPr>
                <w:b/>
                <w:bCs/>
                <w:lang w:val="en-US"/>
              </w:rPr>
              <w:t>**</w:t>
            </w:r>
          </w:p>
        </w:tc>
      </w:tr>
      <w:tr w:rsidR="00036DA6">
        <w:trPr>
          <w:trHeight w:val="200"/>
          <w:jc w:val="center"/>
        </w:trPr>
        <w:tc>
          <w:tcPr>
            <w:tcW w:w="1365"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t>4</w:t>
            </w:r>
            <w:r>
              <w:rPr>
                <w:vertAlign w:val="superscript"/>
              </w:rPr>
              <w:t xml:space="preserve">th </w:t>
            </w:r>
            <w:r>
              <w:t>Week</w:t>
            </w:r>
          </w:p>
        </w:tc>
        <w:tc>
          <w:tcPr>
            <w:tcW w:w="1682"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t>288.37</w:t>
            </w:r>
            <w:r>
              <w:rPr>
                <w:b/>
                <w:bCs/>
                <w:lang w:val="en-US"/>
              </w:rPr>
              <w:t>±</w:t>
            </w:r>
            <w:r>
              <w:rPr>
                <w:lang w:val="en-US"/>
              </w:rPr>
              <w:t>18.36</w:t>
            </w:r>
            <w:r>
              <w:rPr>
                <w:vertAlign w:val="superscript"/>
                <w:lang w:val="en-US"/>
              </w:rPr>
              <w:t>a</w:t>
            </w:r>
          </w:p>
        </w:tc>
        <w:tc>
          <w:tcPr>
            <w:tcW w:w="174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rPr>
                <w:bCs/>
                <w:lang w:val="en-US"/>
              </w:rPr>
              <w:t>423.03</w:t>
            </w:r>
            <w:r>
              <w:rPr>
                <w:b/>
                <w:bCs/>
                <w:lang w:val="en-US"/>
              </w:rPr>
              <w:t>±</w:t>
            </w:r>
            <w:r>
              <w:rPr>
                <w:lang w:val="en-US"/>
              </w:rPr>
              <w:t>40.14</w:t>
            </w:r>
            <w:r>
              <w:rPr>
                <w:vertAlign w:val="superscript"/>
                <w:lang w:val="en-US"/>
              </w:rPr>
              <w:t>b</w:t>
            </w:r>
            <w:r>
              <w:rPr>
                <w:b/>
                <w:bCs/>
                <w:lang w:val="en-US"/>
              </w:rPr>
              <w:t>**</w:t>
            </w:r>
          </w:p>
        </w:tc>
        <w:tc>
          <w:tcPr>
            <w:tcW w:w="1852"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rPr>
                <w:lang w:val="en-US"/>
              </w:rPr>
              <w:t>508.23</w:t>
            </w:r>
            <w:r>
              <w:rPr>
                <w:b/>
                <w:bCs/>
                <w:lang w:val="en-US"/>
              </w:rPr>
              <w:t>±</w:t>
            </w:r>
            <w:r>
              <w:rPr>
                <w:lang w:val="en-US"/>
              </w:rPr>
              <w:t>27.68</w:t>
            </w:r>
            <w:r>
              <w:rPr>
                <w:vertAlign w:val="superscript"/>
                <w:lang w:val="en-US"/>
              </w:rPr>
              <w:t>b,c</w:t>
            </w:r>
            <w:r>
              <w:rPr>
                <w:b/>
                <w:bCs/>
                <w:lang w:val="en-US"/>
              </w:rPr>
              <w:t>**</w:t>
            </w:r>
          </w:p>
        </w:tc>
        <w:tc>
          <w:tcPr>
            <w:tcW w:w="174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rPr>
                <w:lang w:val="en-US"/>
              </w:rPr>
              <w:t>496.40</w:t>
            </w:r>
            <w:r>
              <w:rPr>
                <w:b/>
                <w:bCs/>
                <w:lang w:val="en-US"/>
              </w:rPr>
              <w:t>±</w:t>
            </w:r>
            <w:r>
              <w:rPr>
                <w:lang w:val="en-US"/>
              </w:rPr>
              <w:t>31.79</w:t>
            </w:r>
            <w:r>
              <w:rPr>
                <w:vertAlign w:val="superscript"/>
                <w:lang w:val="en-US"/>
              </w:rPr>
              <w:t>b,c</w:t>
            </w:r>
            <w:r>
              <w:rPr>
                <w:b/>
                <w:bCs/>
                <w:lang w:val="en-US"/>
              </w:rPr>
              <w:t>**</w:t>
            </w:r>
          </w:p>
        </w:tc>
        <w:tc>
          <w:tcPr>
            <w:tcW w:w="2024"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rPr>
                <w:lang w:val="en-US"/>
              </w:rPr>
              <w:t>548.47</w:t>
            </w:r>
            <w:r>
              <w:rPr>
                <w:b/>
                <w:bCs/>
                <w:lang w:val="en-US"/>
              </w:rPr>
              <w:t>±</w:t>
            </w:r>
            <w:r>
              <w:rPr>
                <w:lang w:val="en-US"/>
              </w:rPr>
              <w:t>38.87</w:t>
            </w:r>
            <w:r>
              <w:rPr>
                <w:vertAlign w:val="superscript"/>
                <w:lang w:val="en-US"/>
              </w:rPr>
              <w:t>c</w:t>
            </w:r>
            <w:r>
              <w:rPr>
                <w:b/>
                <w:bCs/>
                <w:lang w:val="en-US"/>
              </w:rPr>
              <w:t>**</w:t>
            </w:r>
          </w:p>
        </w:tc>
      </w:tr>
      <w:tr w:rsidR="00036DA6">
        <w:trPr>
          <w:trHeight w:val="200"/>
          <w:jc w:val="center"/>
        </w:trPr>
        <w:tc>
          <w:tcPr>
            <w:tcW w:w="1365"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t>5</w:t>
            </w:r>
            <w:r>
              <w:rPr>
                <w:vertAlign w:val="superscript"/>
              </w:rPr>
              <w:t>th</w:t>
            </w:r>
            <w:r>
              <w:t>Week</w:t>
            </w:r>
          </w:p>
        </w:tc>
        <w:tc>
          <w:tcPr>
            <w:tcW w:w="1682"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t>506.90</w:t>
            </w:r>
            <w:r>
              <w:rPr>
                <w:b/>
                <w:bCs/>
                <w:lang w:val="en-US"/>
              </w:rPr>
              <w:t>±</w:t>
            </w:r>
            <w:r>
              <w:rPr>
                <w:lang w:val="en-US"/>
              </w:rPr>
              <w:t>24.33</w:t>
            </w:r>
            <w:r>
              <w:rPr>
                <w:vertAlign w:val="superscript"/>
                <w:lang w:val="en-US"/>
              </w:rPr>
              <w:t>a</w:t>
            </w:r>
          </w:p>
        </w:tc>
        <w:tc>
          <w:tcPr>
            <w:tcW w:w="174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rPr>
                <w:bCs/>
                <w:lang w:val="en-US"/>
              </w:rPr>
              <w:t>445.30</w:t>
            </w:r>
            <w:r>
              <w:rPr>
                <w:b/>
                <w:bCs/>
                <w:lang w:val="en-US"/>
              </w:rPr>
              <w:t>±</w:t>
            </w:r>
            <w:r>
              <w:rPr>
                <w:lang w:val="en-US"/>
              </w:rPr>
              <w:t>43.35</w:t>
            </w:r>
            <w:r>
              <w:rPr>
                <w:vertAlign w:val="superscript"/>
                <w:lang w:val="en-US"/>
              </w:rPr>
              <w:t>a</w:t>
            </w:r>
          </w:p>
        </w:tc>
        <w:tc>
          <w:tcPr>
            <w:tcW w:w="1852"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rPr>
                <w:bCs/>
                <w:lang w:val="en-US"/>
              </w:rPr>
              <w:t>479.00</w:t>
            </w:r>
            <w:r>
              <w:rPr>
                <w:b/>
                <w:bCs/>
                <w:lang w:val="en-US"/>
              </w:rPr>
              <w:t>±</w:t>
            </w:r>
            <w:r>
              <w:rPr>
                <w:lang w:val="en-US"/>
              </w:rPr>
              <w:t>31.77</w:t>
            </w:r>
            <w:r>
              <w:rPr>
                <w:vertAlign w:val="superscript"/>
                <w:lang w:val="en-US"/>
              </w:rPr>
              <w:t>a</w:t>
            </w:r>
          </w:p>
        </w:tc>
        <w:tc>
          <w:tcPr>
            <w:tcW w:w="174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rPr>
                <w:lang w:val="en-US"/>
              </w:rPr>
              <w:t>482.87</w:t>
            </w:r>
            <w:r>
              <w:rPr>
                <w:b/>
                <w:bCs/>
                <w:lang w:val="en-US"/>
              </w:rPr>
              <w:t>±</w:t>
            </w:r>
            <w:r>
              <w:rPr>
                <w:lang w:val="en-US"/>
              </w:rPr>
              <w:t>28.32</w:t>
            </w:r>
            <w:r>
              <w:rPr>
                <w:vertAlign w:val="superscript"/>
                <w:lang w:val="en-US"/>
              </w:rPr>
              <w:t>a</w:t>
            </w:r>
          </w:p>
        </w:tc>
        <w:tc>
          <w:tcPr>
            <w:tcW w:w="2024"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rPr>
                <w:bCs/>
                <w:lang w:val="en-US"/>
              </w:rPr>
              <w:t>488.07</w:t>
            </w:r>
            <w:r>
              <w:rPr>
                <w:b/>
                <w:bCs/>
                <w:lang w:val="en-US"/>
              </w:rPr>
              <w:t>±</w:t>
            </w:r>
            <w:r>
              <w:rPr>
                <w:lang w:val="en-US"/>
              </w:rPr>
              <w:t>44.20</w:t>
            </w:r>
            <w:r>
              <w:rPr>
                <w:vertAlign w:val="superscript"/>
                <w:lang w:val="en-US"/>
              </w:rPr>
              <w:t>a</w:t>
            </w:r>
          </w:p>
        </w:tc>
      </w:tr>
      <w:tr w:rsidR="00036DA6">
        <w:trPr>
          <w:trHeight w:val="194"/>
          <w:jc w:val="center"/>
        </w:trPr>
        <w:tc>
          <w:tcPr>
            <w:tcW w:w="1365"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rPr>
                <w:lang w:val="en-US"/>
              </w:rPr>
            </w:pPr>
            <w:r>
              <w:t>6</w:t>
            </w:r>
            <w:r>
              <w:rPr>
                <w:vertAlign w:val="superscript"/>
              </w:rPr>
              <w:t xml:space="preserve">th </w:t>
            </w:r>
            <w:r>
              <w:t>Week</w:t>
            </w:r>
          </w:p>
        </w:tc>
        <w:tc>
          <w:tcPr>
            <w:tcW w:w="1682"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rPr>
                <w:bCs/>
                <w:lang w:val="en-US"/>
              </w:rPr>
              <w:t>422.17</w:t>
            </w:r>
            <w:r>
              <w:rPr>
                <w:b/>
                <w:bCs/>
                <w:lang w:val="en-US"/>
              </w:rPr>
              <w:t>±</w:t>
            </w:r>
            <w:r>
              <w:rPr>
                <w:lang w:val="en-US"/>
              </w:rPr>
              <w:t>15.81</w:t>
            </w:r>
            <w:r>
              <w:rPr>
                <w:vertAlign w:val="superscript"/>
                <w:lang w:val="en-US"/>
              </w:rPr>
              <w:t>b</w:t>
            </w:r>
          </w:p>
        </w:tc>
        <w:tc>
          <w:tcPr>
            <w:tcW w:w="174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rPr>
                <w:bCs/>
                <w:lang w:val="en-US"/>
              </w:rPr>
              <w:t>378.87</w:t>
            </w:r>
            <w:r>
              <w:rPr>
                <w:b/>
                <w:bCs/>
                <w:lang w:val="en-US"/>
              </w:rPr>
              <w:t>±</w:t>
            </w:r>
            <w:r>
              <w:rPr>
                <w:lang w:val="en-US"/>
              </w:rPr>
              <w:t>17.26</w:t>
            </w:r>
            <w:r>
              <w:rPr>
                <w:vertAlign w:val="superscript"/>
                <w:lang w:val="en-US"/>
              </w:rPr>
              <w:t>a,b</w:t>
            </w:r>
          </w:p>
        </w:tc>
        <w:tc>
          <w:tcPr>
            <w:tcW w:w="1852"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rPr>
                <w:bCs/>
                <w:lang w:val="en-US"/>
              </w:rPr>
              <w:t>345.47</w:t>
            </w:r>
            <w:r>
              <w:rPr>
                <w:b/>
                <w:bCs/>
                <w:lang w:val="en-US"/>
              </w:rPr>
              <w:t>±</w:t>
            </w:r>
            <w:r>
              <w:rPr>
                <w:lang w:val="en-US"/>
              </w:rPr>
              <w:t>30.22</w:t>
            </w:r>
            <w:r>
              <w:rPr>
                <w:vertAlign w:val="superscript"/>
                <w:lang w:val="en-US"/>
              </w:rPr>
              <w:t>a</w:t>
            </w:r>
            <w:r>
              <w:rPr>
                <w:b/>
                <w:bCs/>
                <w:lang w:val="en-US"/>
              </w:rPr>
              <w:t>*</w:t>
            </w:r>
          </w:p>
        </w:tc>
        <w:tc>
          <w:tcPr>
            <w:tcW w:w="1749"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rPr>
                <w:bCs/>
                <w:lang w:val="en-US"/>
              </w:rPr>
              <w:t>400.99</w:t>
            </w:r>
            <w:r>
              <w:rPr>
                <w:b/>
                <w:bCs/>
                <w:lang w:val="en-US"/>
              </w:rPr>
              <w:t>±</w:t>
            </w:r>
            <w:r>
              <w:rPr>
                <w:lang w:val="en-US"/>
              </w:rPr>
              <w:t>15.61</w:t>
            </w:r>
            <w:r>
              <w:rPr>
                <w:vertAlign w:val="superscript"/>
                <w:lang w:val="en-US"/>
              </w:rPr>
              <w:t>a,b</w:t>
            </w:r>
          </w:p>
        </w:tc>
        <w:tc>
          <w:tcPr>
            <w:tcW w:w="2024" w:type="dxa"/>
            <w:tcBorders>
              <w:top w:val="single" w:sz="4" w:space="0" w:color="auto"/>
              <w:left w:val="single" w:sz="4" w:space="0" w:color="auto"/>
              <w:bottom w:val="single" w:sz="4" w:space="0" w:color="auto"/>
              <w:right w:val="single" w:sz="4" w:space="0" w:color="auto"/>
            </w:tcBorders>
          </w:tcPr>
          <w:p w:rsidR="00036DA6" w:rsidRDefault="00B265C3">
            <w:pPr>
              <w:spacing w:after="0" w:line="240" w:lineRule="auto"/>
              <w:jc w:val="both"/>
            </w:pPr>
            <w:r>
              <w:rPr>
                <w:lang w:val="en-US"/>
              </w:rPr>
              <w:t>378</w:t>
            </w:r>
            <w:r>
              <w:rPr>
                <w:bCs/>
                <w:lang w:val="en-US"/>
              </w:rPr>
              <w:t>.90</w:t>
            </w:r>
            <w:r>
              <w:rPr>
                <w:b/>
                <w:bCs/>
                <w:lang w:val="en-US"/>
              </w:rPr>
              <w:t>±</w:t>
            </w:r>
            <w:r>
              <w:rPr>
                <w:lang w:val="en-US"/>
              </w:rPr>
              <w:t>31.48</w:t>
            </w:r>
            <w:r>
              <w:rPr>
                <w:vertAlign w:val="superscript"/>
                <w:lang w:val="en-US"/>
              </w:rPr>
              <w:t>a,b</w:t>
            </w:r>
          </w:p>
        </w:tc>
      </w:tr>
    </w:tbl>
    <w:p w:rsidR="00036DA6" w:rsidRDefault="00036DA6"/>
    <w:p w:rsidR="00036DA6" w:rsidRDefault="00B265C3">
      <w:pPr>
        <w:ind w:firstLine="1134"/>
        <w:jc w:val="both"/>
      </w:pPr>
      <w:r>
        <w:rPr>
          <w:b/>
          <w:bCs/>
        </w:rPr>
        <w:t xml:space="preserve">Weekly FCR: </w:t>
      </w:r>
      <w:r>
        <w:t xml:space="preserve">Table </w:t>
      </w:r>
      <w:r w:rsidR="00A04834">
        <w:t>6</w:t>
      </w:r>
      <w:r>
        <w:t xml:space="preserve"> shows the mean SE values of FCR in different experimental groups at weekly intervals of the experiment, </w:t>
      </w:r>
      <w:commentRangeStart w:id="7"/>
      <w:r>
        <w:t>which are graphically displayed in</w:t>
      </w:r>
      <w:commentRangeEnd w:id="7"/>
      <w:r w:rsidR="003D79EA">
        <w:rPr>
          <w:rStyle w:val="CommentReference"/>
        </w:rPr>
        <w:commentReference w:id="7"/>
      </w:r>
      <w:r>
        <w:t>. At the 1</w:t>
      </w:r>
      <w:r>
        <w:rPr>
          <w:vertAlign w:val="superscript"/>
        </w:rPr>
        <w:t>st</w:t>
      </w:r>
      <w:r>
        <w:t>, 2</w:t>
      </w:r>
      <w:r>
        <w:rPr>
          <w:vertAlign w:val="superscript"/>
        </w:rPr>
        <w:t>nd</w:t>
      </w:r>
      <w:r>
        <w:t>, 5</w:t>
      </w:r>
      <w:r>
        <w:rPr>
          <w:vertAlign w:val="superscript"/>
        </w:rPr>
        <w:t>th</w:t>
      </w:r>
      <w:r>
        <w:t>, and 6</w:t>
      </w:r>
      <w:r>
        <w:rPr>
          <w:vertAlign w:val="superscript"/>
        </w:rPr>
        <w:t>th</w:t>
      </w:r>
      <w:r>
        <w:t xml:space="preserve"> weeks of administration, there were no significant variations in the average weekly feed conversion ratio of broiler chickens from the S (Standard), T1 (MLE), T2 (CUD), and T3 (MLE+CUD) groups. During the third and fourth weeks of administration, however, it was significantly (P&lt;0.05, &lt;0.01, and &lt;0.001) lower in the S (Standard), MLE (T1), CUD (T2), and MLE+CUD (T3) treated groups compared to the control group (table </w:t>
      </w:r>
      <w:r w:rsidR="00A04834">
        <w:t>7</w:t>
      </w:r>
      <w:r>
        <w:t xml:space="preserve">). </w:t>
      </w:r>
    </w:p>
    <w:p w:rsidR="00036DA6" w:rsidRDefault="00B265C3">
      <w:pPr>
        <w:ind w:firstLine="1134"/>
        <w:jc w:val="both"/>
      </w:pPr>
      <w:r>
        <w:lastRenderedPageBreak/>
        <w:t>Similarly, Akhouri</w:t>
      </w:r>
      <w:r>
        <w:rPr>
          <w:i/>
          <w:iCs/>
        </w:rPr>
        <w:t>et al</w:t>
      </w:r>
      <w:r>
        <w:t xml:space="preserve">. (2013) found that the M. oleifera leaf fed group had a higher feed conversion ratio (P&lt;0.05) than both the control and standard groups. In addition, Allam </w:t>
      </w:r>
      <w:r>
        <w:rPr>
          <w:i/>
          <w:iCs/>
        </w:rPr>
        <w:t>et al</w:t>
      </w:r>
      <w:r>
        <w:t xml:space="preserve">. (2016) found that Moringa leaf extracts, both watery and alcoholic, resulted in a significant increase in body weight, weight gain, and enhanced feed conversion rate. Moreover, according to Sushma </w:t>
      </w:r>
      <w:r>
        <w:rPr>
          <w:i/>
          <w:iCs/>
        </w:rPr>
        <w:t>et al</w:t>
      </w:r>
      <w:r>
        <w:t xml:space="preserve">. (2021), the FCR of the various treatment groups ranged from 1.50 to 1.61, with the </w:t>
      </w:r>
      <w:commentRangeStart w:id="8"/>
      <w:r>
        <w:t xml:space="preserve">Ongole and Sahiwal </w:t>
      </w:r>
      <w:commentRangeEnd w:id="8"/>
      <w:r w:rsidR="00B9425E">
        <w:rPr>
          <w:rStyle w:val="CommentReference"/>
        </w:rPr>
        <w:commentReference w:id="8"/>
      </w:r>
      <w:r>
        <w:t>CUD groups having the highest FCR.</w:t>
      </w:r>
    </w:p>
    <w:tbl>
      <w:tblPr>
        <w:tblStyle w:val="TableGrid"/>
        <w:tblW w:w="9735" w:type="dxa"/>
        <w:jc w:val="center"/>
        <w:tblLayout w:type="fixed"/>
        <w:tblLook w:val="04A0"/>
      </w:tblPr>
      <w:tblGrid>
        <w:gridCol w:w="1425"/>
        <w:gridCol w:w="1424"/>
        <w:gridCol w:w="1633"/>
        <w:gridCol w:w="1730"/>
        <w:gridCol w:w="1633"/>
        <w:gridCol w:w="1890"/>
      </w:tblGrid>
      <w:tr w:rsidR="00036DA6">
        <w:trPr>
          <w:trHeight w:val="113"/>
          <w:jc w:val="center"/>
        </w:trPr>
        <w:tc>
          <w:tcPr>
            <w:tcW w:w="9738" w:type="dxa"/>
            <w:gridSpan w:val="6"/>
            <w:tcBorders>
              <w:top w:val="nil"/>
              <w:left w:val="nil"/>
              <w:bottom w:val="single" w:sz="4" w:space="0" w:color="auto"/>
              <w:right w:val="nil"/>
            </w:tcBorders>
          </w:tcPr>
          <w:p w:rsidR="00036DA6" w:rsidRDefault="00B265C3">
            <w:pPr>
              <w:spacing w:after="0"/>
              <w:jc w:val="both"/>
            </w:pPr>
            <w:r>
              <w:rPr>
                <w:lang w:val="en-US"/>
              </w:rPr>
              <w:t xml:space="preserve">Table </w:t>
            </w:r>
            <w:r w:rsidR="00A04834">
              <w:rPr>
                <w:lang w:val="en-US"/>
              </w:rPr>
              <w:t>7</w:t>
            </w:r>
            <w:r>
              <w:rPr>
                <w:lang w:val="en-US"/>
              </w:rPr>
              <w:t>: Effect of dietary supplementation of MLE and indigenous CUD and combination of both on average weekly feed conversion ratio (FCR) of broiler chicks (n=30).</w:t>
            </w:r>
          </w:p>
        </w:tc>
      </w:tr>
      <w:tr w:rsidR="00036DA6">
        <w:trPr>
          <w:trHeight w:val="113"/>
          <w:jc w:val="center"/>
        </w:trPr>
        <w:tc>
          <w:tcPr>
            <w:tcW w:w="9738" w:type="dxa"/>
            <w:gridSpan w:val="6"/>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 xml:space="preserve">Weekly average FCR </w:t>
            </w:r>
            <w:r>
              <w:rPr>
                <w:lang w:val="en-US"/>
              </w:rPr>
              <w:t>(Mean ± SE)</w:t>
            </w:r>
          </w:p>
        </w:tc>
      </w:tr>
      <w:tr w:rsidR="00036DA6">
        <w:trPr>
          <w:trHeight w:val="113"/>
          <w:jc w:val="center"/>
        </w:trPr>
        <w:tc>
          <w:tcPr>
            <w:tcW w:w="1424"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Age</w:t>
            </w:r>
          </w:p>
        </w:tc>
        <w:tc>
          <w:tcPr>
            <w:tcW w:w="1424" w:type="dxa"/>
            <w:tcBorders>
              <w:top w:val="single" w:sz="4" w:space="0" w:color="auto"/>
              <w:left w:val="single" w:sz="4" w:space="0" w:color="auto"/>
              <w:bottom w:val="single" w:sz="4" w:space="0" w:color="auto"/>
              <w:right w:val="single" w:sz="4" w:space="0" w:color="auto"/>
            </w:tcBorders>
            <w:vAlign w:val="bottom"/>
          </w:tcPr>
          <w:p w:rsidR="00036DA6" w:rsidRDefault="00B265C3">
            <w:pPr>
              <w:spacing w:after="0"/>
              <w:jc w:val="both"/>
            </w:pPr>
            <w:r>
              <w:rPr>
                <w:b/>
                <w:bCs/>
              </w:rPr>
              <w:t>C</w:t>
            </w:r>
          </w:p>
        </w:tc>
        <w:tc>
          <w:tcPr>
            <w:tcW w:w="1634" w:type="dxa"/>
            <w:tcBorders>
              <w:top w:val="single" w:sz="4" w:space="0" w:color="auto"/>
              <w:left w:val="single" w:sz="4" w:space="0" w:color="auto"/>
              <w:bottom w:val="single" w:sz="4" w:space="0" w:color="auto"/>
              <w:right w:val="single" w:sz="4" w:space="0" w:color="auto"/>
            </w:tcBorders>
            <w:vAlign w:val="bottom"/>
          </w:tcPr>
          <w:p w:rsidR="00036DA6" w:rsidRDefault="00B265C3">
            <w:pPr>
              <w:spacing w:after="0"/>
              <w:jc w:val="both"/>
            </w:pPr>
            <w:r>
              <w:rPr>
                <w:b/>
                <w:bCs/>
              </w:rPr>
              <w:t>S</w:t>
            </w:r>
          </w:p>
        </w:tc>
        <w:tc>
          <w:tcPr>
            <w:tcW w:w="1731" w:type="dxa"/>
            <w:tcBorders>
              <w:top w:val="single" w:sz="4" w:space="0" w:color="auto"/>
              <w:left w:val="single" w:sz="4" w:space="0" w:color="auto"/>
              <w:bottom w:val="single" w:sz="4" w:space="0" w:color="auto"/>
              <w:right w:val="single" w:sz="4" w:space="0" w:color="auto"/>
            </w:tcBorders>
            <w:vAlign w:val="bottom"/>
          </w:tcPr>
          <w:p w:rsidR="00036DA6" w:rsidRDefault="00B265C3">
            <w:pPr>
              <w:spacing w:after="0"/>
              <w:jc w:val="both"/>
            </w:pPr>
            <w:r>
              <w:rPr>
                <w:b/>
                <w:bCs/>
              </w:rPr>
              <w:t>T1</w:t>
            </w:r>
          </w:p>
        </w:tc>
        <w:tc>
          <w:tcPr>
            <w:tcW w:w="1634" w:type="dxa"/>
            <w:tcBorders>
              <w:top w:val="single" w:sz="4" w:space="0" w:color="auto"/>
              <w:left w:val="single" w:sz="4" w:space="0" w:color="auto"/>
              <w:bottom w:val="single" w:sz="4" w:space="0" w:color="auto"/>
              <w:right w:val="single" w:sz="4" w:space="0" w:color="auto"/>
            </w:tcBorders>
            <w:vAlign w:val="bottom"/>
          </w:tcPr>
          <w:p w:rsidR="00036DA6" w:rsidRDefault="00B265C3">
            <w:pPr>
              <w:spacing w:after="0"/>
              <w:jc w:val="both"/>
            </w:pPr>
            <w:r>
              <w:rPr>
                <w:b/>
                <w:bCs/>
              </w:rPr>
              <w:t>T2</w:t>
            </w:r>
          </w:p>
        </w:tc>
        <w:tc>
          <w:tcPr>
            <w:tcW w:w="1891" w:type="dxa"/>
            <w:tcBorders>
              <w:top w:val="single" w:sz="4" w:space="0" w:color="auto"/>
              <w:left w:val="single" w:sz="4" w:space="0" w:color="auto"/>
              <w:bottom w:val="single" w:sz="4" w:space="0" w:color="auto"/>
              <w:right w:val="single" w:sz="4" w:space="0" w:color="auto"/>
            </w:tcBorders>
            <w:vAlign w:val="bottom"/>
          </w:tcPr>
          <w:p w:rsidR="00036DA6" w:rsidRDefault="00B265C3">
            <w:pPr>
              <w:spacing w:after="0"/>
              <w:jc w:val="both"/>
            </w:pPr>
            <w:r>
              <w:rPr>
                <w:b/>
                <w:bCs/>
              </w:rPr>
              <w:t>T3</w:t>
            </w:r>
          </w:p>
        </w:tc>
      </w:tr>
      <w:tr w:rsidR="00036DA6">
        <w:trPr>
          <w:trHeight w:val="222"/>
          <w:jc w:val="center"/>
        </w:trPr>
        <w:tc>
          <w:tcPr>
            <w:tcW w:w="1424"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rPr>
                <w:lang w:val="en-US"/>
              </w:rPr>
            </w:pPr>
            <w:r>
              <w:t>1</w:t>
            </w:r>
            <w:r>
              <w:rPr>
                <w:vertAlign w:val="superscript"/>
              </w:rPr>
              <w:t xml:space="preserve">st </w:t>
            </w:r>
            <w:r>
              <w:t>Week</w:t>
            </w:r>
          </w:p>
        </w:tc>
        <w:tc>
          <w:tcPr>
            <w:tcW w:w="1424"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1.16</w:t>
            </w:r>
            <w:r>
              <w:rPr>
                <w:b/>
                <w:bCs/>
              </w:rPr>
              <w:t>±</w:t>
            </w:r>
            <w:r>
              <w:t>0.08</w:t>
            </w:r>
            <w:r>
              <w:rPr>
                <w:vertAlign w:val="superscript"/>
                <w:lang w:val="en-US"/>
              </w:rPr>
              <w:t>a</w:t>
            </w:r>
          </w:p>
        </w:tc>
        <w:tc>
          <w:tcPr>
            <w:tcW w:w="1634"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1.15</w:t>
            </w:r>
            <w:r>
              <w:rPr>
                <w:b/>
                <w:bCs/>
              </w:rPr>
              <w:t>±</w:t>
            </w:r>
            <w:r>
              <w:t>0.04</w:t>
            </w:r>
            <w:r>
              <w:rPr>
                <w:vertAlign w:val="superscript"/>
                <w:lang w:val="en-US"/>
              </w:rPr>
              <w:t>a</w:t>
            </w:r>
          </w:p>
        </w:tc>
        <w:tc>
          <w:tcPr>
            <w:tcW w:w="1731"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1.15</w:t>
            </w:r>
            <w:r>
              <w:rPr>
                <w:b/>
                <w:bCs/>
              </w:rPr>
              <w:t>±</w:t>
            </w:r>
            <w:r>
              <w:t>0.03</w:t>
            </w:r>
            <w:r>
              <w:rPr>
                <w:vertAlign w:val="superscript"/>
                <w:lang w:val="en-US"/>
              </w:rPr>
              <w:t>a</w:t>
            </w:r>
          </w:p>
        </w:tc>
        <w:tc>
          <w:tcPr>
            <w:tcW w:w="1634"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1.15</w:t>
            </w:r>
            <w:r>
              <w:rPr>
                <w:b/>
                <w:bCs/>
              </w:rPr>
              <w:t>±</w:t>
            </w:r>
            <w:r>
              <w:t>0.02</w:t>
            </w:r>
            <w:r>
              <w:rPr>
                <w:vertAlign w:val="superscript"/>
                <w:lang w:val="en-US"/>
              </w:rPr>
              <w:t>a</w:t>
            </w:r>
          </w:p>
        </w:tc>
        <w:tc>
          <w:tcPr>
            <w:tcW w:w="1891"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1.09</w:t>
            </w:r>
            <w:r>
              <w:rPr>
                <w:b/>
                <w:bCs/>
              </w:rPr>
              <w:t>±</w:t>
            </w:r>
            <w:r>
              <w:t>0.07</w:t>
            </w:r>
            <w:r>
              <w:rPr>
                <w:vertAlign w:val="superscript"/>
                <w:lang w:val="en-US"/>
              </w:rPr>
              <w:t>a</w:t>
            </w:r>
          </w:p>
        </w:tc>
      </w:tr>
      <w:tr w:rsidR="00036DA6">
        <w:trPr>
          <w:trHeight w:val="229"/>
          <w:jc w:val="center"/>
        </w:trPr>
        <w:tc>
          <w:tcPr>
            <w:tcW w:w="1424"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rPr>
                <w:lang w:val="en-US"/>
              </w:rPr>
            </w:pPr>
            <w:r>
              <w:t>2</w:t>
            </w:r>
            <w:r>
              <w:rPr>
                <w:vertAlign w:val="superscript"/>
              </w:rPr>
              <w:t xml:space="preserve">nd </w:t>
            </w:r>
            <w:r>
              <w:t>Week</w:t>
            </w:r>
          </w:p>
        </w:tc>
        <w:tc>
          <w:tcPr>
            <w:tcW w:w="1424"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1.80</w:t>
            </w:r>
            <w:r>
              <w:rPr>
                <w:b/>
                <w:bCs/>
              </w:rPr>
              <w:t>±</w:t>
            </w:r>
            <w:r>
              <w:t>0.02</w:t>
            </w:r>
            <w:r>
              <w:rPr>
                <w:vertAlign w:val="superscript"/>
                <w:lang w:val="en-US"/>
              </w:rPr>
              <w:t>a</w:t>
            </w:r>
          </w:p>
        </w:tc>
        <w:tc>
          <w:tcPr>
            <w:tcW w:w="1634"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1.80</w:t>
            </w:r>
            <w:r>
              <w:rPr>
                <w:b/>
                <w:bCs/>
              </w:rPr>
              <w:t>±</w:t>
            </w:r>
            <w:r>
              <w:t>0.05</w:t>
            </w:r>
            <w:r>
              <w:rPr>
                <w:vertAlign w:val="superscript"/>
                <w:lang w:val="en-US"/>
              </w:rPr>
              <w:t>a</w:t>
            </w:r>
          </w:p>
        </w:tc>
        <w:tc>
          <w:tcPr>
            <w:tcW w:w="1731"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1.67</w:t>
            </w:r>
            <w:r>
              <w:rPr>
                <w:b/>
                <w:bCs/>
              </w:rPr>
              <w:t>±</w:t>
            </w:r>
            <w:r>
              <w:t>0.05</w:t>
            </w:r>
            <w:r>
              <w:rPr>
                <w:vertAlign w:val="superscript"/>
                <w:lang w:val="en-US"/>
              </w:rPr>
              <w:t>a</w:t>
            </w:r>
          </w:p>
        </w:tc>
        <w:tc>
          <w:tcPr>
            <w:tcW w:w="1634"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1.73</w:t>
            </w:r>
            <w:r>
              <w:rPr>
                <w:b/>
                <w:bCs/>
              </w:rPr>
              <w:t>±</w:t>
            </w:r>
            <w:r>
              <w:t>0.03</w:t>
            </w:r>
            <w:r>
              <w:rPr>
                <w:vertAlign w:val="superscript"/>
                <w:lang w:val="en-US"/>
              </w:rPr>
              <w:t>a</w:t>
            </w:r>
          </w:p>
        </w:tc>
        <w:tc>
          <w:tcPr>
            <w:tcW w:w="1891"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1.70</w:t>
            </w:r>
            <w:r>
              <w:rPr>
                <w:b/>
                <w:bCs/>
              </w:rPr>
              <w:t>±</w:t>
            </w:r>
            <w:r>
              <w:t>0.10</w:t>
            </w:r>
            <w:r>
              <w:rPr>
                <w:vertAlign w:val="superscript"/>
                <w:lang w:val="en-US"/>
              </w:rPr>
              <w:t>a</w:t>
            </w:r>
          </w:p>
        </w:tc>
      </w:tr>
      <w:tr w:rsidR="00036DA6">
        <w:trPr>
          <w:trHeight w:val="229"/>
          <w:jc w:val="center"/>
        </w:trPr>
        <w:tc>
          <w:tcPr>
            <w:tcW w:w="1424"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3</w:t>
            </w:r>
            <w:r>
              <w:rPr>
                <w:vertAlign w:val="superscript"/>
              </w:rPr>
              <w:t xml:space="preserve">rd </w:t>
            </w:r>
            <w:r>
              <w:t>Week</w:t>
            </w:r>
          </w:p>
        </w:tc>
        <w:tc>
          <w:tcPr>
            <w:tcW w:w="1424"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1.98</w:t>
            </w:r>
            <w:r>
              <w:rPr>
                <w:b/>
                <w:bCs/>
              </w:rPr>
              <w:t>±</w:t>
            </w:r>
            <w:r>
              <w:t>0.16</w:t>
            </w:r>
            <w:r>
              <w:rPr>
                <w:vertAlign w:val="superscript"/>
                <w:lang w:val="en-US"/>
              </w:rPr>
              <w:t>c</w:t>
            </w:r>
          </w:p>
        </w:tc>
        <w:tc>
          <w:tcPr>
            <w:tcW w:w="1634"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1.69</w:t>
            </w:r>
            <w:r>
              <w:rPr>
                <w:b/>
                <w:bCs/>
              </w:rPr>
              <w:t>±</w:t>
            </w:r>
            <w:r>
              <w:t>0.02</w:t>
            </w:r>
            <w:r>
              <w:rPr>
                <w:vertAlign w:val="superscript"/>
                <w:lang w:val="en-US"/>
              </w:rPr>
              <w:t xml:space="preserve">b </w:t>
            </w:r>
            <w:r>
              <w:rPr>
                <w:b/>
                <w:bCs/>
                <w:lang w:val="en-US"/>
              </w:rPr>
              <w:t>*</w:t>
            </w:r>
          </w:p>
        </w:tc>
        <w:tc>
          <w:tcPr>
            <w:tcW w:w="1731"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1.19</w:t>
            </w:r>
            <w:r>
              <w:rPr>
                <w:b/>
                <w:bCs/>
              </w:rPr>
              <w:t>±</w:t>
            </w:r>
            <w:r>
              <w:t>0.03</w:t>
            </w:r>
            <w:r>
              <w:rPr>
                <w:vertAlign w:val="superscript"/>
                <w:lang w:val="en-US"/>
              </w:rPr>
              <w:t>a</w:t>
            </w:r>
            <w:r>
              <w:rPr>
                <w:b/>
                <w:bCs/>
                <w:lang w:val="en-US"/>
              </w:rPr>
              <w:t>**</w:t>
            </w:r>
          </w:p>
        </w:tc>
        <w:tc>
          <w:tcPr>
            <w:tcW w:w="1634"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1.49</w:t>
            </w:r>
            <w:r>
              <w:rPr>
                <w:b/>
                <w:bCs/>
              </w:rPr>
              <w:t>±</w:t>
            </w:r>
            <w:r>
              <w:t>0.03</w:t>
            </w:r>
            <w:r>
              <w:rPr>
                <w:vertAlign w:val="superscript"/>
                <w:lang w:val="en-US"/>
              </w:rPr>
              <w:t>b</w:t>
            </w:r>
            <w:r>
              <w:rPr>
                <w:b/>
                <w:bCs/>
                <w:lang w:val="en-US"/>
              </w:rPr>
              <w:t>**</w:t>
            </w:r>
          </w:p>
        </w:tc>
        <w:tc>
          <w:tcPr>
            <w:tcW w:w="1891"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1.44</w:t>
            </w:r>
            <w:r>
              <w:rPr>
                <w:b/>
                <w:bCs/>
              </w:rPr>
              <w:t>±</w:t>
            </w:r>
            <w:r>
              <w:t>0.06</w:t>
            </w:r>
            <w:r>
              <w:rPr>
                <w:vertAlign w:val="superscript"/>
                <w:lang w:val="en-US"/>
              </w:rPr>
              <w:t>a,b</w:t>
            </w:r>
            <w:r>
              <w:rPr>
                <w:b/>
                <w:bCs/>
                <w:lang w:val="en-US"/>
              </w:rPr>
              <w:t>**</w:t>
            </w:r>
          </w:p>
        </w:tc>
      </w:tr>
      <w:tr w:rsidR="00036DA6">
        <w:trPr>
          <w:trHeight w:val="229"/>
          <w:jc w:val="center"/>
        </w:trPr>
        <w:tc>
          <w:tcPr>
            <w:tcW w:w="1424"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4</w:t>
            </w:r>
            <w:r>
              <w:rPr>
                <w:vertAlign w:val="superscript"/>
              </w:rPr>
              <w:t xml:space="preserve">th </w:t>
            </w:r>
            <w:r>
              <w:t>Week</w:t>
            </w:r>
          </w:p>
        </w:tc>
        <w:tc>
          <w:tcPr>
            <w:tcW w:w="1424"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2.25</w:t>
            </w:r>
            <w:r>
              <w:rPr>
                <w:b/>
                <w:bCs/>
              </w:rPr>
              <w:t>±</w:t>
            </w:r>
            <w:r>
              <w:t>0.10</w:t>
            </w:r>
            <w:r>
              <w:rPr>
                <w:vertAlign w:val="superscript"/>
                <w:lang w:val="en-US"/>
              </w:rPr>
              <w:t>c</w:t>
            </w:r>
          </w:p>
        </w:tc>
        <w:tc>
          <w:tcPr>
            <w:tcW w:w="1634"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1.55</w:t>
            </w:r>
            <w:r>
              <w:rPr>
                <w:b/>
                <w:bCs/>
              </w:rPr>
              <w:t>±</w:t>
            </w:r>
            <w:r>
              <w:t>0.13</w:t>
            </w:r>
            <w:r>
              <w:rPr>
                <w:vertAlign w:val="superscript"/>
                <w:lang w:val="en-US"/>
              </w:rPr>
              <w:t>b</w:t>
            </w:r>
            <w:r>
              <w:rPr>
                <w:b/>
                <w:bCs/>
                <w:lang w:val="en-US"/>
              </w:rPr>
              <w:t>**</w:t>
            </w:r>
          </w:p>
        </w:tc>
        <w:tc>
          <w:tcPr>
            <w:tcW w:w="1731"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1.28</w:t>
            </w:r>
            <w:r>
              <w:rPr>
                <w:b/>
                <w:bCs/>
              </w:rPr>
              <w:t>±</w:t>
            </w:r>
            <w:r>
              <w:t>0.07</w:t>
            </w:r>
            <w:r>
              <w:rPr>
                <w:vertAlign w:val="superscript"/>
                <w:lang w:val="en-US"/>
              </w:rPr>
              <w:t>a,b</w:t>
            </w:r>
            <w:r>
              <w:rPr>
                <w:b/>
                <w:bCs/>
                <w:lang w:val="en-US"/>
              </w:rPr>
              <w:t>**</w:t>
            </w:r>
          </w:p>
        </w:tc>
        <w:tc>
          <w:tcPr>
            <w:tcW w:w="1634"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1.31</w:t>
            </w:r>
            <w:r>
              <w:rPr>
                <w:b/>
                <w:bCs/>
              </w:rPr>
              <w:t>±</w:t>
            </w:r>
            <w:r>
              <w:t>0.05</w:t>
            </w:r>
            <w:r>
              <w:rPr>
                <w:vertAlign w:val="superscript"/>
                <w:lang w:val="en-US"/>
              </w:rPr>
              <w:t>a,b</w:t>
            </w:r>
            <w:r>
              <w:rPr>
                <w:b/>
                <w:bCs/>
                <w:lang w:val="en-US"/>
              </w:rPr>
              <w:t>**</w:t>
            </w:r>
          </w:p>
        </w:tc>
        <w:tc>
          <w:tcPr>
            <w:tcW w:w="1891"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1.19</w:t>
            </w:r>
            <w:r>
              <w:rPr>
                <w:b/>
                <w:bCs/>
              </w:rPr>
              <w:t>±</w:t>
            </w:r>
            <w:r>
              <w:t>0.10</w:t>
            </w:r>
            <w:r>
              <w:rPr>
                <w:vertAlign w:val="superscript"/>
                <w:lang w:val="en-US"/>
              </w:rPr>
              <w:t>a</w:t>
            </w:r>
            <w:r>
              <w:rPr>
                <w:b/>
                <w:bCs/>
                <w:lang w:val="en-US"/>
              </w:rPr>
              <w:t>**</w:t>
            </w:r>
          </w:p>
        </w:tc>
      </w:tr>
      <w:tr w:rsidR="00036DA6">
        <w:trPr>
          <w:trHeight w:val="229"/>
          <w:jc w:val="center"/>
        </w:trPr>
        <w:tc>
          <w:tcPr>
            <w:tcW w:w="1424"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5</w:t>
            </w:r>
            <w:r>
              <w:rPr>
                <w:vertAlign w:val="superscript"/>
              </w:rPr>
              <w:t xml:space="preserve">th </w:t>
            </w:r>
            <w:r>
              <w:t>Week</w:t>
            </w:r>
          </w:p>
        </w:tc>
        <w:tc>
          <w:tcPr>
            <w:tcW w:w="1424"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1.89</w:t>
            </w:r>
            <w:r>
              <w:rPr>
                <w:b/>
                <w:bCs/>
              </w:rPr>
              <w:t>±</w:t>
            </w:r>
            <w:r>
              <w:t>0.10</w:t>
            </w:r>
            <w:r>
              <w:rPr>
                <w:vertAlign w:val="superscript"/>
                <w:lang w:val="en-US"/>
              </w:rPr>
              <w:t>a</w:t>
            </w:r>
          </w:p>
        </w:tc>
        <w:tc>
          <w:tcPr>
            <w:tcW w:w="1634"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2.30</w:t>
            </w:r>
            <w:r>
              <w:rPr>
                <w:b/>
                <w:bCs/>
              </w:rPr>
              <w:t>±</w:t>
            </w:r>
            <w:r>
              <w:t>0.28</w:t>
            </w:r>
            <w:r>
              <w:rPr>
                <w:vertAlign w:val="superscript"/>
                <w:lang w:val="en-US"/>
              </w:rPr>
              <w:t>a</w:t>
            </w:r>
          </w:p>
        </w:tc>
        <w:tc>
          <w:tcPr>
            <w:tcW w:w="1731"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1.79</w:t>
            </w:r>
            <w:r>
              <w:rPr>
                <w:b/>
                <w:bCs/>
              </w:rPr>
              <w:t>±</w:t>
            </w:r>
            <w:r>
              <w:t>0.04</w:t>
            </w:r>
            <w:r>
              <w:rPr>
                <w:vertAlign w:val="superscript"/>
                <w:lang w:val="en-US"/>
              </w:rPr>
              <w:t xml:space="preserve"> a</w:t>
            </w:r>
          </w:p>
        </w:tc>
        <w:tc>
          <w:tcPr>
            <w:tcW w:w="1634"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1.76</w:t>
            </w:r>
            <w:r>
              <w:rPr>
                <w:b/>
                <w:bCs/>
              </w:rPr>
              <w:t>±</w:t>
            </w:r>
            <w:r>
              <w:t>0.05</w:t>
            </w:r>
            <w:r>
              <w:rPr>
                <w:vertAlign w:val="superscript"/>
                <w:lang w:val="en-US"/>
              </w:rPr>
              <w:t>a</w:t>
            </w:r>
          </w:p>
        </w:tc>
        <w:tc>
          <w:tcPr>
            <w:tcW w:w="1891"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2.03</w:t>
            </w:r>
            <w:r>
              <w:rPr>
                <w:b/>
                <w:bCs/>
              </w:rPr>
              <w:t>±</w:t>
            </w:r>
            <w:r>
              <w:t>0.35</w:t>
            </w:r>
            <w:r>
              <w:rPr>
                <w:vertAlign w:val="superscript"/>
                <w:lang w:val="en-US"/>
              </w:rPr>
              <w:t>a</w:t>
            </w:r>
          </w:p>
        </w:tc>
      </w:tr>
      <w:tr w:rsidR="00036DA6">
        <w:trPr>
          <w:trHeight w:val="222"/>
          <w:jc w:val="center"/>
        </w:trPr>
        <w:tc>
          <w:tcPr>
            <w:tcW w:w="1424"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rPr>
                <w:lang w:val="en-US"/>
              </w:rPr>
            </w:pPr>
            <w:r>
              <w:t>6</w:t>
            </w:r>
            <w:r>
              <w:rPr>
                <w:vertAlign w:val="superscript"/>
              </w:rPr>
              <w:t xml:space="preserve">th </w:t>
            </w:r>
            <w:r>
              <w:t>Week</w:t>
            </w:r>
          </w:p>
        </w:tc>
        <w:tc>
          <w:tcPr>
            <w:tcW w:w="1424"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2.54</w:t>
            </w:r>
            <w:r>
              <w:rPr>
                <w:b/>
                <w:bCs/>
              </w:rPr>
              <w:t>±</w:t>
            </w:r>
            <w:r>
              <w:t>0.12</w:t>
            </w:r>
            <w:r>
              <w:rPr>
                <w:vertAlign w:val="superscript"/>
                <w:lang w:val="en-US"/>
              </w:rPr>
              <w:t>a</w:t>
            </w:r>
          </w:p>
        </w:tc>
        <w:tc>
          <w:tcPr>
            <w:tcW w:w="1634"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2.82</w:t>
            </w:r>
            <w:r>
              <w:rPr>
                <w:b/>
                <w:bCs/>
              </w:rPr>
              <w:t>±</w:t>
            </w:r>
            <w:r>
              <w:t>0.04</w:t>
            </w:r>
            <w:r>
              <w:rPr>
                <w:vertAlign w:val="superscript"/>
                <w:lang w:val="en-US"/>
              </w:rPr>
              <w:t>a</w:t>
            </w:r>
          </w:p>
        </w:tc>
        <w:tc>
          <w:tcPr>
            <w:tcW w:w="1731"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3.02</w:t>
            </w:r>
            <w:r>
              <w:rPr>
                <w:b/>
                <w:bCs/>
              </w:rPr>
              <w:t>±</w:t>
            </w:r>
            <w:r>
              <w:t>0.23</w:t>
            </w:r>
            <w:r>
              <w:rPr>
                <w:vertAlign w:val="superscript"/>
                <w:lang w:val="en-US"/>
              </w:rPr>
              <w:t xml:space="preserve"> a</w:t>
            </w:r>
          </w:p>
        </w:tc>
        <w:tc>
          <w:tcPr>
            <w:tcW w:w="1634"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2.51</w:t>
            </w:r>
            <w:r>
              <w:rPr>
                <w:b/>
                <w:bCs/>
              </w:rPr>
              <w:t>±</w:t>
            </w:r>
            <w:r>
              <w:t>0.11</w:t>
            </w:r>
            <w:r>
              <w:rPr>
                <w:vertAlign w:val="superscript"/>
                <w:lang w:val="en-US"/>
              </w:rPr>
              <w:t>a</w:t>
            </w:r>
          </w:p>
        </w:tc>
        <w:tc>
          <w:tcPr>
            <w:tcW w:w="1891" w:type="dxa"/>
            <w:tcBorders>
              <w:top w:val="single" w:sz="4" w:space="0" w:color="auto"/>
              <w:left w:val="single" w:sz="4" w:space="0" w:color="auto"/>
              <w:bottom w:val="single" w:sz="4" w:space="0" w:color="auto"/>
              <w:right w:val="single" w:sz="4" w:space="0" w:color="auto"/>
            </w:tcBorders>
          </w:tcPr>
          <w:p w:rsidR="00036DA6" w:rsidRDefault="00B265C3">
            <w:pPr>
              <w:spacing w:after="0"/>
              <w:jc w:val="both"/>
            </w:pPr>
            <w:r>
              <w:t>2.85</w:t>
            </w:r>
            <w:r>
              <w:rPr>
                <w:b/>
                <w:bCs/>
              </w:rPr>
              <w:t>±</w:t>
            </w:r>
            <w:r>
              <w:t>0.23</w:t>
            </w:r>
            <w:r>
              <w:rPr>
                <w:vertAlign w:val="superscript"/>
                <w:lang w:val="en-US"/>
              </w:rPr>
              <w:t>a</w:t>
            </w:r>
          </w:p>
        </w:tc>
      </w:tr>
    </w:tbl>
    <w:p w:rsidR="00036DA6" w:rsidRDefault="00036DA6"/>
    <w:p w:rsidR="00036DA6" w:rsidRDefault="00B265C3">
      <w:pPr>
        <w:numPr>
          <w:ilvl w:val="0"/>
          <w:numId w:val="2"/>
        </w:numPr>
        <w:jc w:val="both"/>
        <w:rPr>
          <w:b/>
          <w:bCs/>
        </w:rPr>
      </w:pPr>
      <w:r>
        <w:rPr>
          <w:b/>
          <w:bCs/>
        </w:rPr>
        <w:t xml:space="preserve">Conclusions: </w:t>
      </w:r>
    </w:p>
    <w:p w:rsidR="00036DA6" w:rsidRDefault="00B265C3">
      <w:pPr>
        <w:ind w:firstLine="1134"/>
        <w:jc w:val="both"/>
      </w:pPr>
      <w:r>
        <w:t xml:space="preserve">It is possible to conclude that incorporation of </w:t>
      </w:r>
      <w:r>
        <w:rPr>
          <w:i/>
          <w:iCs/>
        </w:rPr>
        <w:t>Moringa oleifera</w:t>
      </w:r>
      <w:r>
        <w:t xml:space="preserve"> methanolic leaf extract and indigenous cow urine distillate alone and in combination through drinking water is beneficial in terms of growth performance.</w:t>
      </w:r>
    </w:p>
    <w:p w:rsidR="00036DA6" w:rsidRDefault="00036DA6">
      <w:pPr>
        <w:jc w:val="both"/>
      </w:pPr>
    </w:p>
    <w:p w:rsidR="00036DA6" w:rsidRDefault="00B265C3">
      <w:pPr>
        <w:numPr>
          <w:ilvl w:val="0"/>
          <w:numId w:val="2"/>
        </w:numPr>
        <w:jc w:val="both"/>
      </w:pPr>
      <w:r>
        <w:rPr>
          <w:b/>
          <w:bCs/>
        </w:rPr>
        <w:t xml:space="preserve">References: </w:t>
      </w:r>
    </w:p>
    <w:p w:rsidR="00036DA6" w:rsidRDefault="00B265C3">
      <w:pPr>
        <w:numPr>
          <w:ilvl w:val="0"/>
          <w:numId w:val="3"/>
        </w:numPr>
        <w:jc w:val="both"/>
      </w:pPr>
      <w:r>
        <w:t>Agashe, J. L., Manwar, S. J., Khose, K. K., &amp; Wade, M. R. Effect of supplementation of Moringa oleifera leaf powder on growth performance of broilers. J Poult Sci Technol, 2017; 5, 28-34.</w:t>
      </w:r>
    </w:p>
    <w:p w:rsidR="00036DA6" w:rsidRDefault="00B265C3">
      <w:pPr>
        <w:numPr>
          <w:ilvl w:val="0"/>
          <w:numId w:val="3"/>
        </w:numPr>
        <w:jc w:val="both"/>
      </w:pPr>
      <w:r>
        <w:t>Akhouri, S., Prasad, A., &amp; Ganguly, S. Moringa oleifera leaf extract imposes better feed utilization in broiler chicks. J. Biol. Chem. Res, 2013; 30(2), 447-450.</w:t>
      </w:r>
    </w:p>
    <w:p w:rsidR="00036DA6" w:rsidRPr="00DC7E1C" w:rsidRDefault="00B265C3">
      <w:pPr>
        <w:numPr>
          <w:ilvl w:val="0"/>
          <w:numId w:val="3"/>
        </w:numPr>
        <w:jc w:val="both"/>
      </w:pPr>
      <w:r w:rsidRPr="00DC7E1C">
        <w:t xml:space="preserve">Alders, R. Poultry farming: a source of profit and pleasure. Food &amp; Agriculture Org 2005; 3. </w:t>
      </w:r>
    </w:p>
    <w:p w:rsidR="00036DA6" w:rsidRDefault="00B265C3">
      <w:pPr>
        <w:numPr>
          <w:ilvl w:val="0"/>
          <w:numId w:val="3"/>
        </w:numPr>
        <w:jc w:val="both"/>
      </w:pPr>
      <w:r>
        <w:t xml:space="preserve">Allam, H., Abdelazem, A. M., Farag, H. S., &amp; Hamed, A. Some hemato-biochemical, bacteriological and pathological effects of Moringa oleifera leaf extract in broiler chickens. International Journal of Basic and Applied Sciences, 2016; 5(2), 99. </w:t>
      </w:r>
    </w:p>
    <w:p w:rsidR="00036DA6" w:rsidRPr="00DC7E1C" w:rsidRDefault="00B265C3">
      <w:pPr>
        <w:numPr>
          <w:ilvl w:val="0"/>
          <w:numId w:val="3"/>
        </w:numPr>
        <w:jc w:val="both"/>
      </w:pPr>
      <w:r w:rsidRPr="00DC7E1C">
        <w:t>Dieye, P. N., Missohou, A. Y. A. O., &amp; Faye, A. D. A.M. A. Family poultry farming: A lever to improve the incomes of poor farmers in southern Senegal. Livestock, the wealth of the poor. Paris: Editions Quae, 2010; 191-201.</w:t>
      </w:r>
    </w:p>
    <w:p w:rsidR="00036DA6" w:rsidRDefault="00B265C3">
      <w:pPr>
        <w:numPr>
          <w:ilvl w:val="0"/>
          <w:numId w:val="3"/>
        </w:numPr>
        <w:jc w:val="both"/>
      </w:pPr>
      <w:r>
        <w:lastRenderedPageBreak/>
        <w:t>Duncan, D. B. Multiple range and multiple F tests. Biometrics, 1955; 11(1), 1-42.</w:t>
      </w:r>
    </w:p>
    <w:p w:rsidR="00036DA6" w:rsidRDefault="00B265C3">
      <w:pPr>
        <w:numPr>
          <w:ilvl w:val="0"/>
          <w:numId w:val="3"/>
        </w:numPr>
        <w:jc w:val="both"/>
      </w:pPr>
      <w:r>
        <w:t>Eze, D. C., Okwor, E. C., Nnabuike, O. D., &amp; Olu, S. S. V. Effects of Moringa oleifera methanolic leaf extract on the morbidity and mortality of chickens experimentally infected with Newcastle disease virus (Kudu 113) strain. Journal of Medicinal Plants Research, 2012; 6(27), 4443-4449.</w:t>
      </w:r>
    </w:p>
    <w:p w:rsidR="00036DA6" w:rsidRDefault="00B265C3">
      <w:pPr>
        <w:numPr>
          <w:ilvl w:val="0"/>
          <w:numId w:val="3"/>
        </w:numPr>
        <w:jc w:val="both"/>
      </w:pPr>
      <w:r>
        <w:t>Faluyi, O. B., &amp;Agbede, J. O. Immuno-Modulatory Activity of Aqueous Leaf Extract of Moringa oleifera in Brioler Chickens. International Journal of Environment, Agriculture and Biotechnology, 2018; 3(1), 239037.</w:t>
      </w:r>
    </w:p>
    <w:p w:rsidR="00036DA6" w:rsidRDefault="00D52791">
      <w:pPr>
        <w:numPr>
          <w:ilvl w:val="0"/>
          <w:numId w:val="3"/>
        </w:numPr>
        <w:jc w:val="both"/>
        <w:rPr>
          <w:b/>
          <w:bCs/>
        </w:rPr>
      </w:pPr>
      <w:hyperlink r:id="rId8" w:history="1">
        <w:r w:rsidR="00036DA6">
          <w:rPr>
            <w:rStyle w:val="FollowedHyperlink"/>
            <w:b/>
            <w:bCs/>
          </w:rPr>
          <w:t>https://www.worldometers.info/world-population/india-population/</w:t>
        </w:r>
      </w:hyperlink>
    </w:p>
    <w:p w:rsidR="00036DA6" w:rsidRDefault="00B265C3">
      <w:pPr>
        <w:numPr>
          <w:ilvl w:val="0"/>
          <w:numId w:val="3"/>
        </w:numPr>
        <w:jc w:val="both"/>
      </w:pPr>
      <w:r>
        <w:t>Jain, N. K., Gupta, V. B., Garg, R., &amp;Silawat, N. Efficacy of cow urine therapy on various cancer patients in Mandsaur District, India-A survey. International Journal of Green Pharmacy (IJGP), 2010; 4(1).</w:t>
      </w:r>
    </w:p>
    <w:p w:rsidR="00036DA6" w:rsidRPr="00DC7E1C" w:rsidRDefault="00B265C3">
      <w:pPr>
        <w:numPr>
          <w:ilvl w:val="0"/>
          <w:numId w:val="3"/>
        </w:numPr>
        <w:jc w:val="both"/>
      </w:pPr>
      <w:r w:rsidRPr="00DC7E1C">
        <w:t>Makanjuola, M. B., Makar, T. A., Olla, O. O., &amp; Kasali, M. Y. Evaluation of a treadle pump for low lift irrigation at NCAM, Ilorin, Nigeria. Ethiopian Journal of Environmental Studies and Management, 2014; 7(6), 664-669.</w:t>
      </w:r>
    </w:p>
    <w:p w:rsidR="00036DA6" w:rsidRDefault="00B265C3">
      <w:pPr>
        <w:numPr>
          <w:ilvl w:val="0"/>
          <w:numId w:val="3"/>
        </w:numPr>
        <w:jc w:val="both"/>
      </w:pPr>
      <w:r>
        <w:t>Snedecor, G. W., &amp; Cochran, W. G. Statistical Methods, 17</w:t>
      </w:r>
      <w:r>
        <w:rPr>
          <w:vertAlign w:val="superscript"/>
        </w:rPr>
        <w:t>th</w:t>
      </w:r>
      <w:r>
        <w:t xml:space="preserve"> (Edn) 1987.</w:t>
      </w:r>
    </w:p>
    <w:p w:rsidR="00036DA6" w:rsidRDefault="00B265C3">
      <w:pPr>
        <w:numPr>
          <w:ilvl w:val="0"/>
          <w:numId w:val="3"/>
        </w:numPr>
        <w:jc w:val="both"/>
      </w:pPr>
      <w:r>
        <w:t>Sushma, A., Eswara Prasad, P., Padmaja, K., Adilaxmamma, K., &amp; Jayasri, K. Effect of native and crossbreed cow urine distillate on haemato-biochemical profile of broilers, 2021.</w:t>
      </w:r>
    </w:p>
    <w:p w:rsidR="00036DA6" w:rsidRPr="00DC7E1C" w:rsidRDefault="00B265C3">
      <w:pPr>
        <w:numPr>
          <w:ilvl w:val="0"/>
          <w:numId w:val="3"/>
        </w:numPr>
        <w:jc w:val="both"/>
      </w:pPr>
      <w:r w:rsidRPr="00DC7E1C">
        <w:t xml:space="preserve">Zeweil, H. S., Genedy, S. G., &amp;Bassiouni, M. Effect of probiotic and medicinal plant supplements on the production and egg quality of laying Japanese quail hens. In Proceeding of the 12th European poultry </w:t>
      </w:r>
      <w:r w:rsidR="00DC7E1C">
        <w:t>conference</w:t>
      </w:r>
      <w:r w:rsidRPr="00DC7E1C">
        <w:t>, ZWANS. 2006, September (pp. 1-6).</w:t>
      </w:r>
    </w:p>
    <w:p w:rsidR="00036DA6" w:rsidRDefault="00036DA6"/>
    <w:sectPr w:rsidR="00036DA6" w:rsidSect="00D52791">
      <w:headerReference w:type="even" r:id="rId9"/>
      <w:headerReference w:type="default" r:id="rId10"/>
      <w:headerReference w:type="first" r:id="rId11"/>
      <w:pgSz w:w="11906" w:h="16838"/>
      <w:pgMar w:top="1440" w:right="1800" w:bottom="1440" w:left="180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dsingh" w:date="2025-01-03T11:57:00Z" w:initials="k">
    <w:p w:rsidR="00B265C3" w:rsidRDefault="00B265C3">
      <w:pPr>
        <w:pStyle w:val="CommentText"/>
      </w:pPr>
      <w:r>
        <w:rPr>
          <w:rStyle w:val="CommentReference"/>
        </w:rPr>
        <w:annotationRef/>
      </w:r>
      <w:r>
        <w:t>Write conclusion</w:t>
      </w:r>
    </w:p>
  </w:comment>
  <w:comment w:id="2" w:author="kdsingh" w:date="2025-01-03T12:05:00Z" w:initials="k">
    <w:p w:rsidR="004F015A" w:rsidRDefault="004F015A">
      <w:pPr>
        <w:pStyle w:val="CommentText"/>
      </w:pPr>
      <w:r>
        <w:rPr>
          <w:rStyle w:val="CommentReference"/>
        </w:rPr>
        <w:annotationRef/>
      </w:r>
      <w:r>
        <w:t>What ?</w:t>
      </w:r>
    </w:p>
  </w:comment>
  <w:comment w:id="3" w:author="kdsingh" w:date="2025-01-03T12:17:00Z" w:initials="k">
    <w:p w:rsidR="008A7DE9" w:rsidRDefault="008A7DE9">
      <w:pPr>
        <w:pStyle w:val="CommentText"/>
      </w:pPr>
      <w:r>
        <w:rPr>
          <w:rStyle w:val="CommentReference"/>
        </w:rPr>
        <w:annotationRef/>
      </w:r>
      <w:r>
        <w:t>Please check it again</w:t>
      </w:r>
    </w:p>
  </w:comment>
  <w:comment w:id="4" w:author="kdsingh" w:date="2025-01-03T12:36:00Z" w:initials="k">
    <w:p w:rsidR="004D7DBC" w:rsidRDefault="004D7DBC">
      <w:pPr>
        <w:pStyle w:val="CommentText"/>
      </w:pPr>
      <w:r>
        <w:rPr>
          <w:rStyle w:val="CommentReference"/>
        </w:rPr>
        <w:annotationRef/>
      </w:r>
      <w:r>
        <w:t xml:space="preserve">Before using abbreviations, it should be written anywhere in bracket with full form </w:t>
      </w:r>
    </w:p>
  </w:comment>
  <w:comment w:id="5" w:author="kdsingh" w:date="2025-01-03T12:56:00Z" w:initials="k">
    <w:p w:rsidR="0067651C" w:rsidRDefault="0067651C">
      <w:pPr>
        <w:pStyle w:val="CommentText"/>
      </w:pPr>
      <w:r>
        <w:rPr>
          <w:rStyle w:val="CommentReference"/>
        </w:rPr>
        <w:annotationRef/>
      </w:r>
      <w:r>
        <w:t>It will be better to discuss with the  results obtained on poultry birds.</w:t>
      </w:r>
    </w:p>
  </w:comment>
  <w:comment w:id="6" w:author="kdsingh" w:date="2025-01-03T13:05:00Z" w:initials="k">
    <w:p w:rsidR="003D79EA" w:rsidRDefault="003D79EA">
      <w:pPr>
        <w:pStyle w:val="CommentText"/>
      </w:pPr>
      <w:r>
        <w:rPr>
          <w:rStyle w:val="CommentReference"/>
        </w:rPr>
        <w:annotationRef/>
      </w:r>
      <w:r>
        <w:t>Which table ?</w:t>
      </w:r>
    </w:p>
  </w:comment>
  <w:comment w:id="7" w:author="kdsingh" w:date="2025-01-03T13:10:00Z" w:initials="k">
    <w:p w:rsidR="003D79EA" w:rsidRDefault="003D79EA">
      <w:pPr>
        <w:pStyle w:val="CommentText"/>
      </w:pPr>
      <w:r>
        <w:rPr>
          <w:rStyle w:val="CommentReference"/>
        </w:rPr>
        <w:annotationRef/>
      </w:r>
      <w:r>
        <w:t>Where ?</w:t>
      </w:r>
    </w:p>
  </w:comment>
  <w:comment w:id="8" w:author="kdsingh" w:date="2025-01-03T13:14:00Z" w:initials="k">
    <w:p w:rsidR="00B9425E" w:rsidRDefault="00B9425E">
      <w:pPr>
        <w:pStyle w:val="CommentText"/>
      </w:pPr>
      <w:r>
        <w:rPr>
          <w:rStyle w:val="CommentReference"/>
        </w:rPr>
        <w:annotationRef/>
      </w:r>
      <w:r>
        <w:t>It will be better to discuss with the  results obtained on poultry birds.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004" w:rsidRDefault="00C34004">
      <w:pPr>
        <w:spacing w:line="240" w:lineRule="auto"/>
      </w:pPr>
      <w:r>
        <w:separator/>
      </w:r>
    </w:p>
  </w:endnote>
  <w:endnote w:type="continuationSeparator" w:id="1">
    <w:p w:rsidR="00C34004" w:rsidRDefault="00C340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等线">
    <w:panose1 w:val="00000000000000000000"/>
    <w:charset w:val="8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004" w:rsidRDefault="00C34004">
      <w:pPr>
        <w:spacing w:after="0"/>
      </w:pPr>
      <w:r>
        <w:separator/>
      </w:r>
    </w:p>
  </w:footnote>
  <w:footnote w:type="continuationSeparator" w:id="1">
    <w:p w:rsidR="00C34004" w:rsidRDefault="00C3400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5C3" w:rsidRDefault="00B265C3">
    <w:pPr>
      <w:pStyle w:val="Header"/>
    </w:pPr>
    <w:r w:rsidRPr="00D5279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322016" o:spid="_x0000_s1026" type="#_x0000_t136" style="position:absolute;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5C3" w:rsidRDefault="00B265C3">
    <w:pPr>
      <w:pStyle w:val="Header"/>
    </w:pPr>
    <w:r w:rsidRPr="00D5279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322017" o:spid="_x0000_s1027" type="#_x0000_t136" style="position:absolute;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5C3" w:rsidRDefault="00B265C3">
    <w:pPr>
      <w:pStyle w:val="Header"/>
    </w:pPr>
    <w:r w:rsidRPr="00D5279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322015" o:spid="_x0000_s1025" type="#_x0000_t136" style="position:absolute;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F295D6"/>
    <w:multiLevelType w:val="singleLevel"/>
    <w:tmpl w:val="EFF295D6"/>
    <w:lvl w:ilvl="0">
      <w:start w:val="1"/>
      <w:numFmt w:val="decimal"/>
      <w:suff w:val="space"/>
      <w:lvlText w:val="%1."/>
      <w:lvlJc w:val="left"/>
    </w:lvl>
  </w:abstractNum>
  <w:abstractNum w:abstractNumId="1">
    <w:nsid w:val="01195D48"/>
    <w:multiLevelType w:val="multilevel"/>
    <w:tmpl w:val="01195D48"/>
    <w:lvl w:ilvl="0">
      <w:start w:val="1"/>
      <w:numFmt w:val="decimal"/>
      <w:lvlText w:val="%1."/>
      <w:lvlJc w:val="left"/>
      <w:pPr>
        <w:ind w:left="720" w:hanging="360"/>
      </w:pPr>
      <w:rPr>
        <w:b/>
        <w:bCs/>
      </w:r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58477775"/>
    <w:multiLevelType w:val="multilevel"/>
    <w:tmpl w:val="584777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rawingGridVerticalSpacing w:val="156"/>
  <w:displayHorizontalDrawingGridEvery w:val="0"/>
  <w:displayVertic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spaceForUL/>
    <w:doNotLeaveBackslashAlone/>
    <w:ulTrailSpace/>
    <w:doNotExpandShiftReturn/>
    <w:adjustLineHeightInTable/>
    <w:useFELayout/>
  </w:compat>
  <w:rsids>
    <w:rsidRoot w:val="465D0B3A"/>
    <w:rsid w:val="00036DA6"/>
    <w:rsid w:val="00041FA5"/>
    <w:rsid w:val="00091E95"/>
    <w:rsid w:val="003D79EA"/>
    <w:rsid w:val="00452B47"/>
    <w:rsid w:val="004D7DBC"/>
    <w:rsid w:val="004F015A"/>
    <w:rsid w:val="004F2445"/>
    <w:rsid w:val="0060161A"/>
    <w:rsid w:val="0067651C"/>
    <w:rsid w:val="00894AAD"/>
    <w:rsid w:val="008A7DE9"/>
    <w:rsid w:val="00903263"/>
    <w:rsid w:val="009A2F3C"/>
    <w:rsid w:val="00A04834"/>
    <w:rsid w:val="00B1001A"/>
    <w:rsid w:val="00B265C3"/>
    <w:rsid w:val="00B9425E"/>
    <w:rsid w:val="00BE38A7"/>
    <w:rsid w:val="00C34004"/>
    <w:rsid w:val="00D162D0"/>
    <w:rsid w:val="00D52791"/>
    <w:rsid w:val="00DC7E1C"/>
    <w:rsid w:val="00DD6D03"/>
    <w:rsid w:val="00E91895"/>
    <w:rsid w:val="00EE13F4"/>
    <w:rsid w:val="039C5442"/>
    <w:rsid w:val="049B0962"/>
    <w:rsid w:val="057161FA"/>
    <w:rsid w:val="07772956"/>
    <w:rsid w:val="0971450C"/>
    <w:rsid w:val="0E3E08ED"/>
    <w:rsid w:val="114F4A6D"/>
    <w:rsid w:val="123A1F1B"/>
    <w:rsid w:val="18172A8E"/>
    <w:rsid w:val="1D1B448E"/>
    <w:rsid w:val="218D7E9A"/>
    <w:rsid w:val="21A46B90"/>
    <w:rsid w:val="237D77C5"/>
    <w:rsid w:val="246C4A50"/>
    <w:rsid w:val="24B86128"/>
    <w:rsid w:val="2E187655"/>
    <w:rsid w:val="2EE4137C"/>
    <w:rsid w:val="31AA5823"/>
    <w:rsid w:val="34DC69AE"/>
    <w:rsid w:val="465D0B3A"/>
    <w:rsid w:val="47164262"/>
    <w:rsid w:val="52781559"/>
    <w:rsid w:val="559C4EA5"/>
    <w:rsid w:val="59C32A72"/>
    <w:rsid w:val="5F176B0F"/>
    <w:rsid w:val="5FD25B68"/>
    <w:rsid w:val="64A81D34"/>
    <w:rsid w:val="6B131721"/>
    <w:rsid w:val="712B79BA"/>
    <w:rsid w:val="725D0637"/>
    <w:rsid w:val="73C83ABD"/>
    <w:rsid w:val="758C2B33"/>
    <w:rsid w:val="7E653AE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791"/>
    <w:pPr>
      <w:spacing w:after="160" w:line="256" w:lineRule="auto"/>
    </w:pPr>
    <w:rPr>
      <w:rFonts w:ascii="Times New Roman" w:eastAsia="Calibri"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D52791"/>
    <w:rPr>
      <w:color w:val="800080"/>
      <w:u w:val="single"/>
    </w:rPr>
  </w:style>
  <w:style w:type="character" w:styleId="Hyperlink">
    <w:name w:val="Hyperlink"/>
    <w:basedOn w:val="DefaultParagraphFont"/>
    <w:uiPriority w:val="99"/>
    <w:unhideWhenUsed/>
    <w:qFormat/>
    <w:rsid w:val="00D52791"/>
    <w:rPr>
      <w:color w:val="0563C1"/>
      <w:u w:val="single"/>
    </w:rPr>
  </w:style>
  <w:style w:type="table" w:styleId="TableGrid">
    <w:name w:val="Table Grid"/>
    <w:basedOn w:val="TableNormal"/>
    <w:uiPriority w:val="39"/>
    <w:qFormat/>
    <w:rsid w:val="00D52791"/>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03263"/>
    <w:pPr>
      <w:tabs>
        <w:tab w:val="center" w:pos="4680"/>
        <w:tab w:val="right" w:pos="9360"/>
      </w:tabs>
      <w:spacing w:after="0" w:line="240" w:lineRule="auto"/>
    </w:pPr>
  </w:style>
  <w:style w:type="character" w:customStyle="1" w:styleId="HeaderChar">
    <w:name w:val="Header Char"/>
    <w:basedOn w:val="DefaultParagraphFont"/>
    <w:link w:val="Header"/>
    <w:rsid w:val="00903263"/>
    <w:rPr>
      <w:rFonts w:ascii="Times New Roman" w:eastAsia="Calibri" w:hAnsi="Times New Roman" w:cs="Times New Roman"/>
      <w:sz w:val="24"/>
      <w:szCs w:val="24"/>
      <w:lang w:eastAsia="en-US"/>
    </w:rPr>
  </w:style>
  <w:style w:type="paragraph" w:styleId="Footer">
    <w:name w:val="footer"/>
    <w:basedOn w:val="Normal"/>
    <w:link w:val="FooterChar"/>
    <w:rsid w:val="00903263"/>
    <w:pPr>
      <w:tabs>
        <w:tab w:val="center" w:pos="4680"/>
        <w:tab w:val="right" w:pos="9360"/>
      </w:tabs>
      <w:spacing w:after="0" w:line="240" w:lineRule="auto"/>
    </w:pPr>
  </w:style>
  <w:style w:type="character" w:customStyle="1" w:styleId="FooterChar">
    <w:name w:val="Footer Char"/>
    <w:basedOn w:val="DefaultParagraphFont"/>
    <w:link w:val="Footer"/>
    <w:rsid w:val="00903263"/>
    <w:rPr>
      <w:rFonts w:ascii="Times New Roman" w:eastAsia="Calibri" w:hAnsi="Times New Roman" w:cs="Times New Roman"/>
      <w:sz w:val="24"/>
      <w:szCs w:val="24"/>
      <w:lang w:eastAsia="en-US"/>
    </w:rPr>
  </w:style>
  <w:style w:type="character" w:styleId="CommentReference">
    <w:name w:val="annotation reference"/>
    <w:basedOn w:val="DefaultParagraphFont"/>
    <w:rsid w:val="00B265C3"/>
    <w:rPr>
      <w:sz w:val="16"/>
      <w:szCs w:val="16"/>
    </w:rPr>
  </w:style>
  <w:style w:type="paragraph" w:styleId="CommentText">
    <w:name w:val="annotation text"/>
    <w:basedOn w:val="Normal"/>
    <w:link w:val="CommentTextChar"/>
    <w:rsid w:val="00B265C3"/>
    <w:pPr>
      <w:spacing w:line="240" w:lineRule="auto"/>
    </w:pPr>
    <w:rPr>
      <w:sz w:val="20"/>
      <w:szCs w:val="20"/>
    </w:rPr>
  </w:style>
  <w:style w:type="character" w:customStyle="1" w:styleId="CommentTextChar">
    <w:name w:val="Comment Text Char"/>
    <w:basedOn w:val="DefaultParagraphFont"/>
    <w:link w:val="CommentText"/>
    <w:rsid w:val="00B265C3"/>
    <w:rPr>
      <w:rFonts w:ascii="Times New Roman" w:eastAsia="Calibri" w:hAnsi="Times New Roman" w:cs="Times New Roman"/>
      <w:lang w:eastAsia="en-US"/>
    </w:rPr>
  </w:style>
  <w:style w:type="paragraph" w:styleId="CommentSubject">
    <w:name w:val="annotation subject"/>
    <w:basedOn w:val="CommentText"/>
    <w:next w:val="CommentText"/>
    <w:link w:val="CommentSubjectChar"/>
    <w:rsid w:val="00B265C3"/>
    <w:rPr>
      <w:b/>
      <w:bCs/>
    </w:rPr>
  </w:style>
  <w:style w:type="character" w:customStyle="1" w:styleId="CommentSubjectChar">
    <w:name w:val="Comment Subject Char"/>
    <w:basedOn w:val="CommentTextChar"/>
    <w:link w:val="CommentSubject"/>
    <w:rsid w:val="00B265C3"/>
    <w:rPr>
      <w:b/>
      <w:bCs/>
    </w:rPr>
  </w:style>
  <w:style w:type="paragraph" w:styleId="BalloonText">
    <w:name w:val="Balloon Text"/>
    <w:basedOn w:val="Normal"/>
    <w:link w:val="BalloonTextChar"/>
    <w:rsid w:val="00B26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265C3"/>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worldometers.info/world-population/india-popul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9</Pages>
  <Words>3520</Words>
  <Characters>20069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Bhaskar Debbarma</dc:creator>
  <cp:lastModifiedBy>kdsingh</cp:lastModifiedBy>
  <cp:revision>11</cp:revision>
  <dcterms:created xsi:type="dcterms:W3CDTF">2024-05-17T04:53:00Z</dcterms:created>
  <dcterms:modified xsi:type="dcterms:W3CDTF">2025-01-03T07:46:00Z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3783277A1F074579B6C500559CE0C7B4_11</vt:lpwstr>
  </property>
</Properties>
</file>