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83CD">
      <w:pPr>
        <w:pStyle w:val="22"/>
        <w:spacing w:line="240" w:lineRule="auto"/>
        <w:rPr>
          <w:rFonts w:ascii="Arial" w:hAnsi="Arial" w:cs="Arial"/>
          <w:bCs/>
          <w:iCs/>
          <w:kern w:val="28"/>
          <w:sz w:val="36"/>
        </w:rPr>
      </w:pPr>
      <w:commentRangeStart w:id="0"/>
      <w:r>
        <w:rPr>
          <w:rFonts w:ascii="Arial" w:hAnsi="Arial" w:cs="Arial"/>
          <w:bCs/>
          <w:iCs/>
          <w:kern w:val="28"/>
          <w:sz w:val="36"/>
        </w:rPr>
        <w:t>Original Research Article</w:t>
      </w:r>
    </w:p>
    <w:p w14:paraId="63130BD1">
      <w:pPr>
        <w:pStyle w:val="22"/>
        <w:spacing w:line="240" w:lineRule="auto"/>
        <w:rPr>
          <w:rFonts w:ascii="Arial" w:hAnsi="Arial" w:cs="Arial"/>
          <w:bCs/>
          <w:iCs/>
          <w:kern w:val="28"/>
          <w:sz w:val="36"/>
        </w:rPr>
      </w:pPr>
    </w:p>
    <w:p w14:paraId="387A0693">
      <w:pPr>
        <w:pStyle w:val="22"/>
        <w:spacing w:line="240" w:lineRule="auto"/>
        <w:rPr>
          <w:rFonts w:ascii="Arial" w:hAnsi="Arial" w:cs="Arial"/>
          <w:bCs/>
          <w:iCs/>
          <w:kern w:val="28"/>
          <w:sz w:val="36"/>
        </w:rPr>
      </w:pPr>
      <w:r>
        <w:rPr>
          <w:rFonts w:ascii="Arial" w:hAnsi="Arial" w:cs="Arial"/>
          <w:bCs/>
          <w:iCs/>
          <w:kern w:val="28"/>
          <w:sz w:val="36"/>
        </w:rPr>
        <w:t xml:space="preserve">The Influence of a History of Anemia During Pregnancy on Stunting Incidents </w:t>
      </w:r>
    </w:p>
    <w:p w14:paraId="3C5B038E">
      <w:pPr>
        <w:pStyle w:val="22"/>
        <w:spacing w:line="240" w:lineRule="auto"/>
        <w:jc w:val="both"/>
        <w:rPr>
          <w:rFonts w:ascii="Arial" w:hAnsi="Arial" w:cs="Arial"/>
          <w:sz w:val="36"/>
        </w:rPr>
      </w:pPr>
    </w:p>
    <w:p w14:paraId="368F2F7D">
      <w:pPr>
        <w:pStyle w:val="23"/>
        <w:spacing w:after="0" w:line="240" w:lineRule="auto"/>
        <w:jc w:val="both"/>
        <w:rPr>
          <w:rFonts w:ascii="Arial" w:hAnsi="Arial" w:cs="Arial"/>
        </w:rPr>
      </w:pPr>
    </w:p>
    <w:p w14:paraId="46BA68CA">
      <w:pPr>
        <w:pStyle w:val="34"/>
        <w:spacing w:after="0" w:line="240" w:lineRule="auto"/>
        <w:jc w:val="both"/>
        <w:rPr>
          <w:rFonts w:ascii="Arial" w:hAnsi="Arial" w:cs="Arial"/>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0" distR="0">
                <wp:extent cx="5303520" cy="635"/>
                <wp:effectExtent l="13335" t="10160" r="17145" b="18415"/>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S8qDQAAAAAgEAAA8AAAAAAAAAAQAgAAAAIgAAAGRy&#10;cy9kb3ducmV2LnhtbFBLAQIUABQAAAAIAIdO4kAxwWbM1AEAALMDAAAOAAAAAAAAAAEAIAAAAB8B&#10;AABkcnMvZTJvRG9jLnhtbFBLBQYAAAAABgAGAFkBAABlBQAAAAA=&#10;">
                <v:fill on="f" focussize="0,0"/>
                <v:stroke weight="1.5pt" color="#000000" joinstyle="round"/>
                <v:imagedata o:title=""/>
                <o:lock v:ext="edit" aspectratio="f"/>
                <w10:wrap type="none"/>
                <w10:anchorlock/>
              </v:shape>
            </w:pict>
          </mc:Fallback>
        </mc:AlternateContent>
      </w:r>
      <w:r>
        <w:rPr>
          <w:rFonts w:ascii="Arial" w:hAnsi="Arial" w:cs="Arial"/>
        </w:rPr>
        <w:t>.</w:t>
      </w:r>
    </w:p>
    <w:p w14:paraId="08FA2850">
      <w:pPr>
        <w:pStyle w:val="25"/>
        <w:spacing w:after="0"/>
        <w:jc w:val="both"/>
        <w:rPr>
          <w:rFonts w:ascii="Arial" w:hAnsi="Arial" w:cs="Arial"/>
        </w:rPr>
      </w:pPr>
      <w:r>
        <w:rPr>
          <w:rFonts w:ascii="Arial" w:hAnsi="Arial" w:cs="Arial"/>
        </w:rPr>
        <w:t xml:space="preserve">ABSTRACT </w:t>
      </w:r>
    </w:p>
    <w:p w14:paraId="7DEC4B51">
      <w:pPr>
        <w:pStyle w:val="25"/>
        <w:spacing w:after="0"/>
        <w:jc w:val="both"/>
        <w:rPr>
          <w:rFonts w:ascii="Arial" w:hAnsi="Arial" w:cs="Arial"/>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4A6AC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3B691C2D">
            <w:pPr>
              <w:pStyle w:val="24"/>
              <w:spacing w:after="0"/>
              <w:rPr>
                <w:rFonts w:ascii="Arial" w:hAnsi="Arial" w:eastAsia="Calibri" w:cs="Arial"/>
                <w:szCs w:val="22"/>
              </w:rPr>
            </w:pPr>
            <w:r>
              <w:rPr>
                <w:rFonts w:ascii="Arial" w:hAnsi="Arial" w:eastAsia="Calibri" w:cs="Arial"/>
                <w:szCs w:val="22"/>
              </w:rPr>
              <w:t>Stunting is a form of growth failure (growth faltering) due to the accumulation of insufficient nutrition that lasts for a long time from pregnancy to 24 months of age. Children are classified as stunted if their Z-score is &lt; -2 SD (stunted) and &lt; – 3 SD (severely stunted). Based on data from the Indonesian Nutrition Status Survey (SSGI), in 2022 Sumedang Regency was known as the highest stunting incidence in West Java Province, which is reported to be above 20% every year. Among 26 sub-districts in Sumedang Regency, Rancakalong District has the highest prevalence. This study aims to describe the incidence of stunting in children under five in the Rancakalong Health Center from August 2022 - February 2023. The design of this study is observational analytic with a retrospective case-control approach. The sample used in this study was 55 toddlers with the total sampling method. The results of the analysis found that 17 children (30.9%) were included in the stunting category and 28 mothers (50.9%) with stunting toddlers had a history of anemia during pregnancy. P value=0.002 (&lt;0.05). This study concludes that there is a significant association between a history of maternal anemia and the incidence of stunting in toddlers.</w:t>
            </w:r>
          </w:p>
        </w:tc>
      </w:tr>
    </w:tbl>
    <w:p w14:paraId="7CC4594E">
      <w:pPr>
        <w:pStyle w:val="24"/>
        <w:spacing w:after="0"/>
        <w:rPr>
          <w:rFonts w:ascii="Arial" w:hAnsi="Arial" w:cs="Arial"/>
          <w:i/>
        </w:rPr>
      </w:pPr>
    </w:p>
    <w:p w14:paraId="6F073D17">
      <w:pPr>
        <w:pStyle w:val="24"/>
        <w:spacing w:after="0"/>
        <w:rPr>
          <w:rFonts w:ascii="Arial" w:hAnsi="Arial" w:cs="Arial"/>
          <w:i/>
        </w:rPr>
      </w:pPr>
      <w:r>
        <w:rPr>
          <w:rFonts w:ascii="Arial" w:hAnsi="Arial" w:cs="Arial"/>
          <w:i/>
        </w:rPr>
        <w:t>Keywords: stunting, toddlers, anemia</w:t>
      </w:r>
    </w:p>
    <w:p w14:paraId="43097F71">
      <w:pPr>
        <w:pStyle w:val="24"/>
        <w:spacing w:after="0"/>
        <w:rPr>
          <w:rFonts w:ascii="Arial" w:hAnsi="Arial" w:cs="Arial"/>
          <w:i/>
        </w:rPr>
      </w:pPr>
    </w:p>
    <w:p w14:paraId="46218E23">
      <w:pPr>
        <w:pStyle w:val="25"/>
        <w:spacing w:after="0"/>
        <w:jc w:val="both"/>
        <w:rPr>
          <w:rFonts w:ascii="Arial" w:hAnsi="Arial" w:cs="Arial"/>
        </w:rPr>
      </w:pPr>
      <w:r>
        <w:rPr>
          <w:rFonts w:ascii="Arial" w:hAnsi="Arial" w:cs="Arial"/>
        </w:rPr>
        <w:t>1. INTRODUCTION</w:t>
      </w:r>
    </w:p>
    <w:p w14:paraId="54F240CB">
      <w:pPr>
        <w:pStyle w:val="24"/>
        <w:spacing w:after="0"/>
        <w:rPr>
          <w:rFonts w:ascii="Arial" w:hAnsi="Arial" w:cs="Arial"/>
        </w:rPr>
      </w:pPr>
      <w:r>
        <w:rPr>
          <w:rFonts w:ascii="Arial" w:hAnsi="Arial" w:cs="Arial"/>
        </w:rPr>
        <w:t>Stunting is a condition of failure to thrive in children under five due to chronic malnutrition, especially in the first 1,000 days of life (HPK). A lack of nutritional intake causes this condition for a long time and the occurrence of recurrent infections, both of these causal factors are influenced by inadequate parenting patterns by parents, especially within 1,000 HPK. Children are classified as stunted if their length or height according to age is lower than the applicable national standards, namely based on the body length measurement index according to age (PB/U) or height according to age (TB/U), showing measurement results with a z-score value of less than -2 Standard Deviation (SD). Stunting affects brain growth and development. Apart from that, stunting also has an increased risk of morbidity, child mortality, and disruption of children's physical, mental, intellectual, and cognitive development. Children who are affected by stunting until the age of 5 years will be difficult to correct so it will continue into adulthood and can increase the risk of offspring with low birth weight (LBW)</w:t>
      </w:r>
      <w:r>
        <w:rPr>
          <w:rFonts w:ascii="Arial" w:hAnsi="Arial" w:cs="Arial"/>
          <w:vertAlign w:val="superscript"/>
        </w:rPr>
        <w:t>1,2,3</w:t>
      </w:r>
      <w:r>
        <w:rPr>
          <w:rFonts w:ascii="Arial" w:hAnsi="Arial" w:cs="Arial"/>
        </w:rPr>
        <w:t xml:space="preserve">. </w:t>
      </w:r>
    </w:p>
    <w:p w14:paraId="44D90E7F">
      <w:pPr>
        <w:pStyle w:val="24"/>
        <w:spacing w:after="0"/>
        <w:rPr>
          <w:rFonts w:ascii="Arial" w:hAnsi="Arial" w:cs="Arial"/>
        </w:rPr>
      </w:pPr>
      <w:r>
        <w:rPr>
          <w:rFonts w:ascii="Arial" w:hAnsi="Arial" w:cs="Arial"/>
        </w:rPr>
        <w:t>Anemia is a condition where hemoglobin (Hb) levels are reduced from normal. According to WHO, pregnant women are said to suffer from anemia if the hemoglobin (Hb) level in the blood is ≤ 11 g/dL. Many factors can influence the occurrence of anemia, but more than 50% of cases of anemia are caused directly due to reduced intake of iron, which is commonly known as iron deficiency anemia. Iron deficiency anemia occurs due to increased body needs, one of which is due to increased iron requirements during pregnancy. In general, there are three causes of iron deficiency anemia in pregnant women, namely the tendency for low iron (Fe) reserves in women during menstruation and previous childbirth, lack of iron intake from the food consumed, and disturbed eating patterns in pregnant women due to nausea felt during pregnancy.</w:t>
      </w:r>
      <w:r>
        <w:rPr>
          <w:rFonts w:ascii="Arial" w:hAnsi="Arial" w:cs="Arial"/>
          <w:vertAlign w:val="superscript"/>
        </w:rPr>
        <w:t>4</w:t>
      </w:r>
    </w:p>
    <w:p w14:paraId="5AC92889">
      <w:pPr>
        <w:pStyle w:val="24"/>
        <w:spacing w:after="0"/>
        <w:rPr>
          <w:rFonts w:ascii="Arial" w:hAnsi="Arial" w:cs="Arial"/>
        </w:rPr>
      </w:pPr>
      <w:r>
        <w:rPr>
          <w:rFonts w:ascii="Arial" w:hAnsi="Arial" w:cs="Arial"/>
        </w:rPr>
        <w:t>According to the World Health Organization (WHO), the global prevalence of stunting in 2020 was 22% or 149.2 million in children under the age of five. There are around 79 million stunted children reported in Asia and 51.1 million reported in Southeast Asia.</w:t>
      </w:r>
      <w:r>
        <w:rPr>
          <w:rFonts w:ascii="Arial" w:hAnsi="Arial" w:cs="Arial"/>
          <w:vertAlign w:val="superscript"/>
        </w:rPr>
        <w:t>5</w:t>
      </w:r>
      <w:r>
        <w:rPr>
          <w:rFonts w:ascii="Arial" w:hAnsi="Arial" w:cs="Arial"/>
        </w:rPr>
        <w:t xml:space="preserve"> Stunting is still a nutritional problem in Indonesia that has not been resolved to date. The prevalence of stunting in Indonesia in 2022 is reported to be 21.6%. This figure has decreased compared to 2013 of 37.2%, 2018 of 30.8%, 2018 of In 2019 it was 27.7% and in 2021 it was 24.4% or an average reduction in stunting of 2.0% per year. A reduction in stunting is needed by 2.7% per year so that the government's target of 14% can be achieved.</w:t>
      </w:r>
      <w:r>
        <w:rPr>
          <w:rFonts w:ascii="Arial" w:hAnsi="Arial" w:cs="Arial"/>
          <w:vertAlign w:val="superscript"/>
        </w:rPr>
        <w:t>6</w:t>
      </w:r>
    </w:p>
    <w:p w14:paraId="0DAA55B1">
      <w:pPr>
        <w:pStyle w:val="24"/>
        <w:spacing w:after="0"/>
        <w:rPr>
          <w:rFonts w:ascii="Arial" w:hAnsi="Arial" w:cs="Arial"/>
        </w:rPr>
      </w:pPr>
      <w:r>
        <w:rPr>
          <w:rFonts w:ascii="Arial" w:hAnsi="Arial" w:cs="Arial"/>
        </w:rPr>
        <w:t>The prevalence of stunting in West Java in 2022 is reported to be 20.2%. In 2022, among the 27 regencies/cities in West Java Province, Sumedang Regency is in first place, followed by Sukabumi Regency in second place. Sumedang Regency was designated as one of the 100 priority districts/cities for stunting intervention in Indonesia because of the high prevalence of stunting in Indonesia, which is reported to be above 20% every year. The prevalence of stunting in 2021 is 22.0% and in 2022 it is 27.6%.6 Rancakalong District is one of the sub-districts in the Sumedang Regency area with the highest prevalence among the 26 sub-districts, although it has decreased over the last 5 years by 8.11% from 2016 of 29.14% to 18.03% in 2018. This is still below the target. Sumedang Regency's Regional Medium Term Development Plan (RPJMD) is expected to decrease to 17% in 2023.7 Meanwhile, based on data from the West Java Provincial Health Service, the number of cases of pregnant women with a history of anemia in Sumedang Regency until 2020 was recorded at 1,058 people. Based on this background, it is necessary to conduct research on the influence of a history of anemia during pregnancy on the incidence of stunting in the work area of ​​the Rancakalong Community Health Center, Sumedang Regency.</w:t>
      </w:r>
    </w:p>
    <w:p w14:paraId="3CF75684">
      <w:pPr>
        <w:pStyle w:val="24"/>
        <w:spacing w:after="0"/>
        <w:rPr>
          <w:rFonts w:ascii="Arial" w:hAnsi="Arial" w:cs="Arial"/>
        </w:rPr>
      </w:pPr>
    </w:p>
    <w:p w14:paraId="32D82E4B">
      <w:pPr>
        <w:pStyle w:val="25"/>
        <w:spacing w:after="0"/>
        <w:jc w:val="both"/>
        <w:rPr>
          <w:rFonts w:ascii="Arial" w:hAnsi="Arial" w:cs="Arial"/>
        </w:rPr>
      </w:pPr>
      <w:r>
        <w:rPr>
          <w:rFonts w:ascii="Arial" w:hAnsi="Arial" w:cs="Arial"/>
        </w:rPr>
        <w:t xml:space="preserve">2. material and methods </w:t>
      </w:r>
    </w:p>
    <w:p w14:paraId="5FC9787E">
      <w:pPr>
        <w:pStyle w:val="24"/>
        <w:spacing w:after="0"/>
        <w:rPr>
          <w:rFonts w:ascii="Arial" w:hAnsi="Arial" w:cs="Arial"/>
          <w:b/>
          <w:bCs/>
        </w:rPr>
      </w:pPr>
      <w:r>
        <w:rPr>
          <w:rFonts w:ascii="Arial" w:hAnsi="Arial" w:cs="Arial"/>
          <w:b/>
          <w:bCs/>
        </w:rPr>
        <w:t>2.1. Research Design</w:t>
      </w:r>
    </w:p>
    <w:p w14:paraId="5E9A307D">
      <w:pPr>
        <w:pStyle w:val="24"/>
        <w:spacing w:after="0"/>
        <w:rPr>
          <w:rFonts w:ascii="Arial" w:hAnsi="Arial" w:cs="Arial"/>
        </w:rPr>
      </w:pPr>
      <w:r>
        <w:rPr>
          <w:rFonts w:ascii="Arial" w:hAnsi="Arial" w:cs="Arial"/>
        </w:rPr>
        <w:t>Research design is essentially a forum for answering research questions or for testing the validity of hypotheses. This research is an observational analytical study that examines the relationship (correlation) with a retrospective case-control research design approach. This design aims to study the causes of events retrospectively so that data collection on a disease is carried out now and then exposures that occurred in the past are identified based on disease tracing.</w:t>
      </w:r>
    </w:p>
    <w:p w14:paraId="68D126DB">
      <w:pPr>
        <w:pStyle w:val="24"/>
        <w:spacing w:after="0"/>
        <w:rPr>
          <w:rFonts w:ascii="Arial" w:hAnsi="Arial" w:cs="Arial"/>
          <w:b/>
          <w:bCs/>
        </w:rPr>
      </w:pPr>
      <w:r>
        <w:rPr>
          <w:rFonts w:ascii="Arial" w:hAnsi="Arial" w:cs="Arial"/>
          <w:b/>
          <w:bCs/>
        </w:rPr>
        <w:t>2.2. Place and Time of Research</w:t>
      </w:r>
    </w:p>
    <w:p w14:paraId="3ACC8B15">
      <w:pPr>
        <w:pStyle w:val="24"/>
        <w:spacing w:after="0"/>
        <w:rPr>
          <w:rFonts w:ascii="Arial" w:hAnsi="Arial" w:cs="Arial"/>
          <w:b/>
          <w:bCs/>
          <w:u w:val="single"/>
        </w:rPr>
      </w:pPr>
      <w:r>
        <w:rPr>
          <w:rFonts w:ascii="Arial" w:hAnsi="Arial" w:cs="Arial"/>
          <w:b/>
          <w:bCs/>
          <w:u w:val="single"/>
        </w:rPr>
        <w:t>2.2.1 Research Place</w:t>
      </w:r>
    </w:p>
    <w:p w14:paraId="3003CA28">
      <w:pPr>
        <w:pStyle w:val="24"/>
        <w:spacing w:after="0"/>
        <w:rPr>
          <w:rFonts w:ascii="Arial" w:hAnsi="Arial" w:cs="Arial"/>
        </w:rPr>
      </w:pPr>
      <w:r>
        <w:rPr>
          <w:rFonts w:ascii="Arial" w:hAnsi="Arial" w:cs="Arial"/>
        </w:rPr>
        <w:t>The location of this research was at the Rancakalong Community Health Center.</w:t>
      </w:r>
    </w:p>
    <w:p w14:paraId="1C6F3A73">
      <w:pPr>
        <w:pStyle w:val="24"/>
        <w:spacing w:after="0"/>
        <w:rPr>
          <w:rFonts w:ascii="Arial" w:hAnsi="Arial" w:cs="Arial"/>
          <w:b/>
          <w:bCs/>
          <w:u w:val="single"/>
        </w:rPr>
      </w:pPr>
      <w:r>
        <w:rPr>
          <w:rFonts w:ascii="Arial" w:hAnsi="Arial" w:cs="Arial"/>
          <w:b/>
          <w:bCs/>
          <w:u w:val="single"/>
        </w:rPr>
        <w:t>2.2.2 Research Time</w:t>
      </w:r>
    </w:p>
    <w:p w14:paraId="7222000D">
      <w:pPr>
        <w:pStyle w:val="24"/>
        <w:spacing w:after="0"/>
        <w:rPr>
          <w:rFonts w:ascii="Arial" w:hAnsi="Arial" w:cs="Arial"/>
        </w:rPr>
      </w:pPr>
      <w:r>
        <w:rPr>
          <w:rFonts w:ascii="Arial" w:hAnsi="Arial" w:cs="Arial"/>
        </w:rPr>
        <w:t>Data collection and implementation of this research was carried out in May 2023.</w:t>
      </w:r>
    </w:p>
    <w:p w14:paraId="5CECC04B">
      <w:pPr>
        <w:pStyle w:val="24"/>
        <w:spacing w:after="0"/>
        <w:rPr>
          <w:rFonts w:ascii="Arial" w:hAnsi="Arial" w:cs="Arial"/>
        </w:rPr>
      </w:pPr>
    </w:p>
    <w:p w14:paraId="5D8CE7CF">
      <w:pPr>
        <w:pStyle w:val="24"/>
        <w:spacing w:after="0"/>
        <w:rPr>
          <w:rFonts w:ascii="Arial" w:hAnsi="Arial" w:cs="Arial"/>
          <w:b/>
          <w:bCs/>
        </w:rPr>
      </w:pPr>
      <w:r>
        <w:rPr>
          <w:rFonts w:ascii="Arial" w:hAnsi="Arial" w:cs="Arial"/>
          <w:b/>
          <w:bCs/>
        </w:rPr>
        <w:t>2.3 Research Population and Sample</w:t>
      </w:r>
    </w:p>
    <w:p w14:paraId="6FCF264A">
      <w:pPr>
        <w:pStyle w:val="24"/>
        <w:rPr>
          <w:rFonts w:ascii="Arial" w:hAnsi="Arial" w:cs="Arial"/>
        </w:rPr>
      </w:pPr>
      <w:r>
        <w:rPr>
          <w:rFonts w:ascii="Arial" w:hAnsi="Arial" w:cs="Arial"/>
        </w:rPr>
        <w:t>Population is a generalization area consisting of objects or subjects that have certain qualities and characteristics determined by the researcher to be studied and then conclusions drawn. Meanwhile, the sample is defined as part of the number and characteristics of the population.</w:t>
      </w:r>
    </w:p>
    <w:p w14:paraId="5B254C15">
      <w:pPr>
        <w:pStyle w:val="24"/>
        <w:spacing w:after="0"/>
        <w:rPr>
          <w:rFonts w:ascii="Arial" w:hAnsi="Arial" w:cs="Arial"/>
          <w:b/>
          <w:bCs/>
          <w:u w:val="single"/>
        </w:rPr>
      </w:pPr>
      <w:r>
        <w:rPr>
          <w:rFonts w:ascii="Arial" w:hAnsi="Arial" w:cs="Arial"/>
          <w:b/>
          <w:bCs/>
          <w:u w:val="single"/>
        </w:rPr>
        <w:t>2.3.1 Population</w:t>
      </w:r>
    </w:p>
    <w:p w14:paraId="2026D9FF">
      <w:pPr>
        <w:pStyle w:val="24"/>
        <w:spacing w:after="0"/>
        <w:rPr>
          <w:rFonts w:ascii="Arial" w:hAnsi="Arial" w:cs="Arial"/>
        </w:rPr>
      </w:pPr>
      <w:r>
        <w:rPr>
          <w:rFonts w:ascii="Arial" w:hAnsi="Arial" w:cs="Arial"/>
        </w:rPr>
        <w:t>The population determined in this study were all toddlers in Rancakalong District, Sumedang Regency from August 2022 to February 2023.</w:t>
      </w:r>
    </w:p>
    <w:p w14:paraId="0D85D31F">
      <w:pPr>
        <w:pStyle w:val="24"/>
        <w:spacing w:after="0"/>
        <w:rPr>
          <w:rFonts w:ascii="Arial" w:hAnsi="Arial" w:cs="Arial"/>
          <w:b/>
          <w:bCs/>
          <w:u w:val="single"/>
        </w:rPr>
      </w:pPr>
      <w:r>
        <w:rPr>
          <w:rFonts w:ascii="Arial" w:hAnsi="Arial" w:cs="Arial"/>
          <w:b/>
          <w:bCs/>
          <w:u w:val="single"/>
        </w:rPr>
        <w:t>2.3.2 Sample</w:t>
      </w:r>
    </w:p>
    <w:p w14:paraId="0A5B2E9D">
      <w:pPr>
        <w:pStyle w:val="24"/>
        <w:spacing w:after="0"/>
        <w:rPr>
          <w:rFonts w:ascii="Arial" w:hAnsi="Arial" w:cs="Arial"/>
        </w:rPr>
      </w:pPr>
      <w:r>
        <w:rPr>
          <w:rFonts w:ascii="Arial" w:hAnsi="Arial" w:cs="Arial"/>
        </w:rPr>
        <w:t>A sample is a portion of the number of members of a population that can represent the characteristics of that population. The larger the sample size used, the more representative it will be of the population. This research sample was taken using the Total Sampling method for age and families who met the inclusion and exclusion criteria</w:t>
      </w:r>
    </w:p>
    <w:p w14:paraId="604BB648">
      <w:pPr>
        <w:pStyle w:val="24"/>
        <w:spacing w:after="0"/>
        <w:rPr>
          <w:rFonts w:ascii="Arial" w:hAnsi="Arial" w:cs="Arial"/>
        </w:rPr>
      </w:pPr>
    </w:p>
    <w:p w14:paraId="498C7E76">
      <w:pPr>
        <w:pStyle w:val="24"/>
        <w:spacing w:after="0"/>
        <w:rPr>
          <w:rFonts w:ascii="Arial" w:hAnsi="Arial" w:cs="Arial"/>
          <w:b/>
          <w:bCs/>
        </w:rPr>
      </w:pPr>
      <w:r>
        <w:rPr>
          <w:rFonts w:ascii="Arial" w:hAnsi="Arial" w:cs="Arial"/>
          <w:b/>
          <w:bCs/>
        </w:rPr>
        <w:t>2.4 Inclusion and Exclusion Criteria</w:t>
      </w:r>
    </w:p>
    <w:p w14:paraId="2DDC4963">
      <w:pPr>
        <w:pStyle w:val="24"/>
        <w:spacing w:after="0"/>
        <w:rPr>
          <w:rFonts w:ascii="Arial" w:hAnsi="Arial" w:cs="Arial"/>
          <w:b/>
          <w:bCs/>
          <w:u w:val="single"/>
        </w:rPr>
      </w:pPr>
      <w:r>
        <w:rPr>
          <w:rFonts w:ascii="Arial" w:hAnsi="Arial" w:cs="Arial"/>
          <w:b/>
          <w:bCs/>
          <w:u w:val="single"/>
        </w:rPr>
        <w:t>3.4.1 Inclusion Criteria</w:t>
      </w:r>
    </w:p>
    <w:p w14:paraId="76F8309B">
      <w:pPr>
        <w:pStyle w:val="24"/>
        <w:spacing w:after="0"/>
        <w:rPr>
          <w:rFonts w:ascii="Arial" w:hAnsi="Arial" w:cs="Arial"/>
        </w:rPr>
      </w:pPr>
      <w:r>
        <w:rPr>
          <w:rFonts w:ascii="Arial" w:hAnsi="Arial" w:cs="Arial"/>
        </w:rPr>
        <w:t>2nclusion criteria are characteristics that need to be met by each sample, which in this study are:</w:t>
      </w:r>
    </w:p>
    <w:p w14:paraId="2A6D9BC0">
      <w:pPr>
        <w:pStyle w:val="24"/>
        <w:numPr>
          <w:ilvl w:val="0"/>
          <w:numId w:val="7"/>
        </w:numPr>
        <w:spacing w:after="0"/>
        <w:ind w:left="284" w:hanging="284"/>
        <w:rPr>
          <w:rFonts w:ascii="Arial" w:hAnsi="Arial" w:cs="Arial"/>
        </w:rPr>
      </w:pPr>
      <w:r>
        <w:rPr>
          <w:rFonts w:ascii="Arial" w:hAnsi="Arial" w:cs="Arial"/>
        </w:rPr>
        <w:t>Stunted toddlers based on a diagnosis at the Rancakalong Community Health Center, Sumedang Regency in August 2022 - February 2023, lived in Rancakalong District, Sumedang Regency at the time this research took place.</w:t>
      </w:r>
    </w:p>
    <w:p w14:paraId="49FCEEE3">
      <w:pPr>
        <w:pStyle w:val="24"/>
        <w:numPr>
          <w:ilvl w:val="0"/>
          <w:numId w:val="7"/>
        </w:numPr>
        <w:spacing w:after="0"/>
        <w:ind w:left="284" w:hanging="284"/>
        <w:rPr>
          <w:rFonts w:ascii="Arial" w:hAnsi="Arial" w:cs="Arial"/>
        </w:rPr>
      </w:pPr>
      <w:r>
        <w:rPr>
          <w:rFonts w:ascii="Arial" w:hAnsi="Arial" w:cs="Arial"/>
        </w:rPr>
        <w:t>The mother checked the Hb during the child's pregnancy during Ante Natal Care (ANC) and the results were listed in the profiling data of the Rancakalong District Health Center.</w:t>
      </w:r>
    </w:p>
    <w:p w14:paraId="07656804">
      <w:pPr>
        <w:pStyle w:val="24"/>
        <w:numPr>
          <w:ilvl w:val="0"/>
          <w:numId w:val="7"/>
        </w:numPr>
        <w:spacing w:after="0"/>
        <w:ind w:left="284" w:hanging="284"/>
        <w:rPr>
          <w:rFonts w:ascii="Arial" w:hAnsi="Arial" w:cs="Arial"/>
        </w:rPr>
      </w:pPr>
      <w:r>
        <w:rPr>
          <w:rFonts w:ascii="Arial" w:hAnsi="Arial" w:cs="Arial"/>
        </w:rPr>
        <w:t>Mother is willing to have her data used in research.</w:t>
      </w:r>
    </w:p>
    <w:p w14:paraId="585403FE">
      <w:pPr>
        <w:pStyle w:val="24"/>
        <w:spacing w:after="0"/>
        <w:rPr>
          <w:rFonts w:ascii="Arial" w:hAnsi="Arial" w:cs="Arial"/>
        </w:rPr>
      </w:pPr>
      <w:r>
        <w:rPr>
          <w:rFonts w:ascii="Arial" w:hAnsi="Arial" w:cs="Arial"/>
        </w:rPr>
        <w:t>With control inclusion criteria, namely:</w:t>
      </w:r>
    </w:p>
    <w:p w14:paraId="2A2A1D5D">
      <w:pPr>
        <w:pStyle w:val="24"/>
        <w:numPr>
          <w:ilvl w:val="0"/>
          <w:numId w:val="8"/>
        </w:numPr>
        <w:spacing w:after="0"/>
        <w:ind w:left="284" w:hanging="284"/>
        <w:rPr>
          <w:rFonts w:ascii="Arial" w:hAnsi="Arial" w:cs="Arial"/>
        </w:rPr>
      </w:pPr>
      <w:r>
        <w:rPr>
          <w:rFonts w:ascii="Arial" w:hAnsi="Arial" w:cs="Arial"/>
        </w:rPr>
        <w:t>Toddlers who were not diagnosed with stunting by the Rancakalong Community Health Center, Sumedang Regency in August 2022 - February 2023, lived in Rancakalong District, Sumedang Regency at the time this research took place.</w:t>
      </w:r>
    </w:p>
    <w:p w14:paraId="2CB53674">
      <w:pPr>
        <w:pStyle w:val="24"/>
        <w:numPr>
          <w:ilvl w:val="0"/>
          <w:numId w:val="8"/>
        </w:numPr>
        <w:spacing w:after="0"/>
        <w:ind w:left="284" w:hanging="284"/>
        <w:rPr>
          <w:rFonts w:ascii="Arial" w:hAnsi="Arial" w:cs="Arial"/>
        </w:rPr>
      </w:pPr>
      <w:r>
        <w:rPr>
          <w:rFonts w:ascii="Arial" w:hAnsi="Arial" w:cs="Arial"/>
        </w:rPr>
        <w:t>The mother checked the Hb during the child's pregnancy during Ante Natal Care (ANC) and the results were listed in the profiling data of the Rancakalong District Health Center.</w:t>
      </w:r>
    </w:p>
    <w:p w14:paraId="3EF6C66C">
      <w:pPr>
        <w:pStyle w:val="24"/>
        <w:numPr>
          <w:ilvl w:val="0"/>
          <w:numId w:val="8"/>
        </w:numPr>
        <w:spacing w:after="0"/>
        <w:ind w:left="284" w:hanging="284"/>
        <w:rPr>
          <w:rFonts w:ascii="Arial" w:hAnsi="Arial" w:cs="Arial"/>
        </w:rPr>
      </w:pPr>
      <w:r>
        <w:rPr>
          <w:rFonts w:ascii="Arial" w:hAnsi="Arial" w:cs="Arial"/>
        </w:rPr>
        <w:t>Mother is willing to have her data used in research.</w:t>
      </w:r>
    </w:p>
    <w:p w14:paraId="1C27059D">
      <w:pPr>
        <w:pStyle w:val="24"/>
        <w:spacing w:after="0"/>
        <w:rPr>
          <w:rFonts w:ascii="Arial" w:hAnsi="Arial" w:cs="Arial"/>
        </w:rPr>
      </w:pPr>
    </w:p>
    <w:p w14:paraId="200F0C7D">
      <w:pPr>
        <w:pStyle w:val="24"/>
        <w:spacing w:after="0"/>
        <w:rPr>
          <w:rFonts w:ascii="Arial" w:hAnsi="Arial" w:cs="Arial"/>
          <w:b/>
          <w:bCs/>
          <w:u w:val="single"/>
        </w:rPr>
      </w:pPr>
      <w:r>
        <w:rPr>
          <w:rFonts w:ascii="Arial" w:hAnsi="Arial" w:cs="Arial"/>
          <w:b/>
          <w:bCs/>
          <w:u w:val="single"/>
        </w:rPr>
        <w:t>2.4.2 Exclusion Criteria</w:t>
      </w:r>
    </w:p>
    <w:p w14:paraId="7C5ED094">
      <w:pPr>
        <w:pStyle w:val="24"/>
        <w:spacing w:after="0"/>
        <w:rPr>
          <w:rFonts w:ascii="Arial" w:hAnsi="Arial" w:cs="Arial"/>
        </w:rPr>
      </w:pPr>
      <w:r>
        <w:rPr>
          <w:rFonts w:ascii="Arial" w:hAnsi="Arial" w:cs="Arial"/>
        </w:rPr>
        <w:t>The exclusion criteria in this study are:</w:t>
      </w:r>
    </w:p>
    <w:p w14:paraId="5C74AE4E">
      <w:pPr>
        <w:pStyle w:val="24"/>
        <w:spacing w:after="0"/>
        <w:rPr>
          <w:rFonts w:ascii="Arial" w:hAnsi="Arial" w:cs="Arial"/>
        </w:rPr>
      </w:pPr>
      <w:r>
        <w:rPr>
          <w:rFonts w:ascii="Arial" w:hAnsi="Arial" w:cs="Arial"/>
        </w:rPr>
        <w:t>1) Toddlers have physical abnormalities related to their legs and height.</w:t>
      </w:r>
    </w:p>
    <w:p w14:paraId="3DFEF191">
      <w:pPr>
        <w:pStyle w:val="24"/>
        <w:spacing w:after="0"/>
        <w:rPr>
          <w:rFonts w:ascii="Arial" w:hAnsi="Arial" w:cs="Arial"/>
        </w:rPr>
      </w:pPr>
      <w:r>
        <w:rPr>
          <w:rFonts w:ascii="Arial" w:hAnsi="Arial" w:cs="Arial"/>
        </w:rPr>
        <w:t xml:space="preserve">2) Mothers whose data were not available were used in the research. </w:t>
      </w:r>
    </w:p>
    <w:p w14:paraId="034FDFF3">
      <w:pPr>
        <w:pStyle w:val="24"/>
        <w:spacing w:after="0"/>
        <w:rPr>
          <w:rFonts w:ascii="Arial" w:hAnsi="Arial" w:cs="Arial"/>
        </w:rPr>
      </w:pPr>
      <w:r>
        <w:rPr>
          <w:rFonts w:ascii="Arial" w:hAnsi="Arial" w:cs="Arial"/>
        </w:rPr>
        <w:t>The control exclusion criteria are:</w:t>
      </w:r>
    </w:p>
    <w:p w14:paraId="2A4F1930">
      <w:pPr>
        <w:pStyle w:val="24"/>
        <w:spacing w:after="0"/>
        <w:rPr>
          <w:rFonts w:ascii="Arial" w:hAnsi="Arial" w:cs="Arial"/>
        </w:rPr>
      </w:pPr>
      <w:r>
        <w:rPr>
          <w:rFonts w:ascii="Arial" w:hAnsi="Arial" w:cs="Arial"/>
        </w:rPr>
        <w:t>1) Toddlers have physical abnormalities related to their legs and height.</w:t>
      </w:r>
    </w:p>
    <w:p w14:paraId="37860ADA">
      <w:pPr>
        <w:pStyle w:val="24"/>
        <w:spacing w:after="0"/>
        <w:rPr>
          <w:rFonts w:ascii="Arial" w:hAnsi="Arial" w:cs="Arial"/>
        </w:rPr>
      </w:pPr>
      <w:r>
        <w:rPr>
          <w:rFonts w:ascii="Arial" w:hAnsi="Arial" w:cs="Arial"/>
        </w:rPr>
        <w:t>2) Toddlers diagnosed with stunting by the Rancakalong village health center, Sumedang Regency.</w:t>
      </w:r>
    </w:p>
    <w:p w14:paraId="6CB68118">
      <w:pPr>
        <w:pStyle w:val="24"/>
        <w:spacing w:after="0"/>
        <w:rPr>
          <w:rFonts w:ascii="Arial" w:hAnsi="Arial" w:cs="Arial"/>
        </w:rPr>
      </w:pPr>
      <w:r>
        <w:rPr>
          <w:rFonts w:ascii="Arial" w:hAnsi="Arial" w:cs="Arial"/>
        </w:rPr>
        <w:t>3) The mother is not willing to have her data used in research.</w:t>
      </w:r>
    </w:p>
    <w:p w14:paraId="67883B25">
      <w:pPr>
        <w:pStyle w:val="24"/>
        <w:spacing w:after="0"/>
        <w:rPr>
          <w:rFonts w:ascii="Arial" w:hAnsi="Arial" w:cs="Arial"/>
        </w:rPr>
      </w:pPr>
    </w:p>
    <w:p w14:paraId="60AFB0FD">
      <w:pPr>
        <w:pStyle w:val="24"/>
        <w:numPr>
          <w:ilvl w:val="1"/>
          <w:numId w:val="9"/>
        </w:numPr>
        <w:spacing w:after="0"/>
        <w:rPr>
          <w:rFonts w:ascii="Arial" w:hAnsi="Arial" w:cs="Arial"/>
          <w:b/>
          <w:bCs/>
        </w:rPr>
      </w:pPr>
      <w:r>
        <w:rPr>
          <w:rFonts w:ascii="Arial" w:hAnsi="Arial" w:cs="Arial"/>
          <w:b/>
          <w:bCs/>
        </w:rPr>
        <w:t>Research Instruments</w:t>
      </w:r>
    </w:p>
    <w:p w14:paraId="46B06D00">
      <w:pPr>
        <w:pStyle w:val="24"/>
        <w:spacing w:after="0"/>
        <w:rPr>
          <w:rFonts w:ascii="Arial" w:hAnsi="Arial" w:cs="Arial"/>
        </w:rPr>
      </w:pPr>
      <w:r>
        <w:rPr>
          <w:rFonts w:ascii="Arial" w:hAnsi="Arial" w:cs="Arial"/>
        </w:rPr>
        <w:t>Research instruments are tools used in research activities, especially for measuring and collecting data. The research instrument used in this research is secondary data in the form of the Sumedang Regency Regional Stunting Data Report, for the period August 2022 to February 2023</w:t>
      </w:r>
    </w:p>
    <w:p w14:paraId="3EE2B854">
      <w:pPr>
        <w:pStyle w:val="24"/>
        <w:spacing w:after="0"/>
        <w:rPr>
          <w:rFonts w:ascii="Arial" w:hAnsi="Arial" w:cs="Arial"/>
        </w:rPr>
      </w:pPr>
    </w:p>
    <w:p w14:paraId="3946E7E8">
      <w:pPr>
        <w:pStyle w:val="24"/>
        <w:numPr>
          <w:ilvl w:val="1"/>
          <w:numId w:val="9"/>
        </w:numPr>
        <w:spacing w:after="0"/>
        <w:ind w:left="426" w:hanging="426"/>
        <w:rPr>
          <w:rFonts w:ascii="Arial" w:hAnsi="Arial" w:cs="Arial"/>
          <w:b/>
          <w:bCs/>
        </w:rPr>
      </w:pPr>
      <w:r>
        <w:rPr>
          <w:rFonts w:ascii="Arial" w:hAnsi="Arial" w:cs="Arial"/>
          <w:b/>
          <w:bCs/>
        </w:rPr>
        <w:t>Data Processing and Analysis</w:t>
      </w:r>
    </w:p>
    <w:p w14:paraId="703B8D50">
      <w:pPr>
        <w:pStyle w:val="24"/>
        <w:spacing w:after="0"/>
        <w:rPr>
          <w:rFonts w:ascii="Arial" w:hAnsi="Arial" w:cs="Arial"/>
          <w:b/>
          <w:bCs/>
          <w:u w:val="single"/>
        </w:rPr>
      </w:pPr>
      <w:r>
        <w:rPr>
          <w:rFonts w:ascii="Arial" w:hAnsi="Arial" w:cs="Arial"/>
          <w:b/>
          <w:bCs/>
          <w:u w:val="single"/>
        </w:rPr>
        <w:t>2.6.1 Data processing</w:t>
      </w:r>
    </w:p>
    <w:p w14:paraId="37A934B1">
      <w:pPr>
        <w:pStyle w:val="24"/>
        <w:spacing w:after="0"/>
        <w:rPr>
          <w:rFonts w:ascii="Arial" w:hAnsi="Arial" w:cs="Arial"/>
        </w:rPr>
      </w:pPr>
      <w:r>
        <w:rPr>
          <w:rFonts w:ascii="Arial" w:hAnsi="Arial" w:cs="Arial"/>
        </w:rPr>
        <w:t>Entering archive data of stunting reports obtained and all data processed using the SPSS version 16.0 application. Tabulating/grouping the data into tables for analysis using the SPSS version 16.0 application program in the form of a frequency distribution.</w:t>
      </w:r>
    </w:p>
    <w:p w14:paraId="7157433D">
      <w:pPr>
        <w:pStyle w:val="24"/>
        <w:spacing w:after="0"/>
        <w:rPr>
          <w:rFonts w:ascii="Arial" w:hAnsi="Arial" w:cs="Arial"/>
        </w:rPr>
      </w:pPr>
    </w:p>
    <w:p w14:paraId="3BBB6C4D">
      <w:pPr>
        <w:pStyle w:val="24"/>
        <w:spacing w:after="0"/>
        <w:rPr>
          <w:rFonts w:ascii="Arial" w:hAnsi="Arial" w:cs="Arial"/>
          <w:b/>
          <w:bCs/>
          <w:u w:val="single"/>
        </w:rPr>
      </w:pPr>
      <w:r>
        <w:rPr>
          <w:rFonts w:ascii="Arial" w:hAnsi="Arial" w:cs="Arial"/>
          <w:b/>
          <w:bCs/>
          <w:u w:val="single"/>
        </w:rPr>
        <w:t>2.6.2 Data analysis</w:t>
      </w:r>
    </w:p>
    <w:p w14:paraId="288A62F6">
      <w:pPr>
        <w:pStyle w:val="24"/>
        <w:spacing w:after="0"/>
        <w:rPr>
          <w:rFonts w:ascii="Arial" w:hAnsi="Arial" w:cs="Arial"/>
        </w:rPr>
      </w:pPr>
      <w:r>
        <w:rPr>
          <w:rFonts w:ascii="Arial" w:hAnsi="Arial" w:cs="Arial"/>
        </w:rPr>
        <w:t>Data obtained from stunting data reports in the Rancakalong District, Sumedang Regency were analyzed univariately and bivariately. Univariate analysis is a series of the most basic forms of calculations from statistical data analysis techniques. Univariate analysis aims to explain and interpret the variables studied by entering data separately in a frequency distribution table which includes demographic data, description of stunting in toddlers aged 0 - 59 months, and history of anemia in pregnant women at the Rancakalong District Health Center. Bivariate analysis is used to determine whether there is a correlation between the dependent and independent variables using the chi-square statistical test. In this study, this study analyzes the relationship between a history of anemia in pregnant women and the incidence of stunting in toddlers.</w:t>
      </w:r>
    </w:p>
    <w:p w14:paraId="133328B4">
      <w:pPr>
        <w:pStyle w:val="24"/>
        <w:spacing w:after="0"/>
        <w:rPr>
          <w:rFonts w:ascii="Arial" w:hAnsi="Arial" w:cs="Arial"/>
        </w:rPr>
      </w:pPr>
    </w:p>
    <w:p w14:paraId="0B258215">
      <w:pPr>
        <w:pStyle w:val="36"/>
        <w:spacing w:after="0"/>
        <w:jc w:val="both"/>
        <w:rPr>
          <w:rFonts w:ascii="Arial" w:hAnsi="Arial" w:cs="Arial"/>
        </w:rPr>
      </w:pPr>
      <w:r>
        <w:rPr>
          <w:rFonts w:ascii="Arial" w:hAnsi="Arial" w:cs="Arial"/>
        </w:rPr>
        <w:t>3. results and discussion</w:t>
      </w:r>
    </w:p>
    <w:p w14:paraId="0FC9E023">
      <w:pPr>
        <w:pStyle w:val="24"/>
        <w:numPr>
          <w:ilvl w:val="1"/>
          <w:numId w:val="7"/>
        </w:numPr>
        <w:spacing w:after="0"/>
        <w:ind w:left="426" w:hanging="426"/>
        <w:rPr>
          <w:rFonts w:ascii="Arial" w:hAnsi="Arial" w:cs="Arial"/>
          <w:b/>
          <w:bCs/>
        </w:rPr>
      </w:pPr>
      <w:r>
        <w:rPr>
          <w:rFonts w:ascii="Arial" w:hAnsi="Arial" w:cs="Arial"/>
          <w:b/>
          <w:bCs/>
        </w:rPr>
        <w:t xml:space="preserve"> Research Results</w:t>
      </w:r>
    </w:p>
    <w:p w14:paraId="74218FB3">
      <w:pPr>
        <w:pStyle w:val="24"/>
        <w:spacing w:after="0"/>
        <w:rPr>
          <w:rFonts w:ascii="Arial" w:hAnsi="Arial" w:cs="Arial"/>
          <w:b/>
          <w:bCs/>
        </w:rPr>
      </w:pPr>
      <w:r>
        <w:rPr>
          <w:rFonts w:ascii="Arial" w:hAnsi="Arial" w:cs="Arial"/>
        </w:rPr>
        <w:t>Based on data obtained from toddler weighing reports and profiling of mothers who have stunted children for the period August 2022-February 2023 at Rancakalong Community Health Center. The research sample obtained following the inclusion criteria was 55 patients. The results of this research will be described using univariate and bivariate analysis.</w:t>
      </w:r>
    </w:p>
    <w:p w14:paraId="4692C987">
      <w:pPr>
        <w:pStyle w:val="24"/>
        <w:spacing w:after="0"/>
        <w:rPr>
          <w:rFonts w:ascii="Arial" w:hAnsi="Arial" w:cs="Arial"/>
        </w:rPr>
      </w:pPr>
    </w:p>
    <w:p w14:paraId="084A117E">
      <w:pPr>
        <w:pStyle w:val="24"/>
        <w:spacing w:after="0"/>
        <w:rPr>
          <w:rFonts w:ascii="Arial" w:hAnsi="Arial" w:cs="Arial"/>
          <w:b/>
          <w:bCs/>
          <w:u w:val="single"/>
        </w:rPr>
      </w:pPr>
      <w:r>
        <w:rPr>
          <w:rFonts w:ascii="Arial" w:hAnsi="Arial" w:cs="Arial"/>
          <w:b/>
          <w:bCs/>
          <w:u w:val="single"/>
        </w:rPr>
        <w:t>3.1.1 Univariate Analysis</w:t>
      </w:r>
    </w:p>
    <w:p w14:paraId="5EAC017C">
      <w:pPr>
        <w:pStyle w:val="24"/>
        <w:spacing w:after="0"/>
        <w:rPr>
          <w:rFonts w:ascii="Arial" w:hAnsi="Arial" w:cs="Arial"/>
        </w:rPr>
      </w:pPr>
      <w:r>
        <w:rPr>
          <w:rFonts w:ascii="Arial" w:hAnsi="Arial" w:cs="Arial"/>
        </w:rPr>
        <w:t>Univariate analysis was used to determine the characteristics of the frequency distribution of stunting in children under five years of age (toddlers) based on height for age (TB/U).</w:t>
      </w:r>
    </w:p>
    <w:p w14:paraId="3C2AB2AB">
      <w:pPr>
        <w:pStyle w:val="24"/>
        <w:spacing w:after="0"/>
        <w:rPr>
          <w:rFonts w:ascii="Arial" w:hAnsi="Arial" w:cs="Arial"/>
        </w:rPr>
      </w:pPr>
    </w:p>
    <w:p w14:paraId="06285965">
      <w:pPr>
        <w:pStyle w:val="24"/>
        <w:spacing w:after="0"/>
        <w:jc w:val="center"/>
        <w:rPr>
          <w:rFonts w:ascii="Arial" w:hAnsi="Arial" w:cs="Arial"/>
          <w:b/>
          <w:bCs/>
        </w:rPr>
      </w:pPr>
      <w:r>
        <w:rPr>
          <w:rFonts w:ascii="Arial" w:hAnsi="Arial" w:cs="Arial"/>
          <w:b/>
          <w:bCs/>
        </w:rPr>
        <w:t>Table 1 Frequency of Stunting in Children Under Five Years of Age (Toddlers) at the Rancakalong Community Health Center for the Period August 2022 - February 2023</w:t>
      </w:r>
    </w:p>
    <w:p w14:paraId="69F6EC1C">
      <w:pPr>
        <w:pStyle w:val="24"/>
        <w:spacing w:after="0"/>
        <w:jc w:val="center"/>
        <w:rPr>
          <w:rFonts w:ascii="Arial" w:hAnsi="Arial" w:cs="Arial"/>
        </w:rPr>
      </w:pPr>
    </w:p>
    <w:tbl>
      <w:tblPr>
        <w:tblStyle w:val="5"/>
        <w:tblW w:w="0" w:type="auto"/>
        <w:jc w:val="center"/>
        <w:tblLayout w:type="fixed"/>
        <w:tblCellMar>
          <w:top w:w="0" w:type="dxa"/>
          <w:left w:w="0" w:type="dxa"/>
          <w:bottom w:w="0" w:type="dxa"/>
          <w:right w:w="0" w:type="dxa"/>
        </w:tblCellMar>
      </w:tblPr>
      <w:tblGrid>
        <w:gridCol w:w="1257"/>
        <w:gridCol w:w="3045"/>
        <w:gridCol w:w="2360"/>
      </w:tblGrid>
      <w:tr w14:paraId="695C2F30">
        <w:tblPrEx>
          <w:tblCellMar>
            <w:top w:w="0" w:type="dxa"/>
            <w:left w:w="0" w:type="dxa"/>
            <w:bottom w:w="0" w:type="dxa"/>
            <w:right w:w="0" w:type="dxa"/>
          </w:tblCellMar>
        </w:tblPrEx>
        <w:trPr>
          <w:trHeight w:val="371" w:hRule="atLeast"/>
          <w:jc w:val="center"/>
        </w:trPr>
        <w:tc>
          <w:tcPr>
            <w:tcW w:w="1257" w:type="dxa"/>
            <w:tcBorders>
              <w:top w:val="single" w:color="000000" w:sz="4" w:space="0"/>
              <w:bottom w:val="single" w:color="000000" w:sz="4" w:space="0"/>
            </w:tcBorders>
          </w:tcPr>
          <w:p w14:paraId="02E5DE60">
            <w:pPr>
              <w:pStyle w:val="24"/>
              <w:spacing w:after="0"/>
              <w:rPr>
                <w:rFonts w:ascii="Arial" w:hAnsi="Arial" w:cs="Arial"/>
                <w:b/>
                <w:lang w:val="id"/>
              </w:rPr>
            </w:pPr>
            <w:r>
              <w:rPr>
                <w:rFonts w:ascii="Arial" w:hAnsi="Arial" w:cs="Arial"/>
                <w:b/>
                <w:lang w:val="id"/>
              </w:rPr>
              <w:t>Height/Age</w:t>
            </w:r>
          </w:p>
        </w:tc>
        <w:tc>
          <w:tcPr>
            <w:tcW w:w="3045" w:type="dxa"/>
            <w:tcBorders>
              <w:top w:val="single" w:color="000000" w:sz="4" w:space="0"/>
              <w:bottom w:val="single" w:color="000000" w:sz="4" w:space="0"/>
            </w:tcBorders>
          </w:tcPr>
          <w:p w14:paraId="4790C99D">
            <w:pPr>
              <w:pStyle w:val="24"/>
              <w:spacing w:after="0"/>
              <w:jc w:val="center"/>
              <w:rPr>
                <w:rFonts w:ascii="Arial" w:hAnsi="Arial" w:cs="Arial"/>
                <w:b/>
              </w:rPr>
            </w:pPr>
            <w:r>
              <w:rPr>
                <w:rFonts w:ascii="Arial" w:hAnsi="Arial" w:cs="Arial"/>
                <w:b/>
                <w:lang w:val="id"/>
              </w:rPr>
              <w:t>Fre</w:t>
            </w:r>
            <w:r>
              <w:rPr>
                <w:rFonts w:ascii="Arial" w:hAnsi="Arial" w:cs="Arial"/>
                <w:b/>
              </w:rPr>
              <w:t>q</w:t>
            </w:r>
            <w:r>
              <w:rPr>
                <w:rFonts w:ascii="Arial" w:hAnsi="Arial" w:cs="Arial"/>
                <w:b/>
                <w:lang w:val="id"/>
              </w:rPr>
              <w:t>uen</w:t>
            </w:r>
            <w:r>
              <w:rPr>
                <w:rFonts w:ascii="Arial" w:hAnsi="Arial" w:cs="Arial"/>
                <w:b/>
              </w:rPr>
              <w:t>cy</w:t>
            </w:r>
          </w:p>
        </w:tc>
        <w:tc>
          <w:tcPr>
            <w:tcW w:w="2360" w:type="dxa"/>
            <w:tcBorders>
              <w:top w:val="single" w:color="000000" w:sz="4" w:space="0"/>
              <w:bottom w:val="single" w:color="000000" w:sz="4" w:space="0"/>
            </w:tcBorders>
          </w:tcPr>
          <w:p w14:paraId="1893637B">
            <w:pPr>
              <w:pStyle w:val="24"/>
              <w:spacing w:after="0"/>
              <w:jc w:val="center"/>
              <w:rPr>
                <w:rFonts w:ascii="Arial" w:hAnsi="Arial" w:cs="Arial"/>
                <w:b/>
              </w:rPr>
            </w:pPr>
            <w:r>
              <w:rPr>
                <w:rFonts w:ascii="Arial" w:hAnsi="Arial" w:cs="Arial"/>
                <w:b/>
              </w:rPr>
              <w:t>Percentage (</w:t>
            </w:r>
            <w:r>
              <w:rPr>
                <w:rFonts w:ascii="Arial" w:hAnsi="Arial" w:cs="Arial"/>
                <w:b/>
                <w:lang w:val="id"/>
              </w:rPr>
              <w:t>%</w:t>
            </w:r>
            <w:r>
              <w:rPr>
                <w:rFonts w:ascii="Arial" w:hAnsi="Arial" w:cs="Arial"/>
                <w:b/>
              </w:rPr>
              <w:t>)</w:t>
            </w:r>
          </w:p>
        </w:tc>
      </w:tr>
      <w:tr w14:paraId="60FBAEA7">
        <w:tblPrEx>
          <w:tblCellMar>
            <w:top w:w="0" w:type="dxa"/>
            <w:left w:w="0" w:type="dxa"/>
            <w:bottom w:w="0" w:type="dxa"/>
            <w:right w:w="0" w:type="dxa"/>
          </w:tblCellMar>
        </w:tblPrEx>
        <w:trPr>
          <w:trHeight w:val="277" w:hRule="atLeast"/>
          <w:jc w:val="center"/>
        </w:trPr>
        <w:tc>
          <w:tcPr>
            <w:tcW w:w="1257" w:type="dxa"/>
            <w:tcBorders>
              <w:top w:val="single" w:color="000000" w:sz="4" w:space="0"/>
            </w:tcBorders>
          </w:tcPr>
          <w:p w14:paraId="108B258C">
            <w:pPr>
              <w:pStyle w:val="24"/>
              <w:spacing w:after="0"/>
              <w:rPr>
                <w:rFonts w:ascii="Arial" w:hAnsi="Arial" w:cs="Arial"/>
                <w:bCs/>
                <w:i/>
                <w:lang w:val="id"/>
              </w:rPr>
            </w:pPr>
            <w:r>
              <w:rPr>
                <w:rFonts w:ascii="Arial" w:hAnsi="Arial" w:cs="Arial"/>
                <w:bCs/>
                <w:i/>
                <w:lang w:val="id"/>
              </w:rPr>
              <w:t>Stunting</w:t>
            </w:r>
          </w:p>
        </w:tc>
        <w:tc>
          <w:tcPr>
            <w:tcW w:w="3045" w:type="dxa"/>
            <w:tcBorders>
              <w:top w:val="single" w:color="000000" w:sz="4" w:space="0"/>
            </w:tcBorders>
          </w:tcPr>
          <w:p w14:paraId="452C2EEC">
            <w:pPr>
              <w:pStyle w:val="24"/>
              <w:spacing w:after="0"/>
              <w:jc w:val="center"/>
              <w:rPr>
                <w:rFonts w:ascii="Arial" w:hAnsi="Arial" w:cs="Arial"/>
                <w:bCs/>
                <w:lang w:val="id"/>
              </w:rPr>
            </w:pPr>
            <w:r>
              <w:rPr>
                <w:rFonts w:ascii="Arial" w:hAnsi="Arial" w:cs="Arial"/>
                <w:bCs/>
                <w:lang w:val="id"/>
              </w:rPr>
              <w:t>17</w:t>
            </w:r>
          </w:p>
        </w:tc>
        <w:tc>
          <w:tcPr>
            <w:tcW w:w="2360" w:type="dxa"/>
            <w:tcBorders>
              <w:top w:val="single" w:color="000000" w:sz="4" w:space="0"/>
            </w:tcBorders>
          </w:tcPr>
          <w:p w14:paraId="4B10DD04">
            <w:pPr>
              <w:pStyle w:val="24"/>
              <w:spacing w:after="0"/>
              <w:jc w:val="center"/>
              <w:rPr>
                <w:rFonts w:ascii="Arial" w:hAnsi="Arial" w:cs="Arial"/>
                <w:bCs/>
                <w:lang w:val="id"/>
              </w:rPr>
            </w:pPr>
            <w:r>
              <w:rPr>
                <w:rFonts w:ascii="Arial" w:hAnsi="Arial" w:cs="Arial"/>
                <w:bCs/>
                <w:lang w:val="id"/>
              </w:rPr>
              <w:t>30.9</w:t>
            </w:r>
          </w:p>
        </w:tc>
      </w:tr>
      <w:tr w14:paraId="172217C6">
        <w:tblPrEx>
          <w:tblCellMar>
            <w:top w:w="0" w:type="dxa"/>
            <w:left w:w="0" w:type="dxa"/>
            <w:bottom w:w="0" w:type="dxa"/>
            <w:right w:w="0" w:type="dxa"/>
          </w:tblCellMar>
        </w:tblPrEx>
        <w:trPr>
          <w:trHeight w:val="277" w:hRule="atLeast"/>
          <w:jc w:val="center"/>
        </w:trPr>
        <w:tc>
          <w:tcPr>
            <w:tcW w:w="1257" w:type="dxa"/>
            <w:tcBorders>
              <w:bottom w:val="single" w:color="auto" w:sz="4" w:space="0"/>
            </w:tcBorders>
          </w:tcPr>
          <w:p w14:paraId="32683275">
            <w:pPr>
              <w:pStyle w:val="24"/>
              <w:spacing w:after="0"/>
              <w:rPr>
                <w:rFonts w:ascii="Arial" w:hAnsi="Arial" w:cs="Arial"/>
                <w:bCs/>
                <w:lang w:val="id"/>
              </w:rPr>
            </w:pPr>
            <w:r>
              <w:rPr>
                <w:rFonts w:ascii="Arial" w:hAnsi="Arial" w:cs="Arial"/>
                <w:bCs/>
                <w:lang w:val="id"/>
              </w:rPr>
              <w:t>Normal</w:t>
            </w:r>
          </w:p>
        </w:tc>
        <w:tc>
          <w:tcPr>
            <w:tcW w:w="3045" w:type="dxa"/>
            <w:tcBorders>
              <w:bottom w:val="single" w:color="auto" w:sz="4" w:space="0"/>
            </w:tcBorders>
          </w:tcPr>
          <w:p w14:paraId="62647AA8">
            <w:pPr>
              <w:pStyle w:val="24"/>
              <w:spacing w:after="0"/>
              <w:jc w:val="center"/>
              <w:rPr>
                <w:rFonts w:ascii="Arial" w:hAnsi="Arial" w:cs="Arial"/>
                <w:bCs/>
                <w:lang w:val="id"/>
              </w:rPr>
            </w:pPr>
            <w:r>
              <w:rPr>
                <w:rFonts w:ascii="Arial" w:hAnsi="Arial" w:cs="Arial"/>
                <w:bCs/>
                <w:lang w:val="id"/>
              </w:rPr>
              <w:t>38</w:t>
            </w:r>
          </w:p>
        </w:tc>
        <w:tc>
          <w:tcPr>
            <w:tcW w:w="2360" w:type="dxa"/>
            <w:tcBorders>
              <w:bottom w:val="single" w:color="auto" w:sz="4" w:space="0"/>
            </w:tcBorders>
          </w:tcPr>
          <w:p w14:paraId="43C27C29">
            <w:pPr>
              <w:pStyle w:val="24"/>
              <w:spacing w:after="0"/>
              <w:jc w:val="center"/>
              <w:rPr>
                <w:rFonts w:ascii="Arial" w:hAnsi="Arial" w:cs="Arial"/>
                <w:bCs/>
                <w:lang w:val="id"/>
              </w:rPr>
            </w:pPr>
            <w:r>
              <w:rPr>
                <w:rFonts w:ascii="Arial" w:hAnsi="Arial" w:cs="Arial"/>
                <w:bCs/>
                <w:lang w:val="id"/>
              </w:rPr>
              <w:t>69.1</w:t>
            </w:r>
          </w:p>
        </w:tc>
      </w:tr>
      <w:tr w14:paraId="0C431864">
        <w:tblPrEx>
          <w:tblCellMar>
            <w:top w:w="0" w:type="dxa"/>
            <w:left w:w="0" w:type="dxa"/>
            <w:bottom w:w="0" w:type="dxa"/>
            <w:right w:w="0" w:type="dxa"/>
          </w:tblCellMar>
        </w:tblPrEx>
        <w:trPr>
          <w:trHeight w:val="295" w:hRule="atLeast"/>
          <w:jc w:val="center"/>
        </w:trPr>
        <w:tc>
          <w:tcPr>
            <w:tcW w:w="1257" w:type="dxa"/>
            <w:tcBorders>
              <w:top w:val="single" w:color="auto" w:sz="4" w:space="0"/>
              <w:bottom w:val="single" w:color="000000" w:sz="4" w:space="0"/>
            </w:tcBorders>
          </w:tcPr>
          <w:p w14:paraId="11F6C978">
            <w:pPr>
              <w:pStyle w:val="24"/>
              <w:spacing w:after="0"/>
              <w:rPr>
                <w:rFonts w:ascii="Arial" w:hAnsi="Arial" w:cs="Arial"/>
                <w:b/>
                <w:lang w:val="id"/>
              </w:rPr>
            </w:pPr>
            <w:r>
              <w:rPr>
                <w:rFonts w:ascii="Arial" w:hAnsi="Arial" w:cs="Arial"/>
                <w:b/>
                <w:lang w:val="id"/>
              </w:rPr>
              <w:t>Total</w:t>
            </w:r>
          </w:p>
        </w:tc>
        <w:tc>
          <w:tcPr>
            <w:tcW w:w="3045" w:type="dxa"/>
            <w:tcBorders>
              <w:top w:val="single" w:color="auto" w:sz="4" w:space="0"/>
              <w:bottom w:val="single" w:color="000000" w:sz="4" w:space="0"/>
            </w:tcBorders>
          </w:tcPr>
          <w:p w14:paraId="439BBF75">
            <w:pPr>
              <w:pStyle w:val="24"/>
              <w:spacing w:after="0"/>
              <w:jc w:val="center"/>
              <w:rPr>
                <w:rFonts w:ascii="Arial" w:hAnsi="Arial" w:cs="Arial"/>
                <w:b/>
                <w:lang w:val="id"/>
              </w:rPr>
            </w:pPr>
            <w:r>
              <w:rPr>
                <w:rFonts w:ascii="Arial" w:hAnsi="Arial" w:cs="Arial"/>
                <w:b/>
                <w:lang w:val="id"/>
              </w:rPr>
              <w:t>55</w:t>
            </w:r>
          </w:p>
        </w:tc>
        <w:tc>
          <w:tcPr>
            <w:tcW w:w="2360" w:type="dxa"/>
            <w:tcBorders>
              <w:top w:val="single" w:color="auto" w:sz="4" w:space="0"/>
              <w:bottom w:val="single" w:color="000000" w:sz="4" w:space="0"/>
            </w:tcBorders>
          </w:tcPr>
          <w:p w14:paraId="490CD48E">
            <w:pPr>
              <w:pStyle w:val="24"/>
              <w:spacing w:after="0"/>
              <w:jc w:val="center"/>
              <w:rPr>
                <w:rFonts w:ascii="Arial" w:hAnsi="Arial" w:cs="Arial"/>
                <w:b/>
                <w:lang w:val="id"/>
              </w:rPr>
            </w:pPr>
            <w:r>
              <w:rPr>
                <w:rFonts w:ascii="Arial" w:hAnsi="Arial" w:cs="Arial"/>
                <w:b/>
                <w:lang w:val="id"/>
              </w:rPr>
              <w:t>100</w:t>
            </w:r>
          </w:p>
        </w:tc>
      </w:tr>
    </w:tbl>
    <w:p w14:paraId="31D6B16E">
      <w:pPr>
        <w:pStyle w:val="24"/>
        <w:spacing w:after="0"/>
        <w:rPr>
          <w:rFonts w:ascii="Arial" w:hAnsi="Arial" w:cs="Arial"/>
        </w:rPr>
      </w:pPr>
    </w:p>
    <w:p w14:paraId="523F14C0">
      <w:pPr>
        <w:pStyle w:val="24"/>
        <w:spacing w:after="0"/>
        <w:rPr>
          <w:rFonts w:ascii="Arial" w:hAnsi="Arial" w:cs="Arial"/>
        </w:rPr>
      </w:pPr>
      <w:r>
        <w:rPr>
          <w:rFonts w:ascii="Arial" w:hAnsi="Arial" w:cs="Arial"/>
        </w:rPr>
        <w:t>Table 1 shows that out of a total of 55 children, 38 children (69.1%) were not included in the stunting category and 17 children (30.9%) were included in the stunting category.</w:t>
      </w:r>
    </w:p>
    <w:p w14:paraId="0DF38874">
      <w:pPr>
        <w:pStyle w:val="24"/>
        <w:spacing w:after="0"/>
        <w:rPr>
          <w:rFonts w:ascii="Arial" w:hAnsi="Arial" w:cs="Arial"/>
        </w:rPr>
      </w:pPr>
    </w:p>
    <w:p w14:paraId="75530572">
      <w:pPr>
        <w:pStyle w:val="24"/>
        <w:spacing w:after="0"/>
        <w:jc w:val="center"/>
        <w:rPr>
          <w:rFonts w:ascii="Arial" w:hAnsi="Arial" w:cs="Arial"/>
          <w:b/>
          <w:bCs/>
        </w:rPr>
      </w:pPr>
      <w:r>
        <w:rPr>
          <w:rFonts w:ascii="Arial" w:hAnsi="Arial" w:cs="Arial"/>
          <w:b/>
          <w:bCs/>
        </w:rPr>
        <w:t>Table 2. Frequency of history of anemia during pregnancy in mothers with stunted toddlers at the Rancakalong Community Health Center for the period August 2022 - February 2023</w:t>
      </w:r>
    </w:p>
    <w:p w14:paraId="693142D1">
      <w:pPr>
        <w:pStyle w:val="24"/>
        <w:spacing w:after="0"/>
        <w:jc w:val="center"/>
        <w:rPr>
          <w:rFonts w:ascii="Arial" w:hAnsi="Arial" w:cs="Arial"/>
        </w:rPr>
      </w:pPr>
    </w:p>
    <w:tbl>
      <w:tblPr>
        <w:tblStyle w:val="5"/>
        <w:tblW w:w="6520" w:type="dxa"/>
        <w:jc w:val="center"/>
        <w:tblLayout w:type="fixed"/>
        <w:tblCellMar>
          <w:top w:w="0" w:type="dxa"/>
          <w:left w:w="0" w:type="dxa"/>
          <w:bottom w:w="0" w:type="dxa"/>
          <w:right w:w="0" w:type="dxa"/>
        </w:tblCellMar>
      </w:tblPr>
      <w:tblGrid>
        <w:gridCol w:w="2100"/>
        <w:gridCol w:w="2675"/>
        <w:gridCol w:w="1745"/>
      </w:tblGrid>
      <w:tr w14:paraId="0139DEBA">
        <w:tblPrEx>
          <w:tblCellMar>
            <w:top w:w="0" w:type="dxa"/>
            <w:left w:w="0" w:type="dxa"/>
            <w:bottom w:w="0" w:type="dxa"/>
            <w:right w:w="0" w:type="dxa"/>
          </w:tblCellMar>
        </w:tblPrEx>
        <w:trPr>
          <w:trHeight w:val="319" w:hRule="atLeast"/>
          <w:jc w:val="center"/>
        </w:trPr>
        <w:tc>
          <w:tcPr>
            <w:tcW w:w="2100" w:type="dxa"/>
            <w:tcBorders>
              <w:top w:val="single" w:color="000000" w:sz="4" w:space="0"/>
              <w:bottom w:val="single" w:color="000000" w:sz="4" w:space="0"/>
            </w:tcBorders>
          </w:tcPr>
          <w:p w14:paraId="7934FEAB">
            <w:pPr>
              <w:pStyle w:val="24"/>
              <w:spacing w:after="0"/>
              <w:rPr>
                <w:rFonts w:ascii="Arial" w:hAnsi="Arial" w:cs="Arial"/>
                <w:b/>
                <w:lang w:val="id"/>
              </w:rPr>
            </w:pPr>
            <w:r>
              <w:rPr>
                <w:rFonts w:ascii="Arial" w:hAnsi="Arial" w:cs="Arial"/>
                <w:b/>
                <w:lang w:val="id"/>
              </w:rPr>
              <w:t>Hb</w:t>
            </w:r>
          </w:p>
        </w:tc>
        <w:tc>
          <w:tcPr>
            <w:tcW w:w="2675" w:type="dxa"/>
            <w:tcBorders>
              <w:top w:val="single" w:color="000000" w:sz="4" w:space="0"/>
              <w:bottom w:val="single" w:color="000000" w:sz="4" w:space="0"/>
            </w:tcBorders>
          </w:tcPr>
          <w:p w14:paraId="011ADE3C">
            <w:pPr>
              <w:pStyle w:val="24"/>
              <w:spacing w:after="0"/>
              <w:jc w:val="center"/>
              <w:rPr>
                <w:rFonts w:ascii="Arial" w:hAnsi="Arial" w:cs="Arial"/>
                <w:b/>
              </w:rPr>
            </w:pPr>
            <w:r>
              <w:rPr>
                <w:rFonts w:ascii="Arial" w:hAnsi="Arial" w:cs="Arial"/>
                <w:b/>
                <w:lang w:val="id"/>
              </w:rPr>
              <w:t>Fre</w:t>
            </w:r>
            <w:r>
              <w:rPr>
                <w:rFonts w:ascii="Arial" w:hAnsi="Arial" w:cs="Arial"/>
                <w:b/>
              </w:rPr>
              <w:t>q</w:t>
            </w:r>
            <w:r>
              <w:rPr>
                <w:rFonts w:ascii="Arial" w:hAnsi="Arial" w:cs="Arial"/>
                <w:b/>
                <w:lang w:val="id"/>
              </w:rPr>
              <w:t>uen</w:t>
            </w:r>
            <w:r>
              <w:rPr>
                <w:rFonts w:ascii="Arial" w:hAnsi="Arial" w:cs="Arial"/>
                <w:b/>
              </w:rPr>
              <w:t>cy</w:t>
            </w:r>
          </w:p>
        </w:tc>
        <w:tc>
          <w:tcPr>
            <w:tcW w:w="1745" w:type="dxa"/>
            <w:tcBorders>
              <w:top w:val="single" w:color="000000" w:sz="4" w:space="0"/>
              <w:bottom w:val="single" w:color="000000" w:sz="4" w:space="0"/>
            </w:tcBorders>
          </w:tcPr>
          <w:p w14:paraId="7ECC5DDD">
            <w:pPr>
              <w:pStyle w:val="24"/>
              <w:spacing w:after="0"/>
              <w:jc w:val="center"/>
              <w:rPr>
                <w:rFonts w:ascii="Arial" w:hAnsi="Arial" w:cs="Arial"/>
                <w:b/>
                <w:lang w:val="id"/>
              </w:rPr>
            </w:pPr>
            <w:r>
              <w:rPr>
                <w:rFonts w:ascii="Arial" w:hAnsi="Arial" w:cs="Arial"/>
                <w:b/>
              </w:rPr>
              <w:t>Percentage (</w:t>
            </w:r>
            <w:r>
              <w:rPr>
                <w:rFonts w:ascii="Arial" w:hAnsi="Arial" w:cs="Arial"/>
                <w:b/>
                <w:lang w:val="id"/>
              </w:rPr>
              <w:t>%</w:t>
            </w:r>
            <w:r>
              <w:rPr>
                <w:rFonts w:ascii="Arial" w:hAnsi="Arial" w:cs="Arial"/>
                <w:b/>
              </w:rPr>
              <w:t>)</w:t>
            </w:r>
          </w:p>
        </w:tc>
      </w:tr>
      <w:tr w14:paraId="48FCA3FD">
        <w:tblPrEx>
          <w:tblCellMar>
            <w:top w:w="0" w:type="dxa"/>
            <w:left w:w="0" w:type="dxa"/>
            <w:bottom w:w="0" w:type="dxa"/>
            <w:right w:w="0" w:type="dxa"/>
          </w:tblCellMar>
        </w:tblPrEx>
        <w:trPr>
          <w:trHeight w:val="267" w:hRule="atLeast"/>
          <w:jc w:val="center"/>
        </w:trPr>
        <w:tc>
          <w:tcPr>
            <w:tcW w:w="2100" w:type="dxa"/>
            <w:tcBorders>
              <w:top w:val="single" w:color="000000" w:sz="4" w:space="0"/>
            </w:tcBorders>
          </w:tcPr>
          <w:p w14:paraId="242232C1">
            <w:pPr>
              <w:pStyle w:val="24"/>
              <w:spacing w:after="0"/>
              <w:rPr>
                <w:rFonts w:ascii="Arial" w:hAnsi="Arial" w:cs="Arial"/>
                <w:bCs/>
                <w:lang w:val="id"/>
              </w:rPr>
            </w:pPr>
            <w:r>
              <w:rPr>
                <w:rFonts w:ascii="Arial" w:hAnsi="Arial" w:cs="Arial"/>
                <w:bCs/>
                <w:lang w:val="id"/>
              </w:rPr>
              <w:t>Anemia</w:t>
            </w:r>
          </w:p>
        </w:tc>
        <w:tc>
          <w:tcPr>
            <w:tcW w:w="2675" w:type="dxa"/>
            <w:tcBorders>
              <w:top w:val="single" w:color="000000" w:sz="4" w:space="0"/>
            </w:tcBorders>
          </w:tcPr>
          <w:p w14:paraId="4F01DDE5">
            <w:pPr>
              <w:pStyle w:val="24"/>
              <w:spacing w:after="0"/>
              <w:jc w:val="center"/>
              <w:rPr>
                <w:rFonts w:ascii="Arial" w:hAnsi="Arial" w:cs="Arial"/>
                <w:bCs/>
                <w:lang w:val="id"/>
              </w:rPr>
            </w:pPr>
            <w:r>
              <w:rPr>
                <w:rFonts w:ascii="Arial" w:hAnsi="Arial" w:cs="Arial"/>
                <w:bCs/>
                <w:lang w:val="id"/>
              </w:rPr>
              <w:t>28</w:t>
            </w:r>
          </w:p>
        </w:tc>
        <w:tc>
          <w:tcPr>
            <w:tcW w:w="1745" w:type="dxa"/>
            <w:tcBorders>
              <w:top w:val="single" w:color="000000" w:sz="4" w:space="0"/>
            </w:tcBorders>
          </w:tcPr>
          <w:p w14:paraId="15AA7FFC">
            <w:pPr>
              <w:pStyle w:val="24"/>
              <w:spacing w:after="0"/>
              <w:jc w:val="center"/>
              <w:rPr>
                <w:rFonts w:ascii="Arial" w:hAnsi="Arial" w:cs="Arial"/>
                <w:bCs/>
                <w:lang w:val="id"/>
              </w:rPr>
            </w:pPr>
            <w:r>
              <w:rPr>
                <w:rFonts w:ascii="Arial" w:hAnsi="Arial" w:cs="Arial"/>
                <w:bCs/>
                <w:lang w:val="id"/>
              </w:rPr>
              <w:t>50.9</w:t>
            </w:r>
          </w:p>
        </w:tc>
      </w:tr>
      <w:tr w14:paraId="1DD65BC0">
        <w:tblPrEx>
          <w:tblCellMar>
            <w:top w:w="0" w:type="dxa"/>
            <w:left w:w="0" w:type="dxa"/>
            <w:bottom w:w="0" w:type="dxa"/>
            <w:right w:w="0" w:type="dxa"/>
          </w:tblCellMar>
        </w:tblPrEx>
        <w:trPr>
          <w:trHeight w:val="295" w:hRule="atLeast"/>
          <w:jc w:val="center"/>
        </w:trPr>
        <w:tc>
          <w:tcPr>
            <w:tcW w:w="2100" w:type="dxa"/>
            <w:tcBorders>
              <w:bottom w:val="single" w:color="auto" w:sz="4" w:space="0"/>
            </w:tcBorders>
          </w:tcPr>
          <w:p w14:paraId="1F2BF8A7">
            <w:pPr>
              <w:pStyle w:val="24"/>
              <w:spacing w:after="0"/>
              <w:rPr>
                <w:rFonts w:ascii="Arial" w:hAnsi="Arial" w:cs="Arial"/>
                <w:bCs/>
                <w:lang w:val="id"/>
              </w:rPr>
            </w:pPr>
            <w:r>
              <w:rPr>
                <w:rFonts w:ascii="Arial" w:hAnsi="Arial" w:cs="Arial"/>
                <w:bCs/>
                <w:lang w:val="id"/>
              </w:rPr>
              <w:t>Tidak Anemia</w:t>
            </w:r>
          </w:p>
        </w:tc>
        <w:tc>
          <w:tcPr>
            <w:tcW w:w="2675" w:type="dxa"/>
            <w:tcBorders>
              <w:bottom w:val="single" w:color="auto" w:sz="4" w:space="0"/>
            </w:tcBorders>
          </w:tcPr>
          <w:p w14:paraId="74EEED0A">
            <w:pPr>
              <w:pStyle w:val="24"/>
              <w:spacing w:after="0"/>
              <w:jc w:val="center"/>
              <w:rPr>
                <w:rFonts w:ascii="Arial" w:hAnsi="Arial" w:cs="Arial"/>
                <w:bCs/>
                <w:lang w:val="id"/>
              </w:rPr>
            </w:pPr>
            <w:r>
              <w:rPr>
                <w:rFonts w:ascii="Arial" w:hAnsi="Arial" w:cs="Arial"/>
                <w:bCs/>
                <w:lang w:val="id"/>
              </w:rPr>
              <w:t>27</w:t>
            </w:r>
          </w:p>
        </w:tc>
        <w:tc>
          <w:tcPr>
            <w:tcW w:w="1745" w:type="dxa"/>
            <w:tcBorders>
              <w:bottom w:val="single" w:color="auto" w:sz="4" w:space="0"/>
            </w:tcBorders>
          </w:tcPr>
          <w:p w14:paraId="0D0898B0">
            <w:pPr>
              <w:pStyle w:val="24"/>
              <w:spacing w:after="0"/>
              <w:jc w:val="center"/>
              <w:rPr>
                <w:rFonts w:ascii="Arial" w:hAnsi="Arial" w:cs="Arial"/>
                <w:bCs/>
                <w:lang w:val="id"/>
              </w:rPr>
            </w:pPr>
            <w:r>
              <w:rPr>
                <w:rFonts w:ascii="Arial" w:hAnsi="Arial" w:cs="Arial"/>
                <w:bCs/>
                <w:lang w:val="id"/>
              </w:rPr>
              <w:t>49.1</w:t>
            </w:r>
          </w:p>
        </w:tc>
      </w:tr>
      <w:tr w14:paraId="6BD6ECAD">
        <w:tblPrEx>
          <w:tblCellMar>
            <w:top w:w="0" w:type="dxa"/>
            <w:left w:w="0" w:type="dxa"/>
            <w:bottom w:w="0" w:type="dxa"/>
            <w:right w:w="0" w:type="dxa"/>
          </w:tblCellMar>
        </w:tblPrEx>
        <w:trPr>
          <w:trHeight w:val="285" w:hRule="atLeast"/>
          <w:jc w:val="center"/>
        </w:trPr>
        <w:tc>
          <w:tcPr>
            <w:tcW w:w="2100" w:type="dxa"/>
            <w:tcBorders>
              <w:top w:val="single" w:color="auto" w:sz="4" w:space="0"/>
              <w:bottom w:val="single" w:color="000000" w:sz="4" w:space="0"/>
            </w:tcBorders>
          </w:tcPr>
          <w:p w14:paraId="438A96FD">
            <w:pPr>
              <w:pStyle w:val="24"/>
              <w:spacing w:after="0"/>
              <w:rPr>
                <w:rFonts w:ascii="Arial" w:hAnsi="Arial" w:cs="Arial"/>
                <w:b/>
                <w:lang w:val="id"/>
              </w:rPr>
            </w:pPr>
            <w:r>
              <w:rPr>
                <w:rFonts w:ascii="Arial" w:hAnsi="Arial" w:cs="Arial"/>
                <w:b/>
                <w:lang w:val="id"/>
              </w:rPr>
              <w:t>Total</w:t>
            </w:r>
          </w:p>
        </w:tc>
        <w:tc>
          <w:tcPr>
            <w:tcW w:w="2675" w:type="dxa"/>
            <w:tcBorders>
              <w:top w:val="single" w:color="auto" w:sz="4" w:space="0"/>
              <w:bottom w:val="single" w:color="000000" w:sz="4" w:space="0"/>
            </w:tcBorders>
          </w:tcPr>
          <w:p w14:paraId="36CF3144">
            <w:pPr>
              <w:pStyle w:val="24"/>
              <w:spacing w:after="0"/>
              <w:jc w:val="center"/>
              <w:rPr>
                <w:rFonts w:ascii="Arial" w:hAnsi="Arial" w:cs="Arial"/>
                <w:b/>
                <w:lang w:val="id"/>
              </w:rPr>
            </w:pPr>
            <w:r>
              <w:rPr>
                <w:rFonts w:ascii="Arial" w:hAnsi="Arial" w:cs="Arial"/>
                <w:b/>
                <w:lang w:val="id"/>
              </w:rPr>
              <w:t>55</w:t>
            </w:r>
          </w:p>
        </w:tc>
        <w:tc>
          <w:tcPr>
            <w:tcW w:w="1745" w:type="dxa"/>
            <w:tcBorders>
              <w:top w:val="single" w:color="auto" w:sz="4" w:space="0"/>
              <w:bottom w:val="single" w:color="000000" w:sz="4" w:space="0"/>
            </w:tcBorders>
          </w:tcPr>
          <w:p w14:paraId="45A1D0E0">
            <w:pPr>
              <w:pStyle w:val="24"/>
              <w:spacing w:after="0"/>
              <w:jc w:val="center"/>
              <w:rPr>
                <w:rFonts w:ascii="Arial" w:hAnsi="Arial" w:cs="Arial"/>
                <w:b/>
                <w:lang w:val="id"/>
              </w:rPr>
            </w:pPr>
            <w:r>
              <w:rPr>
                <w:rFonts w:ascii="Arial" w:hAnsi="Arial" w:cs="Arial"/>
                <w:b/>
                <w:lang w:val="id"/>
              </w:rPr>
              <w:t>100</w:t>
            </w:r>
          </w:p>
        </w:tc>
      </w:tr>
    </w:tbl>
    <w:p w14:paraId="7E660EFF">
      <w:pPr>
        <w:pStyle w:val="24"/>
        <w:spacing w:after="0"/>
        <w:rPr>
          <w:rFonts w:ascii="Arial" w:hAnsi="Arial" w:cs="Arial"/>
        </w:rPr>
      </w:pPr>
      <w:r>
        <w:rPr>
          <w:rFonts w:ascii="Arial" w:hAnsi="Arial" w:cs="Arial"/>
        </w:rPr>
        <w:t>Based on Table 2, of the 55 (100%) mothers with stunting toddlers who were sampled, there were 28 (50.9%) mothers had a history of anemia during pregnancy, and 27 (49.1%) were normal/not anemic.</w:t>
      </w:r>
    </w:p>
    <w:p w14:paraId="35F23AD7">
      <w:pPr>
        <w:pStyle w:val="24"/>
        <w:spacing w:after="0"/>
        <w:rPr>
          <w:rFonts w:ascii="Arial" w:hAnsi="Arial" w:cs="Arial"/>
        </w:rPr>
      </w:pPr>
    </w:p>
    <w:p w14:paraId="4367D501">
      <w:pPr>
        <w:pStyle w:val="24"/>
        <w:spacing w:after="0"/>
        <w:rPr>
          <w:rFonts w:ascii="Arial" w:hAnsi="Arial" w:cs="Arial"/>
          <w:b/>
          <w:bCs/>
          <w:u w:val="single"/>
        </w:rPr>
      </w:pPr>
      <w:r>
        <w:rPr>
          <w:rFonts w:ascii="Arial" w:hAnsi="Arial" w:cs="Arial"/>
          <w:b/>
          <w:bCs/>
          <w:u w:val="single"/>
        </w:rPr>
        <w:t>3.1.2. Bivariate Analysis</w:t>
      </w:r>
    </w:p>
    <w:p w14:paraId="5A2DB53D">
      <w:pPr>
        <w:pStyle w:val="24"/>
        <w:spacing w:after="0"/>
        <w:rPr>
          <w:rFonts w:ascii="Arial" w:hAnsi="Arial" w:cs="Arial"/>
        </w:rPr>
      </w:pPr>
      <w:r>
        <w:rPr>
          <w:rFonts w:ascii="Arial" w:hAnsi="Arial" w:cs="Arial"/>
        </w:rPr>
        <w:t>Bivariate analysis is used to determine whether there is a correlation between the dependent and independent variables using the chi-square and odds ratio statistical tests.</w:t>
      </w:r>
    </w:p>
    <w:p w14:paraId="5760B41F">
      <w:pPr>
        <w:pStyle w:val="24"/>
        <w:spacing w:after="0"/>
        <w:rPr>
          <w:rFonts w:ascii="Arial" w:hAnsi="Arial" w:cs="Arial"/>
        </w:rPr>
      </w:pPr>
    </w:p>
    <w:p w14:paraId="77600939">
      <w:pPr>
        <w:pStyle w:val="24"/>
        <w:spacing w:after="0"/>
        <w:jc w:val="center"/>
        <w:rPr>
          <w:rFonts w:ascii="Arial" w:hAnsi="Arial" w:cs="Arial"/>
          <w:b/>
          <w:bCs/>
        </w:rPr>
      </w:pPr>
      <w:r>
        <w:rPr>
          <w:rFonts w:ascii="Arial" w:hAnsi="Arial" w:cs="Arial"/>
          <w:b/>
          <w:bCs/>
        </w:rPr>
        <w:t>Table 3 Correlation of history of anemia in pregnant women with stunted toddlers at Rancakalong Community Health Center for the period August 2022 - February 2023</w:t>
      </w:r>
    </w:p>
    <w:p w14:paraId="0AFF4288">
      <w:pPr>
        <w:pStyle w:val="24"/>
        <w:spacing w:after="0"/>
        <w:jc w:val="center"/>
        <w:rPr>
          <w:rFonts w:ascii="Arial" w:hAnsi="Arial" w:cs="Arial"/>
          <w:b/>
          <w:bCs/>
        </w:rPr>
      </w:pPr>
    </w:p>
    <w:tbl>
      <w:tblPr>
        <w:tblStyle w:val="67"/>
        <w:tblW w:w="0" w:type="auto"/>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96"/>
        <w:gridCol w:w="1404"/>
        <w:gridCol w:w="1404"/>
        <w:gridCol w:w="1404"/>
        <w:gridCol w:w="1047"/>
        <w:gridCol w:w="1437"/>
      </w:tblGrid>
      <w:tr w14:paraId="10146F47">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6" w:type="dxa"/>
            <w:vMerge w:val="restart"/>
            <w:tcBorders>
              <w:bottom w:val="single" w:color="7E7E7E" w:themeColor="text1" w:themeTint="80" w:sz="4" w:space="0"/>
              <w:insideH w:val="single" w:sz="4" w:space="0"/>
            </w:tcBorders>
          </w:tcPr>
          <w:p w14:paraId="0C63AB64">
            <w:pPr>
              <w:pStyle w:val="24"/>
              <w:spacing w:after="0"/>
              <w:jc w:val="center"/>
              <w:rPr>
                <w:rFonts w:ascii="Arial" w:hAnsi="Arial" w:cs="Arial"/>
                <w:b/>
                <w:bCs/>
              </w:rPr>
            </w:pPr>
            <w:r>
              <w:rPr>
                <w:rFonts w:ascii="Arial" w:hAnsi="Arial" w:cs="Arial"/>
                <w:b/>
                <w:bCs/>
              </w:rPr>
              <w:t>Hb</w:t>
            </w:r>
          </w:p>
        </w:tc>
        <w:tc>
          <w:tcPr>
            <w:tcW w:w="2808" w:type="dxa"/>
            <w:gridSpan w:val="2"/>
            <w:tcBorders>
              <w:bottom w:val="single" w:color="7E7E7E" w:themeColor="text1" w:themeTint="80" w:sz="4" w:space="0"/>
              <w:insideH w:val="single" w:sz="4" w:space="0"/>
            </w:tcBorders>
          </w:tcPr>
          <w:p w14:paraId="72B7BD65">
            <w:pPr>
              <w:pStyle w:val="24"/>
              <w:spacing w:after="0"/>
              <w:jc w:val="center"/>
              <w:rPr>
                <w:rFonts w:ascii="Arial" w:hAnsi="Arial" w:cs="Arial"/>
                <w:b/>
                <w:bCs/>
              </w:rPr>
            </w:pPr>
            <w:r>
              <w:rPr>
                <w:rFonts w:ascii="Arial" w:hAnsi="Arial" w:cs="Arial"/>
                <w:b/>
                <w:bCs/>
              </w:rPr>
              <w:t>Frequency TB/U</w:t>
            </w:r>
          </w:p>
        </w:tc>
        <w:tc>
          <w:tcPr>
            <w:tcW w:w="1404" w:type="dxa"/>
            <w:vMerge w:val="restart"/>
            <w:tcBorders>
              <w:bottom w:val="single" w:color="7E7E7E" w:themeColor="text1" w:themeTint="80" w:sz="4" w:space="0"/>
              <w:insideH w:val="single" w:sz="4" w:space="0"/>
            </w:tcBorders>
          </w:tcPr>
          <w:p w14:paraId="0DE9CBF9">
            <w:pPr>
              <w:pStyle w:val="24"/>
              <w:spacing w:after="0"/>
              <w:jc w:val="center"/>
              <w:rPr>
                <w:rFonts w:ascii="Arial" w:hAnsi="Arial" w:cs="Arial"/>
                <w:b/>
                <w:bCs/>
              </w:rPr>
            </w:pPr>
            <w:r>
              <w:rPr>
                <w:rFonts w:ascii="Arial" w:hAnsi="Arial" w:cs="Arial"/>
                <w:b/>
                <w:bCs/>
              </w:rPr>
              <w:t>Total</w:t>
            </w:r>
          </w:p>
        </w:tc>
        <w:tc>
          <w:tcPr>
            <w:tcW w:w="1047" w:type="dxa"/>
            <w:vMerge w:val="restart"/>
            <w:tcBorders>
              <w:bottom w:val="single" w:color="7E7E7E" w:themeColor="text1" w:themeTint="80" w:sz="4" w:space="0"/>
              <w:insideH w:val="single" w:sz="4" w:space="0"/>
            </w:tcBorders>
          </w:tcPr>
          <w:p w14:paraId="5D42C1BC">
            <w:pPr>
              <w:pStyle w:val="24"/>
              <w:spacing w:after="0"/>
              <w:jc w:val="center"/>
              <w:rPr>
                <w:rFonts w:ascii="Arial" w:hAnsi="Arial" w:cs="Arial"/>
                <w:b/>
                <w:bCs/>
              </w:rPr>
            </w:pPr>
            <w:r>
              <w:rPr>
                <w:rFonts w:ascii="Arial" w:hAnsi="Arial" w:cs="Arial"/>
                <w:b/>
                <w:bCs/>
              </w:rPr>
              <w:t>P-Value</w:t>
            </w:r>
          </w:p>
        </w:tc>
        <w:tc>
          <w:tcPr>
            <w:tcW w:w="1437" w:type="dxa"/>
            <w:vMerge w:val="restart"/>
            <w:tcBorders>
              <w:bottom w:val="single" w:color="7E7E7E" w:themeColor="text1" w:themeTint="80" w:sz="4" w:space="0"/>
              <w:insideH w:val="single" w:sz="4" w:space="0"/>
            </w:tcBorders>
          </w:tcPr>
          <w:p w14:paraId="650F1E90">
            <w:pPr>
              <w:pStyle w:val="24"/>
              <w:spacing w:after="0"/>
              <w:jc w:val="center"/>
              <w:rPr>
                <w:rFonts w:ascii="Arial" w:hAnsi="Arial" w:cs="Arial"/>
                <w:b/>
                <w:bCs/>
              </w:rPr>
            </w:pPr>
            <w:r>
              <w:rPr>
                <w:rFonts w:ascii="Arial" w:hAnsi="Arial" w:cs="Arial"/>
                <w:b/>
                <w:bCs/>
              </w:rPr>
              <w:t>Odds Ratio</w:t>
            </w:r>
          </w:p>
        </w:tc>
      </w:tr>
      <w:tr w14:paraId="722ACB56">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96" w:type="dxa"/>
            <w:vMerge w:val="continue"/>
            <w:tcBorders>
              <w:top w:val="single" w:color="7E7E7E" w:themeColor="text1" w:themeTint="80" w:sz="4" w:space="0"/>
              <w:bottom w:val="single" w:color="7E7E7E" w:themeColor="text1" w:themeTint="80" w:sz="4" w:space="0"/>
              <w:insideH w:val="single" w:sz="4" w:space="0"/>
            </w:tcBorders>
          </w:tcPr>
          <w:p w14:paraId="7AFDBF05">
            <w:pPr>
              <w:pStyle w:val="24"/>
              <w:spacing w:after="0"/>
              <w:jc w:val="center"/>
              <w:rPr>
                <w:rFonts w:ascii="Arial" w:hAnsi="Arial" w:cs="Arial"/>
                <w:b/>
                <w:bCs/>
              </w:rPr>
            </w:pPr>
          </w:p>
        </w:tc>
        <w:tc>
          <w:tcPr>
            <w:tcW w:w="1404" w:type="dxa"/>
            <w:tcBorders>
              <w:top w:val="single" w:color="7E7E7E" w:themeColor="text1" w:themeTint="80" w:sz="4" w:space="0"/>
              <w:bottom w:val="single" w:color="7E7E7E" w:themeColor="text1" w:themeTint="80" w:sz="4" w:space="0"/>
              <w:insideH w:val="single" w:sz="4" w:space="0"/>
            </w:tcBorders>
          </w:tcPr>
          <w:p w14:paraId="739626EA">
            <w:pPr>
              <w:pStyle w:val="24"/>
              <w:spacing w:after="0"/>
              <w:jc w:val="center"/>
              <w:rPr>
                <w:rFonts w:ascii="Arial" w:hAnsi="Arial" w:cs="Arial"/>
                <w:b/>
                <w:bCs/>
              </w:rPr>
            </w:pPr>
            <w:r>
              <w:rPr>
                <w:rFonts w:ascii="Arial" w:hAnsi="Arial" w:cs="Arial"/>
                <w:b/>
                <w:bCs/>
              </w:rPr>
              <w:t>Stunting</w:t>
            </w:r>
          </w:p>
        </w:tc>
        <w:tc>
          <w:tcPr>
            <w:tcW w:w="1404" w:type="dxa"/>
            <w:tcBorders>
              <w:top w:val="single" w:color="7E7E7E" w:themeColor="text1" w:themeTint="80" w:sz="4" w:space="0"/>
              <w:bottom w:val="single" w:color="7E7E7E" w:themeColor="text1" w:themeTint="80" w:sz="4" w:space="0"/>
              <w:insideH w:val="single" w:sz="4" w:space="0"/>
            </w:tcBorders>
          </w:tcPr>
          <w:p w14:paraId="625FC1D6">
            <w:pPr>
              <w:pStyle w:val="24"/>
              <w:spacing w:after="0"/>
              <w:jc w:val="center"/>
              <w:rPr>
                <w:rFonts w:ascii="Arial" w:hAnsi="Arial" w:cs="Arial"/>
                <w:b/>
                <w:bCs/>
              </w:rPr>
            </w:pPr>
            <w:r>
              <w:rPr>
                <w:rFonts w:ascii="Arial" w:hAnsi="Arial" w:cs="Arial"/>
                <w:b/>
                <w:bCs/>
              </w:rPr>
              <w:t>Normal</w:t>
            </w:r>
          </w:p>
        </w:tc>
        <w:tc>
          <w:tcPr>
            <w:tcW w:w="1404" w:type="dxa"/>
            <w:vMerge w:val="continue"/>
            <w:tcBorders>
              <w:top w:val="single" w:color="7E7E7E" w:themeColor="text1" w:themeTint="80" w:sz="4" w:space="0"/>
              <w:bottom w:val="single" w:color="7E7E7E" w:themeColor="text1" w:themeTint="80" w:sz="4" w:space="0"/>
              <w:insideH w:val="single" w:sz="4" w:space="0"/>
            </w:tcBorders>
          </w:tcPr>
          <w:p w14:paraId="0E9C1F10">
            <w:pPr>
              <w:pStyle w:val="24"/>
              <w:spacing w:after="0"/>
              <w:jc w:val="center"/>
              <w:rPr>
                <w:rFonts w:ascii="Arial" w:hAnsi="Arial" w:cs="Arial"/>
              </w:rPr>
            </w:pPr>
          </w:p>
        </w:tc>
        <w:tc>
          <w:tcPr>
            <w:tcW w:w="1047" w:type="dxa"/>
            <w:vMerge w:val="continue"/>
            <w:tcBorders>
              <w:top w:val="single" w:color="7E7E7E" w:themeColor="text1" w:themeTint="80" w:sz="4" w:space="0"/>
              <w:bottom w:val="single" w:color="7E7E7E" w:themeColor="text1" w:themeTint="80" w:sz="4" w:space="0"/>
              <w:insideH w:val="single" w:sz="4" w:space="0"/>
            </w:tcBorders>
          </w:tcPr>
          <w:p w14:paraId="16606701">
            <w:pPr>
              <w:pStyle w:val="24"/>
              <w:spacing w:after="0"/>
              <w:jc w:val="center"/>
              <w:rPr>
                <w:rFonts w:ascii="Arial" w:hAnsi="Arial" w:cs="Arial"/>
              </w:rPr>
            </w:pPr>
          </w:p>
        </w:tc>
        <w:tc>
          <w:tcPr>
            <w:tcW w:w="1437" w:type="dxa"/>
            <w:vMerge w:val="continue"/>
            <w:tcBorders>
              <w:top w:val="single" w:color="7E7E7E" w:themeColor="text1" w:themeTint="80" w:sz="4" w:space="0"/>
              <w:bottom w:val="single" w:color="7E7E7E" w:themeColor="text1" w:themeTint="80" w:sz="4" w:space="0"/>
              <w:insideH w:val="single" w:sz="4" w:space="0"/>
            </w:tcBorders>
          </w:tcPr>
          <w:p w14:paraId="0B5C6211">
            <w:pPr>
              <w:pStyle w:val="24"/>
              <w:spacing w:after="0"/>
              <w:jc w:val="center"/>
              <w:rPr>
                <w:rFonts w:ascii="Arial" w:hAnsi="Arial" w:cs="Arial"/>
              </w:rPr>
            </w:pPr>
          </w:p>
        </w:tc>
      </w:tr>
      <w:tr w14:paraId="54BFF74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296" w:type="dxa"/>
          </w:tcPr>
          <w:p w14:paraId="3876F254">
            <w:pPr>
              <w:pStyle w:val="24"/>
              <w:spacing w:after="0"/>
              <w:jc w:val="center"/>
              <w:rPr>
                <w:rFonts w:ascii="Arial" w:hAnsi="Arial" w:cs="Arial"/>
                <w:b w:val="0"/>
                <w:bCs w:val="0"/>
              </w:rPr>
            </w:pPr>
            <w:r>
              <w:rPr>
                <w:rFonts w:ascii="Arial" w:hAnsi="Arial" w:cs="Arial"/>
                <w:b w:val="0"/>
                <w:bCs w:val="0"/>
              </w:rPr>
              <w:t>Anemia</w:t>
            </w:r>
          </w:p>
          <w:p w14:paraId="4F194B66">
            <w:pPr>
              <w:pStyle w:val="24"/>
              <w:spacing w:after="0"/>
              <w:jc w:val="center"/>
              <w:rPr>
                <w:rFonts w:ascii="Arial" w:hAnsi="Arial" w:cs="Arial"/>
                <w:b/>
                <w:bCs/>
              </w:rPr>
            </w:pPr>
            <w:r>
              <w:rPr>
                <w:rFonts w:ascii="Arial" w:hAnsi="Arial" w:cs="Arial"/>
                <w:b w:val="0"/>
                <w:bCs w:val="0"/>
              </w:rPr>
              <w:t>Not Anemia</w:t>
            </w:r>
          </w:p>
          <w:p w14:paraId="6EC7A60A">
            <w:pPr>
              <w:pStyle w:val="24"/>
              <w:spacing w:after="0"/>
              <w:jc w:val="center"/>
              <w:rPr>
                <w:rFonts w:ascii="Arial" w:hAnsi="Arial" w:cs="Arial"/>
                <w:b/>
                <w:bCs/>
              </w:rPr>
            </w:pPr>
            <w:r>
              <w:rPr>
                <w:rFonts w:ascii="Arial" w:hAnsi="Arial" w:cs="Arial"/>
                <w:b/>
                <w:bCs/>
              </w:rPr>
              <w:t>Total</w:t>
            </w:r>
          </w:p>
        </w:tc>
        <w:tc>
          <w:tcPr>
            <w:tcW w:w="1404" w:type="dxa"/>
          </w:tcPr>
          <w:p w14:paraId="0C4CD8B1">
            <w:pPr>
              <w:pStyle w:val="24"/>
              <w:spacing w:after="0"/>
              <w:jc w:val="center"/>
              <w:rPr>
                <w:rFonts w:ascii="Arial" w:hAnsi="Arial" w:cs="Arial"/>
              </w:rPr>
            </w:pPr>
            <w:r>
              <w:rPr>
                <w:rFonts w:ascii="Arial" w:hAnsi="Arial" w:cs="Arial"/>
              </w:rPr>
              <w:t>14</w:t>
            </w:r>
          </w:p>
          <w:p w14:paraId="224806E5">
            <w:pPr>
              <w:pStyle w:val="24"/>
              <w:spacing w:after="0"/>
              <w:jc w:val="center"/>
              <w:rPr>
                <w:rFonts w:ascii="Arial" w:hAnsi="Arial" w:cs="Arial"/>
              </w:rPr>
            </w:pPr>
            <w:r>
              <w:rPr>
                <w:rFonts w:ascii="Arial" w:hAnsi="Arial" w:cs="Arial"/>
              </w:rPr>
              <w:t>3</w:t>
            </w:r>
          </w:p>
          <w:p w14:paraId="7C39BAF3">
            <w:pPr>
              <w:pStyle w:val="24"/>
              <w:spacing w:after="0"/>
              <w:jc w:val="center"/>
              <w:rPr>
                <w:rFonts w:ascii="Arial" w:hAnsi="Arial" w:cs="Arial"/>
                <w:b/>
                <w:bCs/>
              </w:rPr>
            </w:pPr>
            <w:r>
              <w:rPr>
                <w:rFonts w:ascii="Arial" w:hAnsi="Arial" w:cs="Arial"/>
                <w:b/>
                <w:bCs/>
              </w:rPr>
              <w:t>17</w:t>
            </w:r>
          </w:p>
        </w:tc>
        <w:tc>
          <w:tcPr>
            <w:tcW w:w="1404" w:type="dxa"/>
          </w:tcPr>
          <w:p w14:paraId="62D813B3">
            <w:pPr>
              <w:pStyle w:val="24"/>
              <w:spacing w:after="0"/>
              <w:jc w:val="center"/>
              <w:rPr>
                <w:rFonts w:ascii="Arial" w:hAnsi="Arial" w:cs="Arial"/>
              </w:rPr>
            </w:pPr>
            <w:r>
              <w:rPr>
                <w:rFonts w:ascii="Arial" w:hAnsi="Arial" w:cs="Arial"/>
              </w:rPr>
              <w:t>14</w:t>
            </w:r>
          </w:p>
          <w:p w14:paraId="480A9A84">
            <w:pPr>
              <w:pStyle w:val="24"/>
              <w:spacing w:after="0"/>
              <w:jc w:val="center"/>
              <w:rPr>
                <w:rFonts w:ascii="Arial" w:hAnsi="Arial" w:cs="Arial"/>
              </w:rPr>
            </w:pPr>
            <w:r>
              <w:rPr>
                <w:rFonts w:ascii="Arial" w:hAnsi="Arial" w:cs="Arial"/>
              </w:rPr>
              <w:t>24</w:t>
            </w:r>
          </w:p>
          <w:p w14:paraId="4DC5FD14">
            <w:pPr>
              <w:pStyle w:val="24"/>
              <w:spacing w:after="0"/>
              <w:jc w:val="center"/>
              <w:rPr>
                <w:rFonts w:ascii="Arial" w:hAnsi="Arial" w:cs="Arial"/>
                <w:b/>
                <w:bCs/>
              </w:rPr>
            </w:pPr>
            <w:r>
              <w:rPr>
                <w:rFonts w:ascii="Arial" w:hAnsi="Arial" w:cs="Arial"/>
                <w:b/>
                <w:bCs/>
              </w:rPr>
              <w:t>38</w:t>
            </w:r>
          </w:p>
        </w:tc>
        <w:tc>
          <w:tcPr>
            <w:tcW w:w="1404" w:type="dxa"/>
          </w:tcPr>
          <w:p w14:paraId="68853028">
            <w:pPr>
              <w:pStyle w:val="24"/>
              <w:spacing w:after="0"/>
              <w:jc w:val="center"/>
              <w:rPr>
                <w:rFonts w:ascii="Arial" w:hAnsi="Arial" w:cs="Arial"/>
              </w:rPr>
            </w:pPr>
            <w:r>
              <w:rPr>
                <w:rFonts w:ascii="Arial" w:hAnsi="Arial" w:cs="Arial"/>
              </w:rPr>
              <w:t>28</w:t>
            </w:r>
          </w:p>
          <w:p w14:paraId="496CF429">
            <w:pPr>
              <w:pStyle w:val="24"/>
              <w:spacing w:after="0"/>
              <w:jc w:val="center"/>
              <w:rPr>
                <w:rFonts w:ascii="Arial" w:hAnsi="Arial" w:cs="Arial"/>
              </w:rPr>
            </w:pPr>
            <w:r>
              <w:rPr>
                <w:rFonts w:ascii="Arial" w:hAnsi="Arial" w:cs="Arial"/>
              </w:rPr>
              <w:t>27</w:t>
            </w:r>
          </w:p>
          <w:p w14:paraId="3F8ACB65">
            <w:pPr>
              <w:pStyle w:val="24"/>
              <w:spacing w:after="0"/>
              <w:jc w:val="center"/>
              <w:rPr>
                <w:rFonts w:ascii="Arial" w:hAnsi="Arial" w:cs="Arial"/>
                <w:b/>
                <w:bCs/>
              </w:rPr>
            </w:pPr>
            <w:r>
              <w:rPr>
                <w:rFonts w:ascii="Arial" w:hAnsi="Arial" w:cs="Arial"/>
                <w:b/>
                <w:bCs/>
              </w:rPr>
              <w:t>55</w:t>
            </w:r>
          </w:p>
        </w:tc>
        <w:tc>
          <w:tcPr>
            <w:tcW w:w="1047" w:type="dxa"/>
          </w:tcPr>
          <w:p w14:paraId="4AA9C772">
            <w:pPr>
              <w:pStyle w:val="24"/>
              <w:spacing w:after="0"/>
              <w:jc w:val="center"/>
              <w:rPr>
                <w:rFonts w:ascii="Arial" w:hAnsi="Arial" w:cs="Arial"/>
              </w:rPr>
            </w:pPr>
            <w:r>
              <w:rPr>
                <w:rFonts w:ascii="Arial" w:hAnsi="Arial" w:cs="Arial"/>
              </w:rPr>
              <w:t>0.002</w:t>
            </w:r>
          </w:p>
        </w:tc>
        <w:tc>
          <w:tcPr>
            <w:tcW w:w="1437" w:type="dxa"/>
          </w:tcPr>
          <w:p w14:paraId="6E552D83">
            <w:pPr>
              <w:pStyle w:val="24"/>
              <w:spacing w:after="0"/>
              <w:jc w:val="center"/>
              <w:rPr>
                <w:rFonts w:ascii="Arial" w:hAnsi="Arial" w:cs="Arial"/>
              </w:rPr>
            </w:pPr>
            <w:r>
              <w:rPr>
                <w:rFonts w:ascii="Arial" w:hAnsi="Arial" w:cs="Arial"/>
              </w:rPr>
              <w:t>8</w:t>
            </w:r>
          </w:p>
        </w:tc>
      </w:tr>
    </w:tbl>
    <w:p w14:paraId="7813AF16">
      <w:pPr>
        <w:pStyle w:val="24"/>
        <w:spacing w:after="0"/>
        <w:rPr>
          <w:rFonts w:ascii="Arial" w:hAnsi="Arial" w:cs="Arial"/>
        </w:rPr>
      </w:pPr>
      <w:r>
        <w:rPr>
          <w:rFonts w:ascii="Arial" w:hAnsi="Arial" w:cs="Arial"/>
        </w:rPr>
        <w:t>The table above shows that there is a significant relationship between a history of maternal anemia and the incidence of stunting in babies, with a p value &lt;0.05, namely 0.002. The table shows that there is no (0%) expected cell less than 5. The Pearson chi-square test value above can be seen that the significance value of the p-value is 0.002 with an odds ratio value of 8</w:t>
      </w:r>
    </w:p>
    <w:p w14:paraId="4B8FE2B8">
      <w:pPr>
        <w:pStyle w:val="24"/>
        <w:spacing w:after="0"/>
        <w:rPr>
          <w:rFonts w:ascii="Arial" w:hAnsi="Arial" w:cs="Arial"/>
        </w:rPr>
      </w:pPr>
    </w:p>
    <w:p w14:paraId="69755D5E">
      <w:pPr>
        <w:pStyle w:val="24"/>
        <w:spacing w:after="0"/>
        <w:rPr>
          <w:rFonts w:ascii="Arial" w:hAnsi="Arial" w:cs="Arial"/>
          <w:b/>
          <w:bCs/>
        </w:rPr>
      </w:pPr>
      <w:r>
        <w:rPr>
          <w:rFonts w:ascii="Arial" w:hAnsi="Arial" w:cs="Arial"/>
          <w:b/>
          <w:bCs/>
        </w:rPr>
        <w:t>Discussion</w:t>
      </w:r>
    </w:p>
    <w:p w14:paraId="0884989E">
      <w:pPr>
        <w:pStyle w:val="24"/>
        <w:spacing w:after="0"/>
        <w:rPr>
          <w:rFonts w:ascii="Arial" w:hAnsi="Arial" w:cs="Arial"/>
        </w:rPr>
      </w:pPr>
      <w:r>
        <w:rPr>
          <w:rFonts w:ascii="Arial" w:hAnsi="Arial" w:cs="Arial"/>
        </w:rPr>
        <w:t>Based on the research results, it was found that there is a relationship between anemia that occurs in pregnancy and the incidence of stunting. Where the results of this research are in line with research conducted by Milda H, 2020 regarding the relationship between anemia in pregnant women and the incidence of stunting in toddlers at the UPTD Puskesmas Kampar in 2018.</w:t>
      </w:r>
      <w:r>
        <w:rPr>
          <w:rFonts w:ascii="Arial" w:hAnsi="Arial" w:cs="Arial"/>
          <w:vertAlign w:val="superscript"/>
        </w:rPr>
        <w:t>26</w:t>
      </w:r>
      <w:r>
        <w:rPr>
          <w:rFonts w:ascii="Arial" w:hAnsi="Arial" w:cs="Arial"/>
        </w:rPr>
        <w:t xml:space="preserve"> The risk of stunting increases due to anemia that occurs during pregnancy. Anemia that occurs when a mother is pregnant will put 8 mothers at risk of giving birth to a baby with a short body length. The baby is born prematurely and has insufficient iron stores at birth.</w:t>
      </w:r>
      <w:r>
        <w:rPr>
          <w:rFonts w:ascii="Arial" w:hAnsi="Arial" w:cs="Arial"/>
          <w:vertAlign w:val="superscript"/>
        </w:rPr>
        <w:t>26</w:t>
      </w:r>
      <w:r>
        <w:rPr>
          <w:rFonts w:ascii="Arial" w:hAnsi="Arial" w:cs="Arial"/>
        </w:rPr>
        <w:t xml:space="preserve"> The consequences of anemia in pregnant women can cause complications, and problems during childbirth, and can endanger the mother's condition, such as fainting or even death. A pregnant woman's hemoglobin level is related to how long the baby will take to be born. In the womb, the fetus will increase in weight and length, develop the brain, and grow and develop other organs.</w:t>
      </w:r>
      <w:r>
        <w:rPr>
          <w:rFonts w:ascii="Arial" w:hAnsi="Arial" w:cs="Arial"/>
          <w:vertAlign w:val="superscript"/>
        </w:rPr>
        <w:t>28</w:t>
      </w:r>
      <w:r>
        <w:rPr>
          <w:rFonts w:ascii="Arial" w:hAnsi="Arial" w:cs="Arial"/>
        </w:rPr>
        <w:t xml:space="preserve"> Premature birth and underweight are also risk factors for stunting, so anemia in pregnant women can cause stunting in children under 5 years of age. High and low Hb levels during pregnancy will affect the birth weight of the baby because it can disrupt the growth of the fetus in the womb.</w:t>
      </w:r>
      <w:r>
        <w:rPr>
          <w:rFonts w:ascii="Arial" w:hAnsi="Arial" w:cs="Arial"/>
          <w:vertAlign w:val="superscript"/>
        </w:rPr>
        <w:t>27</w:t>
      </w:r>
    </w:p>
    <w:p w14:paraId="0A84E146">
      <w:pPr>
        <w:pStyle w:val="24"/>
        <w:rPr>
          <w:rFonts w:ascii="Arial" w:hAnsi="Arial" w:cs="Arial"/>
        </w:rPr>
      </w:pPr>
      <w:r>
        <w:rPr>
          <w:rFonts w:ascii="Arial" w:hAnsi="Arial" w:cs="Arial"/>
        </w:rPr>
        <w:t>The second trimester is a time when the fetus grows faster than the previous three months. Low hemoglobin levels in pregnant women in the second trimester can cause stunted fetal growth/small growth/length.</w:t>
      </w:r>
      <w:r>
        <w:rPr>
          <w:rFonts w:ascii="Arial" w:hAnsi="Arial" w:cs="Arial"/>
          <w:vertAlign w:val="superscript"/>
        </w:rPr>
        <w:t>27</w:t>
      </w:r>
      <w:r>
        <w:rPr>
          <w:rFonts w:ascii="Arial" w:hAnsi="Arial" w:cs="Arial"/>
        </w:rPr>
        <w:t xml:space="preserve"> From the results of this research, it was found that 17 children were stunted, of which 14 respondents experienced anemia during pregnancy, this is because there are still many pregnant women who are reluctant to consume Fe tablets regularly, the reason is because the side effects of Fe tablets make mothers feel uncomfortable. Based on the results of research conducted by Eline C, 2019 regarding the relationship between consumption of Fe tablets and body length in children aged 12-24 months, it was found that 16 respondents (36.4%) reported consuming Fe tablets from 44 postpartum mothers who stated that they were compliant with consuming Fe tablets and 28 respondents (63.6%) were not compliant with consuming Fe tablets. With analysis results of P Value 0.002 (α &lt; 0.05).</w:t>
      </w:r>
      <w:r>
        <w:rPr>
          <w:rFonts w:ascii="Arial" w:hAnsi="Arial" w:cs="Arial"/>
          <w:vertAlign w:val="superscript"/>
        </w:rPr>
        <w:t>29</w:t>
      </w:r>
      <w:r>
        <w:rPr>
          <w:rFonts w:ascii="Arial" w:hAnsi="Arial" w:cs="Arial"/>
        </w:rPr>
        <w:t xml:space="preserve"> Iron deficiency during pregnancy is very common. It is estimated that half of all pregnant women worldwide are iron deficient. If you don't get enough iron from food, the body gradually takes it from iron stores in the body, thereby increasing the risk of anemia.</w:t>
      </w:r>
      <w:r>
        <w:rPr>
          <w:rFonts w:ascii="Arial" w:hAnsi="Arial" w:cs="Arial"/>
          <w:vertAlign w:val="superscript"/>
        </w:rPr>
        <w:t>29</w:t>
      </w:r>
      <w:r>
        <w:rPr>
          <w:rFonts w:ascii="Arial" w:hAnsi="Arial" w:cs="Arial"/>
        </w:rPr>
        <w:t xml:space="preserve"> According to experts, anemia caused by iron deficiency in the first two trimesters is associated with twice the risk of premature birth and three times the risk of low birth weight. Stunting begins to occur when the fetus is still in the womb due to the mother's food intake during pregnancy being less nutritious.</w:t>
      </w:r>
      <w:r>
        <w:rPr>
          <w:rFonts w:ascii="Arial" w:hAnsi="Arial" w:cs="Arial"/>
          <w:vertAlign w:val="superscript"/>
        </w:rPr>
        <w:t>29</w:t>
      </w:r>
    </w:p>
    <w:p w14:paraId="183A898F">
      <w:pPr>
        <w:pStyle w:val="24"/>
        <w:rPr>
          <w:rFonts w:ascii="Arial" w:hAnsi="Arial" w:cs="Arial"/>
        </w:rPr>
      </w:pPr>
      <w:r>
        <w:rPr>
          <w:rFonts w:ascii="Arial" w:hAnsi="Arial" w:cs="Arial"/>
        </w:rPr>
        <w:t>Efforts that must be made by health workers, especially midwives, to prevent anemia in pregnant women are increasing the consumption of iron from food sources such as vegetables, fruit, nuts, and grains, as well as providing iron supplements.</w:t>
      </w:r>
      <w:r>
        <w:rPr>
          <w:rFonts w:ascii="Arial" w:hAnsi="Arial" w:cs="Arial"/>
          <w:vertAlign w:val="superscript"/>
        </w:rPr>
        <w:t xml:space="preserve">27 </w:t>
      </w:r>
      <w:r>
        <w:rPr>
          <w:rFonts w:ascii="Arial" w:hAnsi="Arial" w:cs="Arial"/>
        </w:rPr>
        <w:t>Some of these things especially occur in poor communities where there is insufficient availability of nutritious food and inadequate health services for pregnant women. Factors such as age, parity, occupation, and maternal education can also influence maternal anemia during pregnancy.</w:t>
      </w:r>
      <w:r>
        <w:rPr>
          <w:rFonts w:ascii="Arial" w:hAnsi="Arial" w:cs="Arial"/>
          <w:vertAlign w:val="superscript"/>
        </w:rPr>
        <w:t>27</w:t>
      </w:r>
      <w:r>
        <w:rPr>
          <w:rFonts w:ascii="Arial" w:hAnsi="Arial" w:cs="Arial"/>
        </w:rPr>
        <w:t xml:space="preserve"> From the results of this research, it was also found that from 17 stunted children, there were 3 stunted children whose mothers were not anemic. So this shows that mothers who have good Hb also have a risk of giving birth to stunted children</w:t>
      </w:r>
    </w:p>
    <w:p w14:paraId="7710A9C0">
      <w:pPr>
        <w:pStyle w:val="24"/>
        <w:rPr>
          <w:rFonts w:ascii="Arial" w:hAnsi="Arial" w:cs="Arial"/>
        </w:rPr>
      </w:pPr>
      <w:r>
        <w:rPr>
          <w:rFonts w:ascii="Arial" w:hAnsi="Arial" w:cs="Arial"/>
        </w:rPr>
        <w:t xml:space="preserve">According to research conducted by Rolla Destarina (2017) entitled Risk Factors for Anemic Status of Pregnant Women, Short Birth Body Length at Sentolo 1 Health Center. Kulon Progo D.I Yogyakarta, the results of the research showed that 30% of pregnant women experienced anemia at Sentolo 1 Health Center or 96 pregnant women. Meanwhile, there were 219 (70%) pregnant women who were not anemic. </w:t>
      </w:r>
      <w:r>
        <w:rPr>
          <w:rFonts w:ascii="Arial" w:hAnsi="Arial" w:cs="Arial"/>
          <w:vertAlign w:val="superscript"/>
        </w:rPr>
        <w:t>26</w:t>
      </w:r>
      <w:r>
        <w:rPr>
          <w:rFonts w:ascii="Arial" w:hAnsi="Arial" w:cs="Arial"/>
        </w:rPr>
        <w:t xml:space="preserve"> According to the researchers' assumptions, of the 53 stunted children, 14 respondents did not experience anemia during pregnancy, this is because even though during pregnancy the mother's nutrition was fulfilled and the Hb level was always normal, it does not rule out the possibility that when the child is born if the mother does not pay attention to the child's nutrition and lack of monitoring the child's growth and development at the Posyandu, it could cause the child to experience stunting.</w:t>
      </w:r>
      <w:r>
        <w:rPr>
          <w:rFonts w:ascii="Arial" w:hAnsi="Arial" w:cs="Arial"/>
          <w:vertAlign w:val="superscript"/>
        </w:rPr>
        <w:t>26</w:t>
      </w:r>
      <w:r>
        <w:rPr>
          <w:rFonts w:ascii="Arial" w:hAnsi="Arial" w:cs="Arial"/>
        </w:rPr>
        <w:t xml:space="preserve"> Most of the reasons mothers don't pay attention to their children's nutrition are due to lower economic factors, parents are not fully able to buy highly nutritious food, even though parents could give their children nutritious food from the garden or food ingredients that are not too expensive but have sufficient nutrition such as tempeh, spinach or even fish they catch themselves. Parents can also come to the nearest health facility to get PMT (supplementary feeding) from the local health facility nutritionist.</w:t>
      </w:r>
      <w:r>
        <w:rPr>
          <w:rFonts w:ascii="Arial" w:hAnsi="Arial" w:cs="Arial"/>
          <w:vertAlign w:val="superscript"/>
        </w:rPr>
        <w:t>26</w:t>
      </w:r>
    </w:p>
    <w:p w14:paraId="0CE2DF7A">
      <w:pPr>
        <w:pStyle w:val="29"/>
        <w:spacing w:after="0"/>
        <w:jc w:val="both"/>
        <w:rPr>
          <w:rFonts w:ascii="Arial" w:hAnsi="Arial" w:cs="Arial"/>
        </w:rPr>
      </w:pPr>
      <w:r>
        <w:rPr>
          <w:rFonts w:ascii="Arial" w:hAnsi="Arial" w:cs="Arial"/>
        </w:rPr>
        <w:t>4. Conclusion</w:t>
      </w:r>
    </w:p>
    <w:p w14:paraId="0CF403F7">
      <w:pPr>
        <w:pStyle w:val="24"/>
        <w:rPr>
          <w:rFonts w:ascii="Arial" w:hAnsi="Arial" w:cs="Arial"/>
        </w:rPr>
      </w:pPr>
      <w:r>
        <w:rPr>
          <w:rFonts w:ascii="Arial" w:hAnsi="Arial" w:cs="Arial"/>
        </w:rPr>
        <w:t>Based on the research results obtained, it can be concluded that: 1) Description of the incidence of stunting in the Rancakalong Community Health Center working area of ​​17 children under five (30.9%); 2) The description of mothers who experienced anemia during pregnancy in the Rancakalong Community Health Center working area was 28 pregnant women (50.9%); 3) There is a relationship between anemia in pregnancy and the incidence of stunting at the Rancakalong District Health Center, which is according to the analysis of this relationship, the p-value = 0.002 (&lt;0.05) with a confidence level of 90%; 4) At the Rancakalong District Health Center, mothers with a history of anemia during pregnancy have a 2.3 times higher chance of having a stunted child, namely based on the results of OR = 8</w:t>
      </w:r>
    </w:p>
    <w:p w14:paraId="4682AD97">
      <w:pPr>
        <w:pStyle w:val="31"/>
        <w:spacing w:after="0"/>
        <w:jc w:val="both"/>
        <w:rPr>
          <w:rFonts w:ascii="Arial" w:hAnsi="Arial" w:cs="Arial"/>
        </w:rPr>
      </w:pPr>
    </w:p>
    <w:p w14:paraId="2587D92E">
      <w:pPr>
        <w:pStyle w:val="31"/>
        <w:spacing w:after="0"/>
        <w:jc w:val="both"/>
        <w:rPr>
          <w:rFonts w:ascii="Arial" w:hAnsi="Arial" w:cs="Arial"/>
        </w:rPr>
      </w:pPr>
      <w:r>
        <w:rPr>
          <w:rFonts w:ascii="Arial" w:hAnsi="Arial" w:cs="Arial"/>
        </w:rPr>
        <w:t>References</w:t>
      </w:r>
    </w:p>
    <w:p w14:paraId="509D70D4">
      <w:pPr>
        <w:pStyle w:val="24"/>
        <w:numPr>
          <w:ilvl w:val="0"/>
          <w:numId w:val="10"/>
        </w:numPr>
        <w:spacing w:after="0"/>
        <w:ind w:left="426" w:hanging="426"/>
      </w:pPr>
      <w:r>
        <w:t>Adriani P, Aisyah IS, Wirawan S, Hasanah LN, Idris, Nursiah A, et al. Stunting in Children [Internet]. Vol. 124. 2022. Available at: https://www.researchgate.net/publication/364952626</w:t>
      </w:r>
    </w:p>
    <w:p w14:paraId="42FE609D">
      <w:pPr>
        <w:pStyle w:val="24"/>
        <w:numPr>
          <w:ilvl w:val="0"/>
          <w:numId w:val="10"/>
        </w:numPr>
        <w:spacing w:after="0"/>
        <w:ind w:left="426" w:hanging="426"/>
      </w:pPr>
      <w:r>
        <w:t>Aryanto MAW, Argadiredja DS, Sakinah RK. Relationship between Hemoglobin Levels of Pregnant Women in the First Trimester and Stunting Incidents in Toddlers in Conggeang District, Sumedang Regency, 2018. J Integr Health Science. 2020;2(1):43–6.</w:t>
      </w:r>
    </w:p>
    <w:p w14:paraId="33CD3A95">
      <w:pPr>
        <w:pStyle w:val="24"/>
        <w:numPr>
          <w:ilvl w:val="0"/>
          <w:numId w:val="10"/>
        </w:numPr>
        <w:spacing w:after="0"/>
        <w:ind w:left="426" w:hanging="426"/>
      </w:pPr>
      <w:r>
        <w:t>Adriani P, Aisyah IS, Wirawan S, Hasanah LN, Idris, Nursiah A, et al. Stunting in Children [Internet]. Vol. 124. 2022. 1–41 p. Available at: https://www.researchgate.net/publication/364952626</w:t>
      </w:r>
    </w:p>
    <w:p w14:paraId="634D2DE9">
      <w:pPr>
        <w:pStyle w:val="24"/>
        <w:numPr>
          <w:ilvl w:val="0"/>
          <w:numId w:val="10"/>
        </w:numPr>
        <w:spacing w:after="0"/>
        <w:ind w:left="426" w:hanging="426"/>
      </w:pPr>
      <w:r>
        <w:t>Salakory GTJ, Wija IBEU. The Relationship between Anemia in Pregnant Women and Stunting Incidents at Marthen Indey Hospital, Jayapura in 2018-2019. Maj Kedokt UKI. 2021;37(1):9–12.</w:t>
      </w:r>
    </w:p>
    <w:p w14:paraId="22E71DEF">
      <w:pPr>
        <w:pStyle w:val="24"/>
        <w:numPr>
          <w:ilvl w:val="0"/>
          <w:numId w:val="10"/>
        </w:numPr>
        <w:spacing w:after="0"/>
        <w:ind w:left="426" w:hanging="426"/>
      </w:pPr>
      <w:r>
        <w:t>5.World. Health Organization. Stunting prevalence among children under 5 years of age (% height-for-age &lt;-2 SD) [internet]. 2022. Available at : https://www.who.int/data/gho/data/indicators/indicator-details/GHO/gho-jme- country-children-aged-5-years-stunted-(-height-for-age--2-sd)</w:t>
      </w:r>
    </w:p>
    <w:p w14:paraId="17742EF2">
      <w:pPr>
        <w:pStyle w:val="24"/>
        <w:numPr>
          <w:ilvl w:val="0"/>
          <w:numId w:val="10"/>
        </w:numPr>
        <w:spacing w:after="0"/>
        <w:ind w:left="426" w:hanging="426"/>
      </w:pPr>
      <w:r>
        <w:t>Pocket Book of Indonesian Nutritional Status Study Results (SSGI) at National, Provincial and Regency/City Levels in 2022. 2022</w:t>
      </w:r>
    </w:p>
    <w:p w14:paraId="5F39BA93">
      <w:pPr>
        <w:pStyle w:val="24"/>
        <w:numPr>
          <w:ilvl w:val="0"/>
          <w:numId w:val="10"/>
        </w:numPr>
        <w:spacing w:after="0"/>
        <w:ind w:left="426" w:hanging="426"/>
      </w:pPr>
      <w:r>
        <w:t>TNP2K. National Strategy for Accelerating Stunting Prevention 2018-2024 (National Strategy for Accelerating Stunting Prevention 2018-2024). 2018</w:t>
      </w:r>
    </w:p>
    <w:p w14:paraId="2598B43F">
      <w:pPr>
        <w:pStyle w:val="24"/>
        <w:numPr>
          <w:ilvl w:val="0"/>
          <w:numId w:val="10"/>
        </w:numPr>
        <w:spacing w:after="0"/>
        <w:ind w:left="426" w:hanging="426"/>
        <w:rPr>
          <w:rFonts w:ascii="Arial" w:hAnsi="Arial" w:cs="Arial"/>
        </w:rPr>
      </w:pPr>
      <w:r>
        <w:t>Hoffman DJ, Sawaya AL, Verreschi I, Tucker KL, Roberts SB, 2000. Why are nutritionally stunted children at increased risk of obesity? Studies of metabolic rate and fat oxidation in shantytown children from São Paulo, Brazil. Am J Clin Nutrition 72:702–7</w:t>
      </w:r>
    </w:p>
    <w:p w14:paraId="4FC968C5">
      <w:pPr>
        <w:pStyle w:val="24"/>
        <w:numPr>
          <w:ilvl w:val="0"/>
          <w:numId w:val="10"/>
        </w:numPr>
        <w:spacing w:after="0"/>
        <w:ind w:left="426" w:hanging="426"/>
        <w:rPr>
          <w:rFonts w:ascii="Arial" w:hAnsi="Arial" w:cs="Arial"/>
        </w:rPr>
      </w:pPr>
      <w:r>
        <w:t>Rahmadhita K. Stunting problems and prevention. jiskh [Internet]. 2020;11(1):225–9.</w:t>
      </w:r>
    </w:p>
    <w:p w14:paraId="684FF8C5">
      <w:pPr>
        <w:pStyle w:val="24"/>
        <w:numPr>
          <w:ilvl w:val="0"/>
          <w:numId w:val="10"/>
        </w:numPr>
        <w:spacing w:after="0"/>
        <w:ind w:left="426" w:hanging="426"/>
        <w:rPr>
          <w:rFonts w:ascii="Arial" w:hAnsi="Arial" w:cs="Arial"/>
        </w:rPr>
      </w:pPr>
      <w:r>
        <w:t>Supariasa. 2001. Assessment of Nutritional Status. EGC Medical Book. Jakarta. Indonesian Ministry of Health. 2007.</w:t>
      </w:r>
    </w:p>
    <w:p w14:paraId="3189F39C">
      <w:pPr>
        <w:pStyle w:val="24"/>
        <w:numPr>
          <w:ilvl w:val="0"/>
          <w:numId w:val="10"/>
        </w:numPr>
        <w:spacing w:after="0"/>
        <w:ind w:left="426" w:hanging="426"/>
        <w:rPr>
          <w:rFonts w:ascii="Arial" w:hAnsi="Arial" w:cs="Arial"/>
        </w:rPr>
      </w:pPr>
      <w:r>
        <w:t>Sudiman H. Stunting or Shortness: The Beginning of Pathological Change or Adaptation Due to Prolonged Socio-Economic Changes. Health R&amp;D Media. 2008;18(1):33-43</w:t>
      </w:r>
    </w:p>
    <w:p w14:paraId="035C59BE">
      <w:pPr>
        <w:pStyle w:val="24"/>
        <w:numPr>
          <w:ilvl w:val="0"/>
          <w:numId w:val="10"/>
        </w:numPr>
        <w:spacing w:after="0"/>
        <w:ind w:left="426" w:hanging="426"/>
        <w:rPr>
          <w:rFonts w:ascii="Arial" w:hAnsi="Arial" w:cs="Arial"/>
        </w:rPr>
      </w:pPr>
      <w:r>
        <w:t>Reska Y, Krisnasary A, Wahyudi A. Level of Income, Energy Sufficiency and Hidden Hunger with Nutritional Status of Toddlers. J Health [Internet]. 2018;9(3):458</w:t>
      </w:r>
    </w:p>
    <w:p w14:paraId="66760B16">
      <w:pPr>
        <w:pStyle w:val="24"/>
        <w:numPr>
          <w:ilvl w:val="0"/>
          <w:numId w:val="10"/>
        </w:numPr>
        <w:spacing w:after="0"/>
        <w:ind w:left="426" w:hanging="426"/>
        <w:rPr>
          <w:rFonts w:ascii="Arial" w:hAnsi="Arial" w:cs="Arial"/>
        </w:rPr>
      </w:pPr>
      <w:r>
        <w:t>Damayanti D, Pritasari, Lestari NT. Nutrition in the Life Cycle. Jakarta: Center for Health Human Resources Education. 2017. 38 p</w:t>
      </w:r>
    </w:p>
    <w:p w14:paraId="6A9E59CC">
      <w:pPr>
        <w:pStyle w:val="24"/>
        <w:numPr>
          <w:ilvl w:val="0"/>
          <w:numId w:val="10"/>
        </w:numPr>
        <w:spacing w:after="0"/>
        <w:ind w:left="426" w:hanging="426"/>
        <w:rPr>
          <w:rFonts w:ascii="Arial" w:hAnsi="Arial" w:cs="Arial"/>
        </w:rPr>
      </w:pPr>
      <w:r>
        <w:t>Abenhaim HA, Kinch RA and Usher R. Effect of prepregnancy body mass index categories on obstetric and neonatal outcomes. Obstetrics and Gynecology. 2004; 2004; 103: 219-24.</w:t>
      </w:r>
    </w:p>
    <w:p w14:paraId="34F7CCAA">
      <w:pPr>
        <w:pStyle w:val="24"/>
        <w:numPr>
          <w:ilvl w:val="0"/>
          <w:numId w:val="10"/>
        </w:numPr>
        <w:spacing w:after="0"/>
        <w:ind w:left="426" w:hanging="426"/>
        <w:rPr>
          <w:rFonts w:ascii="Arial" w:hAnsi="Arial" w:cs="Arial"/>
        </w:rPr>
      </w:pPr>
      <w:r>
        <w:t>Ministry of Health of the Republic of Indonesia [Internet]. Kemkes.go.id. [cited 2022 Dec 12].</w:t>
      </w:r>
      <w:r>
        <w:tab/>
      </w:r>
      <w:r>
        <w:t xml:space="preserve">Available from: </w:t>
      </w:r>
      <w:r>
        <w:fldChar w:fldCharType="begin"/>
      </w:r>
      <w:r>
        <w:instrText xml:space="preserve"> HYPERLINK "https://www.kemkes.go.id/article/view/21122800001/penurunan-prevalensi-%20stunting-tahun-2021-as-modal-menuju-generation-emas-indonesia-%202045.html" </w:instrText>
      </w:r>
      <w:r>
        <w:fldChar w:fldCharType="separate"/>
      </w:r>
      <w:r>
        <w:rPr>
          <w:rStyle w:val="16"/>
        </w:rPr>
        <w:t>https://www.kemkes.go.id/article/view/21122800001/penurunan-prevalensi- stunting-tahun-2021-as-modal-menuju-generation-emas-indonesia- 2045.html</w:t>
      </w:r>
      <w:r>
        <w:rPr>
          <w:rStyle w:val="16"/>
        </w:rPr>
        <w:fldChar w:fldCharType="end"/>
      </w:r>
    </w:p>
    <w:p w14:paraId="449E036C">
      <w:pPr>
        <w:pStyle w:val="24"/>
        <w:numPr>
          <w:ilvl w:val="0"/>
          <w:numId w:val="10"/>
        </w:numPr>
        <w:spacing w:after="0"/>
        <w:ind w:left="426" w:hanging="426"/>
        <w:rPr>
          <w:rFonts w:ascii="Arial" w:hAnsi="Arial" w:cs="Arial"/>
        </w:rPr>
      </w:pPr>
      <w:r>
        <w:t>Wulansari M, Mastuti NLP, Indahwati L. The Effect of Stunting on the Development of Toddlers Aged 2-5 Years in Madiredo Village, Pujon District, Malang Regency. Journal of Issues in Midwifery. 2021 Dec;5(3):111– 120.</w:t>
      </w:r>
    </w:p>
    <w:p w14:paraId="34F235FC">
      <w:pPr>
        <w:pStyle w:val="24"/>
        <w:numPr>
          <w:ilvl w:val="0"/>
          <w:numId w:val="10"/>
        </w:numPr>
        <w:spacing w:after="0"/>
        <w:ind w:left="426" w:hanging="426"/>
        <w:rPr>
          <w:rFonts w:ascii="Arial" w:hAnsi="Arial" w:cs="Arial"/>
        </w:rPr>
      </w:pPr>
      <w:r>
        <w:rPr>
          <w:rFonts w:ascii="Arial" w:hAnsi="Arial" w:cs="Arial"/>
        </w:rPr>
        <w:t>Kamilia A. Low Birth Weight with Stunting in Children. Sandi Husada Health Scientific Journal. 2019 Dec;10(2):311–315.</w:t>
      </w:r>
    </w:p>
    <w:p w14:paraId="13E3B2B2">
      <w:pPr>
        <w:pStyle w:val="24"/>
        <w:numPr>
          <w:ilvl w:val="0"/>
          <w:numId w:val="10"/>
        </w:numPr>
        <w:spacing w:after="0"/>
        <w:ind w:left="426" w:hanging="426"/>
        <w:rPr>
          <w:rFonts w:ascii="Arial" w:hAnsi="Arial" w:cs="Arial"/>
        </w:rPr>
      </w:pPr>
      <w:r>
        <w:rPr>
          <w:rFonts w:ascii="Arial" w:hAnsi="Arial" w:cs="Arial"/>
        </w:rPr>
        <w:t xml:space="preserve">Directorate of Maternal Health Development. 2012. The Directorate of Maternal Health Development will carry out an assessment of the quality of maternal health services in 20 districts/cities. Downloaded April 20 2017, from Maternal Health: </w:t>
      </w:r>
      <w:r>
        <w:fldChar w:fldCharType="begin"/>
      </w:r>
      <w:r>
        <w:instrText xml:space="preserve"> HYPERLINK "http://www.depkes.go.id" </w:instrText>
      </w:r>
      <w:r>
        <w:fldChar w:fldCharType="separate"/>
      </w:r>
      <w:r>
        <w:rPr>
          <w:rStyle w:val="16"/>
          <w:rFonts w:ascii="Arial" w:hAnsi="Arial" w:cs="Arial"/>
        </w:rPr>
        <w:t>http://www.depkes.go.id</w:t>
      </w:r>
      <w:r>
        <w:rPr>
          <w:rStyle w:val="16"/>
          <w:rFonts w:ascii="Arial" w:hAnsi="Arial" w:cs="Arial"/>
        </w:rPr>
        <w:fldChar w:fldCharType="end"/>
      </w:r>
    </w:p>
    <w:p w14:paraId="0D2DD422">
      <w:pPr>
        <w:pStyle w:val="24"/>
        <w:numPr>
          <w:ilvl w:val="0"/>
          <w:numId w:val="10"/>
        </w:numPr>
        <w:spacing w:after="0"/>
        <w:ind w:left="426" w:hanging="426"/>
        <w:rPr>
          <w:rFonts w:ascii="Arial" w:hAnsi="Arial" w:cs="Arial"/>
        </w:rPr>
      </w:pPr>
      <w:r>
        <w:rPr>
          <w:rFonts w:ascii="Arial" w:hAnsi="Arial" w:cs="Arial"/>
        </w:rPr>
        <w:t>Rahayu A, Yulidasari F, Putri AO, Rahman F. History of Birth Weight with Stunting in Children Under Two Years of Age. National Public Health Journal. 2015;10(2):67–73</w:t>
      </w:r>
    </w:p>
    <w:p w14:paraId="56AC3A1A">
      <w:pPr>
        <w:pStyle w:val="24"/>
        <w:numPr>
          <w:ilvl w:val="0"/>
          <w:numId w:val="10"/>
        </w:numPr>
        <w:spacing w:after="0"/>
        <w:ind w:left="426" w:hanging="426"/>
        <w:rPr>
          <w:rFonts w:ascii="Arial" w:hAnsi="Arial" w:cs="Arial"/>
        </w:rPr>
      </w:pPr>
      <w:r>
        <w:rPr>
          <w:rFonts w:ascii="Arial" w:hAnsi="Arial" w:cs="Arial"/>
        </w:rPr>
        <w:t>Rosselo, J; Kandarina, I; Kumorowulan, S. 2019. "Risk Factors for Stunting in Endemic GAKI Areas, North Central Timor Regency". MGMI Vol 10. No. June 2, 2019. 125-136</w:t>
      </w:r>
    </w:p>
    <w:p w14:paraId="3A257971">
      <w:pPr>
        <w:pStyle w:val="24"/>
        <w:numPr>
          <w:ilvl w:val="0"/>
          <w:numId w:val="10"/>
        </w:numPr>
        <w:spacing w:after="0"/>
        <w:ind w:left="426" w:hanging="426"/>
        <w:rPr>
          <w:rFonts w:ascii="Arial" w:hAnsi="Arial" w:cs="Arial"/>
        </w:rPr>
      </w:pPr>
      <w:r>
        <w:rPr>
          <w:rFonts w:ascii="Arial" w:hAnsi="Arial" w:cs="Arial"/>
        </w:rPr>
        <w:t>Hidayani WR. History of Infectious Diseases Associated with Stunting in Indonesia: Literature Review. National Health Seminar "The Role of Health Workers in Reducing the Incidence of Stunting". 2020:45-53</w:t>
      </w:r>
    </w:p>
    <w:p w14:paraId="64B9FE1B">
      <w:pPr>
        <w:pStyle w:val="24"/>
        <w:numPr>
          <w:ilvl w:val="0"/>
          <w:numId w:val="10"/>
        </w:numPr>
        <w:spacing w:after="0"/>
        <w:ind w:left="426" w:hanging="426"/>
        <w:rPr>
          <w:rFonts w:ascii="Arial" w:hAnsi="Arial" w:cs="Arial"/>
        </w:rPr>
      </w:pPr>
      <w:r>
        <w:rPr>
          <w:rFonts w:ascii="Arial" w:hAnsi="Arial" w:cs="Arial"/>
        </w:rPr>
        <w:t>Solin, A.R Hasanah, O; Nurchayati, S. 2019. "The relationship between the incidence of infectious diseases and the incidence of stunting in toddlers 1-4 years old." JOM FKp Vol.6 No.1.(January-June) 2019.</w:t>
      </w:r>
    </w:p>
    <w:p w14:paraId="4D9882E5">
      <w:pPr>
        <w:pStyle w:val="24"/>
        <w:numPr>
          <w:ilvl w:val="0"/>
          <w:numId w:val="10"/>
        </w:numPr>
        <w:spacing w:after="0"/>
        <w:ind w:left="426" w:hanging="426"/>
        <w:rPr>
          <w:rFonts w:ascii="Arial" w:hAnsi="Arial" w:cs="Arial"/>
        </w:rPr>
      </w:pPr>
      <w:r>
        <w:rPr>
          <w:rFonts w:ascii="Arial" w:hAnsi="Arial" w:cs="Arial"/>
        </w:rPr>
        <w:t>Setiawan, E; Machmud, R; Masrul. 2018. "Factors Associated with Stunting Incidents in Children Aged 24-59 Months in the Andalas Community Health Center Working Area, East Padang District, Padang City in 2018." Andalas Health Journal. 2018; 7(2).</w:t>
      </w:r>
    </w:p>
    <w:p w14:paraId="78DAF843">
      <w:pPr>
        <w:pStyle w:val="24"/>
        <w:numPr>
          <w:ilvl w:val="0"/>
          <w:numId w:val="10"/>
        </w:numPr>
        <w:spacing w:after="0"/>
        <w:ind w:left="426" w:hanging="426"/>
        <w:rPr>
          <w:rFonts w:ascii="Arial" w:hAnsi="Arial" w:cs="Arial"/>
        </w:rPr>
      </w:pPr>
      <w:r>
        <w:rPr>
          <w:rFonts w:ascii="Arial" w:hAnsi="Arial" w:cs="Arial"/>
        </w:rPr>
        <w:t>Gani, L.R Nurdian, Y. "Incidence of Stunting and Its Relation to Infectious Diseases". 2017</w:t>
      </w:r>
    </w:p>
    <w:p w14:paraId="57875772">
      <w:pPr>
        <w:pStyle w:val="24"/>
        <w:numPr>
          <w:ilvl w:val="0"/>
          <w:numId w:val="10"/>
        </w:numPr>
        <w:spacing w:after="0"/>
        <w:ind w:left="426" w:hanging="426"/>
        <w:rPr>
          <w:rFonts w:ascii="Arial" w:hAnsi="Arial" w:cs="Arial"/>
        </w:rPr>
      </w:pPr>
      <w:r>
        <w:rPr>
          <w:rFonts w:ascii="Arial" w:hAnsi="Arial" w:cs="Arial"/>
        </w:rPr>
        <w:t>Candra A. PATHOPHYSIOLOGY OF STUNTING. JNH (Journal of Nutrition and Health). 2020;8(2):74–8.</w:t>
      </w:r>
    </w:p>
    <w:p w14:paraId="752B56E5">
      <w:pPr>
        <w:pStyle w:val="24"/>
        <w:numPr>
          <w:ilvl w:val="0"/>
          <w:numId w:val="10"/>
        </w:numPr>
        <w:spacing w:after="0"/>
        <w:ind w:left="426" w:hanging="426"/>
        <w:rPr>
          <w:rFonts w:ascii="Arial" w:hAnsi="Arial" w:cs="Arial"/>
        </w:rPr>
      </w:pPr>
      <w:r>
        <w:rPr>
          <w:rFonts w:ascii="Arial" w:hAnsi="Arial" w:cs="Arial"/>
        </w:rPr>
        <w:t>Hastuty M. The Relationship between Pregnant Women's Anemia and Stunting Incidents in Toddlers at the Kampar Health Center UPTD in 2018. Online Journal of Pahlawan Tuanku Tambusai University. 4(2).2020. p112-16.</w:t>
      </w:r>
    </w:p>
    <w:p w14:paraId="68C590F1">
      <w:pPr>
        <w:pStyle w:val="24"/>
        <w:numPr>
          <w:ilvl w:val="0"/>
          <w:numId w:val="10"/>
        </w:numPr>
        <w:spacing w:after="0"/>
        <w:ind w:left="426" w:hanging="426"/>
        <w:rPr>
          <w:rFonts w:ascii="Arial" w:hAnsi="Arial" w:cs="Arial"/>
        </w:rPr>
      </w:pPr>
      <w:r>
        <w:rPr>
          <w:rFonts w:ascii="Arial" w:hAnsi="Arial" w:cs="Arial"/>
        </w:rPr>
        <w:t>Rahayu DT. Anemia in Pregnancy with Stunting in Gayam Village, Gurah District, Kediri Regency. Midwiferia Midwifery Journal.7(1).2020.p81-92.</w:t>
      </w:r>
    </w:p>
    <w:p w14:paraId="16319921">
      <w:pPr>
        <w:pStyle w:val="24"/>
        <w:numPr>
          <w:ilvl w:val="0"/>
          <w:numId w:val="10"/>
        </w:numPr>
        <w:spacing w:after="0"/>
        <w:ind w:left="426" w:hanging="426"/>
        <w:rPr>
          <w:rFonts w:ascii="Arial" w:hAnsi="Arial" w:cs="Arial"/>
        </w:rPr>
      </w:pPr>
      <w:r>
        <w:rPr>
          <w:rFonts w:ascii="Arial" w:hAnsi="Arial" w:cs="Arial"/>
        </w:rPr>
        <w:t>Hulayya AFA. The Relationship Between a History of Anemia in Pregnancy and Stunting Incidents in Kawedusan Village, Kediri Regency. 2021.p13-22.</w:t>
      </w:r>
    </w:p>
    <w:p w14:paraId="5748E154">
      <w:pPr>
        <w:pStyle w:val="24"/>
        <w:numPr>
          <w:ilvl w:val="0"/>
          <w:numId w:val="10"/>
        </w:numPr>
        <w:spacing w:after="0"/>
        <w:ind w:left="426" w:hanging="426"/>
        <w:rPr>
          <w:rFonts w:ascii="Arial" w:hAnsi="Arial" w:cs="Arial"/>
        </w:rPr>
      </w:pPr>
      <w:r>
        <w:rPr>
          <w:rFonts w:ascii="Arial" w:hAnsi="Arial" w:cs="Arial"/>
        </w:rPr>
        <w:t>ESB Chart. Relationship between FE consumption and body length in children aged 12-24 months. Information Media.15(2).2019.p115-19.</w:t>
      </w:r>
    </w:p>
    <w:p w14:paraId="6A40839F">
      <w:pPr>
        <w:pStyle w:val="24"/>
        <w:spacing w:after="0"/>
        <w:rPr>
          <w:rFonts w:ascii="Arial" w:hAnsi="Arial" w:cs="Arial"/>
        </w:rPr>
      </w:pPr>
    </w:p>
    <w:p w14:paraId="75288A6C">
      <w:pPr>
        <w:pStyle w:val="43"/>
        <w:spacing w:after="0"/>
        <w:jc w:val="both"/>
        <w:rPr>
          <w:rFonts w:ascii="Arial" w:hAnsi="Arial" w:cs="Arial"/>
          <w:b w:val="0"/>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
    </w:p>
    <w:commentRangeEnd w:id="0"/>
    <w:p w14:paraId="36067CA6">
      <w:pPr>
        <w:pStyle w:val="43"/>
        <w:spacing w:after="0"/>
        <w:jc w:val="both"/>
        <w:rPr>
          <w:rFonts w:ascii="Arial" w:hAnsi="Arial" w:cs="Arial"/>
          <w:b w:val="0"/>
        </w:rPr>
      </w:pPr>
      <w:r>
        <w:commentReference w:id="0"/>
      </w: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udy Hartono" w:date="2025-02-21T16:18:18Z" w:initials="">
    <w:p w14:paraId="6F291721">
      <w:pPr>
        <w:pStyle w:val="3"/>
        <w:keepNext w:val="0"/>
        <w:keepLines w:val="0"/>
        <w:widowControl/>
        <w:suppressLineNumbers w:val="0"/>
      </w:pPr>
      <w:r>
        <w:t xml:space="preserve">1. </w:t>
      </w:r>
      <w:r>
        <w:rPr>
          <w:rStyle w:val="19"/>
          <w:b/>
          <w:bCs/>
        </w:rPr>
        <w:t>Background</w:t>
      </w:r>
    </w:p>
    <w:p w14:paraId="75CE2B6E">
      <w:pPr>
        <w:keepNext w:val="0"/>
        <w:keepLines w:val="0"/>
        <w:widowControl/>
        <w:numPr>
          <w:ilvl w:val="0"/>
          <w:numId w:val="2"/>
        </w:numPr>
        <w:suppressLineNumbers w:val="0"/>
        <w:spacing w:before="0" w:beforeAutospacing="1" w:after="0" w:afterAutospacing="1"/>
        <w:ind w:left="720" w:hanging="360"/>
      </w:pPr>
      <w:r>
        <w:t>What is the main reason the study focuses on examining the relationship between a history of anemia during pregnancy and stunting incidents in toddlers?</w:t>
      </w:r>
    </w:p>
    <w:p w14:paraId="6901E5B3">
      <w:pPr>
        <w:keepNext w:val="0"/>
        <w:keepLines w:val="0"/>
        <w:widowControl/>
        <w:numPr>
          <w:ilvl w:val="0"/>
          <w:numId w:val="2"/>
        </w:numPr>
        <w:suppressLineNumbers w:val="0"/>
        <w:spacing w:before="0" w:beforeAutospacing="1" w:after="0" w:afterAutospacing="1"/>
        <w:ind w:left="720" w:hanging="360"/>
      </w:pPr>
      <w:r>
        <w:t>How does the study link the issue of anemia during pregnancy to the problem of stunting in the specific region?</w:t>
      </w:r>
    </w:p>
    <w:p w14:paraId="3E6A8512">
      <w:pPr>
        <w:keepNext w:val="0"/>
        <w:keepLines w:val="0"/>
        <w:widowControl/>
        <w:numPr>
          <w:ilvl w:val="0"/>
          <w:numId w:val="2"/>
        </w:numPr>
        <w:suppressLineNumbers w:val="0"/>
        <w:spacing w:before="0" w:beforeAutospacing="1" w:after="0" w:afterAutospacing="1"/>
        <w:ind w:left="720" w:hanging="360"/>
      </w:pPr>
      <w:r>
        <w:t>What differentiates this study from similar research already conducted? Are there any local contexts or factors that make it particularly relevant for Rancakalong Health Center?</w:t>
      </w:r>
    </w:p>
    <w:p w14:paraId="164F2B1F">
      <w:pPr>
        <w:pStyle w:val="3"/>
        <w:keepNext w:val="0"/>
        <w:keepLines w:val="0"/>
        <w:widowControl/>
        <w:suppressLineNumbers w:val="0"/>
      </w:pPr>
      <w:r>
        <w:t xml:space="preserve">2. </w:t>
      </w:r>
      <w:r>
        <w:rPr>
          <w:rStyle w:val="19"/>
          <w:b/>
          <w:bCs/>
        </w:rPr>
        <w:t>Research Method</w:t>
      </w:r>
    </w:p>
    <w:p w14:paraId="77110189">
      <w:pPr>
        <w:keepNext w:val="0"/>
        <w:keepLines w:val="0"/>
        <w:widowControl/>
        <w:numPr>
          <w:ilvl w:val="0"/>
          <w:numId w:val="3"/>
        </w:numPr>
        <w:suppressLineNumbers w:val="0"/>
        <w:spacing w:before="0" w:beforeAutospacing="1" w:after="0" w:afterAutospacing="1"/>
        <w:ind w:left="720" w:hanging="360"/>
      </w:pPr>
      <w:r>
        <w:t>Why did the researchers choose an observational analytic design with a retrospective case-control approach, and what are the advantages and limitations of this approach in the context of this study?</w:t>
      </w:r>
    </w:p>
    <w:p w14:paraId="1E299DE6">
      <w:pPr>
        <w:keepNext w:val="0"/>
        <w:keepLines w:val="0"/>
        <w:widowControl/>
        <w:numPr>
          <w:ilvl w:val="0"/>
          <w:numId w:val="3"/>
        </w:numPr>
        <w:suppressLineNumbers w:val="0"/>
        <w:spacing w:before="0" w:beforeAutospacing="1" w:after="0" w:afterAutospacing="1"/>
        <w:ind w:left="720" w:hanging="360"/>
      </w:pPr>
      <w:r>
        <w:t>Was the sample size of 55 toddlers considered representative of the population at Rancakalong Health Center? How did the researchers ensure the appropriate sample selection?</w:t>
      </w:r>
    </w:p>
    <w:p w14:paraId="785970F8">
      <w:pPr>
        <w:keepNext w:val="0"/>
        <w:keepLines w:val="0"/>
        <w:widowControl/>
        <w:numPr>
          <w:ilvl w:val="0"/>
          <w:numId w:val="3"/>
        </w:numPr>
        <w:suppressLineNumbers w:val="0"/>
        <w:spacing w:before="0" w:beforeAutospacing="1" w:after="0" w:afterAutospacing="1"/>
        <w:ind w:left="720" w:hanging="360"/>
      </w:pPr>
      <w:r>
        <w:t>How did the researchers control for biases in sample selection and data collection?</w:t>
      </w:r>
    </w:p>
    <w:p w14:paraId="5414A45F">
      <w:pPr>
        <w:pStyle w:val="3"/>
        <w:keepNext w:val="0"/>
        <w:keepLines w:val="0"/>
        <w:widowControl/>
        <w:suppressLineNumbers w:val="0"/>
      </w:pPr>
      <w:r>
        <w:t xml:space="preserve">3. </w:t>
      </w:r>
      <w:r>
        <w:rPr>
          <w:rStyle w:val="19"/>
          <w:b/>
          <w:bCs/>
        </w:rPr>
        <w:t>Data Analysis</w:t>
      </w:r>
    </w:p>
    <w:p w14:paraId="1E06C9A2">
      <w:pPr>
        <w:keepNext w:val="0"/>
        <w:keepLines w:val="0"/>
        <w:widowControl/>
        <w:numPr>
          <w:ilvl w:val="0"/>
          <w:numId w:val="4"/>
        </w:numPr>
        <w:suppressLineNumbers w:val="0"/>
        <w:spacing w:before="0" w:beforeAutospacing="1" w:after="0" w:afterAutospacing="1"/>
        <w:ind w:left="720" w:hanging="360"/>
      </w:pPr>
      <w:r>
        <w:t>What does the Odds Ratio mean in this study, and how does the value of 8 indicate the relationship between maternal anemia and stunting in children?</w:t>
      </w:r>
    </w:p>
    <w:p w14:paraId="68B339CE">
      <w:pPr>
        <w:keepNext w:val="0"/>
        <w:keepLines w:val="0"/>
        <w:widowControl/>
        <w:numPr>
          <w:ilvl w:val="0"/>
          <w:numId w:val="4"/>
        </w:numPr>
        <w:suppressLineNumbers w:val="0"/>
        <w:spacing w:before="0" w:beforeAutospacing="1" w:after="0" w:afterAutospacing="1"/>
        <w:ind w:left="720" w:hanging="360"/>
      </w:pPr>
      <w:r>
        <w:t>How does the P-value (0.002) in the statistical analysis provide information about the strength of the relationship between maternal anemia and stunting in toddlers?</w:t>
      </w:r>
    </w:p>
    <w:p w14:paraId="0EEFA0D4">
      <w:pPr>
        <w:keepNext w:val="0"/>
        <w:keepLines w:val="0"/>
        <w:widowControl/>
        <w:numPr>
          <w:ilvl w:val="0"/>
          <w:numId w:val="4"/>
        </w:numPr>
        <w:suppressLineNumbers w:val="0"/>
        <w:spacing w:before="0" w:beforeAutospacing="1" w:after="0" w:afterAutospacing="1"/>
        <w:ind w:left="720" w:hanging="360"/>
      </w:pPr>
      <w:r>
        <w:t>Are there any other factors that could influence the results, and how did the researchers control for them in their analysis?</w:t>
      </w:r>
    </w:p>
    <w:p w14:paraId="2CB5CC2C">
      <w:pPr>
        <w:pStyle w:val="3"/>
        <w:keepNext w:val="0"/>
        <w:keepLines w:val="0"/>
        <w:widowControl/>
        <w:suppressLineNumbers w:val="0"/>
      </w:pPr>
      <w:r>
        <w:t xml:space="preserve">4. </w:t>
      </w:r>
      <w:r>
        <w:rPr>
          <w:rStyle w:val="19"/>
          <w:b/>
          <w:bCs/>
        </w:rPr>
        <w:t>Results and Discussion</w:t>
      </w:r>
    </w:p>
    <w:p w14:paraId="7224FE90">
      <w:pPr>
        <w:keepNext w:val="0"/>
        <w:keepLines w:val="0"/>
        <w:widowControl/>
        <w:numPr>
          <w:ilvl w:val="0"/>
          <w:numId w:val="5"/>
        </w:numPr>
        <w:suppressLineNumbers w:val="0"/>
        <w:spacing w:before="0" w:beforeAutospacing="1" w:after="0" w:afterAutospacing="1"/>
        <w:ind w:left="720" w:hanging="360"/>
      </w:pPr>
      <w:r>
        <w:t>How do the researchers explain the results, particularly the high incidence of stunting in toddlers born to mothers with a history of anemia? What factors are considered relevant?</w:t>
      </w:r>
    </w:p>
    <w:p w14:paraId="2BACE2E1">
      <w:pPr>
        <w:keepNext w:val="0"/>
        <w:keepLines w:val="0"/>
        <w:widowControl/>
        <w:numPr>
          <w:ilvl w:val="0"/>
          <w:numId w:val="5"/>
        </w:numPr>
        <w:suppressLineNumbers w:val="0"/>
        <w:spacing w:before="0" w:beforeAutospacing="1" w:after="0" w:afterAutospacing="1"/>
        <w:ind w:left="720" w:hanging="360"/>
      </w:pPr>
      <w:r>
        <w:t>Is the result of this study consistent with previous studies on the relationship between maternal anemia during pregnancy and stunting in children?</w:t>
      </w:r>
    </w:p>
    <w:p w14:paraId="6A0EF605">
      <w:pPr>
        <w:keepNext w:val="0"/>
        <w:keepLines w:val="0"/>
        <w:widowControl/>
        <w:numPr>
          <w:ilvl w:val="0"/>
          <w:numId w:val="5"/>
        </w:numPr>
        <w:suppressLineNumbers w:val="0"/>
        <w:spacing w:before="0" w:beforeAutospacing="1" w:after="0" w:afterAutospacing="1"/>
        <w:ind w:left="720" w:hanging="360"/>
      </w:pPr>
      <w:r>
        <w:t>Are there any recommendations or healthcare policies derived from these findings that could reduce the incidence of stunting in the region?</w:t>
      </w:r>
    </w:p>
    <w:p w14:paraId="30099DD2">
      <w:pPr>
        <w:pStyle w:val="3"/>
        <w:keepNext w:val="0"/>
        <w:keepLines w:val="0"/>
        <w:widowControl/>
        <w:suppressLineNumbers w:val="0"/>
      </w:pPr>
      <w:r>
        <w:t xml:space="preserve">5. </w:t>
      </w:r>
      <w:r>
        <w:rPr>
          <w:rStyle w:val="19"/>
          <w:b/>
          <w:bCs/>
        </w:rPr>
        <w:t>Conclusion and References</w:t>
      </w:r>
    </w:p>
    <w:p w14:paraId="7EE1F716">
      <w:pPr>
        <w:keepNext w:val="0"/>
        <w:keepLines w:val="0"/>
        <w:widowControl/>
        <w:numPr>
          <w:ilvl w:val="0"/>
          <w:numId w:val="6"/>
        </w:numPr>
        <w:suppressLineNumbers w:val="0"/>
        <w:spacing w:before="0" w:beforeAutospacing="1" w:after="0" w:afterAutospacing="1"/>
        <w:ind w:left="720" w:hanging="360"/>
      </w:pPr>
      <w:r>
        <w:t>What are the key conclusions that can be drawn from this study? Are there any suggestions or recommendations for public health policies or practices?</w:t>
      </w:r>
    </w:p>
    <w:p w14:paraId="50EBC7AA">
      <w:pPr>
        <w:keepNext w:val="0"/>
        <w:keepLines w:val="0"/>
        <w:widowControl/>
        <w:numPr>
          <w:ilvl w:val="0"/>
          <w:numId w:val="6"/>
        </w:numPr>
        <w:suppressLineNumbers w:val="0"/>
        <w:spacing w:before="0" w:beforeAutospacing="1" w:after="0" w:afterAutospacing="1"/>
        <w:ind w:left="720" w:hanging="360"/>
      </w:pPr>
      <w:r>
        <w:t>How did the researchers link their findings to existing literature? Were the references used relevant and supportive of the results found in this study?</w:t>
      </w:r>
    </w:p>
    <w:p w14:paraId="5733FC90">
      <w:pPr>
        <w:keepNext w:val="0"/>
        <w:keepLines w:val="0"/>
        <w:widowControl/>
        <w:numPr>
          <w:ilvl w:val="0"/>
          <w:numId w:val="6"/>
        </w:numPr>
        <w:suppressLineNumbers w:val="0"/>
        <w:spacing w:before="0" w:beforeAutospacing="1" w:after="0" w:afterAutospacing="1"/>
        <w:ind w:left="720" w:hanging="360"/>
      </w:pPr>
      <w:r>
        <w:t>Are there any shortcomings in the references used, such as the absence of more recent studies or a lack of relevance?</w:t>
      </w:r>
    </w:p>
    <w:p w14:paraId="44D5AFEE">
      <w:pPr>
        <w:pStyle w:val="11"/>
      </w:pP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D5AF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6ADC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28543">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2D18D">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1763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B87B">
    <w:pPr>
      <w:pStyle w:val="15"/>
    </w:pPr>
    <w:r>
      <w:pict>
        <v:shape id="PowerPlusWaterMarkObject443473877"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21578">
    <w:pPr>
      <w:pStyle w:val="15"/>
    </w:pPr>
    <w:r>
      <w:pict>
        <v:shape id="PowerPlusWaterMarkObject443473876"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87B0E">
    <w:pPr>
      <w:ind w:left="2160"/>
      <w:jc w:val="center"/>
      <w:rPr>
        <w:rFonts w:ascii="Times New Roman" w:hAnsi="Times New Roman" w:eastAsia="Calibri"/>
        <w:i/>
        <w:sz w:val="18"/>
        <w:szCs w:val="22"/>
      </w:rPr>
    </w:pPr>
    <w:r>
      <w:pict>
        <v:shape id="PowerPlusWaterMarkObject443473875"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1C8592F1">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4B62ECA2">
    <w:pPr>
      <w:jc w:val="center"/>
      <w:rPr>
        <w:rFonts w:ascii="Times New Roman" w:hAnsi="Times New Roman" w:eastAsia="Calibri"/>
        <w:i/>
        <w:sz w:val="18"/>
        <w:szCs w:val="22"/>
      </w:rPr>
    </w:pPr>
    <w:r>
      <w:rPr>
        <w:rFonts w:ascii="Times New Roman" w:hAnsi="Times New Roman" w:eastAsia="Calibri"/>
        <w:i/>
        <w:sz w:val="18"/>
        <w:szCs w:val="22"/>
      </w:rPr>
      <w:t>.</w:t>
    </w:r>
  </w:p>
  <w:p w14:paraId="2D1CEED3">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4A02E4AD">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6C0B9A62">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142EA421">
    <w:pPr>
      <w:pStyle w:val="15"/>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A2A81">
    <w:pPr>
      <w:pStyle w:val="15"/>
    </w:pPr>
    <w:r>
      <w:pict>
        <v:shape id="PowerPlusWaterMarkObject443473880"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44A00">
    <w:pPr>
      <w:pStyle w:val="15"/>
    </w:pPr>
    <w:r>
      <w:pict>
        <v:shape id="PowerPlusWaterMarkObject443473879"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F92D">
    <w:pPr>
      <w:pStyle w:val="15"/>
    </w:pPr>
    <w:r>
      <w:pict>
        <v:shape id="PowerPlusWaterMarkObject443473878"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A40B1"/>
    <w:multiLevelType w:val="multilevel"/>
    <w:tmpl w:val="845A40B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CD764E0"/>
    <w:multiLevelType w:val="multilevel"/>
    <w:tmpl w:val="ACD764E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2383220"/>
    <w:multiLevelType w:val="multilevel"/>
    <w:tmpl w:val="323832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35577797"/>
    <w:multiLevelType w:val="multilevel"/>
    <w:tmpl w:val="355777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832C7BC"/>
    <w:multiLevelType w:val="multilevel"/>
    <w:tmpl w:val="3832C7B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3C41429A"/>
    <w:multiLevelType w:val="multilevel"/>
    <w:tmpl w:val="3C41429A"/>
    <w:lvl w:ilvl="0" w:tentative="0">
      <w:start w:val="1"/>
      <w:numFmt w:val="decimal"/>
      <w:lvlText w:val="%1."/>
      <w:lvlJc w:val="left"/>
      <w:pPr>
        <w:ind w:left="720" w:hanging="360"/>
      </w:pPr>
    </w:lvl>
    <w:lvl w:ilvl="1" w:tentative="0">
      <w:start w:val="5"/>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6">
    <w:nsid w:val="66386899"/>
    <w:multiLevelType w:val="multilevel"/>
    <w:tmpl w:val="6638689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7152198D"/>
    <w:multiLevelType w:val="multilevel"/>
    <w:tmpl w:val="7152198D"/>
    <w:lvl w:ilvl="0" w:tentative="0">
      <w:start w:val="1"/>
      <w:numFmt w:val="decimal"/>
      <w:lvlText w:val="%1."/>
      <w:lvlJc w:val="lef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71604DCD"/>
    <w:multiLevelType w:val="singleLevel"/>
    <w:tmpl w:val="71604DCD"/>
    <w:lvl w:ilvl="0" w:tentative="0">
      <w:start w:val="1"/>
      <w:numFmt w:val="decimal"/>
      <w:pStyle w:val="35"/>
      <w:lvlText w:val="%1."/>
      <w:lvlJc w:val="left"/>
      <w:pPr>
        <w:tabs>
          <w:tab w:val="left" w:pos="360"/>
        </w:tabs>
        <w:ind w:left="360" w:hanging="360"/>
      </w:pPr>
    </w:lvl>
  </w:abstractNum>
  <w:abstractNum w:abstractNumId="9">
    <w:nsid w:val="7A1540D3"/>
    <w:multiLevelType w:val="multilevel"/>
    <w:tmpl w:val="7A1540D3"/>
    <w:lvl w:ilvl="0" w:tentative="0">
      <w:start w:val="2"/>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8"/>
  </w:num>
  <w:num w:numId="2">
    <w:abstractNumId w:val="4"/>
  </w:num>
  <w:num w:numId="3">
    <w:abstractNumId w:val="1"/>
  </w:num>
  <w:num w:numId="4">
    <w:abstractNumId w:val="0"/>
  </w:num>
  <w:num w:numId="5">
    <w:abstractNumId w:val="6"/>
  </w:num>
  <w:num w:numId="6">
    <w:abstractNumId w:val="2"/>
  </w:num>
  <w:num w:numId="7">
    <w:abstractNumId w:val="7"/>
  </w:num>
  <w:num w:numId="8">
    <w:abstractNumId w:val="5"/>
  </w:num>
  <w:num w:numId="9">
    <w:abstractNumId w:val="9"/>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udy Hartono">
    <w15:presenceInfo w15:providerId="WPS Office" w15:userId="2290558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75497"/>
    <w:rsid w:val="000A3636"/>
    <w:rsid w:val="000A47FA"/>
    <w:rsid w:val="000A65D3"/>
    <w:rsid w:val="000B1E33"/>
    <w:rsid w:val="000B2DB1"/>
    <w:rsid w:val="000D430B"/>
    <w:rsid w:val="000D689F"/>
    <w:rsid w:val="000E7B7B"/>
    <w:rsid w:val="000E7D62"/>
    <w:rsid w:val="00103357"/>
    <w:rsid w:val="00104DFF"/>
    <w:rsid w:val="00123C9F"/>
    <w:rsid w:val="00126190"/>
    <w:rsid w:val="00130F17"/>
    <w:rsid w:val="001320BF"/>
    <w:rsid w:val="001405E9"/>
    <w:rsid w:val="00163BC4"/>
    <w:rsid w:val="00191062"/>
    <w:rsid w:val="00192B72"/>
    <w:rsid w:val="001A29D8"/>
    <w:rsid w:val="001A5CAA"/>
    <w:rsid w:val="001A6702"/>
    <w:rsid w:val="001B0427"/>
    <w:rsid w:val="001D3A51"/>
    <w:rsid w:val="001E10D2"/>
    <w:rsid w:val="001E25B4"/>
    <w:rsid w:val="001E44FE"/>
    <w:rsid w:val="00200595"/>
    <w:rsid w:val="00204835"/>
    <w:rsid w:val="00231920"/>
    <w:rsid w:val="0023195C"/>
    <w:rsid w:val="00234C64"/>
    <w:rsid w:val="0024282C"/>
    <w:rsid w:val="002460DC"/>
    <w:rsid w:val="00250985"/>
    <w:rsid w:val="002556F6"/>
    <w:rsid w:val="00283105"/>
    <w:rsid w:val="00284C4C"/>
    <w:rsid w:val="00287E68"/>
    <w:rsid w:val="00296529"/>
    <w:rsid w:val="002B27FB"/>
    <w:rsid w:val="002B685A"/>
    <w:rsid w:val="002C57D2"/>
    <w:rsid w:val="002E0D56"/>
    <w:rsid w:val="002E223B"/>
    <w:rsid w:val="00315186"/>
    <w:rsid w:val="0033343E"/>
    <w:rsid w:val="003512C2"/>
    <w:rsid w:val="00371FB6"/>
    <w:rsid w:val="003763C1"/>
    <w:rsid w:val="00376BBE"/>
    <w:rsid w:val="00382E30"/>
    <w:rsid w:val="0039224F"/>
    <w:rsid w:val="003A43A4"/>
    <w:rsid w:val="003A7E18"/>
    <w:rsid w:val="003C4C86"/>
    <w:rsid w:val="003C6258"/>
    <w:rsid w:val="003E2904"/>
    <w:rsid w:val="00401927"/>
    <w:rsid w:val="0041027F"/>
    <w:rsid w:val="00412475"/>
    <w:rsid w:val="00423789"/>
    <w:rsid w:val="0042715E"/>
    <w:rsid w:val="00440F43"/>
    <w:rsid w:val="00441B6F"/>
    <w:rsid w:val="00446221"/>
    <w:rsid w:val="004476E6"/>
    <w:rsid w:val="00450E62"/>
    <w:rsid w:val="004539DB"/>
    <w:rsid w:val="00454B9F"/>
    <w:rsid w:val="00471A80"/>
    <w:rsid w:val="004969F4"/>
    <w:rsid w:val="004D305E"/>
    <w:rsid w:val="004D4277"/>
    <w:rsid w:val="004F24DC"/>
    <w:rsid w:val="00502516"/>
    <w:rsid w:val="00505F06"/>
    <w:rsid w:val="00506828"/>
    <w:rsid w:val="00514E40"/>
    <w:rsid w:val="0053056E"/>
    <w:rsid w:val="00554FDA"/>
    <w:rsid w:val="005A2A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226"/>
    <w:rsid w:val="006967F7"/>
    <w:rsid w:val="006A250C"/>
    <w:rsid w:val="006B21D3"/>
    <w:rsid w:val="006B57D0"/>
    <w:rsid w:val="006D30FF"/>
    <w:rsid w:val="006D6940"/>
    <w:rsid w:val="006F11EC"/>
    <w:rsid w:val="0070082C"/>
    <w:rsid w:val="007369E6"/>
    <w:rsid w:val="00746E59"/>
    <w:rsid w:val="00754C9A"/>
    <w:rsid w:val="0075599A"/>
    <w:rsid w:val="00760A48"/>
    <w:rsid w:val="00761D52"/>
    <w:rsid w:val="0077749E"/>
    <w:rsid w:val="00790ADA"/>
    <w:rsid w:val="007C1960"/>
    <w:rsid w:val="007D2288"/>
    <w:rsid w:val="007E088F"/>
    <w:rsid w:val="007F641C"/>
    <w:rsid w:val="007F7B32"/>
    <w:rsid w:val="00804BC2"/>
    <w:rsid w:val="0081431A"/>
    <w:rsid w:val="0083216F"/>
    <w:rsid w:val="00860000"/>
    <w:rsid w:val="00863BD3"/>
    <w:rsid w:val="008641ED"/>
    <w:rsid w:val="00866D66"/>
    <w:rsid w:val="008671C6"/>
    <w:rsid w:val="00875803"/>
    <w:rsid w:val="008B459E"/>
    <w:rsid w:val="008E01C8"/>
    <w:rsid w:val="008E13AE"/>
    <w:rsid w:val="008E1506"/>
    <w:rsid w:val="008E710C"/>
    <w:rsid w:val="008F69D6"/>
    <w:rsid w:val="00902823"/>
    <w:rsid w:val="00915CA6"/>
    <w:rsid w:val="00927834"/>
    <w:rsid w:val="009500A6"/>
    <w:rsid w:val="00956AFE"/>
    <w:rsid w:val="00957C18"/>
    <w:rsid w:val="009659BA"/>
    <w:rsid w:val="00983040"/>
    <w:rsid w:val="009A0076"/>
    <w:rsid w:val="009B3FB9"/>
    <w:rsid w:val="009C168B"/>
    <w:rsid w:val="009C2465"/>
    <w:rsid w:val="009D35A0"/>
    <w:rsid w:val="009D7EB7"/>
    <w:rsid w:val="009E048A"/>
    <w:rsid w:val="009E08E9"/>
    <w:rsid w:val="009E3DB9"/>
    <w:rsid w:val="009E6E35"/>
    <w:rsid w:val="009F0EDA"/>
    <w:rsid w:val="00A003E9"/>
    <w:rsid w:val="00A03B96"/>
    <w:rsid w:val="00A03FB8"/>
    <w:rsid w:val="00A05B19"/>
    <w:rsid w:val="00A06756"/>
    <w:rsid w:val="00A1134E"/>
    <w:rsid w:val="00A21134"/>
    <w:rsid w:val="00A24E7E"/>
    <w:rsid w:val="00A258C3"/>
    <w:rsid w:val="00A347C0"/>
    <w:rsid w:val="00A51431"/>
    <w:rsid w:val="00A539AD"/>
    <w:rsid w:val="00A76B4C"/>
    <w:rsid w:val="00A94063"/>
    <w:rsid w:val="00AA6219"/>
    <w:rsid w:val="00AA74E0"/>
    <w:rsid w:val="00AB703F"/>
    <w:rsid w:val="00AC6BB8"/>
    <w:rsid w:val="00AD113B"/>
    <w:rsid w:val="00AE008F"/>
    <w:rsid w:val="00B01FCD"/>
    <w:rsid w:val="00B1776C"/>
    <w:rsid w:val="00B52583"/>
    <w:rsid w:val="00B52896"/>
    <w:rsid w:val="00B77FF5"/>
    <w:rsid w:val="00B95236"/>
    <w:rsid w:val="00B96BD9"/>
    <w:rsid w:val="00BA1B01"/>
    <w:rsid w:val="00BA2641"/>
    <w:rsid w:val="00BB37AA"/>
    <w:rsid w:val="00BC1EE9"/>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3936"/>
    <w:rsid w:val="00CE793C"/>
    <w:rsid w:val="00CF193C"/>
    <w:rsid w:val="00D16EA3"/>
    <w:rsid w:val="00D173F1"/>
    <w:rsid w:val="00D21E63"/>
    <w:rsid w:val="00D31AED"/>
    <w:rsid w:val="00D47927"/>
    <w:rsid w:val="00D74CB0"/>
    <w:rsid w:val="00D8295D"/>
    <w:rsid w:val="00DA42BD"/>
    <w:rsid w:val="00DB491D"/>
    <w:rsid w:val="00DC2A65"/>
    <w:rsid w:val="00DC69EB"/>
    <w:rsid w:val="00DE15F0"/>
    <w:rsid w:val="00DE5663"/>
    <w:rsid w:val="00DE78AA"/>
    <w:rsid w:val="00E053D0"/>
    <w:rsid w:val="00E13476"/>
    <w:rsid w:val="00E15994"/>
    <w:rsid w:val="00E3114E"/>
    <w:rsid w:val="00E31A70"/>
    <w:rsid w:val="00E35B02"/>
    <w:rsid w:val="00E66496"/>
    <w:rsid w:val="00E66B35"/>
    <w:rsid w:val="00E66E10"/>
    <w:rsid w:val="00E769F6"/>
    <w:rsid w:val="00E83C26"/>
    <w:rsid w:val="00E8407C"/>
    <w:rsid w:val="00E84F3C"/>
    <w:rsid w:val="00E852AF"/>
    <w:rsid w:val="00EA012C"/>
    <w:rsid w:val="00EC6A55"/>
    <w:rsid w:val="00ED0288"/>
    <w:rsid w:val="00EE52CB"/>
    <w:rsid w:val="00EF581D"/>
    <w:rsid w:val="00EF7FD8"/>
    <w:rsid w:val="00F06F59"/>
    <w:rsid w:val="00F17988"/>
    <w:rsid w:val="00F438DB"/>
    <w:rsid w:val="00F469F0"/>
    <w:rsid w:val="00F53273"/>
    <w:rsid w:val="00F755E4"/>
    <w:rsid w:val="00F77D02"/>
    <w:rsid w:val="00F84FD0"/>
    <w:rsid w:val="00FA658B"/>
    <w:rsid w:val="00FB3A86"/>
    <w:rsid w:val="00FD36C8"/>
    <w:rsid w:val="6A612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63"/>
    <w:uiPriority w:val="0"/>
    <w:rPr>
      <w:rFonts w:ascii="Tahoma" w:hAnsi="Tahoma" w:cs="Tahoma"/>
      <w:sz w:val="16"/>
      <w:szCs w:val="16"/>
    </w:rPr>
  </w:style>
  <w:style w:type="paragraph" w:styleId="7">
    <w:name w:val="Body Text"/>
    <w:basedOn w:val="1"/>
    <w:link w:val="66"/>
    <w:semiHidden/>
    <w:unhideWhenUsed/>
    <w:qFormat/>
    <w:uiPriority w:val="0"/>
    <w:pPr>
      <w:spacing w:after="120"/>
    </w:pPr>
  </w:style>
  <w:style w:type="paragraph" w:styleId="8">
    <w:name w:val="Body Text 2"/>
    <w:basedOn w:val="1"/>
    <w:link w:val="61"/>
    <w:uiPriority w:val="0"/>
    <w:pPr>
      <w:spacing w:after="120" w:line="480" w:lineRule="auto"/>
    </w:pPr>
  </w:style>
  <w:style w:type="paragraph" w:styleId="9">
    <w:name w:val="Body Text 3"/>
    <w:basedOn w:val="1"/>
    <w:link w:val="64"/>
    <w:qFormat/>
    <w:uiPriority w:val="0"/>
    <w:pPr>
      <w:spacing w:after="120"/>
    </w:pPr>
    <w:rPr>
      <w:sz w:val="16"/>
      <w:szCs w:val="16"/>
    </w:rPr>
  </w:style>
  <w:style w:type="character" w:styleId="10">
    <w:name w:val="annotation reference"/>
    <w:basedOn w:val="4"/>
    <w:unhideWhenUsed/>
    <w:uiPriority w:val="99"/>
    <w:rPr>
      <w:sz w:val="16"/>
      <w:szCs w:val="16"/>
    </w:rPr>
  </w:style>
  <w:style w:type="paragraph" w:styleId="11">
    <w:name w:val="annotation text"/>
    <w:basedOn w:val="1"/>
    <w:link w:val="62"/>
    <w:unhideWhenUsed/>
    <w:qFormat/>
    <w:uiPriority w:val="99"/>
    <w:rPr>
      <w:rFonts w:ascii="Times New Roman" w:hAnsi="Times New Roman"/>
      <w:lang w:val="nb-NO" w:eastAsia="nb-NO"/>
    </w:rPr>
  </w:style>
  <w:style w:type="character" w:styleId="12">
    <w:name w:val="Emphasis"/>
    <w:basedOn w:val="4"/>
    <w:qFormat/>
    <w:uiPriority w:val="20"/>
    <w:rPr>
      <w:i/>
      <w:iCs/>
    </w:rPr>
  </w:style>
  <w:style w:type="character" w:styleId="13">
    <w:name w:val="FollowedHyperlink"/>
    <w:basedOn w:val="4"/>
    <w:qFormat/>
    <w:uiPriority w:val="0"/>
    <w:rPr>
      <w:color w:val="800080"/>
      <w:u w:val="single"/>
    </w:rPr>
  </w:style>
  <w:style w:type="paragraph" w:styleId="14">
    <w:name w:val="footer"/>
    <w:basedOn w:val="1"/>
    <w:qFormat/>
    <w:uiPriority w:val="0"/>
    <w:pPr>
      <w:tabs>
        <w:tab w:val="center" w:pos="4320"/>
        <w:tab w:val="right" w:pos="8640"/>
      </w:tabs>
    </w:pPr>
  </w:style>
  <w:style w:type="paragraph" w:styleId="15">
    <w:name w:val="header"/>
    <w:basedOn w:val="1"/>
    <w:qFormat/>
    <w:uiPriority w:val="0"/>
    <w:pPr>
      <w:tabs>
        <w:tab w:val="center" w:pos="4320"/>
        <w:tab w:val="right" w:pos="8640"/>
      </w:tabs>
    </w:pPr>
  </w:style>
  <w:style w:type="character" w:styleId="16">
    <w:name w:val="Hyperlink"/>
    <w:basedOn w:val="4"/>
    <w:uiPriority w:val="0"/>
    <w:rPr>
      <w:color w:val="FF0080"/>
      <w:u w:val="single"/>
    </w:rPr>
  </w:style>
  <w:style w:type="character" w:styleId="17">
    <w:name w:val="line number"/>
    <w:basedOn w:val="4"/>
    <w:uiPriority w:val="0"/>
  </w:style>
  <w:style w:type="paragraph" w:styleId="18">
    <w:name w:val="Signature"/>
    <w:basedOn w:val="1"/>
    <w:uiPriority w:val="0"/>
    <w:pPr>
      <w:ind w:left="4320"/>
    </w:pPr>
  </w:style>
  <w:style w:type="character" w:styleId="19">
    <w:name w:val="Strong"/>
    <w:basedOn w:val="4"/>
    <w:qFormat/>
    <w:uiPriority w:val="0"/>
    <w:rPr>
      <w:b/>
      <w:bCs/>
    </w:rPr>
  </w:style>
  <w:style w:type="table" w:styleId="20">
    <w:name w:val="Table Grid"/>
    <w:basedOn w:val="5"/>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1">
    <w:name w:val="Title"/>
    <w:basedOn w:val="1"/>
    <w:qFormat/>
    <w:uiPriority w:val="0"/>
    <w:pPr>
      <w:spacing w:after="360"/>
      <w:jc w:val="right"/>
    </w:pPr>
    <w:rPr>
      <w:b/>
      <w:kern w:val="28"/>
      <w:sz w:val="36"/>
    </w:rPr>
  </w:style>
  <w:style w:type="paragraph" w:customStyle="1" w:styleId="22">
    <w:name w:val="Author"/>
    <w:basedOn w:val="1"/>
    <w:uiPriority w:val="0"/>
    <w:pPr>
      <w:spacing w:line="280" w:lineRule="exact"/>
      <w:jc w:val="right"/>
    </w:pPr>
    <w:rPr>
      <w:b/>
      <w:sz w:val="24"/>
    </w:rPr>
  </w:style>
  <w:style w:type="paragraph" w:customStyle="1" w:styleId="23">
    <w:name w:val="Affiliation"/>
    <w:basedOn w:val="1"/>
    <w:uiPriority w:val="0"/>
    <w:pPr>
      <w:spacing w:after="240" w:line="240" w:lineRule="exact"/>
      <w:jc w:val="right"/>
    </w:pPr>
  </w:style>
  <w:style w:type="paragraph" w:customStyle="1" w:styleId="24">
    <w:name w:val="Body"/>
    <w:basedOn w:val="1"/>
    <w:uiPriority w:val="0"/>
    <w:pPr>
      <w:spacing w:after="240"/>
      <w:jc w:val="both"/>
    </w:pPr>
  </w:style>
  <w:style w:type="paragraph" w:customStyle="1" w:styleId="25">
    <w:name w:val="Abst Head"/>
    <w:basedOn w:val="26"/>
    <w:qFormat/>
    <w:uiPriority w:val="0"/>
    <w:rPr>
      <w:sz w:val="22"/>
    </w:rPr>
  </w:style>
  <w:style w:type="paragraph" w:customStyle="1" w:styleId="26">
    <w:name w:val="Main Head"/>
    <w:basedOn w:val="1"/>
    <w:qFormat/>
    <w:uiPriority w:val="0"/>
    <w:pPr>
      <w:keepNext/>
      <w:spacing w:after="240"/>
    </w:pPr>
    <w:rPr>
      <w:b/>
      <w:caps/>
    </w:rPr>
  </w:style>
  <w:style w:type="paragraph" w:customStyle="1" w:styleId="27">
    <w:name w:val="Intro Head"/>
    <w:basedOn w:val="26"/>
    <w:qFormat/>
    <w:uiPriority w:val="0"/>
    <w:rPr>
      <w:sz w:val="22"/>
    </w:rPr>
  </w:style>
  <w:style w:type="paragraph" w:customStyle="1" w:styleId="28">
    <w:name w:val="Paper Number"/>
    <w:basedOn w:val="1"/>
    <w:uiPriority w:val="0"/>
    <w:pPr>
      <w:spacing w:after="280" w:line="280" w:lineRule="exact"/>
      <w:jc w:val="right"/>
    </w:pPr>
    <w:rPr>
      <w:b/>
      <w:sz w:val="28"/>
    </w:rPr>
  </w:style>
  <w:style w:type="paragraph" w:customStyle="1" w:styleId="29">
    <w:name w:val="Conc Head"/>
    <w:basedOn w:val="26"/>
    <w:uiPriority w:val="0"/>
    <w:rPr>
      <w:sz w:val="22"/>
    </w:rPr>
  </w:style>
  <w:style w:type="paragraph" w:customStyle="1" w:styleId="30">
    <w:name w:val="Ackn Head"/>
    <w:basedOn w:val="26"/>
    <w:qFormat/>
    <w:uiPriority w:val="0"/>
    <w:rPr>
      <w:sz w:val="22"/>
    </w:rPr>
  </w:style>
  <w:style w:type="paragraph" w:customStyle="1" w:styleId="31">
    <w:name w:val="Refer Head"/>
    <w:basedOn w:val="26"/>
    <w:qFormat/>
    <w:uiPriority w:val="0"/>
    <w:rPr>
      <w:sz w:val="22"/>
    </w:rPr>
  </w:style>
  <w:style w:type="paragraph" w:customStyle="1" w:styleId="32">
    <w:name w:val="AddSrc Head"/>
    <w:basedOn w:val="26"/>
    <w:qFormat/>
    <w:uiPriority w:val="0"/>
    <w:rPr>
      <w:sz w:val="22"/>
    </w:rPr>
  </w:style>
  <w:style w:type="paragraph" w:customStyle="1" w:styleId="33">
    <w:name w:val="DefAcrHead"/>
    <w:basedOn w:val="26"/>
    <w:qFormat/>
    <w:uiPriority w:val="0"/>
    <w:rPr>
      <w:sz w:val="22"/>
    </w:rPr>
  </w:style>
  <w:style w:type="paragraph" w:customStyle="1" w:styleId="34">
    <w:name w:val="Copyright"/>
    <w:basedOn w:val="1"/>
    <w:qFormat/>
    <w:uiPriority w:val="0"/>
    <w:pPr>
      <w:spacing w:after="960" w:line="200" w:lineRule="exact"/>
    </w:pPr>
    <w:rPr>
      <w:sz w:val="16"/>
    </w:rPr>
  </w:style>
  <w:style w:type="paragraph" w:customStyle="1" w:styleId="35">
    <w:name w:val="Reference"/>
    <w:basedOn w:val="24"/>
    <w:qFormat/>
    <w:uiPriority w:val="0"/>
    <w:pPr>
      <w:numPr>
        <w:ilvl w:val="0"/>
        <w:numId w:val="1"/>
      </w:numPr>
      <w:spacing w:after="0" w:line="240" w:lineRule="exact"/>
    </w:pPr>
  </w:style>
  <w:style w:type="paragraph" w:customStyle="1" w:styleId="36">
    <w:name w:val="Head1"/>
    <w:basedOn w:val="26"/>
    <w:qFormat/>
    <w:uiPriority w:val="0"/>
    <w:rPr>
      <w:sz w:val="22"/>
    </w:rPr>
  </w:style>
  <w:style w:type="paragraph" w:customStyle="1" w:styleId="37">
    <w:name w:val="Contact Head"/>
    <w:basedOn w:val="26"/>
    <w:qFormat/>
    <w:uiPriority w:val="0"/>
    <w:rPr>
      <w:sz w:val="22"/>
    </w:rPr>
  </w:style>
  <w:style w:type="paragraph" w:customStyle="1" w:styleId="38">
    <w:name w:val="Head3"/>
    <w:basedOn w:val="39"/>
    <w:qFormat/>
    <w:uiPriority w:val="0"/>
    <w:rPr>
      <w:caps w:val="0"/>
      <w:u w:val="single"/>
    </w:rPr>
  </w:style>
  <w:style w:type="paragraph" w:customStyle="1" w:styleId="39">
    <w:name w:val="Head2"/>
    <w:basedOn w:val="1"/>
    <w:next w:val="24"/>
    <w:qFormat/>
    <w:uiPriority w:val="0"/>
    <w:pPr>
      <w:keepNext/>
      <w:spacing w:after="240"/>
    </w:pPr>
    <w:rPr>
      <w:caps/>
    </w:rPr>
  </w:style>
  <w:style w:type="paragraph" w:customStyle="1" w:styleId="40">
    <w:name w:val="Head4"/>
    <w:basedOn w:val="38"/>
    <w:qFormat/>
    <w:uiPriority w:val="0"/>
    <w:rPr>
      <w:u w:val="none"/>
    </w:rPr>
  </w:style>
  <w:style w:type="paragraph" w:customStyle="1" w:styleId="41">
    <w:name w:val="Unord List"/>
    <w:basedOn w:val="24"/>
    <w:qFormat/>
    <w:uiPriority w:val="0"/>
    <w:pPr>
      <w:spacing w:after="0"/>
      <w:ind w:left="360" w:hanging="360"/>
    </w:pPr>
  </w:style>
  <w:style w:type="paragraph" w:customStyle="1" w:styleId="42">
    <w:name w:val="Ord List"/>
    <w:basedOn w:val="41"/>
    <w:qFormat/>
    <w:uiPriority w:val="0"/>
    <w:pPr>
      <w:jc w:val="left"/>
    </w:pPr>
  </w:style>
  <w:style w:type="paragraph" w:customStyle="1" w:styleId="43">
    <w:name w:val="Appendix"/>
    <w:basedOn w:val="26"/>
    <w:qFormat/>
    <w:uiPriority w:val="0"/>
    <w:rPr>
      <w:sz w:val="22"/>
    </w:rPr>
  </w:style>
  <w:style w:type="paragraph" w:customStyle="1" w:styleId="44">
    <w:name w:val="Term"/>
    <w:basedOn w:val="24"/>
    <w:qFormat/>
    <w:uiPriority w:val="0"/>
    <w:pPr>
      <w:spacing w:after="0"/>
    </w:pPr>
    <w:rPr>
      <w:b/>
    </w:rPr>
  </w:style>
  <w:style w:type="paragraph" w:customStyle="1" w:styleId="45">
    <w:name w:val="Definition"/>
    <w:basedOn w:val="24"/>
    <w:qFormat/>
    <w:uiPriority w:val="0"/>
  </w:style>
  <w:style w:type="character" w:customStyle="1" w:styleId="46">
    <w:name w:val="Bold"/>
    <w:qFormat/>
    <w:uiPriority w:val="0"/>
    <w:rPr>
      <w:b/>
    </w:rPr>
  </w:style>
  <w:style w:type="character" w:customStyle="1" w:styleId="47">
    <w:name w:val="Italic"/>
    <w:qFormat/>
    <w:uiPriority w:val="0"/>
    <w:rPr>
      <w:i/>
    </w:rPr>
  </w:style>
  <w:style w:type="character" w:customStyle="1" w:styleId="48">
    <w:name w:val="Underline"/>
    <w:qFormat/>
    <w:uiPriority w:val="0"/>
    <w:rPr>
      <w:u w:val="single"/>
    </w:rPr>
  </w:style>
  <w:style w:type="paragraph" w:customStyle="1" w:styleId="49">
    <w:name w:val="Equation"/>
    <w:basedOn w:val="24"/>
    <w:qFormat/>
    <w:uiPriority w:val="0"/>
  </w:style>
  <w:style w:type="paragraph" w:customStyle="1" w:styleId="50">
    <w:name w:val="Figure"/>
    <w:basedOn w:val="34"/>
    <w:qFormat/>
    <w:uiPriority w:val="0"/>
    <w:pPr>
      <w:spacing w:after="240"/>
    </w:pPr>
    <w:rPr>
      <w:sz w:val="20"/>
    </w:rPr>
  </w:style>
  <w:style w:type="paragraph" w:customStyle="1" w:styleId="51">
    <w:name w:val="Head 4"/>
    <w:basedOn w:val="38"/>
    <w:qFormat/>
    <w:uiPriority w:val="0"/>
    <w:rPr>
      <w:u w:val="none"/>
    </w:rPr>
  </w:style>
  <w:style w:type="paragraph" w:customStyle="1" w:styleId="52">
    <w:name w:val="Paper"/>
    <w:basedOn w:val="1"/>
    <w:qFormat/>
    <w:uiPriority w:val="0"/>
    <w:pPr>
      <w:spacing w:after="360" w:line="440" w:lineRule="exact"/>
      <w:jc w:val="right"/>
    </w:pPr>
    <w:rPr>
      <w:b/>
      <w:sz w:val="36"/>
    </w:rPr>
  </w:style>
  <w:style w:type="character" w:customStyle="1" w:styleId="53">
    <w:name w:val="Subscript"/>
    <w:uiPriority w:val="0"/>
    <w:rPr>
      <w:vertAlign w:val="subscript"/>
    </w:rPr>
  </w:style>
  <w:style w:type="character" w:customStyle="1" w:styleId="54">
    <w:name w:val="Superscript"/>
    <w:uiPriority w:val="0"/>
    <w:rPr>
      <w:vertAlign w:val="superscript"/>
    </w:rPr>
  </w:style>
  <w:style w:type="character" w:customStyle="1" w:styleId="55">
    <w:name w:val="Symbol"/>
    <w:qFormat/>
    <w:uiPriority w:val="0"/>
    <w:rPr>
      <w:rFonts w:ascii="Symbol" w:hAnsi="Symbol"/>
    </w:rPr>
  </w:style>
  <w:style w:type="paragraph" w:customStyle="1" w:styleId="56">
    <w:name w:val="Symbol P"/>
    <w:basedOn w:val="24"/>
    <w:uiPriority w:val="0"/>
    <w:pPr>
      <w:tabs>
        <w:tab w:val="left" w:pos="720"/>
        <w:tab w:val="left" w:pos="3780"/>
      </w:tabs>
      <w:spacing w:after="0"/>
    </w:pPr>
    <w:rPr>
      <w:sz w:val="24"/>
    </w:rPr>
  </w:style>
  <w:style w:type="character" w:customStyle="1" w:styleId="57">
    <w:name w:val="BoldItal"/>
    <w:basedOn w:val="4"/>
    <w:uiPriority w:val="0"/>
    <w:rPr>
      <w:b/>
      <w:i/>
    </w:rPr>
  </w:style>
  <w:style w:type="character" w:customStyle="1" w:styleId="58">
    <w:name w:val="SubItal"/>
    <w:qFormat/>
    <w:uiPriority w:val="0"/>
    <w:rPr>
      <w:i/>
      <w:vertAlign w:val="subscript"/>
    </w:rPr>
  </w:style>
  <w:style w:type="character" w:customStyle="1" w:styleId="59">
    <w:name w:val="SuperItal"/>
    <w:uiPriority w:val="0"/>
    <w:rPr>
      <w:i/>
      <w:vertAlign w:val="superscript"/>
    </w:rPr>
  </w:style>
  <w:style w:type="character" w:customStyle="1" w:styleId="60">
    <w:name w:val="SymItal"/>
    <w:qFormat/>
    <w:uiPriority w:val="0"/>
    <w:rPr>
      <w:rFonts w:ascii="Symbol" w:hAnsi="Symbol"/>
      <w:i/>
    </w:rPr>
  </w:style>
  <w:style w:type="character" w:customStyle="1" w:styleId="61">
    <w:name w:val="Body Text 2 Char"/>
    <w:basedOn w:val="4"/>
    <w:link w:val="8"/>
    <w:qFormat/>
    <w:uiPriority w:val="0"/>
    <w:rPr>
      <w:rFonts w:ascii="Helvetica" w:hAnsi="Helvetica"/>
    </w:rPr>
  </w:style>
  <w:style w:type="character" w:customStyle="1" w:styleId="62">
    <w:name w:val="Comment Text Char"/>
    <w:basedOn w:val="4"/>
    <w:link w:val="11"/>
    <w:qFormat/>
    <w:uiPriority w:val="99"/>
    <w:rPr>
      <w:lang w:val="nb-NO" w:eastAsia="nb-NO"/>
    </w:rPr>
  </w:style>
  <w:style w:type="character" w:customStyle="1" w:styleId="63">
    <w:name w:val="Balloon Text Char"/>
    <w:basedOn w:val="4"/>
    <w:link w:val="6"/>
    <w:qFormat/>
    <w:uiPriority w:val="0"/>
    <w:rPr>
      <w:rFonts w:ascii="Tahoma" w:hAnsi="Tahoma" w:cs="Tahoma"/>
      <w:sz w:val="16"/>
      <w:szCs w:val="16"/>
    </w:rPr>
  </w:style>
  <w:style w:type="character" w:customStyle="1" w:styleId="64">
    <w:name w:val="Body Text 3 Char"/>
    <w:basedOn w:val="4"/>
    <w:link w:val="9"/>
    <w:qFormat/>
    <w:uiPriority w:val="0"/>
    <w:rPr>
      <w:rFonts w:ascii="Helvetica" w:hAnsi="Helvetica"/>
      <w:sz w:val="16"/>
      <w:szCs w:val="16"/>
    </w:rPr>
  </w:style>
  <w:style w:type="character" w:customStyle="1" w:styleId="65">
    <w:name w:val="Unresolved Mention1"/>
    <w:basedOn w:val="4"/>
    <w:semiHidden/>
    <w:unhideWhenUsed/>
    <w:qFormat/>
    <w:uiPriority w:val="99"/>
    <w:rPr>
      <w:color w:val="605E5C"/>
      <w:shd w:val="clear" w:color="auto" w:fill="E1DFDD"/>
    </w:rPr>
  </w:style>
  <w:style w:type="character" w:customStyle="1" w:styleId="66">
    <w:name w:val="Body Text Char"/>
    <w:basedOn w:val="4"/>
    <w:link w:val="7"/>
    <w:semiHidden/>
    <w:uiPriority w:val="0"/>
    <w:rPr>
      <w:rFonts w:ascii="Helvetica" w:hAnsi="Helvetica"/>
    </w:rPr>
  </w:style>
  <w:style w:type="table" w:customStyle="1" w:styleId="67">
    <w:name w:val="Plain Table 2"/>
    <w:basedOn w:val="5"/>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68">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0E79AC-256B-49A9-BDCF-91A2357B1130}">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8</Pages>
  <Words>3522</Words>
  <Characters>20079</Characters>
  <Lines>167</Lines>
  <Paragraphs>47</Paragraphs>
  <TotalTime>21</TotalTime>
  <ScaleCrop>false</ScaleCrop>
  <LinksUpToDate>false</LinksUpToDate>
  <CharactersWithSpaces>23554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2025-02-16T07:59:00Z</dcterms:created>
  <dc:creator>SDI</dc:creator>
  <cp:lastModifiedBy>Rudy Hartono</cp:lastModifiedBy>
  <cp:lastPrinted>1999-07-06T11:00:00Z</cp:lastPrinted>
  <dcterms:modified xsi:type="dcterms:W3CDTF">2025-02-21T08:19:25Z</dcterms:modified>
  <dc:title>Paper Template</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026e6b3d3b3a2e27efdcc417cba8e409e69ab8d184616da73498caf116116707</vt:lpwstr>
  </property>
  <property fmtid="{D5CDD505-2E9C-101B-9397-08002B2CF9AE}" pid="3" name="KSOProductBuildVer">
    <vt:lpwstr>1033-12.2.0.19805</vt:lpwstr>
  </property>
  <property fmtid="{D5CDD505-2E9C-101B-9397-08002B2CF9AE}" pid="4" name="ICV">
    <vt:lpwstr>9ED0E2EC68404EB889B1597CDC8CA330_13</vt:lpwstr>
  </property>
</Properties>
</file>