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1F042" w14:textId="56617AF3" w:rsidR="00ED24C7" w:rsidRDefault="00ED24C7" w:rsidP="000C5EAE">
      <w:pPr>
        <w:pStyle w:val="Author"/>
        <w:spacing w:line="240" w:lineRule="auto"/>
        <w:rPr>
          <w:rFonts w:ascii="Arial" w:hAnsi="Arial" w:cs="Arial"/>
          <w:bCs/>
          <w:i/>
          <w:iCs/>
          <w:kern w:val="28"/>
          <w:sz w:val="36"/>
          <w:u w:val="single"/>
        </w:rPr>
      </w:pPr>
      <w:r w:rsidRPr="00ED24C7">
        <w:rPr>
          <w:rFonts w:ascii="Arial" w:hAnsi="Arial" w:cs="Arial"/>
          <w:bCs/>
          <w:i/>
          <w:iCs/>
          <w:kern w:val="28"/>
          <w:sz w:val="36"/>
          <w:u w:val="single"/>
        </w:rPr>
        <w:t>Original Research Article</w:t>
      </w:r>
    </w:p>
    <w:p w14:paraId="54297D14" w14:textId="77777777" w:rsidR="00ED24C7" w:rsidRDefault="00ED24C7" w:rsidP="000C5EAE">
      <w:pPr>
        <w:pStyle w:val="Author"/>
        <w:spacing w:line="240" w:lineRule="auto"/>
        <w:rPr>
          <w:rFonts w:ascii="Arial" w:hAnsi="Arial" w:cs="Arial"/>
          <w:bCs/>
          <w:iCs/>
          <w:kern w:val="28"/>
          <w:sz w:val="36"/>
          <w:lang w:val="en-IN"/>
        </w:rPr>
      </w:pPr>
    </w:p>
    <w:p w14:paraId="32B116E1" w14:textId="714AA3FC" w:rsidR="00012EFF" w:rsidRPr="00012EFF" w:rsidRDefault="00012EFF" w:rsidP="000C5EAE">
      <w:pPr>
        <w:pStyle w:val="Author"/>
        <w:spacing w:line="240" w:lineRule="auto"/>
        <w:rPr>
          <w:rFonts w:ascii="Arial" w:hAnsi="Arial" w:cs="Arial"/>
          <w:bCs/>
          <w:iCs/>
          <w:kern w:val="28"/>
          <w:sz w:val="36"/>
          <w:lang w:val="en-IN"/>
        </w:rPr>
      </w:pPr>
      <w:r w:rsidRPr="00012EFF">
        <w:rPr>
          <w:rFonts w:ascii="Arial" w:hAnsi="Arial" w:cs="Arial"/>
          <w:bCs/>
          <w:iCs/>
          <w:kern w:val="28"/>
          <w:sz w:val="36"/>
          <w:lang w:val="en-IN"/>
        </w:rPr>
        <w:t xml:space="preserve">Assessing the Impact of Simulated Water and Salinity Stress on the Physiological and Biochemical Characteristics of </w:t>
      </w:r>
      <w:proofErr w:type="spellStart"/>
      <w:r w:rsidRPr="00012EFF">
        <w:rPr>
          <w:rFonts w:ascii="Arial" w:hAnsi="Arial" w:cs="Arial"/>
          <w:bCs/>
          <w:i/>
          <w:iCs/>
          <w:kern w:val="28"/>
          <w:sz w:val="36"/>
          <w:lang w:val="en-IN"/>
        </w:rPr>
        <w:t>Bacopa</w:t>
      </w:r>
      <w:proofErr w:type="spellEnd"/>
      <w:r w:rsidRPr="00012EFF">
        <w:rPr>
          <w:rFonts w:ascii="Arial" w:hAnsi="Arial" w:cs="Arial"/>
          <w:bCs/>
          <w:i/>
          <w:iCs/>
          <w:kern w:val="28"/>
          <w:sz w:val="36"/>
          <w:lang w:val="en-IN"/>
        </w:rPr>
        <w:t xml:space="preserve"> </w:t>
      </w:r>
      <w:proofErr w:type="spellStart"/>
      <w:r w:rsidRPr="00012EFF">
        <w:rPr>
          <w:rFonts w:ascii="Arial" w:hAnsi="Arial" w:cs="Arial"/>
          <w:bCs/>
          <w:i/>
          <w:iCs/>
          <w:kern w:val="28"/>
          <w:sz w:val="36"/>
          <w:lang w:val="en-IN"/>
        </w:rPr>
        <w:t>monnieri</w:t>
      </w:r>
      <w:proofErr w:type="spellEnd"/>
      <w:r w:rsidRPr="00012EFF">
        <w:rPr>
          <w:rFonts w:ascii="Arial" w:hAnsi="Arial" w:cs="Arial"/>
          <w:bCs/>
          <w:iCs/>
          <w:kern w:val="28"/>
          <w:sz w:val="36"/>
          <w:lang w:val="en-IN"/>
        </w:rPr>
        <w:t xml:space="preserve"> (L.) </w:t>
      </w:r>
      <w:proofErr w:type="spellStart"/>
      <w:r w:rsidRPr="00012EFF">
        <w:rPr>
          <w:rFonts w:ascii="Arial" w:hAnsi="Arial" w:cs="Arial"/>
          <w:bCs/>
          <w:iCs/>
          <w:kern w:val="28"/>
          <w:sz w:val="36"/>
          <w:lang w:val="en-IN"/>
        </w:rPr>
        <w:t>Wettst</w:t>
      </w:r>
      <w:proofErr w:type="spellEnd"/>
      <w:r w:rsidRPr="00012EFF">
        <w:rPr>
          <w:rFonts w:ascii="Arial" w:hAnsi="Arial" w:cs="Arial"/>
          <w:bCs/>
          <w:iCs/>
          <w:kern w:val="28"/>
          <w:sz w:val="36"/>
          <w:lang w:val="en-IN"/>
        </w:rPr>
        <w:t>.</w:t>
      </w:r>
    </w:p>
    <w:p w14:paraId="4EC79340" w14:textId="77777777" w:rsidR="00A258C3" w:rsidRPr="00790ADA" w:rsidRDefault="00A258C3" w:rsidP="00441B6F">
      <w:pPr>
        <w:pStyle w:val="Author"/>
        <w:spacing w:line="240" w:lineRule="auto"/>
        <w:jc w:val="both"/>
        <w:rPr>
          <w:rFonts w:ascii="Arial" w:hAnsi="Arial" w:cs="Arial"/>
          <w:sz w:val="36"/>
        </w:rPr>
      </w:pPr>
    </w:p>
    <w:p w14:paraId="05769F18" w14:textId="77777777" w:rsidR="00790ADA" w:rsidRDefault="00790ADA" w:rsidP="00441B6F">
      <w:pPr>
        <w:pStyle w:val="Affiliation"/>
        <w:spacing w:after="0" w:line="240" w:lineRule="auto"/>
        <w:jc w:val="both"/>
        <w:rPr>
          <w:rFonts w:ascii="Arial" w:hAnsi="Arial" w:cs="Arial"/>
        </w:rPr>
      </w:pPr>
    </w:p>
    <w:p w14:paraId="32C212F1" w14:textId="77777777" w:rsidR="002C57D2" w:rsidRPr="00FB3A86" w:rsidRDefault="002C57D2" w:rsidP="00441B6F">
      <w:pPr>
        <w:pStyle w:val="Affiliation"/>
        <w:spacing w:after="0" w:line="240" w:lineRule="auto"/>
        <w:jc w:val="both"/>
        <w:rPr>
          <w:rFonts w:ascii="Arial" w:hAnsi="Arial" w:cs="Arial"/>
        </w:rPr>
      </w:pPr>
    </w:p>
    <w:p w14:paraId="5A5D7C5E" w14:textId="77777777" w:rsidR="00B01FCD" w:rsidRPr="00FB3A86" w:rsidRDefault="00194FF3" w:rsidP="00441B6F">
      <w:pPr>
        <w:pStyle w:val="Copyright"/>
        <w:spacing w:after="0" w:line="240" w:lineRule="auto"/>
        <w:jc w:val="both"/>
        <w:rPr>
          <w:rFonts w:ascii="Arial" w:hAnsi="Arial" w:cs="Arial"/>
        </w:rPr>
        <w:sectPr w:rsidR="00B01FCD" w:rsidRPr="00FB3A86" w:rsidSect="006D22C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IN" w:eastAsia="en-IN"/>
        </w:rPr>
        <mc:AlternateContent>
          <mc:Choice Requires="wps">
            <w:drawing>
              <wp:inline distT="0" distB="0" distL="0" distR="0" wp14:anchorId="245467ED" wp14:editId="5523A951">
                <wp:extent cx="5303520" cy="635"/>
                <wp:effectExtent l="0" t="0" r="11430" b="18415"/>
                <wp:docPr id="31976988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22A20C" id="_x0000_t32" coordsize="21600,21600" o:spt="32" o:oned="t" path="m,l21600,21600e" filled="f">
                <v:path arrowok="t" fillok="f" o:connecttype="none"/>
                <o:lock v:ext="edit" shapetype="t"/>
              </v:shapetype>
              <v:shape id="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" strokeweight="1.5pt">
                <o:lock v:ext="edit" shapetype="f"/>
                <w10:anchorlock/>
              </v:shape>
            </w:pict>
          </mc:Fallback>
        </mc:AlternateContent>
      </w:r>
      <w:r w:rsidR="00FB3A86">
        <w:rPr>
          <w:rFonts w:ascii="Arial" w:hAnsi="Arial" w:cs="Arial"/>
        </w:rPr>
        <w:t>.</w:t>
      </w:r>
    </w:p>
    <w:p w14:paraId="4F7913AA" w14:textId="77777777" w:rsidR="00B01FCD" w:rsidRDefault="00B01FCD" w:rsidP="00441B6F">
      <w:pPr>
        <w:pStyle w:val="AbstHead"/>
        <w:spacing w:after="0"/>
        <w:jc w:val="both"/>
        <w:rPr>
          <w:rFonts w:ascii="Arial" w:hAnsi="Arial" w:cs="Arial"/>
        </w:rPr>
      </w:pPr>
      <w:r w:rsidRPr="00FB3A86">
        <w:rPr>
          <w:rFonts w:ascii="Arial" w:hAnsi="Arial" w:cs="Arial"/>
        </w:rPr>
        <w:lastRenderedPageBreak/>
        <w:t>ABSTRACT</w:t>
      </w:r>
    </w:p>
    <w:p w14:paraId="72F441B6" w14:textId="77777777" w:rsidR="00790ADA" w:rsidRPr="00FB3A86" w:rsidRDefault="00790ADA" w:rsidP="00441B6F">
      <w:pPr>
        <w:pStyle w:val="AbstHead"/>
        <w:spacing w:after="0"/>
        <w:jc w:val="both"/>
        <w:rPr>
          <w:rFonts w:ascii="Arial" w:hAnsi="Arial" w:cs="Arial"/>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661A373A" w14:textId="77777777" w:rsidTr="00751DF9">
        <w:tc>
          <w:tcPr>
            <w:tcW w:w="9576" w:type="dxa"/>
            <w:shd w:val="clear" w:color="auto" w:fill="F2F2F2"/>
          </w:tcPr>
          <w:p w14:paraId="1F89E4F8" w14:textId="0B5D83DB" w:rsidR="00824213" w:rsidRDefault="003F0D96" w:rsidP="00824213">
            <w:pPr>
              <w:pStyle w:val="Body"/>
              <w:rPr>
                <w:rFonts w:ascii="Arial" w:eastAsia="Calibri" w:hAnsi="Arial" w:cs="Arial"/>
                <w:szCs w:val="22"/>
              </w:rPr>
            </w:pPr>
            <w:r>
              <w:rPr>
                <w:rFonts w:ascii="Arial" w:eastAsia="Calibri" w:hAnsi="Arial" w:cs="Arial"/>
                <w:b/>
                <w:szCs w:val="22"/>
              </w:rPr>
              <w:t>Introduction</w:t>
            </w:r>
            <w:r w:rsidR="00824213" w:rsidRPr="00824213">
              <w:rPr>
                <w:rFonts w:ascii="Arial" w:eastAsia="Calibri" w:hAnsi="Arial" w:cs="Arial"/>
                <w:b/>
                <w:szCs w:val="22"/>
              </w:rPr>
              <w:t xml:space="preserve">: </w:t>
            </w:r>
            <w:r w:rsidR="00824213" w:rsidRPr="00824213">
              <w:rPr>
                <w:rFonts w:ascii="Arial" w:eastAsia="Calibri" w:hAnsi="Arial" w:cs="Arial"/>
                <w:szCs w:val="22"/>
              </w:rPr>
              <w:t xml:space="preserve">The growth, development, and biosynthesis of secondary metabolites in the plant are strongly affected by environmental stress. The pharmaceutical values of medicinal herbs depend on the presence of secondary metabolites that are influenced by environmental stress. </w:t>
            </w:r>
            <w:r w:rsidR="003000BA" w:rsidRPr="003000BA">
              <w:rPr>
                <w:rFonts w:ascii="Arial" w:eastAsia="Calibri" w:hAnsi="Arial" w:cs="Arial"/>
                <w:szCs w:val="22"/>
                <w:highlight w:val="yellow"/>
              </w:rPr>
              <w:t>Drought and salinity stress are the two most significant abiotic factors that restrict plant growth and productivity</w:t>
            </w:r>
            <w:r w:rsidR="00824213" w:rsidRPr="00824213">
              <w:rPr>
                <w:rFonts w:ascii="Arial" w:eastAsia="Calibri" w:hAnsi="Arial" w:cs="Arial"/>
                <w:szCs w:val="22"/>
              </w:rPr>
              <w:t xml:space="preserve">. As a memory enhancer, anti-inflammatory, analgesic, antipyretic, sedative, and antiepileptic, </w:t>
            </w:r>
            <w:proofErr w:type="spellStart"/>
            <w:r w:rsidR="00824213" w:rsidRPr="00824213">
              <w:rPr>
                <w:rFonts w:ascii="Arial" w:eastAsia="Calibri" w:hAnsi="Arial" w:cs="Arial"/>
                <w:i/>
                <w:szCs w:val="22"/>
              </w:rPr>
              <w:t>Bacopa</w:t>
            </w:r>
            <w:proofErr w:type="spellEnd"/>
            <w:r w:rsidR="00824213" w:rsidRPr="00824213">
              <w:rPr>
                <w:rFonts w:ascii="Arial" w:eastAsia="Calibri" w:hAnsi="Arial" w:cs="Arial"/>
                <w:i/>
                <w:szCs w:val="22"/>
              </w:rPr>
              <w:t xml:space="preserve"> </w:t>
            </w:r>
            <w:proofErr w:type="spellStart"/>
            <w:r w:rsidR="00824213" w:rsidRPr="00824213">
              <w:rPr>
                <w:rFonts w:ascii="Arial" w:eastAsia="Calibri" w:hAnsi="Arial" w:cs="Arial"/>
                <w:i/>
                <w:szCs w:val="22"/>
              </w:rPr>
              <w:t>monnieri</w:t>
            </w:r>
            <w:proofErr w:type="spellEnd"/>
            <w:r w:rsidR="00824213" w:rsidRPr="00824213">
              <w:rPr>
                <w:rFonts w:ascii="Arial" w:eastAsia="Calibri" w:hAnsi="Arial" w:cs="Arial"/>
                <w:szCs w:val="22"/>
              </w:rPr>
              <w:t xml:space="preserve"> has been used for a long time. The </w:t>
            </w:r>
            <w:r w:rsidR="003000BA">
              <w:rPr>
                <w:rFonts w:ascii="Arial" w:eastAsia="Calibri" w:hAnsi="Arial" w:cs="Arial"/>
                <w:szCs w:val="22"/>
              </w:rPr>
              <w:t>present work aimed</w:t>
            </w:r>
            <w:r w:rsidR="00824213" w:rsidRPr="00824213">
              <w:rPr>
                <w:rFonts w:ascii="Arial" w:eastAsia="Calibri" w:hAnsi="Arial" w:cs="Arial"/>
                <w:szCs w:val="22"/>
              </w:rPr>
              <w:t xml:space="preserve"> to study the impact of simulated abiotic stress on </w:t>
            </w:r>
            <w:proofErr w:type="spellStart"/>
            <w:r w:rsidR="00824213" w:rsidRPr="00824213">
              <w:rPr>
                <w:rFonts w:ascii="Arial" w:eastAsia="Calibri" w:hAnsi="Arial" w:cs="Arial"/>
                <w:i/>
                <w:szCs w:val="22"/>
              </w:rPr>
              <w:t>Bacopa</w:t>
            </w:r>
            <w:proofErr w:type="spellEnd"/>
            <w:r w:rsidR="00824213" w:rsidRPr="00824213">
              <w:rPr>
                <w:rFonts w:ascii="Arial" w:eastAsia="Calibri" w:hAnsi="Arial" w:cs="Arial"/>
                <w:i/>
                <w:szCs w:val="22"/>
              </w:rPr>
              <w:t xml:space="preserve"> </w:t>
            </w:r>
            <w:proofErr w:type="spellStart"/>
            <w:r w:rsidR="00824213" w:rsidRPr="00824213">
              <w:rPr>
                <w:rFonts w:ascii="Arial" w:eastAsia="Calibri" w:hAnsi="Arial" w:cs="Arial"/>
                <w:i/>
                <w:szCs w:val="22"/>
              </w:rPr>
              <w:t>monnieri</w:t>
            </w:r>
            <w:proofErr w:type="spellEnd"/>
            <w:r w:rsidR="00824213" w:rsidRPr="00824213">
              <w:rPr>
                <w:rFonts w:ascii="Arial" w:eastAsia="Calibri" w:hAnsi="Arial" w:cs="Arial"/>
                <w:szCs w:val="22"/>
              </w:rPr>
              <w:t xml:space="preserve">. </w:t>
            </w:r>
          </w:p>
          <w:p w14:paraId="0821CFB2" w14:textId="4248C8EA" w:rsidR="00824213" w:rsidRDefault="00824213" w:rsidP="00824213">
            <w:pPr>
              <w:pStyle w:val="Body"/>
              <w:rPr>
                <w:rFonts w:ascii="Arial" w:eastAsia="Calibri" w:hAnsi="Arial" w:cs="Arial"/>
                <w:szCs w:val="22"/>
              </w:rPr>
            </w:pPr>
            <w:r w:rsidRPr="00BA1B01">
              <w:rPr>
                <w:rFonts w:ascii="Arial" w:eastAsia="Calibri" w:hAnsi="Arial" w:cs="Arial"/>
                <w:b/>
                <w:bCs/>
                <w:szCs w:val="22"/>
              </w:rPr>
              <w:t>Methodology</w:t>
            </w:r>
            <w:r>
              <w:rPr>
                <w:rFonts w:ascii="Arial" w:eastAsia="Calibri" w:hAnsi="Arial" w:cs="Arial"/>
                <w:szCs w:val="22"/>
              </w:rPr>
              <w:t xml:space="preserve">: </w:t>
            </w:r>
            <w:r w:rsidRPr="00824213">
              <w:rPr>
                <w:rFonts w:ascii="Arial" w:eastAsia="Calibri" w:hAnsi="Arial" w:cs="Arial"/>
                <w:szCs w:val="22"/>
              </w:rPr>
              <w:t xml:space="preserve">Potted plants of </w:t>
            </w:r>
            <w:proofErr w:type="spellStart"/>
            <w:r w:rsidRPr="00824213">
              <w:rPr>
                <w:rFonts w:ascii="Arial" w:eastAsia="Calibri" w:hAnsi="Arial" w:cs="Arial"/>
                <w:szCs w:val="22"/>
              </w:rPr>
              <w:t>Bacopa</w:t>
            </w:r>
            <w:proofErr w:type="spellEnd"/>
            <w:r w:rsidRPr="00824213">
              <w:rPr>
                <w:rFonts w:ascii="Arial" w:eastAsia="Calibri" w:hAnsi="Arial" w:cs="Arial"/>
                <w:szCs w:val="22"/>
              </w:rPr>
              <w:t xml:space="preserve"> </w:t>
            </w:r>
            <w:proofErr w:type="spellStart"/>
            <w:r w:rsidRPr="00824213">
              <w:rPr>
                <w:rFonts w:ascii="Arial" w:eastAsia="Calibri" w:hAnsi="Arial" w:cs="Arial"/>
                <w:szCs w:val="22"/>
              </w:rPr>
              <w:t>monnieri</w:t>
            </w:r>
            <w:proofErr w:type="spellEnd"/>
            <w:r w:rsidRPr="00824213">
              <w:rPr>
                <w:rFonts w:ascii="Arial" w:eastAsia="Calibri" w:hAnsi="Arial" w:cs="Arial"/>
                <w:szCs w:val="22"/>
              </w:rPr>
              <w:t xml:space="preserve"> were treated with various concentrations of NaCl and polyethylene glycol (PEG) </w:t>
            </w:r>
            <w:r w:rsidR="003000BA" w:rsidRPr="003000BA">
              <w:rPr>
                <w:rFonts w:ascii="Arial" w:eastAsia="Calibri" w:hAnsi="Arial" w:cs="Arial"/>
                <w:szCs w:val="22"/>
                <w:highlight w:val="yellow"/>
              </w:rPr>
              <w:t>solution to</w:t>
            </w:r>
            <w:r w:rsidRPr="003000BA">
              <w:rPr>
                <w:rFonts w:ascii="Arial" w:eastAsia="Calibri" w:hAnsi="Arial" w:cs="Arial"/>
                <w:szCs w:val="22"/>
                <w:highlight w:val="yellow"/>
              </w:rPr>
              <w:t xml:space="preserve"> </w:t>
            </w:r>
            <w:r w:rsidR="003000BA" w:rsidRPr="003000BA">
              <w:rPr>
                <w:rFonts w:ascii="Arial" w:eastAsia="Calibri" w:hAnsi="Arial" w:cs="Arial"/>
                <w:szCs w:val="22"/>
                <w:highlight w:val="yellow"/>
              </w:rPr>
              <w:t>simulate</w:t>
            </w:r>
            <w:r w:rsidRPr="00824213">
              <w:rPr>
                <w:rFonts w:ascii="Arial" w:eastAsia="Calibri" w:hAnsi="Arial" w:cs="Arial"/>
                <w:szCs w:val="22"/>
              </w:rPr>
              <w:t xml:space="preserve"> salinity and drought stress</w:t>
            </w:r>
            <w:r w:rsidR="00A91312">
              <w:rPr>
                <w:rFonts w:ascii="Arial" w:eastAsia="Calibri" w:hAnsi="Arial" w:cs="Arial"/>
                <w:szCs w:val="22"/>
              </w:rPr>
              <w:t>. T</w:t>
            </w:r>
            <w:r w:rsidRPr="00824213">
              <w:rPr>
                <w:rFonts w:ascii="Arial" w:eastAsia="Calibri" w:hAnsi="Arial" w:cs="Arial"/>
                <w:szCs w:val="22"/>
              </w:rPr>
              <w:t xml:space="preserve">o evaluate the salinity and drought stress effect, several physiological parameters, such as cell membrane stability and relative water content (RWC), and biochemical parameters, such as proline, β-carotene, MDA, total phenolic, and total flavonoid content, were taken into consideration. </w:t>
            </w:r>
          </w:p>
          <w:p w14:paraId="14298BBA" w14:textId="653A7DAC" w:rsidR="00824213" w:rsidRPr="00824213" w:rsidRDefault="00824213" w:rsidP="00824213">
            <w:pPr>
              <w:pStyle w:val="Body"/>
              <w:rPr>
                <w:rFonts w:ascii="Arial" w:eastAsia="Calibri" w:hAnsi="Arial" w:cs="Arial"/>
                <w:bCs/>
                <w:szCs w:val="22"/>
              </w:rPr>
            </w:pPr>
            <w:r w:rsidRPr="00BA1B01">
              <w:rPr>
                <w:rFonts w:ascii="Arial" w:eastAsia="Calibri" w:hAnsi="Arial" w:cs="Arial"/>
                <w:b/>
                <w:bCs/>
                <w:szCs w:val="22"/>
              </w:rPr>
              <w:t>Results</w:t>
            </w:r>
            <w:r>
              <w:rPr>
                <w:rFonts w:ascii="Arial" w:eastAsia="Calibri" w:hAnsi="Arial" w:cs="Arial"/>
                <w:szCs w:val="22"/>
              </w:rPr>
              <w:t xml:space="preserve">: </w:t>
            </w:r>
            <w:r w:rsidR="008D2E89" w:rsidRPr="003F0D96">
              <w:rPr>
                <w:rFonts w:ascii="Arial" w:hAnsi="Arial" w:cs="Arial"/>
                <w:lang w:val="en-IN"/>
              </w:rPr>
              <w:t xml:space="preserve">In the present study, significant changes in the physiological and biochemical parameters have been observed in NaCl- and PEG 6000-induced salt- and drought-stressed plants </w:t>
            </w:r>
            <w:r w:rsidR="00CB62E1" w:rsidRPr="00CB62E1">
              <w:rPr>
                <w:rFonts w:ascii="Arial" w:hAnsi="Arial" w:cs="Arial"/>
                <w:highlight w:val="yellow"/>
                <w:lang w:val="en-IN"/>
              </w:rPr>
              <w:t>about</w:t>
            </w:r>
            <w:r w:rsidR="00CB62E1">
              <w:rPr>
                <w:rFonts w:ascii="Arial" w:hAnsi="Arial" w:cs="Arial"/>
                <w:lang w:val="en-IN"/>
              </w:rPr>
              <w:t xml:space="preserve"> </w:t>
            </w:r>
            <w:r w:rsidR="008D2E89" w:rsidRPr="003F0D96">
              <w:rPr>
                <w:rFonts w:ascii="Arial" w:hAnsi="Arial" w:cs="Arial"/>
                <w:lang w:val="en-IN"/>
              </w:rPr>
              <w:t xml:space="preserve">control. </w:t>
            </w:r>
            <w:r w:rsidR="00F74248">
              <w:rPr>
                <w:rFonts w:ascii="Arial" w:hAnsi="Arial" w:cs="Arial"/>
                <w:lang w:val="en-IN"/>
              </w:rPr>
              <w:t>Stress decreases</w:t>
            </w:r>
            <w:r w:rsidR="008D2E89">
              <w:rPr>
                <w:rFonts w:ascii="Arial" w:hAnsi="Arial" w:cs="Arial"/>
                <w:lang w:val="en-IN"/>
              </w:rPr>
              <w:t xml:space="preserve"> the relative RWC and Membrane stability index of the </w:t>
            </w:r>
            <w:r w:rsidR="008D2E89" w:rsidRPr="008D2E89">
              <w:rPr>
                <w:rFonts w:ascii="Arial" w:hAnsi="Arial" w:cs="Arial"/>
                <w:i/>
                <w:lang w:val="en-IN"/>
              </w:rPr>
              <w:t>Bacopa</w:t>
            </w:r>
            <w:r w:rsidR="00F74248">
              <w:rPr>
                <w:rFonts w:ascii="Arial" w:hAnsi="Arial" w:cs="Arial"/>
                <w:lang w:val="en-IN"/>
              </w:rPr>
              <w:t xml:space="preserve"> leaves. However, it </w:t>
            </w:r>
            <w:r w:rsidR="008D2E89">
              <w:rPr>
                <w:rFonts w:ascii="Arial" w:hAnsi="Arial" w:cs="Arial"/>
                <w:lang w:val="en-IN"/>
              </w:rPr>
              <w:t xml:space="preserve">increases </w:t>
            </w:r>
            <w:r w:rsidR="00CB62E1" w:rsidRPr="00CB62E1">
              <w:rPr>
                <w:rFonts w:ascii="Arial" w:hAnsi="Arial" w:cs="Arial"/>
                <w:highlight w:val="yellow"/>
                <w:lang w:val="en-IN"/>
              </w:rPr>
              <w:t>the plant’s</w:t>
            </w:r>
            <w:r w:rsidR="00CB62E1">
              <w:rPr>
                <w:rFonts w:ascii="Arial" w:hAnsi="Arial" w:cs="Arial"/>
                <w:lang w:val="en-IN"/>
              </w:rPr>
              <w:t xml:space="preserve"> </w:t>
            </w:r>
            <w:proofErr w:type="spellStart"/>
            <w:r w:rsidR="008D2E89" w:rsidRPr="003F0D96">
              <w:rPr>
                <w:rFonts w:ascii="Arial" w:hAnsi="Arial" w:cs="Arial"/>
                <w:lang w:val="en-IN"/>
              </w:rPr>
              <w:t>proline</w:t>
            </w:r>
            <w:proofErr w:type="spellEnd"/>
            <w:r w:rsidR="008D2E89" w:rsidRPr="003F0D96">
              <w:rPr>
                <w:rFonts w:ascii="Arial" w:hAnsi="Arial" w:cs="Arial"/>
                <w:lang w:val="en-IN"/>
              </w:rPr>
              <w:t>, β-carotene, phenolic</w:t>
            </w:r>
            <w:r w:rsidR="00CB62E1">
              <w:rPr>
                <w:rFonts w:ascii="Arial" w:hAnsi="Arial" w:cs="Arial"/>
                <w:lang w:val="en-IN"/>
              </w:rPr>
              <w:t xml:space="preserve"> compounds, and total flavonoid </w:t>
            </w:r>
            <w:proofErr w:type="spellStart"/>
            <w:r w:rsidR="00CB62E1">
              <w:rPr>
                <w:rFonts w:ascii="Arial" w:hAnsi="Arial" w:cs="Arial"/>
                <w:lang w:val="en-IN"/>
              </w:rPr>
              <w:t>content.</w:t>
            </w:r>
            <w:r w:rsidR="008D2E89" w:rsidRPr="00CB62E1">
              <w:rPr>
                <w:rFonts w:ascii="Arial" w:hAnsi="Arial" w:cs="Arial"/>
                <w:strike/>
                <w:lang w:val="en-IN"/>
              </w:rPr>
              <w:t>of</w:t>
            </w:r>
            <w:proofErr w:type="spellEnd"/>
            <w:r w:rsidR="008D2E89" w:rsidRPr="00CB62E1">
              <w:rPr>
                <w:rFonts w:ascii="Arial" w:hAnsi="Arial" w:cs="Arial"/>
                <w:strike/>
                <w:lang w:val="en-IN"/>
              </w:rPr>
              <w:t xml:space="preserve"> the plant.</w:t>
            </w:r>
          </w:p>
          <w:p w14:paraId="18E20A8E" w14:textId="77777777" w:rsidR="00505F06" w:rsidRDefault="00824213" w:rsidP="00441B6F">
            <w:pPr>
              <w:pStyle w:val="Body"/>
              <w:spacing w:after="0"/>
              <w:rPr>
                <w:rFonts w:ascii="Arial" w:eastAsia="Calibri" w:hAnsi="Arial" w:cs="Arial"/>
                <w:szCs w:val="22"/>
              </w:rPr>
            </w:pPr>
            <w:r w:rsidRPr="00BA1B01">
              <w:rPr>
                <w:rFonts w:ascii="Arial" w:eastAsia="Calibri" w:hAnsi="Arial" w:cs="Arial"/>
                <w:b/>
                <w:bCs/>
                <w:szCs w:val="22"/>
              </w:rPr>
              <w:t>Conclusion:</w:t>
            </w:r>
            <w:r w:rsidR="008D2E89" w:rsidRPr="003F0D96">
              <w:rPr>
                <w:rFonts w:ascii="Arial" w:hAnsi="Arial" w:cs="Arial"/>
                <w:lang w:val="en-IN"/>
              </w:rPr>
              <w:t xml:space="preserve"> </w:t>
            </w:r>
            <w:r w:rsidR="008D2E89" w:rsidRPr="00824213">
              <w:rPr>
                <w:rFonts w:ascii="Arial" w:eastAsia="Calibri" w:hAnsi="Arial" w:cs="Arial"/>
                <w:szCs w:val="22"/>
              </w:rPr>
              <w:t xml:space="preserve">The data obtained from the current study indicated that both salinity and drought stress </w:t>
            </w:r>
            <w:r w:rsidR="008D2E89" w:rsidRPr="00824213">
              <w:rPr>
                <w:rFonts w:ascii="Arial" w:eastAsia="Calibri" w:hAnsi="Arial" w:cs="Arial"/>
                <w:bCs/>
                <w:szCs w:val="22"/>
              </w:rPr>
              <w:t xml:space="preserve">influence the physiological and biochemical traits of </w:t>
            </w:r>
            <w:proofErr w:type="spellStart"/>
            <w:r w:rsidR="008D2E89" w:rsidRPr="00824213">
              <w:rPr>
                <w:rFonts w:ascii="Arial" w:eastAsia="Calibri" w:hAnsi="Arial" w:cs="Arial"/>
                <w:bCs/>
                <w:i/>
                <w:szCs w:val="22"/>
              </w:rPr>
              <w:t>Bacopa</w:t>
            </w:r>
            <w:proofErr w:type="spellEnd"/>
            <w:r w:rsidR="008D2E89" w:rsidRPr="00824213">
              <w:rPr>
                <w:rFonts w:ascii="Arial" w:eastAsia="Calibri" w:hAnsi="Arial" w:cs="Arial"/>
                <w:bCs/>
                <w:i/>
                <w:szCs w:val="22"/>
              </w:rPr>
              <w:t xml:space="preserve"> </w:t>
            </w:r>
            <w:proofErr w:type="spellStart"/>
            <w:r w:rsidR="008D2E89" w:rsidRPr="00824213">
              <w:rPr>
                <w:rFonts w:ascii="Arial" w:eastAsia="Calibri" w:hAnsi="Arial" w:cs="Arial"/>
                <w:bCs/>
                <w:i/>
                <w:szCs w:val="22"/>
              </w:rPr>
              <w:t>monnieri</w:t>
            </w:r>
            <w:proofErr w:type="spellEnd"/>
            <w:r w:rsidR="008D2E89" w:rsidRPr="00824213">
              <w:rPr>
                <w:rFonts w:ascii="Arial" w:eastAsia="Calibri" w:hAnsi="Arial" w:cs="Arial"/>
                <w:bCs/>
                <w:szCs w:val="22"/>
              </w:rPr>
              <w:t xml:space="preserve"> L.</w:t>
            </w:r>
            <w:r w:rsidR="008D2E89">
              <w:rPr>
                <w:rFonts w:ascii="Arial" w:eastAsia="Calibri" w:hAnsi="Arial" w:cs="Arial"/>
                <w:bCs/>
                <w:szCs w:val="22"/>
              </w:rPr>
              <w:t xml:space="preserve"> </w:t>
            </w:r>
            <w:r w:rsidR="008D2E89" w:rsidRPr="003F0D96">
              <w:rPr>
                <w:rFonts w:ascii="Arial" w:hAnsi="Arial" w:cs="Arial"/>
                <w:lang w:val="en-IN"/>
              </w:rPr>
              <w:t xml:space="preserve">By increasing the synthesis of proline, β-carotene, phenolic compounds, and total flavonoids, the </w:t>
            </w:r>
            <w:proofErr w:type="spellStart"/>
            <w:r w:rsidR="008D2E89" w:rsidRPr="003F0D96">
              <w:rPr>
                <w:rFonts w:ascii="Arial" w:hAnsi="Arial" w:cs="Arial"/>
                <w:i/>
                <w:lang w:val="en-IN"/>
              </w:rPr>
              <w:t>Bacopa</w:t>
            </w:r>
            <w:proofErr w:type="spellEnd"/>
            <w:r w:rsidR="008D2E89" w:rsidRPr="003F0D96">
              <w:rPr>
                <w:rFonts w:ascii="Arial" w:hAnsi="Arial" w:cs="Arial"/>
                <w:i/>
                <w:lang w:val="en-IN"/>
              </w:rPr>
              <w:t xml:space="preserve"> </w:t>
            </w:r>
            <w:proofErr w:type="spellStart"/>
            <w:r w:rsidR="008D2E89" w:rsidRPr="003F0D96">
              <w:rPr>
                <w:rFonts w:ascii="Arial" w:hAnsi="Arial" w:cs="Arial"/>
                <w:i/>
                <w:lang w:val="en-IN"/>
              </w:rPr>
              <w:t>monnieri</w:t>
            </w:r>
            <w:proofErr w:type="spellEnd"/>
            <w:r w:rsidR="008D2E89" w:rsidRPr="003F0D96">
              <w:rPr>
                <w:rFonts w:ascii="Arial" w:hAnsi="Arial" w:cs="Arial"/>
                <w:lang w:val="en-IN"/>
              </w:rPr>
              <w:t xml:space="preserve"> plant defends itself against oxidative stress.</w:t>
            </w:r>
          </w:p>
          <w:p w14:paraId="32BBB4F7" w14:textId="77777777" w:rsidR="00F74248" w:rsidRPr="00BA1B01" w:rsidRDefault="00F74248" w:rsidP="00441B6F">
            <w:pPr>
              <w:pStyle w:val="Body"/>
              <w:spacing w:after="0"/>
              <w:rPr>
                <w:rFonts w:ascii="Arial" w:eastAsia="Calibri" w:hAnsi="Arial" w:cs="Arial"/>
                <w:szCs w:val="22"/>
              </w:rPr>
            </w:pPr>
          </w:p>
        </w:tc>
      </w:tr>
    </w:tbl>
    <w:p w14:paraId="16C5A190" w14:textId="77777777" w:rsidR="00636EB2" w:rsidRDefault="00636EB2" w:rsidP="00441B6F">
      <w:pPr>
        <w:pStyle w:val="Body"/>
        <w:spacing w:after="0"/>
        <w:rPr>
          <w:rFonts w:ascii="Arial" w:hAnsi="Arial" w:cs="Arial"/>
          <w:i/>
        </w:rPr>
      </w:pPr>
    </w:p>
    <w:p w14:paraId="36D3BD99" w14:textId="77777777" w:rsidR="00505F06" w:rsidRPr="00824213" w:rsidRDefault="00824213" w:rsidP="00824213">
      <w:pPr>
        <w:pStyle w:val="Body"/>
        <w:rPr>
          <w:rFonts w:ascii="Arial" w:hAnsi="Arial" w:cs="Arial"/>
          <w:i/>
          <w:iCs/>
          <w:lang w:val="en-IN"/>
        </w:rPr>
      </w:pPr>
      <w:r>
        <w:rPr>
          <w:rFonts w:ascii="Arial" w:hAnsi="Arial" w:cs="Arial"/>
          <w:i/>
        </w:rPr>
        <w:t xml:space="preserve">Keywords: </w:t>
      </w:r>
      <w:r w:rsidRPr="00824213">
        <w:rPr>
          <w:rFonts w:ascii="Arial" w:hAnsi="Arial" w:cs="Arial"/>
          <w:i/>
          <w:iCs/>
          <w:lang w:val="en-IN"/>
        </w:rPr>
        <w:t xml:space="preserve">Salinity, drought, </w:t>
      </w:r>
      <w:proofErr w:type="spellStart"/>
      <w:r w:rsidRPr="00824213">
        <w:rPr>
          <w:rFonts w:ascii="Arial" w:hAnsi="Arial" w:cs="Arial"/>
          <w:i/>
          <w:iCs/>
          <w:lang w:val="en-IN"/>
        </w:rPr>
        <w:t>Bacopa</w:t>
      </w:r>
      <w:proofErr w:type="spellEnd"/>
      <w:r w:rsidRPr="00824213">
        <w:rPr>
          <w:rFonts w:ascii="Arial" w:hAnsi="Arial" w:cs="Arial"/>
          <w:i/>
          <w:iCs/>
          <w:lang w:val="en-IN"/>
        </w:rPr>
        <w:t xml:space="preserve"> </w:t>
      </w:r>
      <w:proofErr w:type="spellStart"/>
      <w:r w:rsidRPr="00824213">
        <w:rPr>
          <w:rFonts w:ascii="Arial" w:hAnsi="Arial" w:cs="Arial"/>
          <w:i/>
          <w:iCs/>
          <w:lang w:val="en-IN"/>
        </w:rPr>
        <w:t>monnieri</w:t>
      </w:r>
      <w:proofErr w:type="spellEnd"/>
      <w:r w:rsidRPr="00824213">
        <w:rPr>
          <w:rFonts w:ascii="Arial" w:hAnsi="Arial" w:cs="Arial"/>
          <w:i/>
          <w:iCs/>
          <w:lang w:val="en-IN"/>
        </w:rPr>
        <w:t xml:space="preserve">, RWC, </w:t>
      </w:r>
      <w:proofErr w:type="spellStart"/>
      <w:r w:rsidRPr="00824213">
        <w:rPr>
          <w:rFonts w:ascii="Arial" w:hAnsi="Arial" w:cs="Arial"/>
          <w:i/>
          <w:iCs/>
          <w:lang w:val="en-IN"/>
        </w:rPr>
        <w:t>Proline</w:t>
      </w:r>
      <w:proofErr w:type="spellEnd"/>
      <w:r w:rsidRPr="00824213">
        <w:rPr>
          <w:rFonts w:ascii="Arial" w:hAnsi="Arial" w:cs="Arial"/>
          <w:i/>
          <w:iCs/>
          <w:lang w:val="en-IN"/>
        </w:rPr>
        <w:t>, MDA, antioxidant.</w:t>
      </w:r>
    </w:p>
    <w:p w14:paraId="741D5778"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24B17BF9" w14:textId="67D2FE80" w:rsidR="00824213" w:rsidRPr="00824213" w:rsidRDefault="00824213" w:rsidP="00824213">
      <w:pPr>
        <w:pStyle w:val="Body"/>
        <w:rPr>
          <w:rFonts w:ascii="Arial" w:hAnsi="Arial" w:cs="Arial"/>
          <w:lang w:val="en-IN"/>
        </w:rPr>
      </w:pPr>
      <w:r w:rsidRPr="00824213">
        <w:rPr>
          <w:rFonts w:ascii="Arial" w:hAnsi="Arial" w:cs="Arial"/>
          <w:lang w:val="en-IN"/>
        </w:rPr>
        <w:t>Abiotic factors like light, t</w:t>
      </w:r>
      <w:r w:rsidR="008D2E89">
        <w:rPr>
          <w:rFonts w:ascii="Arial" w:hAnsi="Arial" w:cs="Arial"/>
          <w:lang w:val="en-IN"/>
        </w:rPr>
        <w:t>emperature, water, salt, and so</w:t>
      </w:r>
      <w:r w:rsidRPr="00824213">
        <w:rPr>
          <w:rFonts w:ascii="Arial" w:hAnsi="Arial" w:cs="Arial"/>
          <w:lang w:val="en-IN"/>
        </w:rPr>
        <w:t xml:space="preserve">on </w:t>
      </w:r>
      <w:r w:rsidRPr="00CB62E1">
        <w:rPr>
          <w:rFonts w:ascii="Arial" w:hAnsi="Arial" w:cs="Arial"/>
          <w:strike/>
          <w:lang w:val="en-IN"/>
        </w:rPr>
        <w:t>have an</w:t>
      </w:r>
      <w:r w:rsidRPr="00824213">
        <w:rPr>
          <w:rFonts w:ascii="Arial" w:hAnsi="Arial" w:cs="Arial"/>
          <w:lang w:val="en-IN"/>
        </w:rPr>
        <w:t xml:space="preserve"> impact</w:t>
      </w:r>
      <w:r w:rsidR="00CB62E1">
        <w:rPr>
          <w:rFonts w:ascii="Arial" w:hAnsi="Arial" w:cs="Arial"/>
          <w:lang w:val="en-IN"/>
        </w:rPr>
        <w:t xml:space="preserve"> </w:t>
      </w:r>
      <w:r w:rsidR="00CB62E1" w:rsidRPr="00CB62E1">
        <w:rPr>
          <w:rFonts w:ascii="Arial" w:hAnsi="Arial" w:cs="Arial"/>
          <w:highlight w:val="yellow"/>
          <w:lang w:val="en-IN"/>
        </w:rPr>
        <w:t>the</w:t>
      </w:r>
      <w:r w:rsidRPr="00824213">
        <w:rPr>
          <w:rFonts w:ascii="Arial" w:hAnsi="Arial" w:cs="Arial"/>
          <w:lang w:val="en-IN"/>
        </w:rPr>
        <w:t xml:space="preserve"> </w:t>
      </w:r>
      <w:r w:rsidRPr="00CB62E1">
        <w:rPr>
          <w:rFonts w:ascii="Arial" w:hAnsi="Arial" w:cs="Arial"/>
          <w:strike/>
          <w:lang w:val="en-IN"/>
        </w:rPr>
        <w:t>on the</w:t>
      </w:r>
      <w:r w:rsidRPr="00824213">
        <w:rPr>
          <w:rFonts w:ascii="Arial" w:hAnsi="Arial" w:cs="Arial"/>
          <w:lang w:val="en-IN"/>
        </w:rPr>
        <w:t xml:space="preserve"> development, growth, and geographic distribution of plants. These environmental factors reduce the productivity of plants to different extents, depending upon the severity of stress. Plants undergo </w:t>
      </w:r>
      <w:r w:rsidR="00CB62E1" w:rsidRPr="00CB62E1">
        <w:rPr>
          <w:rFonts w:ascii="Arial" w:hAnsi="Arial" w:cs="Arial"/>
          <w:highlight w:val="yellow"/>
          <w:lang w:val="en-IN"/>
        </w:rPr>
        <w:t>several</w:t>
      </w:r>
      <w:r w:rsidR="00CB62E1">
        <w:rPr>
          <w:rFonts w:ascii="Arial" w:hAnsi="Arial" w:cs="Arial"/>
          <w:lang w:val="en-IN"/>
        </w:rPr>
        <w:t xml:space="preserve"> </w:t>
      </w:r>
      <w:r w:rsidRPr="00CB62E1">
        <w:rPr>
          <w:rFonts w:ascii="Arial" w:hAnsi="Arial" w:cs="Arial"/>
          <w:strike/>
          <w:lang w:val="en-IN"/>
        </w:rPr>
        <w:t>a number of</w:t>
      </w:r>
      <w:r w:rsidRPr="00824213">
        <w:rPr>
          <w:rFonts w:ascii="Arial" w:hAnsi="Arial" w:cs="Arial"/>
          <w:lang w:val="en-IN"/>
        </w:rPr>
        <w:t xml:space="preserve"> morphological, physiological, and biochemical changes </w:t>
      </w:r>
      <w:r w:rsidRPr="00CB62E1">
        <w:rPr>
          <w:rFonts w:ascii="Arial" w:hAnsi="Arial" w:cs="Arial"/>
          <w:strike/>
          <w:lang w:val="en-IN"/>
        </w:rPr>
        <w:t>in order</w:t>
      </w:r>
      <w:r w:rsidRPr="00824213">
        <w:rPr>
          <w:rFonts w:ascii="Arial" w:hAnsi="Arial" w:cs="Arial"/>
          <w:lang w:val="en-IN"/>
        </w:rPr>
        <w:t xml:space="preserve"> to adapt to these abiotic stressors. The accumulation of specific low-molecular-weight natural metabolites, referred to as compatible solutes, aids in ensuring </w:t>
      </w:r>
      <w:r w:rsidRPr="00CB62E1">
        <w:rPr>
          <w:rFonts w:ascii="Arial" w:hAnsi="Arial" w:cs="Arial"/>
          <w:strike/>
          <w:lang w:val="en-IN"/>
        </w:rPr>
        <w:t xml:space="preserve">the </w:t>
      </w:r>
      <w:r w:rsidRPr="00824213">
        <w:rPr>
          <w:rFonts w:ascii="Arial" w:hAnsi="Arial" w:cs="Arial"/>
          <w:lang w:val="en-IN"/>
        </w:rPr>
        <w:t>survival</w:t>
      </w:r>
      <w:r w:rsidR="00CB62E1">
        <w:rPr>
          <w:rFonts w:ascii="Arial" w:hAnsi="Arial" w:cs="Arial"/>
          <w:lang w:val="en-IN"/>
        </w:rPr>
        <w:t xml:space="preserve"> </w:t>
      </w:r>
      <w:r w:rsidR="00CB62E1" w:rsidRPr="00CB62E1">
        <w:rPr>
          <w:rFonts w:ascii="Arial" w:hAnsi="Arial" w:cs="Arial"/>
          <w:highlight w:val="yellow"/>
          <w:lang w:val="en-IN"/>
        </w:rPr>
        <w:t>and</w:t>
      </w:r>
      <w:r w:rsidRPr="00824213">
        <w:rPr>
          <w:rFonts w:ascii="Arial" w:hAnsi="Arial" w:cs="Arial"/>
          <w:lang w:val="en-IN"/>
        </w:rPr>
        <w:t xml:space="preserve"> </w:t>
      </w:r>
      <w:r w:rsidRPr="00CB62E1">
        <w:rPr>
          <w:rFonts w:ascii="Arial" w:hAnsi="Arial" w:cs="Arial"/>
          <w:strike/>
          <w:lang w:val="en-IN"/>
        </w:rPr>
        <w:t>along with</w:t>
      </w:r>
      <w:r w:rsidRPr="00824213">
        <w:rPr>
          <w:rFonts w:ascii="Arial" w:hAnsi="Arial" w:cs="Arial"/>
          <w:lang w:val="en-IN"/>
        </w:rPr>
        <w:t xml:space="preserve"> the development of the plant. It has also been reported that these substances are </w:t>
      </w:r>
      <w:r w:rsidRPr="00CB62E1">
        <w:rPr>
          <w:rFonts w:ascii="Arial" w:hAnsi="Arial" w:cs="Arial"/>
          <w:strike/>
          <w:lang w:val="en-IN"/>
        </w:rPr>
        <w:t>important</w:t>
      </w:r>
      <w:r w:rsidR="00CB62E1">
        <w:rPr>
          <w:rFonts w:ascii="Arial" w:hAnsi="Arial" w:cs="Arial"/>
          <w:strike/>
          <w:lang w:val="en-IN"/>
        </w:rPr>
        <w:t xml:space="preserve"> </w:t>
      </w:r>
      <w:r w:rsidR="00CB62E1" w:rsidRPr="00CB62E1">
        <w:rPr>
          <w:rFonts w:ascii="Arial" w:hAnsi="Arial" w:cs="Arial"/>
          <w:highlight w:val="yellow"/>
          <w:lang w:val="en-IN"/>
        </w:rPr>
        <w:t>essential</w:t>
      </w:r>
      <w:r w:rsidRPr="00824213">
        <w:rPr>
          <w:rFonts w:ascii="Arial" w:hAnsi="Arial" w:cs="Arial"/>
          <w:lang w:val="en-IN"/>
        </w:rPr>
        <w:t xml:space="preserve"> for cellular osmotic adjustment to salt and osmotic stressors (Gupta and Huang, 2014). Drought and salinity are the major environmental factors </w:t>
      </w:r>
      <w:r w:rsidRPr="000B50B7">
        <w:rPr>
          <w:rFonts w:ascii="Arial" w:hAnsi="Arial" w:cs="Arial"/>
          <w:strike/>
          <w:lang w:val="en-IN"/>
        </w:rPr>
        <w:t>that</w:t>
      </w:r>
      <w:r w:rsidR="000B50B7">
        <w:rPr>
          <w:rFonts w:ascii="Arial" w:hAnsi="Arial" w:cs="Arial"/>
          <w:lang w:val="en-IN"/>
        </w:rPr>
        <w:t xml:space="preserve"> </w:t>
      </w:r>
      <w:r w:rsidR="000B50B7" w:rsidRPr="000B50B7">
        <w:rPr>
          <w:rFonts w:ascii="Arial" w:hAnsi="Arial" w:cs="Arial"/>
          <w:highlight w:val="yellow"/>
          <w:lang w:val="en-IN"/>
        </w:rPr>
        <w:t>influencing</w:t>
      </w:r>
      <w:r w:rsidRPr="00824213">
        <w:rPr>
          <w:rFonts w:ascii="Arial" w:hAnsi="Arial" w:cs="Arial"/>
          <w:lang w:val="en-IN"/>
        </w:rPr>
        <w:t xml:space="preserve"> plant growth and development and </w:t>
      </w:r>
      <w:r w:rsidRPr="000B50B7">
        <w:rPr>
          <w:rFonts w:ascii="Arial" w:hAnsi="Arial" w:cs="Arial"/>
          <w:highlight w:val="yellow"/>
          <w:lang w:val="en-IN"/>
        </w:rPr>
        <w:t>hinder</w:t>
      </w:r>
      <w:r w:rsidR="000B50B7" w:rsidRPr="000B50B7">
        <w:rPr>
          <w:rFonts w:ascii="Arial" w:hAnsi="Arial" w:cs="Arial"/>
          <w:highlight w:val="yellow"/>
          <w:lang w:val="en-IN"/>
        </w:rPr>
        <w:t>ing</w:t>
      </w:r>
      <w:r w:rsidRPr="00824213">
        <w:rPr>
          <w:rFonts w:ascii="Arial" w:hAnsi="Arial" w:cs="Arial"/>
          <w:lang w:val="en-IN"/>
        </w:rPr>
        <w:t xml:space="preserve"> </w:t>
      </w:r>
      <w:r w:rsidRPr="00824213">
        <w:rPr>
          <w:rFonts w:ascii="Arial" w:hAnsi="Arial" w:cs="Arial"/>
          <w:lang w:val="en-IN"/>
        </w:rPr>
        <w:lastRenderedPageBreak/>
        <w:t xml:space="preserve">crop yields. Thus, enhancing crop performance in salinity and water stress scenarios is a crucial study topic for plant scientists worldwide. Plants show a wide range of physiological and biochemical responses at the cell and whole-organism levels against existing water shortages, which makes it a complex phenomenon (Farooq et al., 2009; </w:t>
      </w:r>
      <w:r w:rsidRPr="00824213">
        <w:rPr>
          <w:rFonts w:ascii="Arial" w:hAnsi="Arial" w:cs="Arial"/>
          <w:lang w:val="de-DE"/>
        </w:rPr>
        <w:t>Seleiman et al., 2021</w:t>
      </w:r>
      <w:r w:rsidRPr="00824213">
        <w:rPr>
          <w:rFonts w:ascii="Arial" w:hAnsi="Arial" w:cs="Arial"/>
          <w:lang w:val="en-IN"/>
        </w:rPr>
        <w:t>). Plants that experience water deficit</w:t>
      </w:r>
      <w:r w:rsidR="000B50B7">
        <w:rPr>
          <w:rFonts w:ascii="Arial" w:hAnsi="Arial" w:cs="Arial"/>
          <w:lang w:val="en-IN"/>
        </w:rPr>
        <w:t>s</w:t>
      </w:r>
      <w:r w:rsidRPr="00824213">
        <w:rPr>
          <w:rFonts w:ascii="Arial" w:hAnsi="Arial" w:cs="Arial"/>
          <w:lang w:val="en-IN"/>
        </w:rPr>
        <w:t xml:space="preserve"> apply a variety of strategies, including osmotic and hormonal regulation, leaf rolling, root length increment, accumulation of compatible solutes etc</w:t>
      </w:r>
      <w:r w:rsidR="000B50B7" w:rsidRPr="00824213">
        <w:rPr>
          <w:rFonts w:ascii="Arial" w:hAnsi="Arial" w:cs="Arial"/>
          <w:lang w:val="en-IN"/>
        </w:rPr>
        <w:t>.</w:t>
      </w:r>
      <w:r w:rsidRPr="00824213">
        <w:rPr>
          <w:rFonts w:ascii="Arial" w:hAnsi="Arial" w:cs="Arial"/>
          <w:lang w:val="en-IN"/>
        </w:rPr>
        <w:t xml:space="preserve"> Although the effect of drought stress has been investigated extensively among various crop plants across the world, there is little evidence available on the effects of different water stresses on the growth, physiological, and biochemical characteristics of medicinal plants (Tátrai et al., 2016; Liu et al., 2017). Similar to other abiotic stressors, salt stress has numerous detrimental effects on plants. Salt stress raises the cellular osmotic pressure and even can lead to an elevation of sodium to levels that are toxic. It causes oxidative and </w:t>
      </w:r>
      <w:r w:rsidR="000B50B7" w:rsidRPr="000B50B7">
        <w:rPr>
          <w:rFonts w:ascii="Arial" w:hAnsi="Arial" w:cs="Arial"/>
          <w:highlight w:val="yellow"/>
          <w:lang w:val="en-IN"/>
        </w:rPr>
        <w:t>the cellular</w:t>
      </w:r>
      <w:r w:rsidR="000B50B7">
        <w:rPr>
          <w:rFonts w:ascii="Arial" w:hAnsi="Arial" w:cs="Arial"/>
          <w:lang w:val="en-IN"/>
        </w:rPr>
        <w:t xml:space="preserve"> </w:t>
      </w:r>
      <w:r w:rsidRPr="00824213">
        <w:rPr>
          <w:rFonts w:ascii="Arial" w:hAnsi="Arial" w:cs="Arial"/>
          <w:lang w:val="en-IN"/>
        </w:rPr>
        <w:t xml:space="preserve">osmotic </w:t>
      </w:r>
      <w:r w:rsidRPr="000B50B7">
        <w:rPr>
          <w:rFonts w:ascii="Arial" w:hAnsi="Arial" w:cs="Arial"/>
          <w:strike/>
          <w:lang w:val="en-IN"/>
        </w:rPr>
        <w:t>stress</w:t>
      </w:r>
      <w:r w:rsidR="000B50B7">
        <w:rPr>
          <w:rFonts w:ascii="Arial" w:hAnsi="Arial" w:cs="Arial"/>
          <w:strike/>
          <w:lang w:val="en-IN"/>
        </w:rPr>
        <w:t xml:space="preserve"> </w:t>
      </w:r>
      <w:r w:rsidR="000B50B7" w:rsidRPr="000B50B7">
        <w:rPr>
          <w:rFonts w:ascii="Arial" w:hAnsi="Arial" w:cs="Arial"/>
          <w:highlight w:val="yellow"/>
          <w:lang w:val="en-IN"/>
        </w:rPr>
        <w:t>pressure and even can lead to elevation of sodium to toxic levels</w:t>
      </w:r>
      <w:r w:rsidR="000B50B7">
        <w:rPr>
          <w:rFonts w:ascii="Arial" w:hAnsi="Arial" w:cs="Arial"/>
          <w:highlight w:val="yellow"/>
          <w:lang w:val="en-IN"/>
        </w:rPr>
        <w:t>. I</w:t>
      </w:r>
      <w:r w:rsidR="000B50B7" w:rsidRPr="000B50B7">
        <w:rPr>
          <w:rFonts w:ascii="Arial" w:hAnsi="Arial" w:cs="Arial"/>
          <w:highlight w:val="yellow"/>
          <w:lang w:val="en-IN"/>
        </w:rPr>
        <w:t>t causes oxidative and osmotic stress</w:t>
      </w:r>
      <w:r w:rsidRPr="000B50B7">
        <w:rPr>
          <w:rFonts w:ascii="Arial" w:hAnsi="Arial" w:cs="Arial"/>
          <w:highlight w:val="yellow"/>
          <w:lang w:val="en-IN"/>
        </w:rPr>
        <w:t>,</w:t>
      </w:r>
      <w:r w:rsidRPr="00824213">
        <w:rPr>
          <w:rFonts w:ascii="Arial" w:hAnsi="Arial" w:cs="Arial"/>
          <w:lang w:val="en-IN"/>
        </w:rPr>
        <w:t xml:space="preserve"> ion toxicity, nutritional and hormonal abnormalities, and a rise in plant disease susceptibility (</w:t>
      </w:r>
      <w:proofErr w:type="spellStart"/>
      <w:r w:rsidRPr="00824213">
        <w:rPr>
          <w:rFonts w:ascii="Arial" w:hAnsi="Arial" w:cs="Arial"/>
          <w:lang w:val="en-IN"/>
        </w:rPr>
        <w:t>Hasanuzzaman</w:t>
      </w:r>
      <w:proofErr w:type="spellEnd"/>
      <w:r w:rsidRPr="00824213">
        <w:rPr>
          <w:rFonts w:ascii="Arial" w:hAnsi="Arial" w:cs="Arial"/>
          <w:lang w:val="en-IN"/>
        </w:rPr>
        <w:t xml:space="preserve"> and Fujita, 2022; Xiao and Zhou, 2023). Developing salt-tolerant plant types, optimizing nutrient absorption and utilization, regulating plant hormones, and improving morpho-physiological features are </w:t>
      </w:r>
      <w:r w:rsidRPr="000B50B7">
        <w:rPr>
          <w:rFonts w:ascii="Arial" w:hAnsi="Arial" w:cs="Arial"/>
          <w:strike/>
          <w:lang w:val="en-IN"/>
        </w:rPr>
        <w:t>some important</w:t>
      </w:r>
      <w:r w:rsidRPr="00824213">
        <w:rPr>
          <w:rFonts w:ascii="Arial" w:hAnsi="Arial" w:cs="Arial"/>
          <w:lang w:val="en-IN"/>
        </w:rPr>
        <w:t xml:space="preserve"> </w:t>
      </w:r>
      <w:r w:rsidR="000B50B7" w:rsidRPr="000B50B7">
        <w:rPr>
          <w:rFonts w:ascii="Arial" w:hAnsi="Arial" w:cs="Arial"/>
          <w:highlight w:val="yellow"/>
          <w:lang w:val="en-IN"/>
        </w:rPr>
        <w:t>essential</w:t>
      </w:r>
      <w:r w:rsidR="000B50B7">
        <w:rPr>
          <w:rFonts w:ascii="Arial" w:hAnsi="Arial" w:cs="Arial"/>
          <w:lang w:val="en-IN"/>
        </w:rPr>
        <w:t xml:space="preserve"> </w:t>
      </w:r>
      <w:r w:rsidRPr="00824213">
        <w:rPr>
          <w:rFonts w:ascii="Arial" w:hAnsi="Arial" w:cs="Arial"/>
          <w:lang w:val="en-IN"/>
        </w:rPr>
        <w:t xml:space="preserve">strategies for reducing the negative impact of salt stress on plant (Ahmad et al., 2023). Abiotic stressors, such as salinity, are known to induce oxidative damage primarily by </w:t>
      </w:r>
      <w:r w:rsidRPr="00D6766F">
        <w:rPr>
          <w:rFonts w:ascii="Arial" w:hAnsi="Arial" w:cs="Arial"/>
          <w:strike/>
          <w:lang w:val="en-IN"/>
        </w:rPr>
        <w:t xml:space="preserve">the </w:t>
      </w:r>
      <w:r w:rsidR="00D6766F" w:rsidRPr="00D6766F">
        <w:rPr>
          <w:rFonts w:ascii="Arial" w:hAnsi="Arial" w:cs="Arial"/>
          <w:highlight w:val="yellow"/>
          <w:lang w:val="en-IN"/>
        </w:rPr>
        <w:t>producing</w:t>
      </w:r>
      <w:r w:rsidRPr="00824213">
        <w:rPr>
          <w:rFonts w:ascii="Arial" w:hAnsi="Arial" w:cs="Arial"/>
          <w:lang w:val="en-IN"/>
        </w:rPr>
        <w:t xml:space="preserve"> of excess reactive oxygen species (ROS), which can target proteins, carbohydrates, lipids, and DNA (Gill and Tuteja, 2010).Different plant species might have varying levels of tol</w:t>
      </w:r>
      <w:r>
        <w:rPr>
          <w:rFonts w:ascii="Arial" w:hAnsi="Arial" w:cs="Arial"/>
          <w:lang w:val="en-IN"/>
        </w:rPr>
        <w:t>erance to salt and water stress.</w:t>
      </w:r>
    </w:p>
    <w:p w14:paraId="47EDD028" w14:textId="2C54EA85" w:rsidR="00824213" w:rsidRPr="00824213" w:rsidRDefault="00824213" w:rsidP="00824213">
      <w:pPr>
        <w:pStyle w:val="Body"/>
        <w:rPr>
          <w:rFonts w:ascii="Arial" w:hAnsi="Arial" w:cs="Arial"/>
          <w:lang w:val="en-IN"/>
        </w:rPr>
      </w:pPr>
      <w:r w:rsidRPr="00824213">
        <w:rPr>
          <w:rFonts w:ascii="Arial" w:hAnsi="Arial" w:cs="Arial"/>
          <w:lang w:val="en-IN"/>
        </w:rPr>
        <w:t xml:space="preserve">Since ancient times, medicinal herbs have been widely utilized to treat diseases and </w:t>
      </w:r>
      <w:r w:rsidRPr="00D6766F">
        <w:rPr>
          <w:rFonts w:ascii="Arial" w:hAnsi="Arial" w:cs="Arial"/>
          <w:strike/>
          <w:lang w:val="en-IN"/>
        </w:rPr>
        <w:t>to</w:t>
      </w:r>
      <w:r w:rsidRPr="00824213">
        <w:rPr>
          <w:rFonts w:ascii="Arial" w:hAnsi="Arial" w:cs="Arial"/>
          <w:lang w:val="en-IN"/>
        </w:rPr>
        <w:t xml:space="preserve"> improve health among many indigenous groups</w:t>
      </w:r>
      <w:r w:rsidR="00D6766F">
        <w:rPr>
          <w:rFonts w:ascii="Arial" w:hAnsi="Arial" w:cs="Arial"/>
          <w:lang w:val="en-IN"/>
        </w:rPr>
        <w:t xml:space="preserve"> </w:t>
      </w:r>
      <w:r w:rsidR="00D6766F" w:rsidRPr="00D6766F">
        <w:rPr>
          <w:rFonts w:ascii="Arial" w:hAnsi="Arial" w:cs="Arial"/>
          <w:highlight w:val="yellow"/>
          <w:lang w:val="en-IN"/>
        </w:rPr>
        <w:t>worldwide</w:t>
      </w:r>
      <w:r w:rsidRPr="00824213">
        <w:rPr>
          <w:rFonts w:ascii="Arial" w:hAnsi="Arial" w:cs="Arial"/>
          <w:lang w:val="en-IN"/>
        </w:rPr>
        <w:t xml:space="preserve"> </w:t>
      </w:r>
      <w:r w:rsidRPr="00D6766F">
        <w:rPr>
          <w:rFonts w:ascii="Arial" w:hAnsi="Arial" w:cs="Arial"/>
          <w:strike/>
          <w:lang w:val="en-IN"/>
        </w:rPr>
        <w:t>across the world</w:t>
      </w:r>
      <w:r w:rsidRPr="00824213">
        <w:rPr>
          <w:rFonts w:ascii="Arial" w:hAnsi="Arial" w:cs="Arial"/>
          <w:lang w:val="en-IN"/>
        </w:rPr>
        <w:t xml:space="preserve">. </w:t>
      </w:r>
      <w:proofErr w:type="spellStart"/>
      <w:r w:rsidRPr="00824213">
        <w:rPr>
          <w:rFonts w:ascii="Arial" w:hAnsi="Arial" w:cs="Arial"/>
          <w:i/>
          <w:lang w:val="en-IN"/>
        </w:rPr>
        <w:t>Bacopa</w:t>
      </w:r>
      <w:proofErr w:type="spellEnd"/>
      <w:r w:rsidRPr="00824213">
        <w:rPr>
          <w:rFonts w:ascii="Arial" w:hAnsi="Arial" w:cs="Arial"/>
          <w:i/>
          <w:lang w:val="en-IN"/>
        </w:rPr>
        <w:t xml:space="preserve"> </w:t>
      </w:r>
      <w:proofErr w:type="spellStart"/>
      <w:r w:rsidRPr="00824213">
        <w:rPr>
          <w:rFonts w:ascii="Arial" w:hAnsi="Arial" w:cs="Arial"/>
          <w:i/>
          <w:lang w:val="en-IN"/>
        </w:rPr>
        <w:t>monnieri</w:t>
      </w:r>
      <w:proofErr w:type="spellEnd"/>
      <w:r w:rsidRPr="00824213">
        <w:rPr>
          <w:rFonts w:ascii="Arial" w:hAnsi="Arial" w:cs="Arial"/>
          <w:lang w:val="en-IN"/>
        </w:rPr>
        <w:t xml:space="preserve"> (L.) </w:t>
      </w:r>
      <w:proofErr w:type="spellStart"/>
      <w:r w:rsidRPr="00824213">
        <w:rPr>
          <w:rFonts w:ascii="Arial" w:hAnsi="Arial" w:cs="Arial"/>
          <w:lang w:val="en-IN"/>
        </w:rPr>
        <w:t>Wettst</w:t>
      </w:r>
      <w:proofErr w:type="spellEnd"/>
      <w:r w:rsidRPr="00824213">
        <w:rPr>
          <w:rFonts w:ascii="Arial" w:hAnsi="Arial" w:cs="Arial"/>
          <w:lang w:val="en-IN"/>
        </w:rPr>
        <w:t>., a popular medicinal plant from the Scrophulariaceae family, has been traditionally used for years as a memory booster and for its anti-inflammatory, analgesic, antipyretic, sedative, and anti-epileptic properties (</w:t>
      </w:r>
      <w:proofErr w:type="spellStart"/>
      <w:r w:rsidRPr="00824213">
        <w:rPr>
          <w:rFonts w:ascii="Arial" w:hAnsi="Arial" w:cs="Arial"/>
          <w:lang w:val="en-IN"/>
        </w:rPr>
        <w:t>Lal</w:t>
      </w:r>
      <w:proofErr w:type="spellEnd"/>
      <w:r w:rsidRPr="00824213">
        <w:rPr>
          <w:rFonts w:ascii="Arial" w:hAnsi="Arial" w:cs="Arial"/>
          <w:lang w:val="en-IN"/>
        </w:rPr>
        <w:t xml:space="preserve"> and </w:t>
      </w:r>
      <w:proofErr w:type="spellStart"/>
      <w:r w:rsidRPr="00824213">
        <w:rPr>
          <w:rFonts w:ascii="Arial" w:hAnsi="Arial" w:cs="Arial"/>
          <w:lang w:val="en-IN"/>
        </w:rPr>
        <w:t>Baraik</w:t>
      </w:r>
      <w:proofErr w:type="spellEnd"/>
      <w:r w:rsidRPr="00824213">
        <w:rPr>
          <w:rFonts w:ascii="Arial" w:hAnsi="Arial" w:cs="Arial"/>
          <w:lang w:val="en-IN"/>
        </w:rPr>
        <w:t xml:space="preserve">, 2019). Both abiotic and biotic variables </w:t>
      </w:r>
      <w:r w:rsidRPr="00D6766F">
        <w:rPr>
          <w:rFonts w:ascii="Arial" w:hAnsi="Arial" w:cs="Arial"/>
          <w:strike/>
          <w:lang w:val="en-IN"/>
        </w:rPr>
        <w:t>are known to</w:t>
      </w:r>
      <w:r w:rsidRPr="00824213">
        <w:rPr>
          <w:rFonts w:ascii="Arial" w:hAnsi="Arial" w:cs="Arial"/>
          <w:lang w:val="en-IN"/>
        </w:rPr>
        <w:t xml:space="preserve"> play a key role in promoting the synthesis of secondary metabolites in medicinal herbs (Ramakrishna and Ravishankar, 2011). In light of the above fact</w:t>
      </w:r>
      <w:r w:rsidR="00D6766F" w:rsidRPr="00D6766F">
        <w:rPr>
          <w:rFonts w:ascii="Arial" w:hAnsi="Arial" w:cs="Arial"/>
          <w:highlight w:val="yellow"/>
          <w:lang w:val="en-IN"/>
        </w:rPr>
        <w:t>,</w:t>
      </w:r>
      <w:r w:rsidRPr="00824213">
        <w:rPr>
          <w:rFonts w:ascii="Arial" w:hAnsi="Arial" w:cs="Arial"/>
          <w:lang w:val="en-IN"/>
        </w:rPr>
        <w:t xml:space="preserve"> the present study was undertaken on</w:t>
      </w:r>
      <w:r w:rsidR="00D6766F">
        <w:rPr>
          <w:rFonts w:ascii="Arial" w:hAnsi="Arial" w:cs="Arial"/>
          <w:lang w:val="en-IN"/>
        </w:rPr>
        <w:t xml:space="preserve"> </w:t>
      </w:r>
      <w:r w:rsidR="00D6766F" w:rsidRPr="00D6766F">
        <w:rPr>
          <w:rFonts w:ascii="Arial" w:hAnsi="Arial" w:cs="Arial"/>
          <w:highlight w:val="yellow"/>
          <w:lang w:val="en-IN"/>
        </w:rPr>
        <w:t>the</w:t>
      </w:r>
      <w:r w:rsidRPr="00824213">
        <w:rPr>
          <w:rFonts w:ascii="Arial" w:hAnsi="Arial" w:cs="Arial"/>
          <w:lang w:val="en-IN"/>
        </w:rPr>
        <w:t xml:space="preserve"> </w:t>
      </w:r>
      <w:proofErr w:type="spellStart"/>
      <w:r w:rsidRPr="00824213">
        <w:rPr>
          <w:rFonts w:ascii="Arial" w:hAnsi="Arial" w:cs="Arial"/>
          <w:i/>
          <w:iCs/>
          <w:lang w:val="en-IN"/>
        </w:rPr>
        <w:t>Bacopa</w:t>
      </w:r>
      <w:proofErr w:type="spellEnd"/>
      <w:r w:rsidRPr="00824213">
        <w:rPr>
          <w:rFonts w:ascii="Arial" w:hAnsi="Arial" w:cs="Arial"/>
          <w:iCs/>
          <w:lang w:val="en-IN"/>
        </w:rPr>
        <w:t xml:space="preserve"> plant</w:t>
      </w:r>
      <w:r w:rsidRPr="00824213">
        <w:rPr>
          <w:rFonts w:ascii="Arial" w:hAnsi="Arial" w:cs="Arial"/>
          <w:i/>
          <w:iCs/>
          <w:lang w:val="en-IN"/>
        </w:rPr>
        <w:t xml:space="preserve"> </w:t>
      </w:r>
      <w:r w:rsidRPr="00D6766F">
        <w:rPr>
          <w:rFonts w:ascii="Arial" w:hAnsi="Arial" w:cs="Arial"/>
          <w:strike/>
          <w:lang w:val="en-IN"/>
        </w:rPr>
        <w:t>with the aim</w:t>
      </w:r>
      <w:r w:rsidRPr="00824213">
        <w:rPr>
          <w:rFonts w:ascii="Arial" w:hAnsi="Arial" w:cs="Arial"/>
          <w:lang w:val="en-IN"/>
        </w:rPr>
        <w:t xml:space="preserve"> to study the</w:t>
      </w:r>
      <w:r w:rsidRPr="00824213">
        <w:rPr>
          <w:rFonts w:ascii="Arial" w:hAnsi="Arial" w:cs="Arial"/>
          <w:i/>
          <w:iCs/>
          <w:lang w:val="en-IN"/>
        </w:rPr>
        <w:t> </w:t>
      </w:r>
      <w:r w:rsidRPr="00824213">
        <w:rPr>
          <w:rFonts w:ascii="Arial" w:hAnsi="Arial" w:cs="Arial"/>
          <w:lang w:val="en-IN"/>
        </w:rPr>
        <w:t xml:space="preserve">response of this plant to salinity and drought stress by examining the physiological and biochemical changes </w:t>
      </w:r>
      <w:r w:rsidRPr="00D6766F">
        <w:rPr>
          <w:rFonts w:ascii="Arial" w:hAnsi="Arial" w:cs="Arial"/>
          <w:strike/>
          <w:lang w:val="en-IN"/>
        </w:rPr>
        <w:t>on</w:t>
      </w:r>
      <w:r w:rsidRPr="00824213">
        <w:rPr>
          <w:rFonts w:ascii="Arial" w:hAnsi="Arial" w:cs="Arial"/>
          <w:lang w:val="en-IN"/>
        </w:rPr>
        <w:t xml:space="preserve"> </w:t>
      </w:r>
      <w:r w:rsidR="00D6766F" w:rsidRPr="00D6766F">
        <w:rPr>
          <w:rFonts w:ascii="Arial" w:hAnsi="Arial" w:cs="Arial"/>
          <w:highlight w:val="yellow"/>
          <w:lang w:val="en-IN"/>
        </w:rPr>
        <w:t>in</w:t>
      </w:r>
      <w:r w:rsidR="00D6766F">
        <w:rPr>
          <w:rFonts w:ascii="Arial" w:hAnsi="Arial" w:cs="Arial"/>
          <w:lang w:val="en-IN"/>
        </w:rPr>
        <w:t xml:space="preserve"> </w:t>
      </w:r>
      <w:r w:rsidRPr="00824213">
        <w:rPr>
          <w:rFonts w:ascii="Arial" w:hAnsi="Arial" w:cs="Arial"/>
          <w:lang w:val="en-IN"/>
        </w:rPr>
        <w:t>plant leaves after subjecting to different level</w:t>
      </w:r>
      <w:r w:rsidR="00D6766F">
        <w:rPr>
          <w:rFonts w:ascii="Arial" w:hAnsi="Arial" w:cs="Arial"/>
          <w:lang w:val="en-IN"/>
        </w:rPr>
        <w:t>s</w:t>
      </w:r>
      <w:r w:rsidRPr="00824213">
        <w:rPr>
          <w:rFonts w:ascii="Arial" w:hAnsi="Arial" w:cs="Arial"/>
          <w:lang w:val="en-IN"/>
        </w:rPr>
        <w:t xml:space="preserve"> of NaCl and PEG solution.</w:t>
      </w:r>
    </w:p>
    <w:p w14:paraId="09575A10" w14:textId="77777777" w:rsidR="00790ADA" w:rsidRPr="00FB3A86" w:rsidRDefault="00790ADA" w:rsidP="00441B6F">
      <w:pPr>
        <w:pStyle w:val="Body"/>
        <w:spacing w:after="0"/>
        <w:rPr>
          <w:rFonts w:ascii="Arial" w:hAnsi="Arial" w:cs="Arial"/>
        </w:rPr>
      </w:pPr>
    </w:p>
    <w:p w14:paraId="7726CEE2" w14:textId="77777777" w:rsidR="007F7B32" w:rsidRDefault="00902823" w:rsidP="00441B6F">
      <w:pPr>
        <w:pStyle w:val="AbstHead"/>
        <w:spacing w:after="0"/>
        <w:jc w:val="both"/>
        <w:rPr>
          <w:rFonts w:ascii="Arial" w:hAnsi="Arial" w:cs="Arial"/>
        </w:rPr>
      </w:pPr>
      <w:r>
        <w:rPr>
          <w:rFonts w:ascii="Arial" w:hAnsi="Arial" w:cs="Arial"/>
        </w:rPr>
        <w:t>2. material and method</w:t>
      </w:r>
      <w:r w:rsidR="00D40465">
        <w:rPr>
          <w:rFonts w:ascii="Arial" w:hAnsi="Arial" w:cs="Arial"/>
        </w:rPr>
        <w:t>s</w:t>
      </w:r>
    </w:p>
    <w:p w14:paraId="26DBA159" w14:textId="77777777" w:rsidR="00790ADA" w:rsidRPr="00FB3A86" w:rsidRDefault="00790ADA" w:rsidP="00441B6F">
      <w:pPr>
        <w:pStyle w:val="Body"/>
        <w:spacing w:after="0"/>
        <w:rPr>
          <w:rFonts w:ascii="Arial" w:hAnsi="Arial" w:cs="Arial"/>
        </w:rPr>
      </w:pPr>
    </w:p>
    <w:p w14:paraId="52C9A6BA" w14:textId="1E2D6AF3" w:rsidR="00D40465" w:rsidRPr="00D40465" w:rsidRDefault="00D40465" w:rsidP="00D40465">
      <w:pPr>
        <w:pStyle w:val="Body"/>
        <w:numPr>
          <w:ilvl w:val="1"/>
          <w:numId w:val="31"/>
        </w:numPr>
        <w:rPr>
          <w:rFonts w:ascii="Arial" w:hAnsi="Arial" w:cs="Arial"/>
          <w:lang w:val="en-IN"/>
        </w:rPr>
      </w:pPr>
      <w:r w:rsidRPr="00D40465">
        <w:rPr>
          <w:rFonts w:ascii="Arial" w:hAnsi="Arial" w:cs="Arial"/>
          <w:b/>
          <w:lang w:val="en-IN"/>
        </w:rPr>
        <w:t xml:space="preserve">Collection of the plant: </w:t>
      </w:r>
      <w:r w:rsidRPr="00D40465">
        <w:rPr>
          <w:rFonts w:ascii="Arial" w:hAnsi="Arial" w:cs="Arial"/>
          <w:lang w:val="en-IN"/>
        </w:rPr>
        <w:t>First</w:t>
      </w:r>
      <w:r w:rsidR="00D6766F">
        <w:rPr>
          <w:rFonts w:ascii="Arial" w:hAnsi="Arial" w:cs="Arial"/>
          <w:lang w:val="en-IN"/>
        </w:rPr>
        <w:t>,</w:t>
      </w:r>
      <w:r w:rsidRPr="00D40465">
        <w:rPr>
          <w:rFonts w:ascii="Arial" w:hAnsi="Arial" w:cs="Arial"/>
          <w:lang w:val="en-IN"/>
        </w:rPr>
        <w:t xml:space="preserve"> the fresh plant of </w:t>
      </w:r>
      <w:proofErr w:type="spellStart"/>
      <w:r w:rsidRPr="00D40465">
        <w:rPr>
          <w:rFonts w:ascii="Arial" w:hAnsi="Arial" w:cs="Arial"/>
          <w:i/>
          <w:lang w:val="en-IN"/>
        </w:rPr>
        <w:t>Bacopa</w:t>
      </w:r>
      <w:proofErr w:type="spellEnd"/>
      <w:r w:rsidRPr="00D40465">
        <w:rPr>
          <w:rFonts w:ascii="Arial" w:hAnsi="Arial" w:cs="Arial"/>
          <w:i/>
          <w:lang w:val="en-IN"/>
        </w:rPr>
        <w:t xml:space="preserve"> </w:t>
      </w:r>
      <w:proofErr w:type="spellStart"/>
      <w:r w:rsidRPr="00D40465">
        <w:rPr>
          <w:rFonts w:ascii="Arial" w:hAnsi="Arial" w:cs="Arial"/>
          <w:i/>
          <w:lang w:val="en-IN"/>
        </w:rPr>
        <w:t>monnieri</w:t>
      </w:r>
      <w:proofErr w:type="spellEnd"/>
      <w:r w:rsidRPr="00D40465">
        <w:rPr>
          <w:rFonts w:ascii="Arial" w:hAnsi="Arial" w:cs="Arial"/>
          <w:i/>
          <w:lang w:val="en-IN"/>
        </w:rPr>
        <w:t xml:space="preserve"> </w:t>
      </w:r>
      <w:r w:rsidRPr="00D6766F">
        <w:rPr>
          <w:rFonts w:ascii="Arial" w:hAnsi="Arial" w:cs="Arial"/>
          <w:strike/>
          <w:lang w:val="en-IN"/>
        </w:rPr>
        <w:t>were</w:t>
      </w:r>
      <w:r w:rsidRPr="00D40465">
        <w:rPr>
          <w:rFonts w:ascii="Arial" w:hAnsi="Arial" w:cs="Arial"/>
          <w:lang w:val="en-IN"/>
        </w:rPr>
        <w:t xml:space="preserve"> </w:t>
      </w:r>
      <w:r w:rsidR="00D6766F" w:rsidRPr="00D6766F">
        <w:rPr>
          <w:rFonts w:ascii="Arial" w:hAnsi="Arial" w:cs="Arial"/>
          <w:highlight w:val="yellow"/>
          <w:lang w:val="en-IN"/>
        </w:rPr>
        <w:t>was</w:t>
      </w:r>
      <w:r w:rsidR="00D6766F">
        <w:rPr>
          <w:rFonts w:ascii="Arial" w:hAnsi="Arial" w:cs="Arial"/>
          <w:lang w:val="en-IN"/>
        </w:rPr>
        <w:t xml:space="preserve"> </w:t>
      </w:r>
      <w:r w:rsidRPr="00D40465">
        <w:rPr>
          <w:rFonts w:ascii="Arial" w:hAnsi="Arial" w:cs="Arial"/>
          <w:lang w:val="en-IN"/>
        </w:rPr>
        <w:t xml:space="preserve">collected from the </w:t>
      </w:r>
      <w:proofErr w:type="spellStart"/>
      <w:r w:rsidRPr="00D40465">
        <w:rPr>
          <w:rFonts w:ascii="Arial" w:hAnsi="Arial" w:cs="Arial"/>
          <w:lang w:val="en-IN"/>
        </w:rPr>
        <w:t>Hatma</w:t>
      </w:r>
      <w:proofErr w:type="spellEnd"/>
      <w:r w:rsidRPr="00D40465">
        <w:rPr>
          <w:rFonts w:ascii="Arial" w:hAnsi="Arial" w:cs="Arial"/>
          <w:lang w:val="en-IN"/>
        </w:rPr>
        <w:t xml:space="preserve"> locality situated behind the DSPM University, Ranchi campus. The plant</w:t>
      </w:r>
      <w:r w:rsidR="00D6766F">
        <w:rPr>
          <w:rFonts w:ascii="Arial" w:hAnsi="Arial" w:cs="Arial"/>
          <w:lang w:val="en-IN"/>
        </w:rPr>
        <w:t>s</w:t>
      </w:r>
      <w:r w:rsidRPr="00D40465">
        <w:rPr>
          <w:rFonts w:ascii="Arial" w:hAnsi="Arial" w:cs="Arial"/>
          <w:lang w:val="en-IN"/>
        </w:rPr>
        <w:t xml:space="preserve"> were then planted and maintained in the sandy soil of the garden for further experiment.</w:t>
      </w:r>
    </w:p>
    <w:p w14:paraId="1D0E0DC8" w14:textId="6C64CA0C" w:rsidR="00D40465" w:rsidRPr="00D40465" w:rsidRDefault="00D40465" w:rsidP="00D40465">
      <w:pPr>
        <w:pStyle w:val="Body"/>
        <w:numPr>
          <w:ilvl w:val="1"/>
          <w:numId w:val="31"/>
        </w:numPr>
        <w:rPr>
          <w:rFonts w:ascii="Arial" w:hAnsi="Arial" w:cs="Arial"/>
          <w:lang w:val="en-IN"/>
        </w:rPr>
      </w:pPr>
      <w:r w:rsidRPr="00D40465">
        <w:rPr>
          <w:rFonts w:ascii="Arial" w:hAnsi="Arial" w:cs="Arial"/>
          <w:b/>
          <w:lang w:val="en-IN"/>
        </w:rPr>
        <w:t>Establishment of potted plant and stress treatment:</w:t>
      </w:r>
      <w:r w:rsidRPr="00D40465">
        <w:rPr>
          <w:rFonts w:ascii="Arial" w:hAnsi="Arial" w:cs="Arial"/>
          <w:lang w:val="en-IN"/>
        </w:rPr>
        <w:t xml:space="preserve"> The </w:t>
      </w:r>
      <w:r w:rsidRPr="00D40465">
        <w:rPr>
          <w:rFonts w:ascii="Arial" w:hAnsi="Arial" w:cs="Arial"/>
          <w:i/>
          <w:iCs/>
          <w:lang w:val="en-IN"/>
        </w:rPr>
        <w:t xml:space="preserve">B. </w:t>
      </w:r>
      <w:proofErr w:type="spellStart"/>
      <w:r w:rsidRPr="00D40465">
        <w:rPr>
          <w:rFonts w:ascii="Arial" w:hAnsi="Arial" w:cs="Arial"/>
          <w:i/>
          <w:iCs/>
          <w:lang w:val="en-IN"/>
        </w:rPr>
        <w:t>monnieri</w:t>
      </w:r>
      <w:proofErr w:type="spellEnd"/>
      <w:r w:rsidRPr="00D40465">
        <w:rPr>
          <w:rFonts w:ascii="Arial" w:hAnsi="Arial" w:cs="Arial"/>
          <w:lang w:val="en-IN"/>
        </w:rPr>
        <w:t xml:space="preserve"> runners of even length (6–8 cm) bearing at least 3–4 nodes were first kept </w:t>
      </w:r>
      <w:r w:rsidRPr="00D24F10">
        <w:rPr>
          <w:rFonts w:ascii="Arial" w:hAnsi="Arial" w:cs="Arial"/>
          <w:strike/>
          <w:lang w:val="en-IN"/>
        </w:rPr>
        <w:t>into the</w:t>
      </w:r>
      <w:r w:rsidRPr="00D40465">
        <w:rPr>
          <w:rFonts w:ascii="Arial" w:hAnsi="Arial" w:cs="Arial"/>
          <w:lang w:val="en-IN"/>
        </w:rPr>
        <w:t xml:space="preserve"> </w:t>
      </w:r>
      <w:r w:rsidR="00D24F10" w:rsidRPr="00D24F10">
        <w:rPr>
          <w:rFonts w:ascii="Arial" w:hAnsi="Arial" w:cs="Arial"/>
          <w:highlight w:val="yellow"/>
          <w:lang w:val="en-IN"/>
        </w:rPr>
        <w:t>in</w:t>
      </w:r>
      <w:r w:rsidR="00D24F10">
        <w:rPr>
          <w:rFonts w:ascii="Arial" w:hAnsi="Arial" w:cs="Arial"/>
          <w:lang w:val="en-IN"/>
        </w:rPr>
        <w:t xml:space="preserve"> </w:t>
      </w:r>
      <w:r w:rsidRPr="00D40465">
        <w:rPr>
          <w:rFonts w:ascii="Arial" w:hAnsi="Arial" w:cs="Arial"/>
          <w:lang w:val="en-IN"/>
        </w:rPr>
        <w:t xml:space="preserve">sterile water for the propagation of root. Once root growths were observed, plants of even length along with roots were transplanted to the experimental pots containing 0.5 kg of sandy soil </w:t>
      </w:r>
      <w:r w:rsidRPr="00D24F10">
        <w:rPr>
          <w:rFonts w:ascii="Arial" w:hAnsi="Arial" w:cs="Arial"/>
          <w:strike/>
          <w:lang w:val="en-IN"/>
        </w:rPr>
        <w:t>consisted</w:t>
      </w:r>
      <w:r w:rsidRPr="00D40465">
        <w:rPr>
          <w:rFonts w:ascii="Arial" w:hAnsi="Arial" w:cs="Arial"/>
          <w:lang w:val="en-IN"/>
        </w:rPr>
        <w:t xml:space="preserve"> </w:t>
      </w:r>
      <w:r w:rsidR="00D24F10" w:rsidRPr="00D24F10">
        <w:rPr>
          <w:rFonts w:ascii="Arial" w:hAnsi="Arial" w:cs="Arial"/>
          <w:highlight w:val="yellow"/>
          <w:lang w:val="en-IN"/>
        </w:rPr>
        <w:t>consisting</w:t>
      </w:r>
      <w:r w:rsidR="00D24F10">
        <w:rPr>
          <w:rFonts w:ascii="Arial" w:hAnsi="Arial" w:cs="Arial"/>
          <w:lang w:val="en-IN"/>
        </w:rPr>
        <w:t xml:space="preserve"> </w:t>
      </w:r>
      <w:r w:rsidRPr="00D40465">
        <w:rPr>
          <w:rFonts w:ascii="Arial" w:hAnsi="Arial" w:cs="Arial"/>
          <w:lang w:val="en-IN"/>
        </w:rPr>
        <w:t xml:space="preserve">of sandy loam soil: vermicompost (3:1 w/w). The plants were further maintained in the University garden and watered daily for 15 days. </w:t>
      </w:r>
      <w:r w:rsidRPr="00D40465">
        <w:rPr>
          <w:rFonts w:ascii="Arial" w:hAnsi="Arial" w:cs="Arial"/>
          <w:bCs/>
          <w:lang w:val="en-IN"/>
        </w:rPr>
        <w:t xml:space="preserve">After this period, they were treated with 0 mM (control), 50 mM, 100 </w:t>
      </w:r>
      <w:proofErr w:type="spellStart"/>
      <w:r w:rsidRPr="00D40465">
        <w:rPr>
          <w:rFonts w:ascii="Arial" w:hAnsi="Arial" w:cs="Arial"/>
          <w:bCs/>
          <w:lang w:val="en-IN"/>
        </w:rPr>
        <w:t>mM</w:t>
      </w:r>
      <w:proofErr w:type="spellEnd"/>
      <w:r w:rsidRPr="00D40465">
        <w:rPr>
          <w:rFonts w:ascii="Arial" w:hAnsi="Arial" w:cs="Arial"/>
          <w:bCs/>
          <w:lang w:val="en-IN"/>
        </w:rPr>
        <w:t xml:space="preserve">, 150mM </w:t>
      </w:r>
      <w:r w:rsidR="00D24F10">
        <w:rPr>
          <w:rFonts w:ascii="Arial" w:hAnsi="Arial" w:cs="Arial"/>
          <w:bCs/>
          <w:lang w:val="en-IN"/>
        </w:rPr>
        <w:t xml:space="preserve">and </w:t>
      </w:r>
      <w:r w:rsidRPr="00D40465">
        <w:rPr>
          <w:rFonts w:ascii="Arial" w:hAnsi="Arial" w:cs="Arial"/>
          <w:bCs/>
          <w:lang w:val="en-IN"/>
        </w:rPr>
        <w:t xml:space="preserve">200 </w:t>
      </w:r>
      <w:proofErr w:type="spellStart"/>
      <w:r w:rsidRPr="00D40465">
        <w:rPr>
          <w:rFonts w:ascii="Arial" w:hAnsi="Arial" w:cs="Arial"/>
          <w:bCs/>
          <w:lang w:val="en-IN"/>
        </w:rPr>
        <w:t>mM</w:t>
      </w:r>
      <w:proofErr w:type="spellEnd"/>
      <w:r w:rsidRPr="00D40465">
        <w:rPr>
          <w:rFonts w:ascii="Arial" w:hAnsi="Arial" w:cs="Arial"/>
          <w:bCs/>
          <w:lang w:val="en-IN"/>
        </w:rPr>
        <w:t>, and 250mM NaCl, as well as with PEG 6000 solutions at concentrations of 0% (control), 5%, 10%, 15%, and 20% in water for a week. All experiments were performed in triplicates.</w:t>
      </w:r>
    </w:p>
    <w:p w14:paraId="3F336DD3" w14:textId="77777777" w:rsidR="00D40465" w:rsidRPr="00D40465" w:rsidRDefault="00D40465" w:rsidP="00D40465">
      <w:pPr>
        <w:pStyle w:val="Body"/>
        <w:numPr>
          <w:ilvl w:val="1"/>
          <w:numId w:val="31"/>
        </w:numPr>
        <w:spacing w:after="0"/>
        <w:rPr>
          <w:rFonts w:ascii="Arial" w:hAnsi="Arial" w:cs="Arial"/>
          <w:lang w:val="en-IN"/>
        </w:rPr>
      </w:pPr>
      <w:r w:rsidRPr="00D40465">
        <w:rPr>
          <w:rFonts w:ascii="Arial" w:hAnsi="Arial" w:cs="Arial"/>
          <w:b/>
          <w:bCs/>
          <w:lang w:val="en-IN"/>
        </w:rPr>
        <w:t>Physiological and biochemical analysis:</w:t>
      </w:r>
      <w:r w:rsidRPr="00D40465">
        <w:rPr>
          <w:rFonts w:ascii="Arial" w:hAnsi="Arial" w:cs="Arial"/>
          <w:bCs/>
          <w:lang w:val="en-IN"/>
        </w:rPr>
        <w:t xml:space="preserve"> Following the treatments, the plants were used for further analysis of relative water content (RWC), Membrane Stability Index (MSI), proline, β-carotene, malondialdehyde (MDA), total phenolic content and flavonoid content.</w:t>
      </w:r>
    </w:p>
    <w:p w14:paraId="33090C06" w14:textId="784EF4E2" w:rsidR="00D40465" w:rsidRPr="00D40465" w:rsidRDefault="00D40465" w:rsidP="00D40465">
      <w:pPr>
        <w:pStyle w:val="Body"/>
        <w:numPr>
          <w:ilvl w:val="2"/>
          <w:numId w:val="33"/>
        </w:numPr>
        <w:spacing w:after="0"/>
        <w:rPr>
          <w:rFonts w:ascii="Arial" w:hAnsi="Arial" w:cs="Arial"/>
          <w:b/>
          <w:lang w:val="en-IN"/>
        </w:rPr>
      </w:pPr>
      <w:r w:rsidRPr="00D40465">
        <w:rPr>
          <w:rFonts w:ascii="Arial" w:hAnsi="Arial" w:cs="Arial"/>
          <w:lang w:val="en-IN"/>
        </w:rPr>
        <w:t>Relative water content:</w:t>
      </w:r>
      <w:r w:rsidRPr="00D40465">
        <w:rPr>
          <w:rFonts w:ascii="Arial" w:hAnsi="Arial" w:cs="Arial"/>
          <w:b/>
          <w:lang w:val="en-IN"/>
        </w:rPr>
        <w:t xml:space="preserve"> </w:t>
      </w:r>
      <w:r w:rsidRPr="00D40465">
        <w:rPr>
          <w:rFonts w:ascii="Arial" w:hAnsi="Arial" w:cs="Arial"/>
          <w:lang w:val="en-IN"/>
        </w:rPr>
        <w:t xml:space="preserve">Leaf relative water content (RWC) was determined according to </w:t>
      </w:r>
      <w:proofErr w:type="spellStart"/>
      <w:r w:rsidRPr="00D40465">
        <w:rPr>
          <w:rFonts w:ascii="Arial" w:hAnsi="Arial" w:cs="Arial"/>
          <w:lang w:val="en-IN"/>
        </w:rPr>
        <w:t>Galmes</w:t>
      </w:r>
      <w:proofErr w:type="spellEnd"/>
      <w:r w:rsidRPr="00D40465">
        <w:rPr>
          <w:rFonts w:ascii="Arial" w:hAnsi="Arial" w:cs="Arial"/>
          <w:lang w:val="en-IN"/>
        </w:rPr>
        <w:t xml:space="preserve"> </w:t>
      </w:r>
      <w:r w:rsidRPr="00D40465">
        <w:rPr>
          <w:rFonts w:ascii="Arial" w:hAnsi="Arial" w:cs="Arial"/>
          <w:iCs/>
          <w:lang w:val="en-IN"/>
        </w:rPr>
        <w:t>et al. (2007)</w:t>
      </w:r>
      <w:r w:rsidRPr="00D40465">
        <w:rPr>
          <w:rFonts w:ascii="Arial" w:hAnsi="Arial" w:cs="Arial"/>
          <w:lang w:val="en-IN"/>
        </w:rPr>
        <w:t>. Fully expanded young leaves from each treatment were weighed to obtain fresh leaf weight. Immediately leaves were hydrated by floating on de-ionized water in a closed petri dish.  After hydration</w:t>
      </w:r>
      <w:r w:rsidR="00D24F10">
        <w:rPr>
          <w:rFonts w:ascii="Arial" w:hAnsi="Arial" w:cs="Arial"/>
          <w:lang w:val="en-IN"/>
        </w:rPr>
        <w:t>,</w:t>
      </w:r>
      <w:r w:rsidRPr="00D40465">
        <w:rPr>
          <w:rFonts w:ascii="Arial" w:hAnsi="Arial" w:cs="Arial"/>
          <w:lang w:val="en-IN"/>
        </w:rPr>
        <w:t xml:space="preserve"> turgid weight</w:t>
      </w:r>
      <w:r w:rsidR="00D24F10" w:rsidRPr="00D24F10">
        <w:rPr>
          <w:rFonts w:ascii="Arial" w:hAnsi="Arial" w:cs="Arial"/>
          <w:highlight w:val="yellow"/>
          <w:lang w:val="en-IN"/>
        </w:rPr>
        <w:t>s</w:t>
      </w:r>
      <w:r w:rsidRPr="00D40465">
        <w:rPr>
          <w:rFonts w:ascii="Arial" w:hAnsi="Arial" w:cs="Arial"/>
          <w:lang w:val="en-IN"/>
        </w:rPr>
        <w:t xml:space="preserve"> were taken and oven</w:t>
      </w:r>
      <w:r w:rsidR="00D24F10">
        <w:rPr>
          <w:rFonts w:ascii="Arial" w:hAnsi="Arial" w:cs="Arial"/>
          <w:lang w:val="en-IN"/>
        </w:rPr>
        <w:t>-</w:t>
      </w:r>
      <w:r w:rsidRPr="00D40465">
        <w:rPr>
          <w:rFonts w:ascii="Arial" w:hAnsi="Arial" w:cs="Arial"/>
          <w:lang w:val="en-IN"/>
        </w:rPr>
        <w:t xml:space="preserve"> </w:t>
      </w:r>
      <w:r w:rsidR="00D24F10">
        <w:rPr>
          <w:rFonts w:ascii="Arial" w:hAnsi="Arial" w:cs="Arial"/>
          <w:lang w:val="en-IN"/>
        </w:rPr>
        <w:t xml:space="preserve">dried at 70˚C for 48hr. Finally, </w:t>
      </w:r>
      <w:r w:rsidRPr="00D40465">
        <w:rPr>
          <w:rFonts w:ascii="Arial" w:hAnsi="Arial" w:cs="Arial"/>
          <w:lang w:val="en-IN"/>
        </w:rPr>
        <w:t xml:space="preserve">dry weight of </w:t>
      </w:r>
      <w:r w:rsidR="00D24F10" w:rsidRPr="00D24F10">
        <w:rPr>
          <w:rFonts w:ascii="Arial" w:hAnsi="Arial" w:cs="Arial"/>
          <w:highlight w:val="yellow"/>
          <w:lang w:val="en-IN"/>
        </w:rPr>
        <w:t>the</w:t>
      </w:r>
      <w:r w:rsidR="00D24F10">
        <w:rPr>
          <w:rFonts w:ascii="Arial" w:hAnsi="Arial" w:cs="Arial"/>
          <w:lang w:val="en-IN"/>
        </w:rPr>
        <w:t xml:space="preserve"> </w:t>
      </w:r>
      <w:r w:rsidRPr="00D40465">
        <w:rPr>
          <w:rFonts w:ascii="Arial" w:hAnsi="Arial" w:cs="Arial"/>
          <w:lang w:val="en-IN"/>
        </w:rPr>
        <w:t>leaves was measured. Leaf relative water content was calculated according to the equation:</w:t>
      </w:r>
    </w:p>
    <w:p w14:paraId="7D1F09E2" w14:textId="77777777" w:rsidR="00D40465" w:rsidRPr="00D40465" w:rsidRDefault="00D40465" w:rsidP="00D40465">
      <w:pPr>
        <w:pStyle w:val="Body"/>
        <w:spacing w:after="0"/>
        <w:rPr>
          <w:rFonts w:ascii="Arial" w:hAnsi="Arial" w:cs="Arial"/>
          <w:lang w:val="en-IN"/>
        </w:rPr>
      </w:pPr>
      <w:r w:rsidRPr="00D40465">
        <w:rPr>
          <w:rFonts w:ascii="Arial" w:hAnsi="Arial" w:cs="Arial"/>
          <w:lang w:val="en-IN"/>
        </w:rPr>
        <w:t>RWC (%) = (Fresh weight - Dry weight /Turgid weight - Dry weight) ×100</w:t>
      </w:r>
    </w:p>
    <w:p w14:paraId="2ACB1CC9" w14:textId="77777777" w:rsidR="00D40465" w:rsidRPr="00D40465" w:rsidRDefault="00D40465" w:rsidP="00D40465">
      <w:pPr>
        <w:pStyle w:val="Body"/>
        <w:numPr>
          <w:ilvl w:val="2"/>
          <w:numId w:val="33"/>
        </w:numPr>
        <w:spacing w:after="0"/>
        <w:rPr>
          <w:rFonts w:ascii="Arial" w:hAnsi="Arial" w:cs="Arial"/>
          <w:lang w:val="en-IN"/>
        </w:rPr>
      </w:pPr>
      <w:r w:rsidRPr="00D40465">
        <w:rPr>
          <w:rFonts w:ascii="Arial" w:hAnsi="Arial" w:cs="Arial"/>
          <w:bCs/>
          <w:lang w:val="en-IN"/>
        </w:rPr>
        <w:t>MSI (Membrane stability index):</w:t>
      </w:r>
      <w:r w:rsidRPr="00D40465">
        <w:rPr>
          <w:rFonts w:ascii="Arial" w:hAnsi="Arial" w:cs="Arial"/>
          <w:b/>
          <w:bCs/>
          <w:lang w:val="en-IN"/>
        </w:rPr>
        <w:t xml:space="preserve"> </w:t>
      </w:r>
      <w:r w:rsidRPr="00D40465">
        <w:rPr>
          <w:rFonts w:ascii="Arial" w:hAnsi="Arial" w:cs="Arial"/>
          <w:lang w:val="en-IN"/>
        </w:rPr>
        <w:t xml:space="preserve">Leaves membrane stability index (MSI) has been calculated using the protocol of </w:t>
      </w:r>
      <w:proofErr w:type="spellStart"/>
      <w:r w:rsidRPr="00D40465">
        <w:rPr>
          <w:rFonts w:ascii="Arial" w:hAnsi="Arial" w:cs="Arial"/>
          <w:lang w:val="en-IN"/>
        </w:rPr>
        <w:t>Premchandra</w:t>
      </w:r>
      <w:proofErr w:type="spellEnd"/>
      <w:r w:rsidRPr="00D40465">
        <w:rPr>
          <w:rFonts w:ascii="Arial" w:hAnsi="Arial" w:cs="Arial"/>
          <w:lang w:val="en-IN"/>
        </w:rPr>
        <w:t xml:space="preserve"> et al. (1990) as modified by Sairam (1994). 100 mg of leaves were carefully cleaned under running water, then rinsed with double-distilled water. The leaves were heated for 30 minutes at 40˚C in 10 ml of double-distilled water. The EC (Electrical Conductivity) meter was then used to measure electrical conductivity (C1). The same samples were then put in a boiling water bath (100˚C) for 10 minutes, and the electrical conductivity (C2) was also noted. The following formula was used to determine the membrane stability index:</w:t>
      </w:r>
    </w:p>
    <w:p w14:paraId="4D1C2442" w14:textId="77777777" w:rsidR="00D40465" w:rsidRPr="00D40465" w:rsidRDefault="00D40465" w:rsidP="00D40465">
      <w:pPr>
        <w:pStyle w:val="Body"/>
        <w:rPr>
          <w:rFonts w:ascii="Arial" w:hAnsi="Arial" w:cs="Arial"/>
          <w:lang w:val="en-IN"/>
        </w:rPr>
      </w:pPr>
      <w:r w:rsidRPr="00D40465">
        <w:rPr>
          <w:rFonts w:ascii="Arial" w:hAnsi="Arial" w:cs="Arial"/>
          <w:lang w:val="en-IN"/>
        </w:rPr>
        <w:t>Membrane stability index (MSI) = [1-(C</w:t>
      </w:r>
      <w:r w:rsidRPr="00D40465">
        <w:rPr>
          <w:rFonts w:ascii="Arial" w:hAnsi="Arial" w:cs="Arial"/>
          <w:vertAlign w:val="subscript"/>
          <w:lang w:val="en-IN"/>
        </w:rPr>
        <w:t>1</w:t>
      </w:r>
      <w:r w:rsidRPr="00D40465">
        <w:rPr>
          <w:rFonts w:ascii="Arial" w:hAnsi="Arial" w:cs="Arial"/>
          <w:lang w:val="en-IN"/>
        </w:rPr>
        <w:t>/C</w:t>
      </w:r>
      <w:r w:rsidRPr="00D40465">
        <w:rPr>
          <w:rFonts w:ascii="Arial" w:hAnsi="Arial" w:cs="Arial"/>
          <w:vertAlign w:val="subscript"/>
          <w:lang w:val="en-IN"/>
        </w:rPr>
        <w:t>2</w:t>
      </w:r>
      <w:r w:rsidRPr="00D40465">
        <w:rPr>
          <w:rFonts w:ascii="Arial" w:hAnsi="Arial" w:cs="Arial"/>
          <w:lang w:val="en-IN"/>
        </w:rPr>
        <w:t>)]100.</w:t>
      </w:r>
    </w:p>
    <w:p w14:paraId="02149A7D" w14:textId="30977B01" w:rsidR="003F384E" w:rsidRPr="00016846" w:rsidRDefault="00D40465" w:rsidP="003F384E">
      <w:pPr>
        <w:pStyle w:val="Body"/>
        <w:numPr>
          <w:ilvl w:val="2"/>
          <w:numId w:val="33"/>
        </w:numPr>
        <w:spacing w:after="0"/>
        <w:rPr>
          <w:rFonts w:ascii="Arial" w:hAnsi="Arial" w:cs="Arial"/>
          <w:lang w:val="en-IN"/>
        </w:rPr>
      </w:pPr>
      <w:r w:rsidRPr="00D40465">
        <w:rPr>
          <w:rFonts w:ascii="Arial" w:hAnsi="Arial" w:cs="Arial"/>
          <w:bCs/>
          <w:lang w:val="en-IN"/>
        </w:rPr>
        <w:lastRenderedPageBreak/>
        <w:t xml:space="preserve">Estimation of Proline content: </w:t>
      </w:r>
      <w:r w:rsidRPr="00D40465">
        <w:rPr>
          <w:rFonts w:ascii="Arial" w:hAnsi="Arial" w:cs="Arial"/>
          <w:lang w:val="en-IN"/>
        </w:rPr>
        <w:t xml:space="preserve">The proline content was determined using the method described by Bates et al. (1973). 0.5g of plant material (leaf) was homogenized in 5 ml of 3% </w:t>
      </w:r>
      <w:proofErr w:type="spellStart"/>
      <w:r w:rsidRPr="00D40465">
        <w:rPr>
          <w:rFonts w:ascii="Arial" w:hAnsi="Arial" w:cs="Arial"/>
          <w:lang w:val="en-IN"/>
        </w:rPr>
        <w:t>sulphosalicylic</w:t>
      </w:r>
      <w:proofErr w:type="spellEnd"/>
      <w:r w:rsidRPr="00D40465">
        <w:rPr>
          <w:rFonts w:ascii="Arial" w:hAnsi="Arial" w:cs="Arial"/>
          <w:lang w:val="en-IN"/>
        </w:rPr>
        <w:t xml:space="preserve"> acid and the residue was removed by centrifugation. 2 ml of the extract was thoroughly treated with 2 ml glacial acetic acid and 2 ml of Ninhydrin reagent (1.25 g Ninhydrin warmed in 30 ml glacial acetic acid and 20 ml 6 M phosphoric acid until dissolved) at 100˚C in a boiling water bath for 30 min. The reaction was then terminated instantly by dipping in an ice bath. The reaction mixture was extracted with 4 ml toluene. The chromophore containing toluene was warmed to room temperature and its optical density was measured at 520 nm in a spectrophotometer against a toluene blank. </w:t>
      </w:r>
      <w:proofErr w:type="spellStart"/>
      <w:r w:rsidRPr="00016846">
        <w:rPr>
          <w:rFonts w:ascii="Arial" w:hAnsi="Arial" w:cs="Arial"/>
          <w:lang w:val="en-IN"/>
        </w:rPr>
        <w:t>Proline</w:t>
      </w:r>
      <w:proofErr w:type="spellEnd"/>
      <w:r w:rsidRPr="00016846">
        <w:rPr>
          <w:rFonts w:ascii="Arial" w:hAnsi="Arial" w:cs="Arial"/>
          <w:lang w:val="en-IN"/>
        </w:rPr>
        <w:t xml:space="preserve"> levels were calculated using a standard curve that ranged from 20-100 </w:t>
      </w:r>
      <w:proofErr w:type="spellStart"/>
      <w:r w:rsidRPr="00016846">
        <w:rPr>
          <w:rFonts w:ascii="Arial" w:hAnsi="Arial" w:cs="Arial"/>
          <w:lang w:val="en-IN"/>
        </w:rPr>
        <w:t>μg</w:t>
      </w:r>
      <w:proofErr w:type="spellEnd"/>
      <w:r w:rsidRPr="00016846">
        <w:rPr>
          <w:rFonts w:ascii="Arial" w:hAnsi="Arial" w:cs="Arial"/>
          <w:lang w:val="en-IN"/>
        </w:rPr>
        <w:t>/ml.</w:t>
      </w:r>
    </w:p>
    <w:p w14:paraId="5B9C2F5B" w14:textId="012A160E" w:rsidR="00D40465" w:rsidRPr="00D40465" w:rsidRDefault="003F384E" w:rsidP="00016846">
      <w:pPr>
        <w:pStyle w:val="Body"/>
        <w:spacing w:after="0"/>
        <w:ind w:left="709" w:hanging="709"/>
        <w:rPr>
          <w:rFonts w:ascii="Arial" w:hAnsi="Arial" w:cs="Arial"/>
          <w:lang w:val="en-IN"/>
        </w:rPr>
      </w:pPr>
      <w:r>
        <w:rPr>
          <w:rFonts w:ascii="Arial" w:hAnsi="Arial" w:cs="Arial"/>
          <w:lang w:val="en-IN"/>
        </w:rPr>
        <w:t xml:space="preserve">2.3.4 </w:t>
      </w:r>
      <w:r w:rsidR="00D40465" w:rsidRPr="00D40465">
        <w:rPr>
          <w:rFonts w:ascii="Arial" w:hAnsi="Arial" w:cs="Arial"/>
          <w:lang w:val="en-IN"/>
        </w:rPr>
        <w:t xml:space="preserve">Determination of leaf </w:t>
      </w:r>
      <w:proofErr w:type="gramStart"/>
      <w:r w:rsidR="00D40465" w:rsidRPr="00D40465">
        <w:rPr>
          <w:rFonts w:ascii="Arial" w:hAnsi="Arial" w:cs="Arial"/>
          <w:lang w:val="en-IN"/>
        </w:rPr>
        <w:t>malondialdehyde(</w:t>
      </w:r>
      <w:proofErr w:type="gramEnd"/>
      <w:r w:rsidR="00D40465" w:rsidRPr="00D40465">
        <w:rPr>
          <w:rFonts w:ascii="Arial" w:hAnsi="Arial" w:cs="Arial"/>
          <w:lang w:val="en-IN"/>
        </w:rPr>
        <w:t>MDA):</w:t>
      </w:r>
      <w:r w:rsidR="00D40465" w:rsidRPr="00D40465">
        <w:rPr>
          <w:rFonts w:ascii="Arial" w:hAnsi="Arial" w:cs="Arial"/>
          <w:b/>
          <w:lang w:val="en-IN"/>
        </w:rPr>
        <w:t xml:space="preserve"> </w:t>
      </w:r>
      <w:r w:rsidR="00D40465" w:rsidRPr="00D40465">
        <w:rPr>
          <w:rFonts w:ascii="Arial" w:hAnsi="Arial" w:cs="Arial"/>
          <w:lang w:val="en-IN"/>
        </w:rPr>
        <w:t>The level of malondialdehyde (MDA) was determined using 2-thiobarbituric acid (TBA) based on the methods described by Hodges et al. (1999) and Sarkar and Oba (2018a). One gram of freshly ground Bacopa leaves was homogenized with 5 ml of 0.6% TBA in 10% trichloroacetic acid (TCA) using a pestle and mortar. The mixture was then heated at 100°C for 15 minutes, cooled on ice, and centrifuged at 5000 rpm for 10 minutes. The absorptions were recorded at 450, 532, and 600 nm, and the MDA content was calcul</w:t>
      </w:r>
      <w:r w:rsidR="00016846">
        <w:rPr>
          <w:rFonts w:ascii="Arial" w:hAnsi="Arial" w:cs="Arial"/>
          <w:lang w:val="en-IN"/>
        </w:rPr>
        <w:t xml:space="preserve">ated using the formula provided. </w:t>
      </w:r>
      <w:r w:rsidR="00D40465" w:rsidRPr="00D40465">
        <w:rPr>
          <w:rFonts w:ascii="Arial" w:hAnsi="Arial" w:cs="Arial"/>
          <w:lang w:val="en-IN"/>
        </w:rPr>
        <w:t>MDAμmolg</w:t>
      </w:r>
      <w:r w:rsidR="00D40465" w:rsidRPr="00D40465">
        <w:rPr>
          <w:rFonts w:ascii="Arial" w:hAnsi="Arial" w:cs="Arial"/>
          <w:vertAlign w:val="superscript"/>
          <w:lang w:val="en-IN"/>
        </w:rPr>
        <w:t>-1</w:t>
      </w:r>
      <w:r w:rsidR="00D40465" w:rsidRPr="00D40465">
        <w:rPr>
          <w:rFonts w:ascii="Arial" w:hAnsi="Arial" w:cs="Arial"/>
          <w:lang w:val="en-IN"/>
        </w:rPr>
        <w:t>FW = 6.45(OD532 - OD600) - 0.56 OD450</w:t>
      </w:r>
    </w:p>
    <w:p w14:paraId="11D1A46E" w14:textId="63BC42FD" w:rsidR="00D40465" w:rsidRPr="00D40465" w:rsidRDefault="000C5EAE" w:rsidP="00994B6C">
      <w:pPr>
        <w:pStyle w:val="Body"/>
        <w:ind w:left="709" w:hanging="709"/>
        <w:rPr>
          <w:rFonts w:ascii="Arial" w:hAnsi="Arial" w:cs="Arial"/>
          <w:lang w:val="en-IN"/>
        </w:rPr>
      </w:pPr>
      <w:proofErr w:type="gramStart"/>
      <w:r w:rsidRPr="000C5EAE">
        <w:rPr>
          <w:rFonts w:ascii="Arial" w:hAnsi="Arial" w:cs="Arial"/>
          <w:lang w:val="en-IN"/>
        </w:rPr>
        <w:t>2.3.5</w:t>
      </w:r>
      <w:r>
        <w:rPr>
          <w:rFonts w:ascii="Arial" w:hAnsi="Arial" w:cs="Arial"/>
          <w:lang w:val="en-IN"/>
        </w:rPr>
        <w:t xml:space="preserve"> </w:t>
      </w:r>
      <w:r>
        <w:rPr>
          <w:rFonts w:ascii="Arial" w:hAnsi="Arial" w:cs="Arial"/>
          <w:b/>
          <w:lang w:val="en-IN"/>
        </w:rPr>
        <w:t xml:space="preserve"> </w:t>
      </w:r>
      <w:r w:rsidR="00D40465" w:rsidRPr="003F384E">
        <w:rPr>
          <w:rFonts w:ascii="Arial" w:hAnsi="Arial" w:cs="Arial"/>
          <w:lang w:val="en-IN"/>
        </w:rPr>
        <w:t>β</w:t>
      </w:r>
      <w:proofErr w:type="gramEnd"/>
      <w:r w:rsidR="00D40465" w:rsidRPr="003F384E">
        <w:rPr>
          <w:rFonts w:ascii="Arial" w:hAnsi="Arial" w:cs="Arial"/>
          <w:lang w:val="en-IN"/>
        </w:rPr>
        <w:t xml:space="preserve">- Carotene: </w:t>
      </w:r>
      <w:r w:rsidR="00D40465" w:rsidRPr="00D40465">
        <w:rPr>
          <w:rFonts w:ascii="Arial" w:hAnsi="Arial" w:cs="Arial"/>
          <w:lang w:val="en-IN"/>
        </w:rPr>
        <w:t>The β-carotene content was determined following the procedure described by Sarker and Oba (2019a). A fresh leaf sample weighing 500 mg was homogenized using a mortar and pestle with 10 ml of 80% acetone. The sample was centrifuged at a speed of 10,000 rpm for</w:t>
      </w:r>
      <w:r w:rsidR="00DD6057">
        <w:rPr>
          <w:rFonts w:ascii="Arial" w:hAnsi="Arial" w:cs="Arial"/>
          <w:lang w:val="en-IN"/>
        </w:rPr>
        <w:t xml:space="preserve"> </w:t>
      </w:r>
      <w:r w:rsidR="00DD6057" w:rsidRPr="00DD6057">
        <w:rPr>
          <w:rFonts w:ascii="Arial" w:hAnsi="Arial" w:cs="Arial"/>
          <w:highlight w:val="yellow"/>
          <w:lang w:val="en-IN"/>
        </w:rPr>
        <w:t>a</w:t>
      </w:r>
      <w:r w:rsidR="00D40465" w:rsidRPr="00D40465">
        <w:rPr>
          <w:rFonts w:ascii="Arial" w:hAnsi="Arial" w:cs="Arial"/>
          <w:lang w:val="en-IN"/>
        </w:rPr>
        <w:t xml:space="preserve"> duration of 3–4 minutes. After removing the supernatant, the volume was adjusted to 20 ml by using a volumetric flask. Absorbance readings were taken at 510 nm and 480 nm using a spectrophotometer. The β-carotene content was expressed as micrograms per gram of fresh weight (</w:t>
      </w:r>
      <w:proofErr w:type="spellStart"/>
      <w:r w:rsidR="00D40465" w:rsidRPr="00D40465">
        <w:rPr>
          <w:rFonts w:ascii="Arial" w:hAnsi="Arial" w:cs="Arial"/>
          <w:lang w:val="en-IN"/>
        </w:rPr>
        <w:t>μg</w:t>
      </w:r>
      <w:proofErr w:type="spellEnd"/>
      <w:r w:rsidR="00D40465" w:rsidRPr="00D40465">
        <w:rPr>
          <w:rFonts w:ascii="Arial" w:hAnsi="Arial" w:cs="Arial"/>
          <w:lang w:val="en-IN"/>
        </w:rPr>
        <w:t xml:space="preserve"> g</w:t>
      </w:r>
      <w:r w:rsidR="00D40465" w:rsidRPr="00D40465">
        <w:rPr>
          <w:rFonts w:ascii="Cambria Math" w:hAnsi="Cambria Math" w:cs="Cambria Math"/>
          <w:lang w:val="en-IN"/>
        </w:rPr>
        <w:t>⁻</w:t>
      </w:r>
      <w:r w:rsidR="00D40465" w:rsidRPr="00D40465">
        <w:rPr>
          <w:rFonts w:ascii="Arial" w:hAnsi="Arial" w:cs="Arial"/>
          <w:lang w:val="en-IN"/>
        </w:rPr>
        <w:t>¹ FW) and calculated using the following formula</w:t>
      </w:r>
    </w:p>
    <w:p w14:paraId="329DD8CB" w14:textId="0C9EF97E" w:rsidR="00D40465" w:rsidRPr="00D40465" w:rsidRDefault="00FD6EC8" w:rsidP="00994B6C">
      <w:pPr>
        <w:pStyle w:val="Body"/>
        <w:ind w:left="709" w:hanging="709"/>
        <w:rPr>
          <w:rFonts w:ascii="Arial" w:hAnsi="Arial" w:cs="Arial"/>
          <w:lang w:val="en-IN"/>
        </w:rPr>
      </w:pPr>
      <w:r>
        <w:rPr>
          <w:rFonts w:ascii="Arial" w:hAnsi="Arial" w:cs="Arial"/>
          <w:lang w:val="en-IN"/>
        </w:rPr>
        <w:t xml:space="preserve">               </w:t>
      </w:r>
      <w:proofErr w:type="gramStart"/>
      <w:r w:rsidR="00D40465" w:rsidRPr="00D40465">
        <w:rPr>
          <w:rFonts w:ascii="Arial" w:hAnsi="Arial" w:cs="Arial"/>
          <w:lang w:val="en-IN"/>
        </w:rPr>
        <w:t>β-carotene</w:t>
      </w:r>
      <w:proofErr w:type="gramEnd"/>
      <w:r w:rsidR="00D40465" w:rsidRPr="00D40465">
        <w:rPr>
          <w:rFonts w:ascii="Arial" w:hAnsi="Arial" w:cs="Arial"/>
          <w:lang w:val="en-IN"/>
        </w:rPr>
        <w:t xml:space="preserve"> = 7.6 (Abs. at 480) − 1.49 (Abs. at 510) × Final volume/(1000 × fresh weight of leaf taken)</w:t>
      </w:r>
    </w:p>
    <w:p w14:paraId="6C92AC80" w14:textId="77777777" w:rsidR="00D40465" w:rsidRPr="00D40465" w:rsidRDefault="00D40465" w:rsidP="00D40465">
      <w:pPr>
        <w:pStyle w:val="Body"/>
        <w:rPr>
          <w:rFonts w:ascii="Arial" w:hAnsi="Arial" w:cs="Arial"/>
          <w:b/>
          <w:lang w:val="en-IN"/>
        </w:rPr>
      </w:pPr>
      <w:r w:rsidRPr="00D40465">
        <w:rPr>
          <w:rFonts w:ascii="Arial" w:hAnsi="Arial" w:cs="Arial"/>
          <w:b/>
          <w:lang w:val="en-IN"/>
        </w:rPr>
        <w:t>Samples extraction for total phenolic content (TPC) and total flavonoid content (TFC).</w:t>
      </w:r>
    </w:p>
    <w:p w14:paraId="51F092A6" w14:textId="034EDE5C" w:rsidR="00D40465" w:rsidRPr="00D40465" w:rsidRDefault="00D40465" w:rsidP="00D40465">
      <w:pPr>
        <w:pStyle w:val="Body"/>
        <w:rPr>
          <w:rFonts w:ascii="Arial" w:hAnsi="Arial" w:cs="Arial"/>
          <w:b/>
          <w:lang w:val="en-IN"/>
        </w:rPr>
      </w:pPr>
      <w:r w:rsidRPr="00D40465">
        <w:rPr>
          <w:rFonts w:ascii="Arial" w:hAnsi="Arial" w:cs="Arial"/>
          <w:i/>
          <w:lang w:val="en-IN"/>
        </w:rPr>
        <w:t>Bacopa</w:t>
      </w:r>
      <w:r w:rsidRPr="00D40465">
        <w:rPr>
          <w:rFonts w:ascii="Arial" w:hAnsi="Arial" w:cs="Arial"/>
          <w:lang w:val="en-IN"/>
        </w:rPr>
        <w:t xml:space="preserve"> plant leaves from each treatment were collected </w:t>
      </w:r>
      <w:r w:rsidR="00FD6EC8" w:rsidRPr="00FD6EC8">
        <w:rPr>
          <w:rFonts w:ascii="Arial" w:hAnsi="Arial" w:cs="Arial"/>
          <w:highlight w:val="yellow"/>
          <w:lang w:val="en-IN"/>
        </w:rPr>
        <w:t>and</w:t>
      </w:r>
      <w:r w:rsidR="00FD6EC8">
        <w:rPr>
          <w:rFonts w:ascii="Arial" w:hAnsi="Arial" w:cs="Arial"/>
          <w:lang w:val="en-IN"/>
        </w:rPr>
        <w:t xml:space="preserve"> </w:t>
      </w:r>
      <w:r w:rsidRPr="00D40465">
        <w:rPr>
          <w:rFonts w:ascii="Arial" w:hAnsi="Arial" w:cs="Arial"/>
          <w:lang w:val="en-IN"/>
        </w:rPr>
        <w:t xml:space="preserve">dried in the shade before being subjected to chemical analysis. One gram of ground dry leaves from all treatments was extracted using 40 ml of 90% aqueous methanol in a 100 ml vial that was tightly closed and shaken repeatedly for one hour. The extract was subsequently filtered </w:t>
      </w:r>
      <w:r w:rsidR="00FD6EC8" w:rsidRPr="00FD6EC8">
        <w:rPr>
          <w:rFonts w:ascii="Arial" w:hAnsi="Arial" w:cs="Arial"/>
          <w:highlight w:val="yellow"/>
          <w:lang w:val="en-IN"/>
        </w:rPr>
        <w:t>to detect</w:t>
      </w:r>
      <w:r w:rsidRPr="00D40465">
        <w:rPr>
          <w:rFonts w:ascii="Arial" w:hAnsi="Arial" w:cs="Arial"/>
          <w:lang w:val="en-IN"/>
        </w:rPr>
        <w:t xml:space="preserve"> polyphenols and flavonoids.</w:t>
      </w:r>
    </w:p>
    <w:p w14:paraId="1536D694" w14:textId="4E9E7C58" w:rsidR="00D40465" w:rsidRPr="00D40465" w:rsidRDefault="00D40465" w:rsidP="000C5EAE">
      <w:pPr>
        <w:pStyle w:val="Body"/>
        <w:numPr>
          <w:ilvl w:val="2"/>
          <w:numId w:val="35"/>
        </w:numPr>
        <w:spacing w:after="0"/>
        <w:rPr>
          <w:rFonts w:ascii="Arial" w:hAnsi="Arial" w:cs="Arial"/>
          <w:b/>
          <w:lang w:val="en-IN"/>
        </w:rPr>
      </w:pPr>
      <w:r w:rsidRPr="003F384E">
        <w:rPr>
          <w:rFonts w:ascii="Arial" w:hAnsi="Arial" w:cs="Arial"/>
          <w:lang w:val="en-IN"/>
        </w:rPr>
        <w:t xml:space="preserve">Estimation of total phenolic content (TPC): </w:t>
      </w:r>
      <w:r w:rsidRPr="00D40465">
        <w:rPr>
          <w:rFonts w:ascii="Arial" w:hAnsi="Arial" w:cs="Arial"/>
          <w:lang w:val="en-IN"/>
        </w:rPr>
        <w:t>Method of Sarker and Oba (2018b, 2019b) was followed to estimate the total phenolic content of</w:t>
      </w:r>
      <w:r w:rsidR="00665C48">
        <w:rPr>
          <w:rFonts w:ascii="Arial" w:hAnsi="Arial" w:cs="Arial"/>
          <w:lang w:val="en-IN"/>
        </w:rPr>
        <w:t xml:space="preserve"> </w:t>
      </w:r>
      <w:r w:rsidR="00665C48" w:rsidRPr="00665C48">
        <w:rPr>
          <w:rFonts w:ascii="Arial" w:hAnsi="Arial" w:cs="Arial"/>
          <w:highlight w:val="yellow"/>
          <w:lang w:val="en-IN"/>
        </w:rPr>
        <w:t>the</w:t>
      </w:r>
      <w:r w:rsidRPr="00D40465">
        <w:rPr>
          <w:rFonts w:ascii="Arial" w:hAnsi="Arial" w:cs="Arial"/>
          <w:lang w:val="en-IN"/>
        </w:rPr>
        <w:t xml:space="preserve"> </w:t>
      </w:r>
      <w:proofErr w:type="spellStart"/>
      <w:r w:rsidRPr="00D40465">
        <w:rPr>
          <w:rFonts w:ascii="Arial" w:hAnsi="Arial" w:cs="Arial"/>
          <w:i/>
          <w:lang w:val="en-IN"/>
        </w:rPr>
        <w:t>Bacopa</w:t>
      </w:r>
      <w:proofErr w:type="spellEnd"/>
      <w:r w:rsidRPr="00D40465">
        <w:rPr>
          <w:rFonts w:ascii="Arial" w:hAnsi="Arial" w:cs="Arial"/>
          <w:lang w:val="en-IN"/>
        </w:rPr>
        <w:t xml:space="preserve"> plant using the </w:t>
      </w:r>
      <w:proofErr w:type="spellStart"/>
      <w:r w:rsidRPr="00D40465">
        <w:rPr>
          <w:rFonts w:ascii="Arial" w:hAnsi="Arial" w:cs="Arial"/>
          <w:lang w:val="en-IN"/>
        </w:rPr>
        <w:t>folin-ciocalteu</w:t>
      </w:r>
      <w:proofErr w:type="spellEnd"/>
      <w:r w:rsidRPr="00D40465">
        <w:rPr>
          <w:rFonts w:ascii="Arial" w:hAnsi="Arial" w:cs="Arial"/>
          <w:lang w:val="en-IN"/>
        </w:rPr>
        <w:t xml:space="preserve"> reagent with </w:t>
      </w:r>
      <w:proofErr w:type="spellStart"/>
      <w:r w:rsidRPr="00D40465">
        <w:rPr>
          <w:rFonts w:ascii="Arial" w:hAnsi="Arial" w:cs="Arial"/>
          <w:lang w:val="en-IN"/>
        </w:rPr>
        <w:t>gallic</w:t>
      </w:r>
      <w:proofErr w:type="spellEnd"/>
      <w:r w:rsidRPr="00D40465">
        <w:rPr>
          <w:rFonts w:ascii="Arial" w:hAnsi="Arial" w:cs="Arial"/>
          <w:lang w:val="en-IN"/>
        </w:rPr>
        <w:t xml:space="preserve"> acid as a standard phenolic compound. The results are expressed as </w:t>
      </w:r>
      <w:proofErr w:type="spellStart"/>
      <w:r w:rsidRPr="00D40465">
        <w:rPr>
          <w:rFonts w:ascii="Arial" w:hAnsi="Arial" w:cs="Arial"/>
          <w:lang w:val="en-IN"/>
        </w:rPr>
        <w:t>μg</w:t>
      </w:r>
      <w:proofErr w:type="spellEnd"/>
      <w:r w:rsidRPr="00D40465">
        <w:rPr>
          <w:rFonts w:ascii="Arial" w:hAnsi="Arial" w:cs="Arial"/>
          <w:lang w:val="en-IN"/>
        </w:rPr>
        <w:t xml:space="preserve"> </w:t>
      </w:r>
      <w:proofErr w:type="spellStart"/>
      <w:r w:rsidRPr="00D40465">
        <w:rPr>
          <w:rFonts w:ascii="Arial" w:hAnsi="Arial" w:cs="Arial"/>
          <w:lang w:val="en-IN"/>
        </w:rPr>
        <w:t>gallic</w:t>
      </w:r>
      <w:proofErr w:type="spellEnd"/>
      <w:r w:rsidRPr="00D40465">
        <w:rPr>
          <w:rFonts w:ascii="Arial" w:hAnsi="Arial" w:cs="Arial"/>
          <w:lang w:val="en-IN"/>
        </w:rPr>
        <w:t xml:space="preserve"> acid equivalent per gram dry weight (µ</w:t>
      </w:r>
      <w:proofErr w:type="spellStart"/>
      <w:r w:rsidRPr="00D40465">
        <w:rPr>
          <w:rFonts w:ascii="Arial" w:hAnsi="Arial" w:cs="Arial"/>
          <w:lang w:val="en-IN"/>
        </w:rPr>
        <w:t>gGAE</w:t>
      </w:r>
      <w:proofErr w:type="spellEnd"/>
      <w:r w:rsidRPr="00D40465">
        <w:rPr>
          <w:rFonts w:ascii="Arial" w:hAnsi="Arial" w:cs="Arial"/>
          <w:lang w:val="en-IN"/>
        </w:rPr>
        <w:t xml:space="preserve"> g</w:t>
      </w:r>
      <w:r w:rsidRPr="00D40465">
        <w:rPr>
          <w:rFonts w:ascii="Arial" w:hAnsi="Arial" w:cs="Arial"/>
          <w:vertAlign w:val="superscript"/>
          <w:lang w:val="en-IN"/>
        </w:rPr>
        <w:t>−1</w:t>
      </w:r>
      <w:r w:rsidRPr="00D40465">
        <w:rPr>
          <w:rFonts w:ascii="Arial" w:hAnsi="Arial" w:cs="Arial"/>
          <w:lang w:val="en-IN"/>
        </w:rPr>
        <w:t>DW).</w:t>
      </w:r>
    </w:p>
    <w:p w14:paraId="73D2B14C" w14:textId="77777777" w:rsidR="00D40465" w:rsidRPr="00D40465" w:rsidRDefault="00D40465" w:rsidP="000C5EAE">
      <w:pPr>
        <w:pStyle w:val="Body"/>
        <w:numPr>
          <w:ilvl w:val="2"/>
          <w:numId w:val="35"/>
        </w:numPr>
        <w:spacing w:after="0"/>
        <w:rPr>
          <w:rFonts w:ascii="Arial" w:hAnsi="Arial" w:cs="Arial"/>
          <w:b/>
          <w:lang w:val="en-IN"/>
        </w:rPr>
      </w:pPr>
      <w:r w:rsidRPr="003F384E">
        <w:rPr>
          <w:rFonts w:ascii="Arial" w:hAnsi="Arial" w:cs="Arial"/>
          <w:lang w:val="en-IN"/>
        </w:rPr>
        <w:t>Estimation of total flavonoid content (TFC):</w:t>
      </w:r>
      <w:r w:rsidRPr="00D40465">
        <w:rPr>
          <w:rFonts w:ascii="Arial" w:hAnsi="Arial" w:cs="Arial"/>
          <w:b/>
          <w:lang w:val="en-IN"/>
        </w:rPr>
        <w:t xml:space="preserve"> </w:t>
      </w:r>
      <w:r w:rsidRPr="00D40465">
        <w:rPr>
          <w:rFonts w:ascii="Arial" w:hAnsi="Arial" w:cs="Arial"/>
          <w:lang w:val="en-IN"/>
        </w:rPr>
        <w:t>The AlCl</w:t>
      </w:r>
      <w:r w:rsidRPr="00D40465">
        <w:rPr>
          <w:rFonts w:ascii="Arial" w:hAnsi="Arial" w:cs="Arial"/>
          <w:vertAlign w:val="subscript"/>
          <w:lang w:val="en-IN"/>
        </w:rPr>
        <w:t>3</w:t>
      </w:r>
      <w:r w:rsidRPr="00D40465">
        <w:rPr>
          <w:rFonts w:ascii="Arial" w:hAnsi="Arial" w:cs="Arial"/>
          <w:lang w:val="en-IN"/>
        </w:rPr>
        <w:t xml:space="preserve"> colorimetric method was used to estimate the total flavonoid content of </w:t>
      </w:r>
      <w:r w:rsidRPr="00D40465">
        <w:rPr>
          <w:rFonts w:ascii="Arial" w:hAnsi="Arial" w:cs="Arial"/>
          <w:i/>
          <w:lang w:val="en-IN"/>
        </w:rPr>
        <w:t>Bacopa</w:t>
      </w:r>
      <w:r w:rsidRPr="00D40465">
        <w:rPr>
          <w:rFonts w:ascii="Arial" w:hAnsi="Arial" w:cs="Arial"/>
          <w:lang w:val="en-IN"/>
        </w:rPr>
        <w:t xml:space="preserve"> plant extract (Sarkar and Oba, 2019a, 2020a). TFC is expressed as </w:t>
      </w:r>
      <w:proofErr w:type="spellStart"/>
      <w:r w:rsidRPr="00D40465">
        <w:rPr>
          <w:rFonts w:ascii="Arial" w:hAnsi="Arial" w:cs="Arial"/>
          <w:lang w:val="en-IN"/>
        </w:rPr>
        <w:t>μg</w:t>
      </w:r>
      <w:proofErr w:type="spellEnd"/>
      <w:r w:rsidRPr="00D40465">
        <w:rPr>
          <w:rFonts w:ascii="Arial" w:hAnsi="Arial" w:cs="Arial"/>
          <w:lang w:val="en-IN"/>
        </w:rPr>
        <w:t xml:space="preserve"> </w:t>
      </w:r>
      <w:proofErr w:type="spellStart"/>
      <w:r w:rsidRPr="00D40465">
        <w:rPr>
          <w:rFonts w:ascii="Arial" w:hAnsi="Arial" w:cs="Arial"/>
          <w:lang w:val="en-IN"/>
        </w:rPr>
        <w:t>quercetin</w:t>
      </w:r>
      <w:proofErr w:type="spellEnd"/>
      <w:r w:rsidRPr="00D40465">
        <w:rPr>
          <w:rFonts w:ascii="Arial" w:hAnsi="Arial" w:cs="Arial"/>
          <w:lang w:val="en-IN"/>
        </w:rPr>
        <w:t xml:space="preserve"> equivalent per gram dry weight (µ</w:t>
      </w:r>
      <w:proofErr w:type="spellStart"/>
      <w:r w:rsidRPr="00D40465">
        <w:rPr>
          <w:rFonts w:ascii="Arial" w:hAnsi="Arial" w:cs="Arial"/>
          <w:lang w:val="en-IN"/>
        </w:rPr>
        <w:t>gQE</w:t>
      </w:r>
      <w:proofErr w:type="spellEnd"/>
      <w:r w:rsidRPr="00D40465">
        <w:rPr>
          <w:rFonts w:ascii="Arial" w:hAnsi="Arial" w:cs="Arial"/>
          <w:lang w:val="en-IN"/>
        </w:rPr>
        <w:t xml:space="preserve"> g</w:t>
      </w:r>
      <w:r w:rsidRPr="00D40465">
        <w:rPr>
          <w:rFonts w:ascii="Arial" w:hAnsi="Arial" w:cs="Arial"/>
          <w:vertAlign w:val="superscript"/>
          <w:lang w:val="en-IN"/>
        </w:rPr>
        <w:t>−1</w:t>
      </w:r>
      <w:r w:rsidRPr="00D40465">
        <w:rPr>
          <w:rFonts w:ascii="Arial" w:hAnsi="Arial" w:cs="Arial"/>
          <w:lang w:val="en-IN"/>
        </w:rPr>
        <w:t>DW).</w:t>
      </w:r>
    </w:p>
    <w:p w14:paraId="74E8A006" w14:textId="77777777" w:rsidR="00790ADA" w:rsidRPr="00FB3A86" w:rsidRDefault="00790ADA" w:rsidP="00D40465">
      <w:pPr>
        <w:pStyle w:val="Body"/>
        <w:spacing w:after="0"/>
        <w:rPr>
          <w:rFonts w:ascii="Arial" w:hAnsi="Arial" w:cs="Arial"/>
        </w:rPr>
      </w:pPr>
    </w:p>
    <w:p w14:paraId="1B500A48" w14:textId="77777777" w:rsidR="00790ADA" w:rsidRPr="00FB3A86"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68A7289F" w14:textId="77777777" w:rsidR="003F0D96" w:rsidRPr="003F0D96" w:rsidRDefault="003F0D96" w:rsidP="003F0D96">
      <w:pPr>
        <w:pStyle w:val="Body"/>
        <w:numPr>
          <w:ilvl w:val="1"/>
          <w:numId w:val="34"/>
        </w:numPr>
        <w:spacing w:after="0"/>
        <w:rPr>
          <w:rFonts w:ascii="Arial" w:hAnsi="Arial" w:cs="Arial"/>
          <w:b/>
        </w:rPr>
      </w:pPr>
      <w:r w:rsidRPr="003F0D96">
        <w:rPr>
          <w:rFonts w:ascii="Arial" w:hAnsi="Arial" w:cs="Arial"/>
          <w:b/>
        </w:rPr>
        <w:t>Relative water content (RWC)</w:t>
      </w:r>
    </w:p>
    <w:p w14:paraId="6FCE4C00" w14:textId="77777777" w:rsidR="003F0D96" w:rsidRDefault="003F0D96" w:rsidP="003F0D96">
      <w:pPr>
        <w:pStyle w:val="Body"/>
        <w:rPr>
          <w:rFonts w:ascii="Arial" w:hAnsi="Arial" w:cs="Arial"/>
          <w:lang w:val="en-IN"/>
        </w:rPr>
      </w:pPr>
      <w:r w:rsidRPr="003F0D96">
        <w:rPr>
          <w:rFonts w:ascii="Arial" w:hAnsi="Arial" w:cs="Arial"/>
          <w:lang w:val="en-IN"/>
        </w:rPr>
        <w:t>The study showed that control plants not exposed to salinity or drought stress had the highest relative water content (RWC), which declined with increased stress levels. Under NaCl stress, control plants maintained an RWC of 95.3±0.62%, but it dropped to 92.5±0.28% at 50mM NaCl. RWC decreased further to 85.3±1.2% at 150mM, 76.36±0.52% at 200mM, and 74.98±2.36% at 250mM NaCl. Similarly, under PEG-induced drought stress, control plants had an RWC of 94.52±0.83%, declining slightly to 92.99±1.02% at 5% PEG. Further drops were observed at 10% (91.46±1.16%), 15% (90.13±0.29%), and 20% PEG (83.32±0.27%), indicating increasing water stress (Figure 1).</w:t>
      </w:r>
    </w:p>
    <w:p w14:paraId="58469FF3" w14:textId="77777777" w:rsidR="00616DF3" w:rsidRPr="00DB5309" w:rsidRDefault="00616DF3" w:rsidP="00616DF3">
      <w:pPr>
        <w:spacing w:line="480" w:lineRule="auto"/>
        <w:rPr>
          <w:shd w:val="clear" w:color="auto" w:fill="FFFFFF"/>
        </w:rPr>
      </w:pPr>
      <w:r w:rsidRPr="00DB5309">
        <w:rPr>
          <w:noProof/>
          <w:shd w:val="clear" w:color="auto" w:fill="FFFFFF"/>
          <w:lang w:val="en-IN" w:eastAsia="en-IN"/>
        </w:rPr>
        <w:drawing>
          <wp:inline distT="0" distB="0" distL="0" distR="0" wp14:anchorId="5423676F" wp14:editId="6D43F373">
            <wp:extent cx="2468118" cy="1919453"/>
            <wp:effectExtent l="19050" t="0" r="27432" b="4597"/>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DB5309">
        <w:rPr>
          <w:shd w:val="clear" w:color="auto" w:fill="FFFFFF"/>
        </w:rPr>
        <w:t xml:space="preserve"> </w:t>
      </w:r>
      <w:r w:rsidRPr="00DB5309">
        <w:rPr>
          <w:noProof/>
          <w:shd w:val="clear" w:color="auto" w:fill="FFFFFF"/>
          <w:lang w:val="en-IN" w:eastAsia="en-IN"/>
        </w:rPr>
        <w:drawing>
          <wp:inline distT="0" distB="0" distL="0" distR="0" wp14:anchorId="62DF72B8" wp14:editId="3140E4EC">
            <wp:extent cx="2460803" cy="1923898"/>
            <wp:effectExtent l="19050" t="0" r="15697" b="152"/>
            <wp:docPr id="1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873022C" w14:textId="77777777" w:rsidR="00616DF3" w:rsidRPr="00616DF3" w:rsidRDefault="00616DF3" w:rsidP="00616DF3">
      <w:pPr>
        <w:shd w:val="clear" w:color="auto" w:fill="FFFFFF"/>
        <w:ind w:left="1440" w:firstLine="720"/>
        <w:rPr>
          <w:rFonts w:ascii="Arial" w:hAnsi="Arial" w:cs="Arial"/>
          <w:b/>
          <w:szCs w:val="24"/>
        </w:rPr>
      </w:pPr>
      <w:r w:rsidRPr="00616DF3">
        <w:rPr>
          <w:rFonts w:ascii="Arial" w:hAnsi="Arial" w:cs="Arial"/>
          <w:b/>
          <w:szCs w:val="24"/>
        </w:rPr>
        <w:lastRenderedPageBreak/>
        <w:t>A</w:t>
      </w:r>
      <w:r w:rsidRPr="00616DF3">
        <w:rPr>
          <w:rFonts w:ascii="Arial" w:hAnsi="Arial" w:cs="Arial"/>
          <w:b/>
          <w:szCs w:val="24"/>
        </w:rPr>
        <w:tab/>
      </w:r>
      <w:r w:rsidRPr="00616DF3">
        <w:rPr>
          <w:rFonts w:ascii="Arial" w:hAnsi="Arial" w:cs="Arial"/>
          <w:b/>
          <w:szCs w:val="24"/>
        </w:rPr>
        <w:tab/>
      </w:r>
      <w:r w:rsidRPr="00616DF3">
        <w:rPr>
          <w:rFonts w:ascii="Arial" w:hAnsi="Arial" w:cs="Arial"/>
          <w:b/>
          <w:szCs w:val="24"/>
        </w:rPr>
        <w:tab/>
      </w:r>
      <w:r w:rsidRPr="00616DF3">
        <w:rPr>
          <w:rFonts w:ascii="Arial" w:hAnsi="Arial" w:cs="Arial"/>
          <w:b/>
          <w:szCs w:val="24"/>
        </w:rPr>
        <w:tab/>
      </w:r>
      <w:r w:rsidRPr="00616DF3">
        <w:rPr>
          <w:rFonts w:ascii="Arial" w:hAnsi="Arial" w:cs="Arial"/>
          <w:b/>
          <w:szCs w:val="24"/>
        </w:rPr>
        <w:tab/>
        <w:t xml:space="preserve"> B</w:t>
      </w:r>
    </w:p>
    <w:p w14:paraId="5F27241B" w14:textId="101801B4" w:rsidR="00616DF3" w:rsidRPr="00616DF3" w:rsidRDefault="00616DF3" w:rsidP="00616DF3">
      <w:pPr>
        <w:pStyle w:val="Body"/>
        <w:rPr>
          <w:rFonts w:ascii="Arial" w:hAnsi="Arial" w:cs="Arial"/>
          <w:sz w:val="16"/>
          <w:lang w:val="en-IN"/>
        </w:rPr>
      </w:pPr>
      <w:r w:rsidRPr="00616DF3">
        <w:rPr>
          <w:rFonts w:ascii="Arial" w:hAnsi="Arial" w:cs="Arial"/>
          <w:b/>
          <w:szCs w:val="24"/>
        </w:rPr>
        <w:t xml:space="preserve">Figure </w:t>
      </w:r>
      <w:r w:rsidR="00665C48" w:rsidRPr="00665C48">
        <w:rPr>
          <w:rFonts w:ascii="Arial" w:hAnsi="Arial" w:cs="Arial"/>
          <w:b/>
          <w:szCs w:val="24"/>
        </w:rPr>
        <w:t>1:</w:t>
      </w:r>
      <w:r w:rsidRPr="00616DF3">
        <w:rPr>
          <w:rFonts w:ascii="Arial" w:hAnsi="Arial" w:cs="Arial"/>
          <w:szCs w:val="24"/>
        </w:rPr>
        <w:t xml:space="preserve"> RWC in </w:t>
      </w:r>
      <w:proofErr w:type="spellStart"/>
      <w:r w:rsidRPr="00616DF3">
        <w:rPr>
          <w:rFonts w:ascii="Arial" w:hAnsi="Arial" w:cs="Arial"/>
          <w:i/>
          <w:szCs w:val="24"/>
        </w:rPr>
        <w:t>Bacopa</w:t>
      </w:r>
      <w:proofErr w:type="spellEnd"/>
      <w:r w:rsidRPr="00616DF3">
        <w:rPr>
          <w:rFonts w:ascii="Arial" w:hAnsi="Arial" w:cs="Arial"/>
          <w:i/>
          <w:szCs w:val="24"/>
        </w:rPr>
        <w:t xml:space="preserve"> </w:t>
      </w:r>
      <w:proofErr w:type="spellStart"/>
      <w:r w:rsidRPr="00616DF3">
        <w:rPr>
          <w:rFonts w:ascii="Arial" w:hAnsi="Arial" w:cs="Arial"/>
          <w:i/>
          <w:szCs w:val="24"/>
        </w:rPr>
        <w:t>monnieri</w:t>
      </w:r>
      <w:proofErr w:type="spellEnd"/>
      <w:r w:rsidRPr="00616DF3">
        <w:rPr>
          <w:rFonts w:ascii="Arial" w:hAnsi="Arial" w:cs="Arial"/>
          <w:szCs w:val="24"/>
        </w:rPr>
        <w:t xml:space="preserve"> simulated with (A) PEG 6000 and (B) NaCl induced</w:t>
      </w:r>
    </w:p>
    <w:p w14:paraId="7BA0FCA4" w14:textId="77777777" w:rsidR="003F0D96" w:rsidRPr="003F0D96" w:rsidRDefault="003F0D96" w:rsidP="003F0D96">
      <w:pPr>
        <w:pStyle w:val="Body"/>
        <w:numPr>
          <w:ilvl w:val="1"/>
          <w:numId w:val="34"/>
        </w:numPr>
        <w:spacing w:after="0"/>
        <w:rPr>
          <w:rFonts w:ascii="Arial" w:hAnsi="Arial" w:cs="Arial"/>
        </w:rPr>
      </w:pPr>
      <w:r w:rsidRPr="003F0D96">
        <w:rPr>
          <w:rFonts w:ascii="Arial" w:hAnsi="Arial" w:cs="Arial"/>
          <w:b/>
        </w:rPr>
        <w:t>Membrane stability index (MSI)</w:t>
      </w:r>
    </w:p>
    <w:p w14:paraId="6A0921CD" w14:textId="77777777" w:rsidR="003F0D96" w:rsidRDefault="003F0D96" w:rsidP="003F0D96">
      <w:pPr>
        <w:pStyle w:val="Body"/>
        <w:rPr>
          <w:rFonts w:ascii="Arial" w:hAnsi="Arial" w:cs="Arial"/>
        </w:rPr>
      </w:pPr>
      <w:r w:rsidRPr="003F0D96">
        <w:rPr>
          <w:rFonts w:ascii="Arial" w:hAnsi="Arial" w:cs="Arial"/>
        </w:rPr>
        <w:t>Under NaCl stress, MSI showed a slight decline with increasing salinity levels. With the application of 50mM NaCl, MSI slightly decreased to 94.83</w:t>
      </w:r>
      <w:r w:rsidRPr="003F0D96">
        <w:rPr>
          <w:rFonts w:ascii="Arial" w:hAnsi="Arial" w:cs="Arial"/>
          <w:rtl/>
        </w:rPr>
        <w:t>±</w:t>
      </w:r>
      <w:r w:rsidRPr="003F0D96">
        <w:rPr>
          <w:rFonts w:ascii="Arial" w:hAnsi="Arial" w:cs="Arial"/>
        </w:rPr>
        <w:t>0.13 in compared to control plant (</w:t>
      </w:r>
      <w:r w:rsidRPr="003F0D96">
        <w:rPr>
          <w:rFonts w:ascii="Arial" w:hAnsi="Arial" w:cs="Arial"/>
          <w:lang w:val="en-IN"/>
        </w:rPr>
        <w:t>95.02±0.33)</w:t>
      </w:r>
      <w:r w:rsidRPr="003F0D96">
        <w:rPr>
          <w:rFonts w:ascii="Arial" w:hAnsi="Arial" w:cs="Arial"/>
        </w:rPr>
        <w:t>. Further increases in salinity led to progressive reductions in MSI, with values of 94.63</w:t>
      </w:r>
      <w:r w:rsidRPr="003F0D96">
        <w:rPr>
          <w:rFonts w:ascii="Arial" w:hAnsi="Arial" w:cs="Arial"/>
          <w:rtl/>
        </w:rPr>
        <w:t>±</w:t>
      </w:r>
      <w:r w:rsidRPr="003F0D96">
        <w:rPr>
          <w:rFonts w:ascii="Arial" w:hAnsi="Arial" w:cs="Arial"/>
        </w:rPr>
        <w:t>0.24 at 100mM, 94.55</w:t>
      </w:r>
      <w:r w:rsidRPr="003F0D96">
        <w:rPr>
          <w:rFonts w:ascii="Arial" w:hAnsi="Arial" w:cs="Arial"/>
          <w:rtl/>
        </w:rPr>
        <w:t>±</w:t>
      </w:r>
      <w:r w:rsidRPr="003F0D96">
        <w:rPr>
          <w:rFonts w:ascii="Arial" w:hAnsi="Arial" w:cs="Arial"/>
        </w:rPr>
        <w:t>0.34 at 150mM, and 94.01</w:t>
      </w:r>
      <w:r w:rsidRPr="003F0D96">
        <w:rPr>
          <w:rFonts w:ascii="Arial" w:hAnsi="Arial" w:cs="Arial"/>
          <w:rtl/>
        </w:rPr>
        <w:t>±</w:t>
      </w:r>
      <w:r w:rsidRPr="003F0D96">
        <w:rPr>
          <w:rFonts w:ascii="Arial" w:hAnsi="Arial" w:cs="Arial"/>
        </w:rPr>
        <w:t>0.7 at 200mM NaCl. The most significant decline was observed at 250mM NaCl, where MSI dropped to 92.41</w:t>
      </w:r>
      <w:r w:rsidRPr="003F0D96">
        <w:rPr>
          <w:rFonts w:ascii="Arial" w:hAnsi="Arial" w:cs="Arial"/>
          <w:rtl/>
        </w:rPr>
        <w:t>±</w:t>
      </w:r>
      <w:r w:rsidRPr="003F0D96">
        <w:rPr>
          <w:rFonts w:ascii="Arial" w:hAnsi="Arial" w:cs="Arial"/>
        </w:rPr>
        <w:t>0.59. Similarly, in PEG-induced stress study the control plant maintained the highest MSI (95.23</w:t>
      </w:r>
      <w:r w:rsidRPr="003F0D96">
        <w:rPr>
          <w:rFonts w:ascii="Arial" w:hAnsi="Arial" w:cs="Arial"/>
          <w:rtl/>
        </w:rPr>
        <w:t>±</w:t>
      </w:r>
      <w:r w:rsidRPr="003F0D96">
        <w:rPr>
          <w:rFonts w:ascii="Arial" w:hAnsi="Arial" w:cs="Arial"/>
        </w:rPr>
        <w:t>0.12), which gradually decreased with increasing stress level. At 5% PEG, MSI slightly decreased to 94.63</w:t>
      </w:r>
      <w:r w:rsidRPr="003F0D96">
        <w:rPr>
          <w:rFonts w:ascii="Arial" w:hAnsi="Arial" w:cs="Arial"/>
          <w:rtl/>
        </w:rPr>
        <w:t>±</w:t>
      </w:r>
      <w:r w:rsidRPr="003F0D96">
        <w:rPr>
          <w:rFonts w:ascii="Arial" w:hAnsi="Arial" w:cs="Arial"/>
        </w:rPr>
        <w:t>0.08, followed by a further reduction to 94.39</w:t>
      </w:r>
      <w:r w:rsidRPr="003F0D96">
        <w:rPr>
          <w:rFonts w:ascii="Arial" w:hAnsi="Arial" w:cs="Arial"/>
          <w:rtl/>
        </w:rPr>
        <w:t>±</w:t>
      </w:r>
      <w:r w:rsidRPr="003F0D96">
        <w:rPr>
          <w:rFonts w:ascii="Arial" w:hAnsi="Arial" w:cs="Arial"/>
        </w:rPr>
        <w:t>0.33 at 10% PEG. A more noticeable decline was observed at 15% and 20% PEG, where MSI dropped to 91.42</w:t>
      </w:r>
      <w:r w:rsidRPr="003F0D96">
        <w:rPr>
          <w:rFonts w:ascii="Arial" w:hAnsi="Arial" w:cs="Arial"/>
          <w:rtl/>
        </w:rPr>
        <w:t>±</w:t>
      </w:r>
      <w:r w:rsidRPr="003F0D96">
        <w:rPr>
          <w:rFonts w:ascii="Arial" w:hAnsi="Arial" w:cs="Arial"/>
        </w:rPr>
        <w:t>0.89 and 88.2</w:t>
      </w:r>
      <w:r w:rsidRPr="003F0D96">
        <w:rPr>
          <w:rFonts w:ascii="Arial" w:hAnsi="Arial" w:cs="Arial"/>
          <w:rtl/>
        </w:rPr>
        <w:t>±</w:t>
      </w:r>
      <w:r w:rsidRPr="003F0D96">
        <w:rPr>
          <w:rFonts w:ascii="Arial" w:hAnsi="Arial" w:cs="Arial"/>
        </w:rPr>
        <w:t>0.51 respectively (Figure 2).</w:t>
      </w:r>
    </w:p>
    <w:p w14:paraId="7B62A9D5" w14:textId="77777777" w:rsidR="00616DF3" w:rsidRPr="00DB5309" w:rsidRDefault="00616DF3" w:rsidP="00616DF3">
      <w:pPr>
        <w:spacing w:line="480" w:lineRule="auto"/>
        <w:rPr>
          <w:shd w:val="clear" w:color="auto" w:fill="FFFFFF"/>
        </w:rPr>
      </w:pPr>
      <w:r w:rsidRPr="00DB5309">
        <w:rPr>
          <w:noProof/>
          <w:shd w:val="clear" w:color="auto" w:fill="FFFFFF"/>
          <w:lang w:val="en-IN" w:eastAsia="en-IN"/>
        </w:rPr>
        <w:drawing>
          <wp:inline distT="0" distB="0" distL="0" distR="0" wp14:anchorId="219AF0AD" wp14:editId="500FE680">
            <wp:extent cx="2470074" cy="1886687"/>
            <wp:effectExtent l="19050" t="0" r="25476" b="0"/>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DB5309">
        <w:rPr>
          <w:noProof/>
          <w:shd w:val="clear" w:color="auto" w:fill="FFFFFF"/>
          <w:lang w:val="en-IN" w:eastAsia="en-IN"/>
        </w:rPr>
        <w:drawing>
          <wp:inline distT="0" distB="0" distL="0" distR="0" wp14:anchorId="0D0AAB8C" wp14:editId="6D63D4AD">
            <wp:extent cx="2375611" cy="1886686"/>
            <wp:effectExtent l="19050" t="0" r="24689" b="0"/>
            <wp:docPr id="12"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31A53F5" w14:textId="77777777" w:rsidR="00616DF3" w:rsidRPr="00616DF3" w:rsidRDefault="00616DF3" w:rsidP="00616DF3">
      <w:pPr>
        <w:shd w:val="clear" w:color="auto" w:fill="FFFFFF"/>
        <w:ind w:left="1440" w:firstLine="720"/>
        <w:rPr>
          <w:rFonts w:ascii="Arial" w:hAnsi="Arial" w:cs="Arial"/>
          <w:b/>
          <w:szCs w:val="24"/>
        </w:rPr>
      </w:pPr>
      <w:r w:rsidRPr="00616DF3">
        <w:rPr>
          <w:rFonts w:ascii="Arial" w:hAnsi="Arial" w:cs="Arial"/>
          <w:b/>
          <w:szCs w:val="24"/>
        </w:rPr>
        <w:t>A</w:t>
      </w:r>
      <w:r w:rsidRPr="00616DF3">
        <w:rPr>
          <w:rFonts w:ascii="Arial" w:hAnsi="Arial" w:cs="Arial"/>
          <w:b/>
          <w:szCs w:val="24"/>
        </w:rPr>
        <w:tab/>
      </w:r>
      <w:r w:rsidRPr="00616DF3">
        <w:rPr>
          <w:rFonts w:ascii="Arial" w:hAnsi="Arial" w:cs="Arial"/>
          <w:b/>
          <w:szCs w:val="24"/>
        </w:rPr>
        <w:tab/>
      </w:r>
      <w:r w:rsidRPr="00616DF3">
        <w:rPr>
          <w:rFonts w:ascii="Arial" w:hAnsi="Arial" w:cs="Arial"/>
          <w:b/>
          <w:szCs w:val="24"/>
        </w:rPr>
        <w:tab/>
      </w:r>
      <w:r w:rsidRPr="00616DF3">
        <w:rPr>
          <w:rFonts w:ascii="Arial" w:hAnsi="Arial" w:cs="Arial"/>
          <w:b/>
          <w:szCs w:val="24"/>
        </w:rPr>
        <w:tab/>
      </w:r>
      <w:r w:rsidRPr="00616DF3">
        <w:rPr>
          <w:rFonts w:ascii="Arial" w:hAnsi="Arial" w:cs="Arial"/>
          <w:b/>
          <w:szCs w:val="24"/>
        </w:rPr>
        <w:tab/>
        <w:t>B</w:t>
      </w:r>
    </w:p>
    <w:p w14:paraId="74138FFA" w14:textId="04060FB7" w:rsidR="00616DF3" w:rsidRDefault="00616DF3" w:rsidP="00616DF3">
      <w:pPr>
        <w:shd w:val="clear" w:color="auto" w:fill="FFFFFF"/>
        <w:jc w:val="both"/>
        <w:rPr>
          <w:rFonts w:ascii="Arial" w:hAnsi="Arial" w:cs="Arial"/>
          <w:szCs w:val="24"/>
        </w:rPr>
      </w:pPr>
      <w:r w:rsidRPr="00616DF3">
        <w:rPr>
          <w:rFonts w:ascii="Arial" w:hAnsi="Arial" w:cs="Arial"/>
          <w:b/>
          <w:szCs w:val="24"/>
        </w:rPr>
        <w:t xml:space="preserve">Figure </w:t>
      </w:r>
      <w:r w:rsidRPr="00665C48">
        <w:rPr>
          <w:rFonts w:ascii="Arial" w:hAnsi="Arial" w:cs="Arial"/>
          <w:b/>
          <w:szCs w:val="24"/>
          <w:highlight w:val="yellow"/>
        </w:rPr>
        <w:t>2:</w:t>
      </w:r>
      <w:r w:rsidRPr="00616DF3">
        <w:rPr>
          <w:rFonts w:ascii="Arial" w:hAnsi="Arial" w:cs="Arial"/>
          <w:b/>
          <w:szCs w:val="24"/>
        </w:rPr>
        <w:t xml:space="preserve"> </w:t>
      </w:r>
      <w:r w:rsidRPr="00616DF3">
        <w:rPr>
          <w:rFonts w:ascii="Arial" w:hAnsi="Arial" w:cs="Arial"/>
          <w:szCs w:val="24"/>
        </w:rPr>
        <w:t xml:space="preserve">MSI in </w:t>
      </w:r>
      <w:proofErr w:type="spellStart"/>
      <w:r w:rsidRPr="00616DF3">
        <w:rPr>
          <w:rFonts w:ascii="Arial" w:hAnsi="Arial" w:cs="Arial"/>
          <w:i/>
          <w:szCs w:val="24"/>
        </w:rPr>
        <w:t>Bacopa</w:t>
      </w:r>
      <w:proofErr w:type="spellEnd"/>
      <w:r w:rsidRPr="00616DF3">
        <w:rPr>
          <w:rFonts w:ascii="Arial" w:hAnsi="Arial" w:cs="Arial"/>
          <w:i/>
          <w:szCs w:val="24"/>
        </w:rPr>
        <w:t xml:space="preserve"> </w:t>
      </w:r>
      <w:proofErr w:type="spellStart"/>
      <w:r w:rsidRPr="00616DF3">
        <w:rPr>
          <w:rFonts w:ascii="Arial" w:hAnsi="Arial" w:cs="Arial"/>
          <w:i/>
          <w:szCs w:val="24"/>
        </w:rPr>
        <w:t>monnieri</w:t>
      </w:r>
      <w:proofErr w:type="spellEnd"/>
      <w:r w:rsidRPr="00616DF3">
        <w:rPr>
          <w:rFonts w:ascii="Arial" w:hAnsi="Arial" w:cs="Arial"/>
          <w:szCs w:val="24"/>
        </w:rPr>
        <w:t xml:space="preserve"> simulated with (A) PEG 6000 and (B) NaCl induced stress</w:t>
      </w:r>
    </w:p>
    <w:p w14:paraId="2D876FF2" w14:textId="77777777" w:rsidR="00616DF3" w:rsidRPr="00616DF3" w:rsidRDefault="00616DF3" w:rsidP="00616DF3">
      <w:pPr>
        <w:shd w:val="clear" w:color="auto" w:fill="FFFFFF"/>
        <w:jc w:val="both"/>
        <w:rPr>
          <w:rFonts w:ascii="Arial" w:hAnsi="Arial" w:cs="Arial"/>
          <w:szCs w:val="24"/>
        </w:rPr>
      </w:pPr>
    </w:p>
    <w:p w14:paraId="3FDE4FA3" w14:textId="77777777" w:rsidR="003F0D96" w:rsidRPr="003F0D96" w:rsidRDefault="003F0D96" w:rsidP="003F0D96">
      <w:pPr>
        <w:pStyle w:val="Body"/>
        <w:numPr>
          <w:ilvl w:val="1"/>
          <w:numId w:val="34"/>
        </w:numPr>
        <w:spacing w:after="0"/>
        <w:rPr>
          <w:rFonts w:ascii="Arial" w:hAnsi="Arial" w:cs="Arial"/>
          <w:b/>
          <w:bCs/>
          <w:lang w:val="en-IN"/>
        </w:rPr>
      </w:pPr>
      <w:r w:rsidRPr="003F0D96">
        <w:rPr>
          <w:rFonts w:ascii="Arial" w:hAnsi="Arial" w:cs="Arial"/>
          <w:b/>
          <w:bCs/>
          <w:lang w:val="en-IN"/>
        </w:rPr>
        <w:t>P</w:t>
      </w:r>
      <w:r w:rsidRPr="003F0D96">
        <w:rPr>
          <w:rFonts w:ascii="Arial" w:hAnsi="Arial" w:cs="Arial"/>
          <w:b/>
          <w:bCs/>
          <w:lang w:val="da-DK"/>
        </w:rPr>
        <w:t xml:space="preserve">roline </w:t>
      </w:r>
    </w:p>
    <w:p w14:paraId="4EA1E6F2" w14:textId="373FDAC3" w:rsidR="003F0D96" w:rsidRDefault="003F0D96" w:rsidP="003F0D96">
      <w:pPr>
        <w:pStyle w:val="Body"/>
        <w:rPr>
          <w:rFonts w:ascii="Arial" w:hAnsi="Arial" w:cs="Arial"/>
          <w:lang w:val="en-IN"/>
        </w:rPr>
      </w:pPr>
      <w:r w:rsidRPr="003F0D96">
        <w:rPr>
          <w:rFonts w:ascii="Arial" w:hAnsi="Arial" w:cs="Arial"/>
          <w:lang w:val="en-IN"/>
        </w:rPr>
        <w:t xml:space="preserve">The results of the present study demonstrated that the </w:t>
      </w:r>
      <w:r w:rsidRPr="00665C48">
        <w:rPr>
          <w:rFonts w:ascii="Arial" w:hAnsi="Arial" w:cs="Arial"/>
          <w:highlight w:val="yellow"/>
          <w:lang w:val="en-IN"/>
        </w:rPr>
        <w:t>plants</w:t>
      </w:r>
      <w:r w:rsidR="00665C48">
        <w:rPr>
          <w:rFonts w:ascii="Arial" w:hAnsi="Arial" w:cs="Arial"/>
          <w:lang w:val="en-IN"/>
        </w:rPr>
        <w:t xml:space="preserve"> not exposed to any stress</w:t>
      </w:r>
      <w:r w:rsidRPr="003F0D96">
        <w:rPr>
          <w:rFonts w:ascii="Arial" w:hAnsi="Arial" w:cs="Arial"/>
          <w:lang w:val="en-IN"/>
        </w:rPr>
        <w:t xml:space="preserve"> exhibited the lowest proline, with values of 0.05</w:t>
      </w:r>
      <w:r w:rsidRPr="003F0D96">
        <w:rPr>
          <w:rFonts w:ascii="Arial" w:hAnsi="Arial" w:cs="Arial"/>
          <w:rtl/>
        </w:rPr>
        <w:t>±</w:t>
      </w:r>
      <w:r w:rsidRPr="003F0D96">
        <w:rPr>
          <w:rFonts w:ascii="Arial" w:hAnsi="Arial" w:cs="Arial"/>
          <w:lang w:val="en-IN"/>
        </w:rPr>
        <w:t xml:space="preserve">0.01 </w:t>
      </w:r>
      <w:r w:rsidRPr="003F0D96">
        <w:rPr>
          <w:rFonts w:ascii="Arial" w:hAnsi="Arial" w:cs="Arial"/>
          <w:bCs/>
          <w:lang w:val="en-IN"/>
        </w:rPr>
        <w:t>µmolg</w:t>
      </w:r>
      <w:r w:rsidRPr="003F0D96">
        <w:rPr>
          <w:rFonts w:ascii="Arial" w:hAnsi="Arial" w:cs="Arial"/>
          <w:bCs/>
          <w:vertAlign w:val="superscript"/>
          <w:lang w:val="en-IN"/>
        </w:rPr>
        <w:t>-1</w:t>
      </w:r>
      <w:r w:rsidRPr="003F0D96">
        <w:rPr>
          <w:rFonts w:ascii="Arial" w:hAnsi="Arial" w:cs="Arial"/>
          <w:lang w:val="en-IN"/>
        </w:rPr>
        <w:t xml:space="preserve"> for NaCl stress and 0.04</w:t>
      </w:r>
      <w:r w:rsidRPr="003F0D96">
        <w:rPr>
          <w:rFonts w:ascii="Arial" w:hAnsi="Arial" w:cs="Arial"/>
          <w:rtl/>
        </w:rPr>
        <w:t>±</w:t>
      </w:r>
      <w:r w:rsidRPr="003F0D96">
        <w:rPr>
          <w:rFonts w:ascii="Arial" w:hAnsi="Arial" w:cs="Arial"/>
          <w:lang w:val="en-IN"/>
        </w:rPr>
        <w:t xml:space="preserve">0.01 </w:t>
      </w:r>
      <w:r w:rsidRPr="003F0D96">
        <w:rPr>
          <w:rFonts w:ascii="Arial" w:hAnsi="Arial" w:cs="Arial"/>
          <w:bCs/>
          <w:lang w:val="en-IN"/>
        </w:rPr>
        <w:t>µmolg</w:t>
      </w:r>
      <w:r w:rsidRPr="003F0D96">
        <w:rPr>
          <w:rFonts w:ascii="Arial" w:hAnsi="Arial" w:cs="Arial"/>
          <w:bCs/>
          <w:vertAlign w:val="superscript"/>
          <w:lang w:val="en-IN"/>
        </w:rPr>
        <w:t>-1</w:t>
      </w:r>
      <w:r w:rsidRPr="003F0D96">
        <w:rPr>
          <w:rFonts w:ascii="Arial" w:hAnsi="Arial" w:cs="Arial"/>
          <w:b/>
          <w:bCs/>
          <w:lang w:val="en-IN"/>
        </w:rPr>
        <w:t xml:space="preserve"> </w:t>
      </w:r>
      <w:r w:rsidRPr="003F0D96">
        <w:rPr>
          <w:rFonts w:ascii="Arial" w:hAnsi="Arial" w:cs="Arial"/>
          <w:lang w:val="en-IN"/>
        </w:rPr>
        <w:t>for</w:t>
      </w:r>
      <w:r w:rsidR="00665C48">
        <w:rPr>
          <w:rFonts w:ascii="Arial" w:hAnsi="Arial" w:cs="Arial"/>
          <w:lang w:val="en-IN"/>
        </w:rPr>
        <w:t xml:space="preserve"> </w:t>
      </w:r>
      <w:r w:rsidR="00665C48" w:rsidRPr="00665C48">
        <w:rPr>
          <w:rFonts w:ascii="Arial" w:hAnsi="Arial" w:cs="Arial"/>
          <w:highlight w:val="yellow"/>
          <w:lang w:val="en-IN"/>
        </w:rPr>
        <w:t>the</w:t>
      </w:r>
      <w:r w:rsidR="00665C48">
        <w:rPr>
          <w:rFonts w:ascii="Arial" w:hAnsi="Arial" w:cs="Arial"/>
          <w:lang w:val="en-IN"/>
        </w:rPr>
        <w:t xml:space="preserve"> </w:t>
      </w:r>
      <w:r w:rsidR="00665C48" w:rsidRPr="003F0D96">
        <w:rPr>
          <w:rFonts w:ascii="Arial" w:hAnsi="Arial" w:cs="Arial"/>
          <w:lang w:val="en-IN"/>
        </w:rPr>
        <w:t>PEG</w:t>
      </w:r>
      <w:r w:rsidRPr="003F0D96">
        <w:rPr>
          <w:rFonts w:ascii="Arial" w:hAnsi="Arial" w:cs="Arial"/>
          <w:lang w:val="en-IN"/>
        </w:rPr>
        <w:t xml:space="preserve"> stress study. As NaCl concentration increases, there is a progressive rise in proline levels. At 100 mM and 150 mM, it increases to 0.07</w:t>
      </w:r>
      <w:r w:rsidRPr="003F0D96">
        <w:rPr>
          <w:rFonts w:ascii="Arial" w:hAnsi="Arial" w:cs="Arial"/>
          <w:rtl/>
        </w:rPr>
        <w:t>±</w:t>
      </w:r>
      <w:r w:rsidRPr="003F0D96">
        <w:rPr>
          <w:rFonts w:ascii="Arial" w:hAnsi="Arial" w:cs="Arial"/>
          <w:lang w:val="en-IN"/>
        </w:rPr>
        <w:t>0.01 and 0.09</w:t>
      </w:r>
      <w:r w:rsidRPr="003F0D96">
        <w:rPr>
          <w:rFonts w:ascii="Arial" w:hAnsi="Arial" w:cs="Arial"/>
          <w:rtl/>
        </w:rPr>
        <w:t>±</w:t>
      </w:r>
      <w:r w:rsidRPr="003F0D96">
        <w:rPr>
          <w:rFonts w:ascii="Arial" w:hAnsi="Arial" w:cs="Arial"/>
          <w:lang w:val="en-IN"/>
        </w:rPr>
        <w:t xml:space="preserve">0.01 </w:t>
      </w:r>
      <w:r w:rsidRPr="003F0D96">
        <w:rPr>
          <w:rFonts w:ascii="Arial" w:hAnsi="Arial" w:cs="Arial"/>
          <w:bCs/>
          <w:lang w:val="en-IN"/>
        </w:rPr>
        <w:t>µmolg</w:t>
      </w:r>
      <w:r w:rsidRPr="003F0D96">
        <w:rPr>
          <w:rFonts w:ascii="Arial" w:hAnsi="Arial" w:cs="Arial"/>
          <w:bCs/>
          <w:vertAlign w:val="superscript"/>
          <w:lang w:val="en-IN"/>
        </w:rPr>
        <w:t>-1</w:t>
      </w:r>
      <w:r w:rsidRPr="003F0D96">
        <w:rPr>
          <w:rFonts w:ascii="Arial" w:hAnsi="Arial" w:cs="Arial"/>
          <w:lang w:val="en-IN"/>
        </w:rPr>
        <w:t>, respectively. A significant increase in proline content was observed at 200 mM, where the proline level reaches 0.21</w:t>
      </w:r>
      <w:r w:rsidRPr="003F0D96">
        <w:rPr>
          <w:rFonts w:ascii="Arial" w:hAnsi="Arial" w:cs="Arial"/>
          <w:rtl/>
        </w:rPr>
        <w:t>±</w:t>
      </w:r>
      <w:r w:rsidRPr="003F0D96">
        <w:rPr>
          <w:rFonts w:ascii="Arial" w:hAnsi="Arial" w:cs="Arial"/>
          <w:lang w:val="en-IN"/>
        </w:rPr>
        <w:t>0.04</w:t>
      </w:r>
      <w:r w:rsidRPr="003F0D96">
        <w:rPr>
          <w:rFonts w:ascii="Arial" w:hAnsi="Arial" w:cs="Arial"/>
          <w:bCs/>
        </w:rPr>
        <w:t xml:space="preserve"> </w:t>
      </w:r>
      <w:r w:rsidRPr="003F0D96">
        <w:rPr>
          <w:rFonts w:ascii="Arial" w:hAnsi="Arial" w:cs="Arial"/>
          <w:bCs/>
          <w:lang w:val="en-IN"/>
        </w:rPr>
        <w:t>µmolg</w:t>
      </w:r>
      <w:r w:rsidRPr="003F0D96">
        <w:rPr>
          <w:rFonts w:ascii="Arial" w:hAnsi="Arial" w:cs="Arial"/>
          <w:bCs/>
          <w:vertAlign w:val="superscript"/>
          <w:lang w:val="en-IN"/>
        </w:rPr>
        <w:t>-1</w:t>
      </w:r>
      <w:r w:rsidRPr="003F0D96">
        <w:rPr>
          <w:rFonts w:ascii="Arial" w:hAnsi="Arial" w:cs="Arial"/>
          <w:lang w:val="en-IN"/>
        </w:rPr>
        <w:t>, and it further increases to 0.43</w:t>
      </w:r>
      <w:r w:rsidRPr="003F0D96">
        <w:rPr>
          <w:rFonts w:ascii="Arial" w:hAnsi="Arial" w:cs="Arial"/>
          <w:rtl/>
        </w:rPr>
        <w:t>±</w:t>
      </w:r>
      <w:r w:rsidRPr="003F0D96">
        <w:rPr>
          <w:rFonts w:ascii="Arial" w:hAnsi="Arial" w:cs="Arial"/>
          <w:lang w:val="en-IN"/>
        </w:rPr>
        <w:t xml:space="preserve">0.02 </w:t>
      </w:r>
      <w:r w:rsidRPr="003F0D96">
        <w:rPr>
          <w:rFonts w:ascii="Arial" w:hAnsi="Arial" w:cs="Arial"/>
          <w:bCs/>
          <w:lang w:val="en-IN"/>
        </w:rPr>
        <w:t>µmolg</w:t>
      </w:r>
      <w:r w:rsidRPr="003F0D96">
        <w:rPr>
          <w:rFonts w:ascii="Arial" w:hAnsi="Arial" w:cs="Arial"/>
          <w:bCs/>
          <w:vertAlign w:val="superscript"/>
          <w:lang w:val="en-IN"/>
        </w:rPr>
        <w:t>-1</w:t>
      </w:r>
      <w:r w:rsidRPr="003F0D96">
        <w:rPr>
          <w:rFonts w:ascii="Arial" w:hAnsi="Arial" w:cs="Arial"/>
          <w:lang w:val="en-IN"/>
        </w:rPr>
        <w:t xml:space="preserve"> at 250 </w:t>
      </w:r>
      <w:proofErr w:type="spellStart"/>
      <w:r w:rsidRPr="003F0D96">
        <w:rPr>
          <w:rFonts w:ascii="Arial" w:hAnsi="Arial" w:cs="Arial"/>
          <w:lang w:val="en-IN"/>
        </w:rPr>
        <w:t>mM.</w:t>
      </w:r>
      <w:proofErr w:type="spellEnd"/>
      <w:r w:rsidRPr="003F0D96">
        <w:rPr>
          <w:rFonts w:ascii="Arial" w:hAnsi="Arial" w:cs="Arial"/>
          <w:lang w:val="en-IN"/>
        </w:rPr>
        <w:t xml:space="preserve"> Similarly, PEG stress leads to an increase in proline content with rising concentrations. At 5%, the proline level is 0.05</w:t>
      </w:r>
      <w:r w:rsidRPr="003F0D96">
        <w:rPr>
          <w:rFonts w:ascii="Arial" w:hAnsi="Arial" w:cs="Arial"/>
          <w:rtl/>
        </w:rPr>
        <w:t>±</w:t>
      </w:r>
      <w:r w:rsidRPr="003F0D96">
        <w:rPr>
          <w:rFonts w:ascii="Arial" w:hAnsi="Arial" w:cs="Arial"/>
          <w:lang w:val="en-IN"/>
        </w:rPr>
        <w:t xml:space="preserve">0.01 </w:t>
      </w:r>
      <w:r w:rsidRPr="003F0D96">
        <w:rPr>
          <w:rFonts w:ascii="Arial" w:hAnsi="Arial" w:cs="Arial"/>
          <w:bCs/>
          <w:lang w:val="en-IN"/>
        </w:rPr>
        <w:t>µmolg</w:t>
      </w:r>
      <w:r w:rsidRPr="003F0D96">
        <w:rPr>
          <w:rFonts w:ascii="Arial" w:hAnsi="Arial" w:cs="Arial"/>
          <w:bCs/>
          <w:vertAlign w:val="superscript"/>
          <w:lang w:val="en-IN"/>
        </w:rPr>
        <w:t>-1</w:t>
      </w:r>
      <w:r w:rsidRPr="003F0D96">
        <w:rPr>
          <w:rFonts w:ascii="Arial" w:hAnsi="Arial" w:cs="Arial"/>
          <w:lang w:val="en-IN"/>
        </w:rPr>
        <w:t>, similar to the control for NaCl stress. This value increases to 0.07</w:t>
      </w:r>
      <w:r w:rsidRPr="003F0D96">
        <w:rPr>
          <w:rFonts w:ascii="Arial" w:hAnsi="Arial" w:cs="Arial"/>
          <w:rtl/>
        </w:rPr>
        <w:t>±</w:t>
      </w:r>
      <w:r w:rsidRPr="003F0D96">
        <w:rPr>
          <w:rFonts w:ascii="Arial" w:hAnsi="Arial" w:cs="Arial"/>
          <w:lang w:val="en-IN"/>
        </w:rPr>
        <w:t>0.01 at 10% PEG, then to 0.09</w:t>
      </w:r>
      <w:r w:rsidRPr="003F0D96">
        <w:rPr>
          <w:rFonts w:ascii="Arial" w:hAnsi="Arial" w:cs="Arial"/>
          <w:rtl/>
        </w:rPr>
        <w:t>±</w:t>
      </w:r>
      <w:r w:rsidRPr="003F0D96">
        <w:rPr>
          <w:rFonts w:ascii="Arial" w:hAnsi="Arial" w:cs="Arial"/>
          <w:lang w:val="en-IN"/>
        </w:rPr>
        <w:t xml:space="preserve">0.01 </w:t>
      </w:r>
      <w:r w:rsidRPr="003F0D96">
        <w:rPr>
          <w:rFonts w:ascii="Arial" w:hAnsi="Arial" w:cs="Arial"/>
          <w:bCs/>
          <w:lang w:val="en-IN"/>
        </w:rPr>
        <w:t>µmolg</w:t>
      </w:r>
      <w:r w:rsidRPr="003F0D96">
        <w:rPr>
          <w:rFonts w:ascii="Arial" w:hAnsi="Arial" w:cs="Arial"/>
          <w:bCs/>
          <w:vertAlign w:val="superscript"/>
          <w:lang w:val="en-IN"/>
        </w:rPr>
        <w:t>-1</w:t>
      </w:r>
      <w:r w:rsidRPr="003F0D96">
        <w:rPr>
          <w:rFonts w:ascii="Arial" w:hAnsi="Arial" w:cs="Arial"/>
          <w:b/>
          <w:bCs/>
          <w:lang w:val="en-IN"/>
        </w:rPr>
        <w:t xml:space="preserve"> </w:t>
      </w:r>
      <w:r w:rsidRPr="003F0D96">
        <w:rPr>
          <w:rFonts w:ascii="Arial" w:hAnsi="Arial" w:cs="Arial"/>
          <w:lang w:val="en-IN"/>
        </w:rPr>
        <w:t>at 15%. However, at 20% PEG, the proline level slightly declines to 0.08</w:t>
      </w:r>
      <w:r w:rsidRPr="003F0D96">
        <w:rPr>
          <w:rFonts w:ascii="Arial" w:hAnsi="Arial" w:cs="Arial"/>
          <w:rtl/>
        </w:rPr>
        <w:t>±</w:t>
      </w:r>
      <w:r w:rsidRPr="003F0D96">
        <w:rPr>
          <w:rFonts w:ascii="Arial" w:hAnsi="Arial" w:cs="Arial"/>
          <w:lang w:val="en-IN"/>
        </w:rPr>
        <w:t xml:space="preserve">0.01 </w:t>
      </w:r>
      <w:r w:rsidRPr="003F0D96">
        <w:rPr>
          <w:rFonts w:ascii="Arial" w:hAnsi="Arial" w:cs="Arial"/>
          <w:bCs/>
          <w:lang w:val="en-IN"/>
        </w:rPr>
        <w:t>µmolg</w:t>
      </w:r>
      <w:r w:rsidRPr="003F0D96">
        <w:rPr>
          <w:rFonts w:ascii="Arial" w:hAnsi="Arial" w:cs="Arial"/>
          <w:bCs/>
          <w:vertAlign w:val="superscript"/>
          <w:lang w:val="en-IN"/>
        </w:rPr>
        <w:t xml:space="preserve">-1 </w:t>
      </w:r>
      <w:r w:rsidRPr="003F0D96">
        <w:rPr>
          <w:rFonts w:ascii="Arial" w:hAnsi="Arial" w:cs="Arial"/>
          <w:lang w:val="en-IN"/>
        </w:rPr>
        <w:t>(Figure 3).</w:t>
      </w:r>
    </w:p>
    <w:p w14:paraId="3425BDBD" w14:textId="77777777" w:rsidR="00616DF3" w:rsidRPr="00616DF3" w:rsidRDefault="00616DF3" w:rsidP="00616DF3">
      <w:pPr>
        <w:pStyle w:val="Body"/>
        <w:rPr>
          <w:rFonts w:ascii="Arial" w:hAnsi="Arial" w:cs="Arial"/>
          <w:lang w:val="en-IN"/>
        </w:rPr>
      </w:pPr>
      <w:r w:rsidRPr="00616DF3">
        <w:rPr>
          <w:rFonts w:ascii="Arial" w:hAnsi="Arial" w:cs="Arial"/>
          <w:noProof/>
          <w:lang w:val="en-IN" w:eastAsia="en-IN"/>
        </w:rPr>
        <w:drawing>
          <wp:inline distT="0" distB="0" distL="0" distR="0" wp14:anchorId="29E2E13E" wp14:editId="7FE7CCAE">
            <wp:extent cx="2375611" cy="1905457"/>
            <wp:effectExtent l="19050" t="0" r="24689" b="0"/>
            <wp:docPr id="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616DF3">
        <w:rPr>
          <w:rFonts w:ascii="Arial" w:hAnsi="Arial" w:cs="Arial"/>
          <w:lang w:val="en-IN"/>
        </w:rPr>
        <w:t xml:space="preserve"> </w:t>
      </w:r>
      <w:r w:rsidRPr="00616DF3">
        <w:rPr>
          <w:rFonts w:ascii="Arial" w:hAnsi="Arial" w:cs="Arial"/>
          <w:noProof/>
          <w:lang w:val="en-IN" w:eastAsia="en-IN"/>
        </w:rPr>
        <w:drawing>
          <wp:inline distT="0" distB="0" distL="0" distR="0" wp14:anchorId="7AA42226" wp14:editId="05BEFE13">
            <wp:extent cx="2375611" cy="1901952"/>
            <wp:effectExtent l="19050" t="0" r="24689" b="3048"/>
            <wp:docPr id="3"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6ECBDC0" w14:textId="77777777" w:rsidR="00616DF3" w:rsidRPr="00616DF3" w:rsidRDefault="00616DF3" w:rsidP="00616DF3">
      <w:pPr>
        <w:pStyle w:val="Body"/>
        <w:rPr>
          <w:rFonts w:ascii="Arial" w:hAnsi="Arial" w:cs="Arial"/>
          <w:b/>
          <w:lang w:val="en-IN"/>
        </w:rPr>
      </w:pPr>
      <w:r>
        <w:rPr>
          <w:rFonts w:ascii="Arial" w:hAnsi="Arial" w:cs="Arial"/>
          <w:b/>
          <w:lang w:val="en-IN"/>
        </w:rPr>
        <w:t xml:space="preserve">                              </w:t>
      </w:r>
      <w:r w:rsidRPr="00616DF3">
        <w:rPr>
          <w:rFonts w:ascii="Arial" w:hAnsi="Arial" w:cs="Arial"/>
          <w:b/>
          <w:lang w:val="en-IN"/>
        </w:rPr>
        <w:t>A</w:t>
      </w:r>
      <w:r w:rsidRPr="00616DF3">
        <w:rPr>
          <w:rFonts w:ascii="Arial" w:hAnsi="Arial" w:cs="Arial"/>
          <w:b/>
          <w:lang w:val="en-IN"/>
        </w:rPr>
        <w:tab/>
      </w:r>
      <w:r w:rsidRPr="00616DF3">
        <w:rPr>
          <w:rFonts w:ascii="Arial" w:hAnsi="Arial" w:cs="Arial"/>
          <w:b/>
          <w:lang w:val="en-IN"/>
        </w:rPr>
        <w:tab/>
      </w:r>
      <w:r w:rsidRPr="00616DF3">
        <w:rPr>
          <w:rFonts w:ascii="Arial" w:hAnsi="Arial" w:cs="Arial"/>
          <w:b/>
          <w:lang w:val="en-IN"/>
        </w:rPr>
        <w:tab/>
      </w:r>
      <w:r w:rsidRPr="00616DF3">
        <w:rPr>
          <w:rFonts w:ascii="Arial" w:hAnsi="Arial" w:cs="Arial"/>
          <w:b/>
          <w:lang w:val="en-IN"/>
        </w:rPr>
        <w:tab/>
      </w:r>
      <w:r w:rsidRPr="00616DF3">
        <w:rPr>
          <w:rFonts w:ascii="Arial" w:hAnsi="Arial" w:cs="Arial"/>
          <w:b/>
          <w:lang w:val="en-IN"/>
        </w:rPr>
        <w:tab/>
      </w:r>
      <w:r w:rsidRPr="00616DF3">
        <w:rPr>
          <w:rFonts w:ascii="Arial" w:hAnsi="Arial" w:cs="Arial"/>
          <w:b/>
          <w:lang w:val="en-IN"/>
        </w:rPr>
        <w:tab/>
        <w:t>B</w:t>
      </w:r>
    </w:p>
    <w:p w14:paraId="63382A2B" w14:textId="77777777" w:rsidR="00616DF3" w:rsidRPr="00616DF3" w:rsidRDefault="00616DF3" w:rsidP="00616DF3">
      <w:pPr>
        <w:pStyle w:val="Body"/>
        <w:rPr>
          <w:rFonts w:ascii="Arial" w:hAnsi="Arial" w:cs="Arial"/>
          <w:lang w:val="en-IN"/>
        </w:rPr>
      </w:pPr>
      <w:r w:rsidRPr="00616DF3">
        <w:rPr>
          <w:rFonts w:ascii="Arial" w:hAnsi="Arial" w:cs="Arial"/>
          <w:b/>
          <w:lang w:val="en-IN"/>
        </w:rPr>
        <w:t xml:space="preserve">Figure </w:t>
      </w:r>
      <w:proofErr w:type="gramStart"/>
      <w:r w:rsidRPr="00616DF3">
        <w:rPr>
          <w:rFonts w:ascii="Arial" w:hAnsi="Arial" w:cs="Arial"/>
          <w:b/>
          <w:lang w:val="en-IN"/>
        </w:rPr>
        <w:t>3 :</w:t>
      </w:r>
      <w:proofErr w:type="gramEnd"/>
      <w:r w:rsidRPr="00616DF3">
        <w:rPr>
          <w:rFonts w:ascii="Arial" w:hAnsi="Arial" w:cs="Arial"/>
          <w:lang w:val="en-IN"/>
        </w:rPr>
        <w:t xml:space="preserve"> Proline content in </w:t>
      </w:r>
      <w:proofErr w:type="spellStart"/>
      <w:r w:rsidRPr="00616DF3">
        <w:rPr>
          <w:rFonts w:ascii="Arial" w:hAnsi="Arial" w:cs="Arial"/>
          <w:i/>
          <w:lang w:val="en-IN"/>
        </w:rPr>
        <w:t>Bacopa</w:t>
      </w:r>
      <w:proofErr w:type="spellEnd"/>
      <w:r w:rsidRPr="00616DF3">
        <w:rPr>
          <w:rFonts w:ascii="Arial" w:hAnsi="Arial" w:cs="Arial"/>
          <w:i/>
          <w:lang w:val="en-IN"/>
        </w:rPr>
        <w:t xml:space="preserve"> </w:t>
      </w:r>
      <w:proofErr w:type="spellStart"/>
      <w:r w:rsidRPr="00616DF3">
        <w:rPr>
          <w:rFonts w:ascii="Arial" w:hAnsi="Arial" w:cs="Arial"/>
          <w:i/>
          <w:lang w:val="en-IN"/>
        </w:rPr>
        <w:t>monnieri</w:t>
      </w:r>
      <w:proofErr w:type="spellEnd"/>
      <w:r w:rsidRPr="00616DF3">
        <w:rPr>
          <w:rFonts w:ascii="Arial" w:hAnsi="Arial" w:cs="Arial"/>
          <w:lang w:val="en-IN"/>
        </w:rPr>
        <w:t xml:space="preserve"> simulated with (A) PEG 6000 and (B) NaCl induced stress</w:t>
      </w:r>
    </w:p>
    <w:p w14:paraId="7CB68F08" w14:textId="77777777" w:rsidR="00616DF3" w:rsidRPr="003F0D96" w:rsidRDefault="00616DF3" w:rsidP="003F0D96">
      <w:pPr>
        <w:pStyle w:val="Body"/>
        <w:rPr>
          <w:rFonts w:ascii="Arial" w:hAnsi="Arial" w:cs="Arial"/>
          <w:lang w:val="en-IN"/>
        </w:rPr>
      </w:pPr>
    </w:p>
    <w:p w14:paraId="029A16D4" w14:textId="77777777" w:rsidR="003F0D96" w:rsidRPr="003F0D96" w:rsidRDefault="003F0D96" w:rsidP="003F0D96">
      <w:pPr>
        <w:pStyle w:val="Body"/>
        <w:numPr>
          <w:ilvl w:val="1"/>
          <w:numId w:val="34"/>
        </w:numPr>
        <w:spacing w:after="0"/>
        <w:rPr>
          <w:rFonts w:ascii="Arial" w:hAnsi="Arial" w:cs="Arial"/>
          <w:lang w:val="en-IN"/>
        </w:rPr>
      </w:pPr>
      <w:r w:rsidRPr="003F0D96">
        <w:rPr>
          <w:rFonts w:ascii="Arial" w:hAnsi="Arial" w:cs="Arial"/>
          <w:b/>
          <w:bCs/>
          <w:lang w:val="en-IN"/>
        </w:rPr>
        <w:t xml:space="preserve">MDA </w:t>
      </w:r>
    </w:p>
    <w:p w14:paraId="6C6A6C4C" w14:textId="77777777" w:rsidR="003F0D96" w:rsidRDefault="003F0D96" w:rsidP="003F0D96">
      <w:pPr>
        <w:pStyle w:val="Body"/>
        <w:rPr>
          <w:rFonts w:ascii="Arial" w:hAnsi="Arial" w:cs="Arial"/>
          <w:lang w:val="en-IN"/>
        </w:rPr>
      </w:pPr>
      <w:r w:rsidRPr="003F0D96">
        <w:rPr>
          <w:rFonts w:ascii="Arial" w:hAnsi="Arial" w:cs="Arial"/>
          <w:lang w:val="en-IN"/>
        </w:rPr>
        <w:lastRenderedPageBreak/>
        <w:t>Under control conditions, the MDA levels are relatively low, measured at 1.61</w:t>
      </w:r>
      <w:r w:rsidRPr="003F0D96">
        <w:rPr>
          <w:rFonts w:ascii="Arial" w:hAnsi="Arial" w:cs="Arial"/>
          <w:rtl/>
        </w:rPr>
        <w:t>±</w:t>
      </w:r>
      <w:r w:rsidRPr="003F0D96">
        <w:rPr>
          <w:rFonts w:ascii="Arial" w:hAnsi="Arial" w:cs="Arial"/>
          <w:lang w:val="en-IN"/>
        </w:rPr>
        <w:t xml:space="preserve">0.17 </w:t>
      </w:r>
      <w:r w:rsidRPr="003F0D96">
        <w:rPr>
          <w:rFonts w:ascii="Arial" w:hAnsi="Arial" w:cs="Arial"/>
          <w:bCs/>
          <w:lang w:val="en-IN"/>
        </w:rPr>
        <w:t>µmolg</w:t>
      </w:r>
      <w:r w:rsidRPr="003F0D96">
        <w:rPr>
          <w:rFonts w:ascii="Arial" w:hAnsi="Arial" w:cs="Arial"/>
          <w:bCs/>
          <w:vertAlign w:val="superscript"/>
          <w:lang w:val="en-IN"/>
        </w:rPr>
        <w:t>-1</w:t>
      </w:r>
      <w:r w:rsidRPr="003F0D96">
        <w:rPr>
          <w:rFonts w:ascii="Arial" w:hAnsi="Arial" w:cs="Arial"/>
          <w:b/>
          <w:bCs/>
          <w:lang w:val="en-IN"/>
        </w:rPr>
        <w:t xml:space="preserve"> </w:t>
      </w:r>
      <w:r w:rsidRPr="003F0D96">
        <w:rPr>
          <w:rFonts w:ascii="Arial" w:hAnsi="Arial" w:cs="Arial"/>
          <w:lang w:val="en-IN"/>
        </w:rPr>
        <w:t>for NaCl stress and 1.46</w:t>
      </w:r>
      <w:r w:rsidRPr="003F0D96">
        <w:rPr>
          <w:rFonts w:ascii="Arial" w:hAnsi="Arial" w:cs="Arial"/>
          <w:rtl/>
        </w:rPr>
        <w:t>±</w:t>
      </w:r>
      <w:r w:rsidRPr="003F0D96">
        <w:rPr>
          <w:rFonts w:ascii="Arial" w:hAnsi="Arial" w:cs="Arial"/>
          <w:lang w:val="en-IN"/>
        </w:rPr>
        <w:t xml:space="preserve">0.31 </w:t>
      </w:r>
      <w:r w:rsidRPr="003F0D96">
        <w:rPr>
          <w:rFonts w:ascii="Arial" w:hAnsi="Arial" w:cs="Arial"/>
          <w:bCs/>
          <w:lang w:val="en-IN"/>
        </w:rPr>
        <w:t>µmolg</w:t>
      </w:r>
      <w:r w:rsidRPr="003F0D96">
        <w:rPr>
          <w:rFonts w:ascii="Arial" w:hAnsi="Arial" w:cs="Arial"/>
          <w:bCs/>
          <w:vertAlign w:val="superscript"/>
          <w:lang w:val="en-IN"/>
        </w:rPr>
        <w:t>-1</w:t>
      </w:r>
      <w:r w:rsidRPr="003F0D96">
        <w:rPr>
          <w:rFonts w:ascii="Arial" w:hAnsi="Arial" w:cs="Arial"/>
          <w:b/>
          <w:bCs/>
          <w:lang w:val="en-IN"/>
        </w:rPr>
        <w:t xml:space="preserve"> </w:t>
      </w:r>
      <w:r w:rsidRPr="003F0D96">
        <w:rPr>
          <w:rFonts w:ascii="Arial" w:hAnsi="Arial" w:cs="Arial"/>
          <w:lang w:val="en-IN"/>
        </w:rPr>
        <w:t>for PEG stress. With increasing NaCl concentrations, MDA levels rise progressively, reaching 1.97</w:t>
      </w:r>
      <w:r w:rsidRPr="003F0D96">
        <w:rPr>
          <w:rFonts w:ascii="Arial" w:hAnsi="Arial" w:cs="Arial"/>
          <w:rtl/>
        </w:rPr>
        <w:t>±</w:t>
      </w:r>
      <w:r w:rsidRPr="003F0D96">
        <w:rPr>
          <w:rFonts w:ascii="Arial" w:hAnsi="Arial" w:cs="Arial"/>
          <w:lang w:val="en-IN"/>
        </w:rPr>
        <w:t>0.28 at 50 mM, 2.52</w:t>
      </w:r>
      <w:r w:rsidRPr="003F0D96">
        <w:rPr>
          <w:rFonts w:ascii="Arial" w:hAnsi="Arial" w:cs="Arial"/>
          <w:rtl/>
        </w:rPr>
        <w:t>±</w:t>
      </w:r>
      <w:r w:rsidRPr="003F0D96">
        <w:rPr>
          <w:rFonts w:ascii="Arial" w:hAnsi="Arial" w:cs="Arial"/>
          <w:lang w:val="en-IN"/>
        </w:rPr>
        <w:t>0.1 at 100 mM, and peaking at 2.99</w:t>
      </w:r>
      <w:r w:rsidRPr="003F0D96">
        <w:rPr>
          <w:rFonts w:ascii="Arial" w:hAnsi="Arial" w:cs="Arial"/>
          <w:rtl/>
        </w:rPr>
        <w:t>±</w:t>
      </w:r>
      <w:r w:rsidRPr="003F0D96">
        <w:rPr>
          <w:rFonts w:ascii="Arial" w:hAnsi="Arial" w:cs="Arial"/>
          <w:lang w:val="en-IN"/>
        </w:rPr>
        <w:t xml:space="preserve">0.26 </w:t>
      </w:r>
      <w:r w:rsidRPr="003F0D96">
        <w:rPr>
          <w:rFonts w:ascii="Arial" w:hAnsi="Arial" w:cs="Arial"/>
          <w:bCs/>
          <w:lang w:val="en-IN"/>
        </w:rPr>
        <w:t>µmolg</w:t>
      </w:r>
      <w:r w:rsidRPr="003F0D96">
        <w:rPr>
          <w:rFonts w:ascii="Arial" w:hAnsi="Arial" w:cs="Arial"/>
          <w:bCs/>
          <w:vertAlign w:val="superscript"/>
          <w:lang w:val="en-IN"/>
        </w:rPr>
        <w:t>-1</w:t>
      </w:r>
      <w:r w:rsidRPr="003F0D96">
        <w:rPr>
          <w:rFonts w:ascii="Arial" w:hAnsi="Arial" w:cs="Arial"/>
          <w:b/>
          <w:bCs/>
          <w:lang w:val="en-IN"/>
        </w:rPr>
        <w:t xml:space="preserve"> </w:t>
      </w:r>
      <w:r w:rsidRPr="003F0D96">
        <w:rPr>
          <w:rFonts w:ascii="Arial" w:hAnsi="Arial" w:cs="Arial"/>
          <w:lang w:val="en-IN"/>
        </w:rPr>
        <w:t xml:space="preserve">at 200 </w:t>
      </w:r>
      <w:proofErr w:type="spellStart"/>
      <w:r w:rsidRPr="003F0D96">
        <w:rPr>
          <w:rFonts w:ascii="Arial" w:hAnsi="Arial" w:cs="Arial"/>
          <w:lang w:val="en-IN"/>
        </w:rPr>
        <w:t>mM.</w:t>
      </w:r>
      <w:proofErr w:type="spellEnd"/>
      <w:r w:rsidRPr="003F0D96">
        <w:rPr>
          <w:rFonts w:ascii="Arial" w:hAnsi="Arial" w:cs="Arial"/>
          <w:lang w:val="en-IN"/>
        </w:rPr>
        <w:t xml:space="preserve"> Interestingly, at 250 mM NaCl, the MDA level decreases slightly to 2.22</w:t>
      </w:r>
      <w:r w:rsidRPr="003F0D96">
        <w:rPr>
          <w:rFonts w:ascii="Arial" w:hAnsi="Arial" w:cs="Arial"/>
          <w:rtl/>
        </w:rPr>
        <w:t>±</w:t>
      </w:r>
      <w:r w:rsidRPr="003F0D96">
        <w:rPr>
          <w:rFonts w:ascii="Arial" w:hAnsi="Arial" w:cs="Arial"/>
          <w:lang w:val="en-IN"/>
        </w:rPr>
        <w:t xml:space="preserve">0.12 </w:t>
      </w:r>
      <w:r w:rsidRPr="003F0D96">
        <w:rPr>
          <w:rFonts w:ascii="Arial" w:hAnsi="Arial" w:cs="Arial"/>
          <w:bCs/>
          <w:lang w:val="en-IN"/>
        </w:rPr>
        <w:t>µmolg</w:t>
      </w:r>
      <w:r w:rsidRPr="003F0D96">
        <w:rPr>
          <w:rFonts w:ascii="Arial" w:hAnsi="Arial" w:cs="Arial"/>
          <w:bCs/>
          <w:vertAlign w:val="superscript"/>
          <w:lang w:val="en-IN"/>
        </w:rPr>
        <w:t>-1</w:t>
      </w:r>
      <w:r w:rsidRPr="003F0D96">
        <w:rPr>
          <w:rFonts w:ascii="Arial" w:hAnsi="Arial" w:cs="Arial"/>
          <w:lang w:val="en-IN"/>
        </w:rPr>
        <w:t>, possibly indicating a cellular adjustment to prolonged stress or a threshold effect. For PEG stress, MDA levels also increase with concentration initially, rising to 1.97</w:t>
      </w:r>
      <w:r w:rsidRPr="003F0D96">
        <w:rPr>
          <w:rFonts w:ascii="Arial" w:hAnsi="Arial" w:cs="Arial"/>
          <w:rtl/>
        </w:rPr>
        <w:t>±</w:t>
      </w:r>
      <w:r w:rsidRPr="003F0D96">
        <w:rPr>
          <w:rFonts w:ascii="Arial" w:hAnsi="Arial" w:cs="Arial"/>
          <w:lang w:val="en-IN"/>
        </w:rPr>
        <w:t>0.13 at 5%, 2.69</w:t>
      </w:r>
      <w:r w:rsidRPr="003F0D96">
        <w:rPr>
          <w:rFonts w:ascii="Arial" w:hAnsi="Arial" w:cs="Arial"/>
          <w:rtl/>
        </w:rPr>
        <w:t>±</w:t>
      </w:r>
      <w:r w:rsidRPr="003F0D96">
        <w:rPr>
          <w:rFonts w:ascii="Arial" w:hAnsi="Arial" w:cs="Arial"/>
          <w:lang w:val="en-IN"/>
        </w:rPr>
        <w:t>0.04 at 10%, and peaking at 2.81</w:t>
      </w:r>
      <w:r w:rsidRPr="003F0D96">
        <w:rPr>
          <w:rFonts w:ascii="Arial" w:hAnsi="Arial" w:cs="Arial"/>
          <w:rtl/>
        </w:rPr>
        <w:t>±</w:t>
      </w:r>
      <w:r w:rsidRPr="003F0D96">
        <w:rPr>
          <w:rFonts w:ascii="Arial" w:hAnsi="Arial" w:cs="Arial"/>
          <w:lang w:val="en-IN"/>
        </w:rPr>
        <w:t xml:space="preserve">0.13 </w:t>
      </w:r>
      <w:r w:rsidRPr="003F0D96">
        <w:rPr>
          <w:rFonts w:ascii="Arial" w:hAnsi="Arial" w:cs="Arial"/>
          <w:bCs/>
          <w:lang w:val="en-IN"/>
        </w:rPr>
        <w:t>µmolg</w:t>
      </w:r>
      <w:r w:rsidRPr="003F0D96">
        <w:rPr>
          <w:rFonts w:ascii="Arial" w:hAnsi="Arial" w:cs="Arial"/>
          <w:bCs/>
          <w:vertAlign w:val="superscript"/>
          <w:lang w:val="en-IN"/>
        </w:rPr>
        <w:t>-1</w:t>
      </w:r>
      <w:r w:rsidRPr="003F0D96">
        <w:rPr>
          <w:rFonts w:ascii="Arial" w:hAnsi="Arial" w:cs="Arial"/>
          <w:b/>
          <w:bCs/>
          <w:lang w:val="en-IN"/>
        </w:rPr>
        <w:t xml:space="preserve"> </w:t>
      </w:r>
      <w:r w:rsidRPr="003F0D96">
        <w:rPr>
          <w:rFonts w:ascii="Arial" w:hAnsi="Arial" w:cs="Arial"/>
          <w:lang w:val="en-IN"/>
        </w:rPr>
        <w:t>at 15%. However, at 20% PEG, a notable decline in MDA levels is observed, dropping to 1.83</w:t>
      </w:r>
      <w:r w:rsidRPr="003F0D96">
        <w:rPr>
          <w:rFonts w:ascii="Arial" w:hAnsi="Arial" w:cs="Arial"/>
          <w:rtl/>
        </w:rPr>
        <w:t>±</w:t>
      </w:r>
      <w:r w:rsidRPr="003F0D96">
        <w:rPr>
          <w:rFonts w:ascii="Arial" w:hAnsi="Arial" w:cs="Arial"/>
          <w:lang w:val="en-IN"/>
        </w:rPr>
        <w:t xml:space="preserve">0.09 </w:t>
      </w:r>
      <w:r w:rsidRPr="003F0D96">
        <w:rPr>
          <w:rFonts w:ascii="Arial" w:hAnsi="Arial" w:cs="Arial"/>
          <w:bCs/>
          <w:lang w:val="en-IN"/>
        </w:rPr>
        <w:t>µmolg</w:t>
      </w:r>
      <w:r w:rsidRPr="003F0D96">
        <w:rPr>
          <w:rFonts w:ascii="Arial" w:hAnsi="Arial" w:cs="Arial"/>
          <w:bCs/>
          <w:vertAlign w:val="superscript"/>
          <w:lang w:val="en-IN"/>
        </w:rPr>
        <w:t>-1</w:t>
      </w:r>
      <w:r w:rsidRPr="003F0D96">
        <w:rPr>
          <w:rFonts w:ascii="Arial" w:hAnsi="Arial" w:cs="Arial"/>
          <w:lang w:val="en-IN"/>
        </w:rPr>
        <w:t>, which may reflect a similar threshold or adaptive response as seen in NaCl stress (Figure 4).</w:t>
      </w:r>
    </w:p>
    <w:p w14:paraId="49C9A309" w14:textId="77777777" w:rsidR="00616DF3" w:rsidRPr="00616DF3" w:rsidRDefault="00616DF3" w:rsidP="00616DF3">
      <w:pPr>
        <w:pStyle w:val="Body"/>
        <w:rPr>
          <w:rFonts w:ascii="Arial" w:hAnsi="Arial" w:cs="Arial"/>
          <w:lang w:val="en-IN"/>
        </w:rPr>
      </w:pPr>
      <w:r w:rsidRPr="00616DF3">
        <w:rPr>
          <w:rFonts w:ascii="Arial" w:hAnsi="Arial" w:cs="Arial"/>
          <w:noProof/>
          <w:lang w:val="en-IN" w:eastAsia="en-IN"/>
        </w:rPr>
        <w:drawing>
          <wp:inline distT="0" distB="0" distL="0" distR="0" wp14:anchorId="0B25D288" wp14:editId="450A64A7">
            <wp:extent cx="2512009" cy="1967789"/>
            <wp:effectExtent l="19050" t="0" r="21641" b="0"/>
            <wp:docPr id="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616DF3">
        <w:rPr>
          <w:rFonts w:ascii="Arial" w:hAnsi="Arial" w:cs="Arial"/>
          <w:lang w:val="en-IN"/>
        </w:rPr>
        <w:t xml:space="preserve"> </w:t>
      </w:r>
      <w:r w:rsidRPr="00616DF3">
        <w:rPr>
          <w:rFonts w:ascii="Arial" w:hAnsi="Arial" w:cs="Arial"/>
          <w:noProof/>
          <w:lang w:val="en-IN" w:eastAsia="en-IN"/>
        </w:rPr>
        <w:drawing>
          <wp:inline distT="0" distB="0" distL="0" distR="0" wp14:anchorId="3AC42BD1" wp14:editId="12D1BFE7">
            <wp:extent cx="2390216" cy="1967789"/>
            <wp:effectExtent l="19050" t="0" r="10084" b="0"/>
            <wp:docPr id="5"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780719A" w14:textId="77777777" w:rsidR="00616DF3" w:rsidRPr="00616DF3" w:rsidRDefault="00616DF3" w:rsidP="00616DF3">
      <w:pPr>
        <w:pStyle w:val="Body"/>
        <w:rPr>
          <w:rFonts w:ascii="Arial" w:hAnsi="Arial" w:cs="Arial"/>
          <w:b/>
          <w:lang w:val="en-IN"/>
        </w:rPr>
      </w:pPr>
      <w:r>
        <w:rPr>
          <w:rFonts w:ascii="Arial" w:hAnsi="Arial" w:cs="Arial"/>
          <w:b/>
          <w:lang w:val="en-IN"/>
        </w:rPr>
        <w:t xml:space="preserve">                                </w:t>
      </w:r>
      <w:r w:rsidRPr="00616DF3">
        <w:rPr>
          <w:rFonts w:ascii="Arial" w:hAnsi="Arial" w:cs="Arial"/>
          <w:b/>
          <w:lang w:val="en-IN"/>
        </w:rPr>
        <w:t>A</w:t>
      </w:r>
      <w:r w:rsidRPr="00616DF3">
        <w:rPr>
          <w:rFonts w:ascii="Arial" w:hAnsi="Arial" w:cs="Arial"/>
          <w:b/>
          <w:lang w:val="en-IN"/>
        </w:rPr>
        <w:tab/>
      </w:r>
      <w:r w:rsidRPr="00616DF3">
        <w:rPr>
          <w:rFonts w:ascii="Arial" w:hAnsi="Arial" w:cs="Arial"/>
          <w:b/>
          <w:lang w:val="en-IN"/>
        </w:rPr>
        <w:tab/>
      </w:r>
      <w:r w:rsidRPr="00616DF3">
        <w:rPr>
          <w:rFonts w:ascii="Arial" w:hAnsi="Arial" w:cs="Arial"/>
          <w:b/>
          <w:lang w:val="en-IN"/>
        </w:rPr>
        <w:tab/>
      </w:r>
      <w:r w:rsidRPr="00616DF3">
        <w:rPr>
          <w:rFonts w:ascii="Arial" w:hAnsi="Arial" w:cs="Arial"/>
          <w:b/>
          <w:lang w:val="en-IN"/>
        </w:rPr>
        <w:tab/>
      </w:r>
      <w:r w:rsidRPr="00616DF3">
        <w:rPr>
          <w:rFonts w:ascii="Arial" w:hAnsi="Arial" w:cs="Arial"/>
          <w:b/>
          <w:lang w:val="en-IN"/>
        </w:rPr>
        <w:tab/>
      </w:r>
      <w:r w:rsidRPr="00616DF3">
        <w:rPr>
          <w:rFonts w:ascii="Arial" w:hAnsi="Arial" w:cs="Arial"/>
          <w:b/>
          <w:lang w:val="en-IN"/>
        </w:rPr>
        <w:tab/>
      </w:r>
      <w:r>
        <w:rPr>
          <w:rFonts w:ascii="Arial" w:hAnsi="Arial" w:cs="Arial"/>
          <w:b/>
          <w:lang w:val="en-IN"/>
        </w:rPr>
        <w:t xml:space="preserve">    </w:t>
      </w:r>
      <w:r w:rsidRPr="00616DF3">
        <w:rPr>
          <w:rFonts w:ascii="Arial" w:hAnsi="Arial" w:cs="Arial"/>
          <w:b/>
          <w:lang w:val="en-IN"/>
        </w:rPr>
        <w:t>B</w:t>
      </w:r>
    </w:p>
    <w:p w14:paraId="7592F8E8" w14:textId="5C1EC896" w:rsidR="00616DF3" w:rsidRPr="00616DF3" w:rsidRDefault="00616DF3" w:rsidP="00616DF3">
      <w:pPr>
        <w:pStyle w:val="Body"/>
        <w:rPr>
          <w:rFonts w:ascii="Arial" w:hAnsi="Arial" w:cs="Arial"/>
          <w:lang w:val="en-IN"/>
        </w:rPr>
      </w:pPr>
      <w:r w:rsidRPr="00616DF3">
        <w:rPr>
          <w:rFonts w:ascii="Arial" w:hAnsi="Arial" w:cs="Arial"/>
          <w:b/>
          <w:lang w:val="en-IN"/>
        </w:rPr>
        <w:t xml:space="preserve">Figure </w:t>
      </w:r>
      <w:r w:rsidRPr="00E32861">
        <w:rPr>
          <w:rFonts w:ascii="Arial" w:hAnsi="Arial" w:cs="Arial"/>
          <w:b/>
          <w:highlight w:val="yellow"/>
          <w:lang w:val="en-IN"/>
        </w:rPr>
        <w:t>4:</w:t>
      </w:r>
      <w:r w:rsidRPr="00616DF3">
        <w:rPr>
          <w:rFonts w:ascii="Arial" w:hAnsi="Arial" w:cs="Arial"/>
          <w:lang w:val="en-IN"/>
        </w:rPr>
        <w:t xml:space="preserve"> MDA content in </w:t>
      </w:r>
      <w:proofErr w:type="spellStart"/>
      <w:r w:rsidRPr="00616DF3">
        <w:rPr>
          <w:rFonts w:ascii="Arial" w:hAnsi="Arial" w:cs="Arial"/>
          <w:i/>
          <w:lang w:val="en-IN"/>
        </w:rPr>
        <w:t>Bacopa</w:t>
      </w:r>
      <w:proofErr w:type="spellEnd"/>
      <w:r w:rsidRPr="00616DF3">
        <w:rPr>
          <w:rFonts w:ascii="Arial" w:hAnsi="Arial" w:cs="Arial"/>
          <w:i/>
          <w:lang w:val="en-IN"/>
        </w:rPr>
        <w:t xml:space="preserve"> </w:t>
      </w:r>
      <w:proofErr w:type="spellStart"/>
      <w:r w:rsidRPr="00616DF3">
        <w:rPr>
          <w:rFonts w:ascii="Arial" w:hAnsi="Arial" w:cs="Arial"/>
          <w:i/>
          <w:lang w:val="en-IN"/>
        </w:rPr>
        <w:t>monnieri</w:t>
      </w:r>
      <w:proofErr w:type="spellEnd"/>
      <w:r w:rsidRPr="00616DF3">
        <w:rPr>
          <w:rFonts w:ascii="Arial" w:hAnsi="Arial" w:cs="Arial"/>
          <w:lang w:val="en-IN"/>
        </w:rPr>
        <w:t xml:space="preserve"> simulated with (A) PEG 6000 and (B) NaCl induced stress </w:t>
      </w:r>
    </w:p>
    <w:p w14:paraId="2263E5ED" w14:textId="77777777" w:rsidR="00616DF3" w:rsidRPr="003F0D96" w:rsidRDefault="00616DF3" w:rsidP="003F0D96">
      <w:pPr>
        <w:pStyle w:val="Body"/>
        <w:rPr>
          <w:rFonts w:ascii="Arial" w:hAnsi="Arial" w:cs="Arial"/>
          <w:lang w:val="en-IN"/>
        </w:rPr>
      </w:pPr>
    </w:p>
    <w:p w14:paraId="6D78827F" w14:textId="77777777" w:rsidR="003F0D96" w:rsidRPr="003F0D96" w:rsidRDefault="003F0D96" w:rsidP="003F0D96">
      <w:pPr>
        <w:pStyle w:val="Body"/>
        <w:numPr>
          <w:ilvl w:val="1"/>
          <w:numId w:val="34"/>
        </w:numPr>
        <w:spacing w:after="0"/>
        <w:rPr>
          <w:rFonts w:ascii="Arial" w:hAnsi="Arial" w:cs="Arial"/>
          <w:b/>
          <w:bCs/>
          <w:lang w:val="en-IN"/>
        </w:rPr>
      </w:pPr>
      <w:r w:rsidRPr="003F0D96">
        <w:rPr>
          <w:rFonts w:ascii="Arial" w:hAnsi="Arial" w:cs="Arial"/>
          <w:b/>
          <w:bCs/>
          <w:lang w:val="en-IN"/>
        </w:rPr>
        <w:t>β-carotene</w:t>
      </w:r>
    </w:p>
    <w:p w14:paraId="43333454" w14:textId="7DA6FE9D" w:rsidR="003F0D96" w:rsidRDefault="003F0D96" w:rsidP="003F0D96">
      <w:pPr>
        <w:pStyle w:val="Body"/>
        <w:rPr>
          <w:rFonts w:ascii="Arial" w:hAnsi="Arial" w:cs="Arial"/>
          <w:lang w:val="en-IN"/>
        </w:rPr>
      </w:pPr>
      <w:r w:rsidRPr="003F0D96">
        <w:rPr>
          <w:rFonts w:ascii="Arial" w:hAnsi="Arial" w:cs="Arial"/>
          <w:lang w:val="en-IN"/>
        </w:rPr>
        <w:t>β-carotene levels under control conditions are measured at 0.17</w:t>
      </w:r>
      <w:r w:rsidRPr="003F0D96">
        <w:rPr>
          <w:rFonts w:ascii="Arial" w:hAnsi="Arial" w:cs="Arial"/>
          <w:rtl/>
        </w:rPr>
        <w:t>±</w:t>
      </w:r>
      <w:r w:rsidRPr="003F0D96">
        <w:rPr>
          <w:rFonts w:ascii="Arial" w:hAnsi="Arial" w:cs="Arial"/>
          <w:lang w:val="en-IN"/>
        </w:rPr>
        <w:t xml:space="preserve">0.02 </w:t>
      </w:r>
      <w:proofErr w:type="spellStart"/>
      <w:r w:rsidRPr="003F0D96">
        <w:rPr>
          <w:rFonts w:ascii="Arial" w:hAnsi="Arial" w:cs="Arial"/>
          <w:lang w:val="en-IN"/>
        </w:rPr>
        <w:t>μg</w:t>
      </w:r>
      <w:proofErr w:type="spellEnd"/>
      <w:r w:rsidRPr="003F0D96">
        <w:rPr>
          <w:rFonts w:ascii="Arial" w:hAnsi="Arial" w:cs="Arial"/>
          <w:lang w:val="en-IN"/>
        </w:rPr>
        <w:t xml:space="preserve"> g</w:t>
      </w:r>
      <w:r w:rsidRPr="003F0D96">
        <w:rPr>
          <w:rFonts w:ascii="Arial" w:hAnsi="Arial" w:cs="Arial"/>
          <w:vertAlign w:val="superscript"/>
          <w:lang w:val="en-IN"/>
        </w:rPr>
        <w:t>-1</w:t>
      </w:r>
      <w:r w:rsidRPr="003F0D96">
        <w:rPr>
          <w:rFonts w:ascii="Arial" w:hAnsi="Arial" w:cs="Arial"/>
          <w:lang w:val="en-IN"/>
        </w:rPr>
        <w:t xml:space="preserve"> for </w:t>
      </w:r>
      <w:proofErr w:type="spellStart"/>
      <w:r w:rsidRPr="003F0D96">
        <w:rPr>
          <w:rFonts w:ascii="Arial" w:hAnsi="Arial" w:cs="Arial"/>
          <w:lang w:val="en-IN"/>
        </w:rPr>
        <w:t>NaCl</w:t>
      </w:r>
      <w:proofErr w:type="spellEnd"/>
      <w:r w:rsidRPr="003F0D96">
        <w:rPr>
          <w:rFonts w:ascii="Arial" w:hAnsi="Arial" w:cs="Arial"/>
          <w:lang w:val="en-IN"/>
        </w:rPr>
        <w:t xml:space="preserve"> stress and 0.18</w:t>
      </w:r>
      <w:r w:rsidRPr="003F0D96">
        <w:rPr>
          <w:rFonts w:ascii="Arial" w:hAnsi="Arial" w:cs="Arial"/>
          <w:rtl/>
        </w:rPr>
        <w:t>±</w:t>
      </w:r>
      <w:r w:rsidRPr="003F0D96">
        <w:rPr>
          <w:rFonts w:ascii="Arial" w:hAnsi="Arial" w:cs="Arial"/>
          <w:lang w:val="en-IN"/>
        </w:rPr>
        <w:t xml:space="preserve">0.01 </w:t>
      </w:r>
      <w:proofErr w:type="spellStart"/>
      <w:r w:rsidRPr="003F0D96">
        <w:rPr>
          <w:rFonts w:ascii="Arial" w:hAnsi="Arial" w:cs="Arial"/>
          <w:lang w:val="en-IN"/>
        </w:rPr>
        <w:t>μg</w:t>
      </w:r>
      <w:proofErr w:type="spellEnd"/>
      <w:r w:rsidRPr="003F0D96">
        <w:rPr>
          <w:rFonts w:ascii="Arial" w:hAnsi="Arial" w:cs="Arial"/>
          <w:lang w:val="en-IN"/>
        </w:rPr>
        <w:t xml:space="preserve"> g</w:t>
      </w:r>
      <w:r w:rsidRPr="003F0D96">
        <w:rPr>
          <w:rFonts w:ascii="Arial" w:hAnsi="Arial" w:cs="Arial"/>
          <w:vertAlign w:val="superscript"/>
          <w:lang w:val="en-IN"/>
        </w:rPr>
        <w:t>-1</w:t>
      </w:r>
      <w:r w:rsidRPr="003F0D96">
        <w:rPr>
          <w:rFonts w:ascii="Arial" w:hAnsi="Arial" w:cs="Arial"/>
          <w:lang w:val="en-IN"/>
        </w:rPr>
        <w:t xml:space="preserve"> for PEG stress studies. With increasing NaCl concentrations, there is a gradual rise in β-carotene levels, reaching 0.19</w:t>
      </w:r>
      <w:r w:rsidRPr="003F0D96">
        <w:rPr>
          <w:rFonts w:ascii="Arial" w:hAnsi="Arial" w:cs="Arial"/>
          <w:rtl/>
        </w:rPr>
        <w:t>±</w:t>
      </w:r>
      <w:r w:rsidRPr="003F0D96">
        <w:rPr>
          <w:rFonts w:ascii="Arial" w:hAnsi="Arial" w:cs="Arial"/>
          <w:lang w:val="en-IN"/>
        </w:rPr>
        <w:t>0.01 at 50 mM, 0.21</w:t>
      </w:r>
      <w:r w:rsidRPr="003F0D96">
        <w:rPr>
          <w:rFonts w:ascii="Arial" w:hAnsi="Arial" w:cs="Arial"/>
          <w:rtl/>
        </w:rPr>
        <w:t>±</w:t>
      </w:r>
      <w:r w:rsidRPr="003F0D96">
        <w:rPr>
          <w:rFonts w:ascii="Arial" w:hAnsi="Arial" w:cs="Arial"/>
          <w:lang w:val="en-IN"/>
        </w:rPr>
        <w:t>0.01 at 100 mM, and 0.27</w:t>
      </w:r>
      <w:r w:rsidRPr="003F0D96">
        <w:rPr>
          <w:rFonts w:ascii="Arial" w:hAnsi="Arial" w:cs="Arial"/>
          <w:rtl/>
        </w:rPr>
        <w:t>±</w:t>
      </w:r>
      <w:r w:rsidRPr="003F0D96">
        <w:rPr>
          <w:rFonts w:ascii="Arial" w:hAnsi="Arial" w:cs="Arial"/>
          <w:lang w:val="en-IN"/>
        </w:rPr>
        <w:t xml:space="preserve">0.02 </w:t>
      </w:r>
      <w:proofErr w:type="spellStart"/>
      <w:r w:rsidRPr="003F0D96">
        <w:rPr>
          <w:rFonts w:ascii="Arial" w:hAnsi="Arial" w:cs="Arial"/>
          <w:lang w:val="en-IN"/>
        </w:rPr>
        <w:t>μg</w:t>
      </w:r>
      <w:proofErr w:type="spellEnd"/>
      <w:r w:rsidRPr="003F0D96">
        <w:rPr>
          <w:rFonts w:ascii="Arial" w:hAnsi="Arial" w:cs="Arial"/>
          <w:lang w:val="en-IN"/>
        </w:rPr>
        <w:t xml:space="preserve"> g</w:t>
      </w:r>
      <w:r w:rsidRPr="003F0D96">
        <w:rPr>
          <w:rFonts w:ascii="Arial" w:hAnsi="Arial" w:cs="Arial"/>
          <w:vertAlign w:val="superscript"/>
          <w:lang w:val="en-IN"/>
        </w:rPr>
        <w:t>-1</w:t>
      </w:r>
      <w:r w:rsidRPr="003F0D96">
        <w:rPr>
          <w:rFonts w:ascii="Arial" w:hAnsi="Arial" w:cs="Arial"/>
          <w:lang w:val="en-IN"/>
        </w:rPr>
        <w:t xml:space="preserve"> at 150 mM as compared to control plant (0.17</w:t>
      </w:r>
      <w:r w:rsidRPr="003F0D96">
        <w:rPr>
          <w:rFonts w:ascii="Arial" w:hAnsi="Arial" w:cs="Arial"/>
          <w:rtl/>
        </w:rPr>
        <w:t>±</w:t>
      </w:r>
      <w:r w:rsidRPr="003F0D96">
        <w:rPr>
          <w:rFonts w:ascii="Arial" w:hAnsi="Arial" w:cs="Arial"/>
          <w:lang w:val="en-IN"/>
        </w:rPr>
        <w:t>0.02). The maximum β-carotene level of 0.28</w:t>
      </w:r>
      <w:r w:rsidRPr="003F0D96">
        <w:rPr>
          <w:rFonts w:ascii="Arial" w:hAnsi="Arial" w:cs="Arial"/>
          <w:rtl/>
        </w:rPr>
        <w:t>±</w:t>
      </w:r>
      <w:r w:rsidRPr="003F0D96">
        <w:rPr>
          <w:rFonts w:ascii="Arial" w:hAnsi="Arial" w:cs="Arial"/>
          <w:lang w:val="en-IN"/>
        </w:rPr>
        <w:t xml:space="preserve">0.05 </w:t>
      </w:r>
      <w:proofErr w:type="spellStart"/>
      <w:r w:rsidRPr="003F0D96">
        <w:rPr>
          <w:rFonts w:ascii="Arial" w:hAnsi="Arial" w:cs="Arial"/>
          <w:lang w:val="en-IN"/>
        </w:rPr>
        <w:t>μg</w:t>
      </w:r>
      <w:proofErr w:type="spellEnd"/>
      <w:r w:rsidRPr="003F0D96">
        <w:rPr>
          <w:rFonts w:ascii="Arial" w:hAnsi="Arial" w:cs="Arial"/>
          <w:lang w:val="en-IN"/>
        </w:rPr>
        <w:t xml:space="preserve"> g</w:t>
      </w:r>
      <w:r w:rsidRPr="003F0D96">
        <w:rPr>
          <w:rFonts w:ascii="Arial" w:hAnsi="Arial" w:cs="Arial"/>
          <w:vertAlign w:val="superscript"/>
          <w:lang w:val="en-IN"/>
        </w:rPr>
        <w:t>-1</w:t>
      </w:r>
      <w:r w:rsidRPr="003F0D96">
        <w:rPr>
          <w:rFonts w:ascii="Arial" w:hAnsi="Arial" w:cs="Arial"/>
          <w:lang w:val="en-IN"/>
        </w:rPr>
        <w:t xml:space="preserve"> is observed at 200 mM NaCl. However, at 250 mM, β-carotene levels decrease slightly to 0.24</w:t>
      </w:r>
      <w:r w:rsidRPr="003F0D96">
        <w:rPr>
          <w:rFonts w:ascii="Arial" w:hAnsi="Arial" w:cs="Arial"/>
          <w:rtl/>
        </w:rPr>
        <w:t>±</w:t>
      </w:r>
      <w:r w:rsidRPr="003F0D96">
        <w:rPr>
          <w:rFonts w:ascii="Arial" w:hAnsi="Arial" w:cs="Arial"/>
          <w:lang w:val="en-IN"/>
        </w:rPr>
        <w:t xml:space="preserve">0.02 </w:t>
      </w:r>
      <w:proofErr w:type="spellStart"/>
      <w:r w:rsidRPr="003F0D96">
        <w:rPr>
          <w:rFonts w:ascii="Arial" w:hAnsi="Arial" w:cs="Arial"/>
          <w:lang w:val="en-IN"/>
        </w:rPr>
        <w:t>μg</w:t>
      </w:r>
      <w:proofErr w:type="spellEnd"/>
      <w:r w:rsidRPr="003F0D96">
        <w:rPr>
          <w:rFonts w:ascii="Arial" w:hAnsi="Arial" w:cs="Arial"/>
          <w:lang w:val="en-IN"/>
        </w:rPr>
        <w:t xml:space="preserve"> g</w:t>
      </w:r>
      <w:r w:rsidRPr="003F0D96">
        <w:rPr>
          <w:rFonts w:ascii="Arial" w:hAnsi="Arial" w:cs="Arial"/>
          <w:vertAlign w:val="superscript"/>
          <w:lang w:val="en-IN"/>
        </w:rPr>
        <w:t>-1</w:t>
      </w:r>
      <w:r w:rsidRPr="003F0D96">
        <w:rPr>
          <w:rFonts w:ascii="Arial" w:hAnsi="Arial" w:cs="Arial"/>
          <w:lang w:val="en-IN"/>
        </w:rPr>
        <w:t xml:space="preserve">. </w:t>
      </w:r>
      <w:r w:rsidRPr="003F0D96">
        <w:rPr>
          <w:rFonts w:ascii="Arial" w:hAnsi="Arial" w:cs="Arial"/>
          <w:lang w:val="da-DK"/>
        </w:rPr>
        <w:t xml:space="preserve">For PEG stress, </w:t>
      </w:r>
      <w:r w:rsidRPr="003F0D96">
        <w:rPr>
          <w:rFonts w:ascii="Arial" w:hAnsi="Arial" w:cs="Arial"/>
          <w:lang w:val="en-IN"/>
        </w:rPr>
        <w:t xml:space="preserve">β-carotene levels also </w:t>
      </w:r>
      <w:r w:rsidR="00E32861" w:rsidRPr="00E32861">
        <w:rPr>
          <w:rFonts w:ascii="Arial" w:hAnsi="Arial" w:cs="Arial"/>
          <w:highlight w:val="yellow"/>
          <w:lang w:val="en-IN"/>
        </w:rPr>
        <w:t>increase</w:t>
      </w:r>
      <w:r w:rsidR="00E32861">
        <w:rPr>
          <w:rFonts w:ascii="Arial" w:hAnsi="Arial" w:cs="Arial"/>
          <w:lang w:val="en-IN"/>
        </w:rPr>
        <w:t xml:space="preserve"> initially to 0.2±0.02 at 5%, 0.26±0.01 at 10%, and peaking at 0.29±0.02 </w:t>
      </w:r>
      <w:proofErr w:type="spellStart"/>
      <w:r w:rsidR="00E32861">
        <w:rPr>
          <w:rFonts w:ascii="Arial" w:hAnsi="Arial" w:cs="Arial"/>
          <w:lang w:val="en-IN"/>
        </w:rPr>
        <w:t>μg</w:t>
      </w:r>
      <w:proofErr w:type="spellEnd"/>
      <w:r w:rsidR="00E32861">
        <w:rPr>
          <w:rFonts w:ascii="Arial" w:hAnsi="Arial" w:cs="Arial"/>
          <w:lang w:val="en-IN"/>
        </w:rPr>
        <w:t xml:space="preserve"> g-1 at 15% in comparison to non-stressed</w:t>
      </w:r>
      <w:r w:rsidRPr="003F0D96">
        <w:rPr>
          <w:rFonts w:ascii="Arial" w:hAnsi="Arial" w:cs="Arial"/>
          <w:lang w:val="en-IN"/>
        </w:rPr>
        <w:t xml:space="preserve"> plant (0.18</w:t>
      </w:r>
      <w:r w:rsidRPr="003F0D96">
        <w:rPr>
          <w:rFonts w:ascii="Arial" w:hAnsi="Arial" w:cs="Arial"/>
          <w:rtl/>
        </w:rPr>
        <w:t>±</w:t>
      </w:r>
      <w:r w:rsidRPr="003F0D96">
        <w:rPr>
          <w:rFonts w:ascii="Arial" w:hAnsi="Arial" w:cs="Arial"/>
          <w:lang w:val="en-IN"/>
        </w:rPr>
        <w:t xml:space="preserve">0.01 </w:t>
      </w:r>
      <w:proofErr w:type="spellStart"/>
      <w:r w:rsidRPr="003F0D96">
        <w:rPr>
          <w:rFonts w:ascii="Arial" w:hAnsi="Arial" w:cs="Arial"/>
          <w:lang w:val="en-IN"/>
        </w:rPr>
        <w:t>μg</w:t>
      </w:r>
      <w:proofErr w:type="spellEnd"/>
      <w:r w:rsidRPr="003F0D96">
        <w:rPr>
          <w:rFonts w:ascii="Arial" w:hAnsi="Arial" w:cs="Arial"/>
          <w:lang w:val="en-IN"/>
        </w:rPr>
        <w:t xml:space="preserve"> g</w:t>
      </w:r>
      <w:r w:rsidRPr="003F0D96">
        <w:rPr>
          <w:rFonts w:ascii="Arial" w:hAnsi="Arial" w:cs="Arial"/>
          <w:vertAlign w:val="superscript"/>
          <w:lang w:val="en-IN"/>
        </w:rPr>
        <w:t>-1</w:t>
      </w:r>
      <w:r w:rsidRPr="003F0D96">
        <w:rPr>
          <w:rFonts w:ascii="Arial" w:hAnsi="Arial" w:cs="Arial"/>
          <w:lang w:val="en-IN"/>
        </w:rPr>
        <w:t>)</w:t>
      </w:r>
      <w:r w:rsidRPr="003F0D96">
        <w:rPr>
          <w:rFonts w:ascii="Arial" w:hAnsi="Arial" w:cs="Arial"/>
          <w:lang w:val="da-DK"/>
        </w:rPr>
        <w:t xml:space="preserve">. However, at 20% PEG, </w:t>
      </w:r>
      <w:r w:rsidRPr="003F0D96">
        <w:rPr>
          <w:rFonts w:ascii="Arial" w:hAnsi="Arial" w:cs="Arial"/>
          <w:lang w:val="en-IN"/>
        </w:rPr>
        <w:t>β-carotene levels decline slightly to 0.26</w:t>
      </w:r>
      <w:r w:rsidRPr="003F0D96">
        <w:rPr>
          <w:rFonts w:ascii="Arial" w:hAnsi="Arial" w:cs="Arial"/>
          <w:rtl/>
        </w:rPr>
        <w:t>±</w:t>
      </w:r>
      <w:r w:rsidRPr="003F0D96">
        <w:rPr>
          <w:rFonts w:ascii="Arial" w:hAnsi="Arial" w:cs="Arial"/>
          <w:lang w:val="en-IN"/>
        </w:rPr>
        <w:t xml:space="preserve">0.01 </w:t>
      </w:r>
      <w:proofErr w:type="spellStart"/>
      <w:r w:rsidRPr="003F0D96">
        <w:rPr>
          <w:rFonts w:ascii="Arial" w:hAnsi="Arial" w:cs="Arial"/>
          <w:lang w:val="en-IN"/>
        </w:rPr>
        <w:t>μg</w:t>
      </w:r>
      <w:proofErr w:type="spellEnd"/>
      <w:r w:rsidRPr="003F0D96">
        <w:rPr>
          <w:rFonts w:ascii="Arial" w:hAnsi="Arial" w:cs="Arial"/>
          <w:lang w:val="en-IN"/>
        </w:rPr>
        <w:t xml:space="preserve"> g</w:t>
      </w:r>
      <w:r w:rsidRPr="003F0D96">
        <w:rPr>
          <w:rFonts w:ascii="Arial" w:hAnsi="Arial" w:cs="Arial"/>
          <w:vertAlign w:val="superscript"/>
          <w:lang w:val="en-IN"/>
        </w:rPr>
        <w:t xml:space="preserve">-1 </w:t>
      </w:r>
      <w:r w:rsidRPr="003F0D96">
        <w:rPr>
          <w:rFonts w:ascii="Arial" w:hAnsi="Arial" w:cs="Arial"/>
          <w:lang w:val="en-IN"/>
        </w:rPr>
        <w:t>(Figure 5).</w:t>
      </w:r>
    </w:p>
    <w:p w14:paraId="1E6B4D77" w14:textId="77777777" w:rsidR="00616DF3" w:rsidRPr="00616DF3" w:rsidRDefault="00616DF3" w:rsidP="00616DF3">
      <w:pPr>
        <w:pStyle w:val="Body"/>
        <w:rPr>
          <w:rFonts w:ascii="Arial" w:hAnsi="Arial" w:cs="Arial"/>
          <w:lang w:val="en-IN"/>
        </w:rPr>
      </w:pPr>
      <w:r w:rsidRPr="00616DF3">
        <w:rPr>
          <w:rFonts w:ascii="Arial" w:hAnsi="Arial" w:cs="Arial"/>
          <w:noProof/>
          <w:lang w:val="en-IN" w:eastAsia="en-IN"/>
        </w:rPr>
        <w:drawing>
          <wp:inline distT="0" distB="0" distL="0" distR="0" wp14:anchorId="13BBC5A1" wp14:editId="25997A9F">
            <wp:extent cx="2399386" cy="1837715"/>
            <wp:effectExtent l="19050" t="0" r="19964" b="0"/>
            <wp:docPr id="6"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616DF3">
        <w:rPr>
          <w:rFonts w:ascii="Arial" w:hAnsi="Arial" w:cs="Arial"/>
          <w:lang w:val="en-IN"/>
        </w:rPr>
        <w:t xml:space="preserve"> </w:t>
      </w:r>
      <w:r w:rsidRPr="00616DF3">
        <w:rPr>
          <w:rFonts w:ascii="Arial" w:hAnsi="Arial" w:cs="Arial"/>
          <w:noProof/>
          <w:lang w:val="en-IN" w:eastAsia="en-IN"/>
        </w:rPr>
        <w:drawing>
          <wp:inline distT="0" distB="0" distL="0" distR="0" wp14:anchorId="0C01E408" wp14:editId="3F95B836">
            <wp:extent cx="2322805" cy="1843430"/>
            <wp:effectExtent l="19050" t="0" r="20345" b="4420"/>
            <wp:docPr id="7"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58784A2" w14:textId="77777777" w:rsidR="00616DF3" w:rsidRPr="00616DF3" w:rsidRDefault="00616DF3" w:rsidP="00616DF3">
      <w:pPr>
        <w:pStyle w:val="Body"/>
        <w:rPr>
          <w:rFonts w:ascii="Arial" w:hAnsi="Arial" w:cs="Arial"/>
          <w:b/>
          <w:lang w:val="en-IN"/>
        </w:rPr>
      </w:pPr>
      <w:r>
        <w:rPr>
          <w:rFonts w:ascii="Arial" w:hAnsi="Arial" w:cs="Arial"/>
          <w:b/>
          <w:lang w:val="en-IN"/>
        </w:rPr>
        <w:t xml:space="preserve">                           </w:t>
      </w:r>
      <w:r w:rsidRPr="00616DF3">
        <w:rPr>
          <w:rFonts w:ascii="Arial" w:hAnsi="Arial" w:cs="Arial"/>
          <w:b/>
          <w:lang w:val="en-IN"/>
        </w:rPr>
        <w:t>A</w:t>
      </w:r>
      <w:r w:rsidRPr="00616DF3">
        <w:rPr>
          <w:rFonts w:ascii="Arial" w:hAnsi="Arial" w:cs="Arial"/>
          <w:b/>
          <w:lang w:val="en-IN"/>
        </w:rPr>
        <w:tab/>
      </w:r>
      <w:r w:rsidRPr="00616DF3">
        <w:rPr>
          <w:rFonts w:ascii="Arial" w:hAnsi="Arial" w:cs="Arial"/>
          <w:b/>
          <w:lang w:val="en-IN"/>
        </w:rPr>
        <w:tab/>
      </w:r>
      <w:r w:rsidRPr="00616DF3">
        <w:rPr>
          <w:rFonts w:ascii="Arial" w:hAnsi="Arial" w:cs="Arial"/>
          <w:b/>
          <w:lang w:val="en-IN"/>
        </w:rPr>
        <w:tab/>
      </w:r>
      <w:r w:rsidRPr="00616DF3">
        <w:rPr>
          <w:rFonts w:ascii="Arial" w:hAnsi="Arial" w:cs="Arial"/>
          <w:b/>
          <w:lang w:val="en-IN"/>
        </w:rPr>
        <w:tab/>
      </w:r>
      <w:r w:rsidRPr="00616DF3">
        <w:rPr>
          <w:rFonts w:ascii="Arial" w:hAnsi="Arial" w:cs="Arial"/>
          <w:b/>
          <w:lang w:val="en-IN"/>
        </w:rPr>
        <w:tab/>
      </w:r>
      <w:r w:rsidRPr="00616DF3">
        <w:rPr>
          <w:rFonts w:ascii="Arial" w:hAnsi="Arial" w:cs="Arial"/>
          <w:b/>
          <w:lang w:val="en-IN"/>
        </w:rPr>
        <w:tab/>
        <w:t>B</w:t>
      </w:r>
    </w:p>
    <w:p w14:paraId="0AF7E963" w14:textId="77777777" w:rsidR="00616DF3" w:rsidRPr="00616DF3" w:rsidRDefault="00616DF3" w:rsidP="00616DF3">
      <w:pPr>
        <w:pStyle w:val="Body"/>
        <w:rPr>
          <w:rFonts w:ascii="Arial" w:hAnsi="Arial" w:cs="Arial"/>
          <w:lang w:val="en-IN"/>
        </w:rPr>
      </w:pPr>
      <w:r w:rsidRPr="00616DF3">
        <w:rPr>
          <w:rFonts w:ascii="Arial" w:hAnsi="Arial" w:cs="Arial"/>
          <w:b/>
          <w:lang w:val="en-IN"/>
        </w:rPr>
        <w:t xml:space="preserve">Figure </w:t>
      </w:r>
      <w:proofErr w:type="gramStart"/>
      <w:r w:rsidRPr="00616DF3">
        <w:rPr>
          <w:rFonts w:ascii="Arial" w:hAnsi="Arial" w:cs="Arial"/>
          <w:b/>
          <w:lang w:val="en-IN"/>
        </w:rPr>
        <w:t>5 :</w:t>
      </w:r>
      <w:proofErr w:type="gramEnd"/>
      <w:r w:rsidRPr="00616DF3">
        <w:rPr>
          <w:rFonts w:ascii="Arial" w:hAnsi="Arial" w:cs="Arial"/>
          <w:b/>
          <w:lang w:val="en-IN"/>
        </w:rPr>
        <w:t xml:space="preserve"> </w:t>
      </w:r>
      <w:r w:rsidRPr="00616DF3">
        <w:rPr>
          <w:rFonts w:ascii="Arial" w:hAnsi="Arial" w:cs="Arial"/>
          <w:lang w:val="el-GR"/>
        </w:rPr>
        <w:t xml:space="preserve">β </w:t>
      </w:r>
      <w:r w:rsidRPr="00616DF3">
        <w:rPr>
          <w:rFonts w:ascii="Arial" w:hAnsi="Arial" w:cs="Arial"/>
          <w:lang w:val="en-IN"/>
        </w:rPr>
        <w:t xml:space="preserve">carotene in </w:t>
      </w:r>
      <w:proofErr w:type="spellStart"/>
      <w:r w:rsidRPr="00616DF3">
        <w:rPr>
          <w:rFonts w:ascii="Arial" w:hAnsi="Arial" w:cs="Arial"/>
          <w:i/>
          <w:lang w:val="en-IN"/>
        </w:rPr>
        <w:t>Bacopa</w:t>
      </w:r>
      <w:proofErr w:type="spellEnd"/>
      <w:r w:rsidRPr="00616DF3">
        <w:rPr>
          <w:rFonts w:ascii="Arial" w:hAnsi="Arial" w:cs="Arial"/>
          <w:i/>
          <w:lang w:val="en-IN"/>
        </w:rPr>
        <w:t xml:space="preserve"> </w:t>
      </w:r>
      <w:proofErr w:type="spellStart"/>
      <w:r w:rsidRPr="00616DF3">
        <w:rPr>
          <w:rFonts w:ascii="Arial" w:hAnsi="Arial" w:cs="Arial"/>
          <w:i/>
          <w:lang w:val="en-IN"/>
        </w:rPr>
        <w:t>monnieri</w:t>
      </w:r>
      <w:proofErr w:type="spellEnd"/>
      <w:r w:rsidRPr="00616DF3">
        <w:rPr>
          <w:rFonts w:ascii="Arial" w:hAnsi="Arial" w:cs="Arial"/>
          <w:lang w:val="en-IN"/>
        </w:rPr>
        <w:t xml:space="preserve"> simulated with (A) PEG 6000 and (B) NaCl induced stress</w:t>
      </w:r>
    </w:p>
    <w:p w14:paraId="63C126B9" w14:textId="77777777" w:rsidR="00616DF3" w:rsidRPr="003F0D96" w:rsidRDefault="00616DF3" w:rsidP="003F0D96">
      <w:pPr>
        <w:pStyle w:val="Body"/>
        <w:rPr>
          <w:rFonts w:ascii="Arial" w:hAnsi="Arial" w:cs="Arial"/>
          <w:lang w:val="en-IN"/>
        </w:rPr>
      </w:pPr>
    </w:p>
    <w:p w14:paraId="03F7640C" w14:textId="77777777" w:rsidR="003F0D96" w:rsidRPr="003F0D96" w:rsidRDefault="003F0D96" w:rsidP="003F0D96">
      <w:pPr>
        <w:pStyle w:val="Body"/>
        <w:numPr>
          <w:ilvl w:val="1"/>
          <w:numId w:val="34"/>
        </w:numPr>
        <w:spacing w:after="0"/>
        <w:rPr>
          <w:rFonts w:ascii="Arial" w:hAnsi="Arial" w:cs="Arial"/>
          <w:b/>
          <w:lang w:val="en-IN"/>
        </w:rPr>
      </w:pPr>
      <w:r w:rsidRPr="003F0D96">
        <w:rPr>
          <w:rFonts w:ascii="Arial" w:hAnsi="Arial" w:cs="Arial"/>
          <w:b/>
          <w:lang w:val="en-IN"/>
        </w:rPr>
        <w:t>Phenol</w:t>
      </w:r>
    </w:p>
    <w:p w14:paraId="44C5D5DC" w14:textId="77777777" w:rsidR="003F0D96" w:rsidRDefault="003F0D96" w:rsidP="003F0D96">
      <w:pPr>
        <w:pStyle w:val="Body"/>
        <w:rPr>
          <w:rFonts w:ascii="Arial" w:hAnsi="Arial" w:cs="Arial"/>
          <w:lang w:val="en-IN"/>
        </w:rPr>
      </w:pPr>
      <w:r w:rsidRPr="003F0D96">
        <w:rPr>
          <w:rFonts w:ascii="Arial" w:hAnsi="Arial" w:cs="Arial"/>
          <w:lang w:val="en-IN"/>
        </w:rPr>
        <w:t>Phenol levels increased significantly with rising salinity, indicating an enhanced antioxidant response to mitigate oxidative damage. Starting at 163.76±3.94 µ</w:t>
      </w:r>
      <w:proofErr w:type="spellStart"/>
      <w:r w:rsidRPr="003F0D96">
        <w:rPr>
          <w:rFonts w:ascii="Arial" w:hAnsi="Arial" w:cs="Arial"/>
          <w:lang w:val="en-IN"/>
        </w:rPr>
        <w:t>gGAE</w:t>
      </w:r>
      <w:proofErr w:type="spellEnd"/>
      <w:r w:rsidRPr="003F0D96">
        <w:rPr>
          <w:rFonts w:ascii="Arial" w:hAnsi="Arial" w:cs="Arial"/>
          <w:lang w:val="en-IN"/>
        </w:rPr>
        <w:t xml:space="preserve"> g</w:t>
      </w:r>
      <w:r w:rsidRPr="003F0D96">
        <w:rPr>
          <w:rFonts w:ascii="Arial" w:hAnsi="Arial" w:cs="Arial"/>
          <w:vertAlign w:val="superscript"/>
          <w:lang w:val="en-IN"/>
        </w:rPr>
        <w:t>−1</w:t>
      </w:r>
      <w:r w:rsidRPr="003F0D96">
        <w:rPr>
          <w:rFonts w:ascii="Arial" w:hAnsi="Arial" w:cs="Arial"/>
          <w:lang w:val="en-IN"/>
        </w:rPr>
        <w:t xml:space="preserve"> in control plants, phenol content rose steadily to 256.92±16.56 at 50mM and </w:t>
      </w:r>
      <w:r w:rsidRPr="003F0D96">
        <w:rPr>
          <w:rFonts w:ascii="Arial" w:hAnsi="Arial" w:cs="Arial"/>
          <w:lang w:val="en-IN"/>
        </w:rPr>
        <w:lastRenderedPageBreak/>
        <w:t>peaked at 150mM (365.71±10.54 µ</w:t>
      </w:r>
      <w:proofErr w:type="spellStart"/>
      <w:r w:rsidRPr="003F0D96">
        <w:rPr>
          <w:rFonts w:ascii="Arial" w:hAnsi="Arial" w:cs="Arial"/>
          <w:lang w:val="en-IN"/>
        </w:rPr>
        <w:t>gGAE</w:t>
      </w:r>
      <w:proofErr w:type="spellEnd"/>
      <w:r w:rsidRPr="003F0D96">
        <w:rPr>
          <w:rFonts w:ascii="Arial" w:hAnsi="Arial" w:cs="Arial"/>
          <w:lang w:val="en-IN"/>
        </w:rPr>
        <w:t xml:space="preserve"> g</w:t>
      </w:r>
      <w:r w:rsidRPr="003F0D96">
        <w:rPr>
          <w:rFonts w:ascii="Arial" w:hAnsi="Arial" w:cs="Arial"/>
          <w:vertAlign w:val="superscript"/>
          <w:lang w:val="en-IN"/>
        </w:rPr>
        <w:t>−1</w:t>
      </w:r>
      <w:r w:rsidRPr="003F0D96">
        <w:rPr>
          <w:rFonts w:ascii="Arial" w:hAnsi="Arial" w:cs="Arial"/>
          <w:lang w:val="en-IN"/>
        </w:rPr>
        <w:t xml:space="preserve">). However, at the highest concentration </w:t>
      </w:r>
      <w:r w:rsidRPr="003F0D96">
        <w:rPr>
          <w:rFonts w:ascii="Arial" w:hAnsi="Arial" w:cs="Arial"/>
          <w:bCs/>
          <w:lang w:val="en-IN"/>
        </w:rPr>
        <w:t>200mM and 250mM NaCl</w:t>
      </w:r>
      <w:r w:rsidRPr="003F0D96">
        <w:rPr>
          <w:rFonts w:ascii="Arial" w:hAnsi="Arial" w:cs="Arial"/>
          <w:lang w:val="en-IN"/>
        </w:rPr>
        <w:t>, phenol levels decreased further to 326.09±6.95 and 300.81±4.34 µ</w:t>
      </w:r>
      <w:proofErr w:type="spellStart"/>
      <w:r w:rsidRPr="003F0D96">
        <w:rPr>
          <w:rFonts w:ascii="Arial" w:hAnsi="Arial" w:cs="Arial"/>
          <w:lang w:val="en-IN"/>
        </w:rPr>
        <w:t>gGAE</w:t>
      </w:r>
      <w:proofErr w:type="spellEnd"/>
      <w:r w:rsidRPr="003F0D96">
        <w:rPr>
          <w:rFonts w:ascii="Arial" w:hAnsi="Arial" w:cs="Arial"/>
          <w:lang w:val="en-IN"/>
        </w:rPr>
        <w:t xml:space="preserve"> g</w:t>
      </w:r>
      <w:r w:rsidRPr="003F0D96">
        <w:rPr>
          <w:rFonts w:ascii="Arial" w:hAnsi="Arial" w:cs="Arial"/>
          <w:vertAlign w:val="superscript"/>
          <w:lang w:val="en-IN"/>
        </w:rPr>
        <w:t xml:space="preserve">−1 </w:t>
      </w:r>
      <w:r w:rsidRPr="003F0D96">
        <w:rPr>
          <w:rFonts w:ascii="Arial" w:hAnsi="Arial" w:cs="Arial"/>
          <w:lang w:val="en-IN"/>
        </w:rPr>
        <w:t>respectively. Under PEG-induced drought stress, phenol levels also increased, with a similar trend to NaCl stress. Control plants recorded 161.63±4.89, rising to 270.5±25.06 µ</w:t>
      </w:r>
      <w:proofErr w:type="spellStart"/>
      <w:r w:rsidRPr="003F0D96">
        <w:rPr>
          <w:rFonts w:ascii="Arial" w:hAnsi="Arial" w:cs="Arial"/>
          <w:lang w:val="en-IN"/>
        </w:rPr>
        <w:t>gGAE</w:t>
      </w:r>
      <w:proofErr w:type="spellEnd"/>
      <w:r w:rsidRPr="003F0D96">
        <w:rPr>
          <w:rFonts w:ascii="Arial" w:hAnsi="Arial" w:cs="Arial"/>
          <w:lang w:val="en-IN"/>
        </w:rPr>
        <w:t xml:space="preserve"> g</w:t>
      </w:r>
      <w:r w:rsidRPr="003F0D96">
        <w:rPr>
          <w:rFonts w:ascii="Arial" w:hAnsi="Arial" w:cs="Arial"/>
          <w:vertAlign w:val="superscript"/>
          <w:lang w:val="en-IN"/>
        </w:rPr>
        <w:t>−1</w:t>
      </w:r>
      <w:r w:rsidRPr="003F0D96">
        <w:rPr>
          <w:rFonts w:ascii="Arial" w:hAnsi="Arial" w:cs="Arial"/>
          <w:lang w:val="en-IN"/>
        </w:rPr>
        <w:t xml:space="preserve"> at 5% PEG. Phenol content peaked at 15% PEG (347.95±15.22 µ</w:t>
      </w:r>
      <w:proofErr w:type="spellStart"/>
      <w:r w:rsidRPr="003F0D96">
        <w:rPr>
          <w:rFonts w:ascii="Arial" w:hAnsi="Arial" w:cs="Arial"/>
          <w:lang w:val="en-IN"/>
        </w:rPr>
        <w:t>gGAE</w:t>
      </w:r>
      <w:proofErr w:type="spellEnd"/>
      <w:r w:rsidRPr="003F0D96">
        <w:rPr>
          <w:rFonts w:ascii="Arial" w:hAnsi="Arial" w:cs="Arial"/>
          <w:lang w:val="en-IN"/>
        </w:rPr>
        <w:t xml:space="preserve"> g</w:t>
      </w:r>
      <w:r w:rsidRPr="003F0D96">
        <w:rPr>
          <w:rFonts w:ascii="Arial" w:hAnsi="Arial" w:cs="Arial"/>
          <w:vertAlign w:val="superscript"/>
          <w:lang w:val="en-IN"/>
        </w:rPr>
        <w:t>−1</w:t>
      </w:r>
      <w:r w:rsidRPr="003F0D96">
        <w:rPr>
          <w:rFonts w:ascii="Arial" w:hAnsi="Arial" w:cs="Arial"/>
          <w:lang w:val="en-IN"/>
        </w:rPr>
        <w:t>), indicating a strong antioxidative response to severe drought conditions. However, at 20% PEG, phenol levels declined to 318.74±4.09 µ</w:t>
      </w:r>
      <w:proofErr w:type="spellStart"/>
      <w:r w:rsidRPr="003F0D96">
        <w:rPr>
          <w:rFonts w:ascii="Arial" w:hAnsi="Arial" w:cs="Arial"/>
          <w:lang w:val="en-IN"/>
        </w:rPr>
        <w:t>gGAE</w:t>
      </w:r>
      <w:proofErr w:type="spellEnd"/>
      <w:r w:rsidRPr="003F0D96">
        <w:rPr>
          <w:rFonts w:ascii="Arial" w:hAnsi="Arial" w:cs="Arial"/>
          <w:lang w:val="en-IN"/>
        </w:rPr>
        <w:t xml:space="preserve"> g</w:t>
      </w:r>
      <w:r w:rsidRPr="003F0D96">
        <w:rPr>
          <w:rFonts w:ascii="Arial" w:hAnsi="Arial" w:cs="Arial"/>
          <w:vertAlign w:val="superscript"/>
          <w:lang w:val="en-IN"/>
        </w:rPr>
        <w:t>−1</w:t>
      </w:r>
      <w:r w:rsidRPr="003F0D96">
        <w:rPr>
          <w:rFonts w:ascii="Arial" w:hAnsi="Arial" w:cs="Arial"/>
          <w:lang w:val="en-IN"/>
        </w:rPr>
        <w:t xml:space="preserve"> (Figure 6).</w:t>
      </w:r>
    </w:p>
    <w:p w14:paraId="74AA26EB" w14:textId="77777777" w:rsidR="000D0374" w:rsidRPr="000D0374" w:rsidRDefault="000D0374" w:rsidP="000D0374">
      <w:pPr>
        <w:pStyle w:val="Body"/>
        <w:rPr>
          <w:rFonts w:ascii="Arial" w:hAnsi="Arial" w:cs="Arial"/>
          <w:lang w:val="en-IN"/>
        </w:rPr>
      </w:pPr>
      <w:r w:rsidRPr="000D0374">
        <w:rPr>
          <w:rFonts w:ascii="Arial" w:hAnsi="Arial" w:cs="Arial"/>
          <w:noProof/>
          <w:lang w:val="en-IN" w:eastAsia="en-IN"/>
        </w:rPr>
        <w:drawing>
          <wp:inline distT="0" distB="0" distL="0" distR="0" wp14:anchorId="6DC8B705" wp14:editId="48223EFD">
            <wp:extent cx="2482748" cy="1982419"/>
            <wp:effectExtent l="19050" t="0" r="12802" b="0"/>
            <wp:docPr id="8"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0D0374">
        <w:rPr>
          <w:rFonts w:ascii="Arial" w:hAnsi="Arial" w:cs="Arial"/>
          <w:lang w:val="en-IN"/>
        </w:rPr>
        <w:t xml:space="preserve"> </w:t>
      </w:r>
      <w:r w:rsidRPr="000D0374">
        <w:rPr>
          <w:rFonts w:ascii="Arial" w:hAnsi="Arial" w:cs="Arial"/>
          <w:noProof/>
          <w:lang w:val="en-IN" w:eastAsia="en-IN"/>
        </w:rPr>
        <w:drawing>
          <wp:inline distT="0" distB="0" distL="0" distR="0" wp14:anchorId="64D759A2" wp14:editId="34968101">
            <wp:extent cx="2442388" cy="1989734"/>
            <wp:effectExtent l="19050" t="0" r="15062" b="0"/>
            <wp:docPr id="15"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EA408F2" w14:textId="77777777" w:rsidR="000D0374" w:rsidRPr="000D0374" w:rsidRDefault="000D0374" w:rsidP="000D0374">
      <w:pPr>
        <w:pStyle w:val="Body"/>
        <w:rPr>
          <w:rFonts w:ascii="Arial" w:hAnsi="Arial" w:cs="Arial"/>
          <w:b/>
          <w:lang w:val="en-IN"/>
        </w:rPr>
      </w:pPr>
      <w:r>
        <w:rPr>
          <w:rFonts w:ascii="Arial" w:hAnsi="Arial" w:cs="Arial"/>
          <w:b/>
          <w:lang w:val="en-IN"/>
        </w:rPr>
        <w:t xml:space="preserve">                                 </w:t>
      </w:r>
      <w:r w:rsidRPr="000D0374">
        <w:rPr>
          <w:rFonts w:ascii="Arial" w:hAnsi="Arial" w:cs="Arial"/>
          <w:b/>
          <w:lang w:val="en-IN"/>
        </w:rPr>
        <w:t>A</w:t>
      </w:r>
      <w:r w:rsidRPr="000D0374">
        <w:rPr>
          <w:rFonts w:ascii="Arial" w:hAnsi="Arial" w:cs="Arial"/>
          <w:b/>
          <w:lang w:val="en-IN"/>
        </w:rPr>
        <w:tab/>
      </w:r>
      <w:r w:rsidRPr="000D0374">
        <w:rPr>
          <w:rFonts w:ascii="Arial" w:hAnsi="Arial" w:cs="Arial"/>
          <w:b/>
          <w:lang w:val="en-IN"/>
        </w:rPr>
        <w:tab/>
      </w:r>
      <w:r w:rsidRPr="000D0374">
        <w:rPr>
          <w:rFonts w:ascii="Arial" w:hAnsi="Arial" w:cs="Arial"/>
          <w:b/>
          <w:lang w:val="en-IN"/>
        </w:rPr>
        <w:tab/>
      </w:r>
      <w:r w:rsidRPr="000D0374">
        <w:rPr>
          <w:rFonts w:ascii="Arial" w:hAnsi="Arial" w:cs="Arial"/>
          <w:b/>
          <w:lang w:val="en-IN"/>
        </w:rPr>
        <w:tab/>
      </w:r>
      <w:r w:rsidRPr="000D0374">
        <w:rPr>
          <w:rFonts w:ascii="Arial" w:hAnsi="Arial" w:cs="Arial"/>
          <w:b/>
          <w:lang w:val="en-IN"/>
        </w:rPr>
        <w:tab/>
      </w:r>
      <w:r w:rsidRPr="000D0374">
        <w:rPr>
          <w:rFonts w:ascii="Arial" w:hAnsi="Arial" w:cs="Arial"/>
          <w:b/>
          <w:lang w:val="en-IN"/>
        </w:rPr>
        <w:tab/>
      </w:r>
      <w:r>
        <w:rPr>
          <w:rFonts w:ascii="Arial" w:hAnsi="Arial" w:cs="Arial"/>
          <w:b/>
          <w:lang w:val="en-IN"/>
        </w:rPr>
        <w:t xml:space="preserve">   </w:t>
      </w:r>
      <w:r w:rsidRPr="000D0374">
        <w:rPr>
          <w:rFonts w:ascii="Arial" w:hAnsi="Arial" w:cs="Arial"/>
          <w:b/>
          <w:lang w:val="en-IN"/>
        </w:rPr>
        <w:t>B</w:t>
      </w:r>
    </w:p>
    <w:p w14:paraId="35F80441" w14:textId="77777777" w:rsidR="000D0374" w:rsidRPr="000D0374" w:rsidRDefault="000D0374" w:rsidP="000D0374">
      <w:pPr>
        <w:pStyle w:val="Body"/>
        <w:rPr>
          <w:rFonts w:ascii="Arial" w:hAnsi="Arial" w:cs="Arial"/>
          <w:lang w:val="en-IN"/>
        </w:rPr>
      </w:pPr>
      <w:r w:rsidRPr="000D0374">
        <w:rPr>
          <w:rFonts w:ascii="Arial" w:hAnsi="Arial" w:cs="Arial"/>
          <w:b/>
          <w:lang w:val="en-IN"/>
        </w:rPr>
        <w:t xml:space="preserve">Figure </w:t>
      </w:r>
      <w:proofErr w:type="gramStart"/>
      <w:r w:rsidRPr="000D0374">
        <w:rPr>
          <w:rFonts w:ascii="Arial" w:hAnsi="Arial" w:cs="Arial"/>
          <w:b/>
          <w:lang w:val="en-IN"/>
        </w:rPr>
        <w:t>6 :</w:t>
      </w:r>
      <w:proofErr w:type="gramEnd"/>
      <w:r w:rsidRPr="000D0374">
        <w:rPr>
          <w:rFonts w:ascii="Arial" w:hAnsi="Arial" w:cs="Arial"/>
          <w:lang w:val="en-IN"/>
        </w:rPr>
        <w:t xml:space="preserve"> Total phenolic content (TPC) in </w:t>
      </w:r>
      <w:proofErr w:type="spellStart"/>
      <w:r w:rsidRPr="000D0374">
        <w:rPr>
          <w:rFonts w:ascii="Arial" w:hAnsi="Arial" w:cs="Arial"/>
          <w:i/>
          <w:lang w:val="en-IN"/>
        </w:rPr>
        <w:t>Bacopa</w:t>
      </w:r>
      <w:proofErr w:type="spellEnd"/>
      <w:r w:rsidRPr="000D0374">
        <w:rPr>
          <w:rFonts w:ascii="Arial" w:hAnsi="Arial" w:cs="Arial"/>
          <w:i/>
          <w:lang w:val="en-IN"/>
        </w:rPr>
        <w:t xml:space="preserve"> </w:t>
      </w:r>
      <w:proofErr w:type="spellStart"/>
      <w:r w:rsidRPr="000D0374">
        <w:rPr>
          <w:rFonts w:ascii="Arial" w:hAnsi="Arial" w:cs="Arial"/>
          <w:i/>
          <w:lang w:val="en-IN"/>
        </w:rPr>
        <w:t>monnieri</w:t>
      </w:r>
      <w:proofErr w:type="spellEnd"/>
      <w:r w:rsidRPr="000D0374">
        <w:rPr>
          <w:rFonts w:ascii="Arial" w:hAnsi="Arial" w:cs="Arial"/>
          <w:lang w:val="en-IN"/>
        </w:rPr>
        <w:t xml:space="preserve"> simulated with (A) PEG 6000</w:t>
      </w:r>
      <w:r>
        <w:rPr>
          <w:rFonts w:ascii="Arial" w:hAnsi="Arial" w:cs="Arial"/>
          <w:lang w:val="en-IN"/>
        </w:rPr>
        <w:t xml:space="preserve"> </w:t>
      </w:r>
      <w:r w:rsidRPr="000D0374">
        <w:rPr>
          <w:rFonts w:ascii="Arial" w:hAnsi="Arial" w:cs="Arial"/>
          <w:lang w:val="en-IN"/>
        </w:rPr>
        <w:t>and (B) NaCl induced stress</w:t>
      </w:r>
    </w:p>
    <w:p w14:paraId="06C81160" w14:textId="77777777" w:rsidR="00616DF3" w:rsidRPr="003F0D96" w:rsidRDefault="00616DF3" w:rsidP="000D0374">
      <w:pPr>
        <w:pStyle w:val="Body"/>
        <w:rPr>
          <w:rFonts w:ascii="Arial" w:hAnsi="Arial" w:cs="Arial"/>
          <w:lang w:val="en-IN"/>
        </w:rPr>
      </w:pPr>
    </w:p>
    <w:p w14:paraId="444F4899" w14:textId="77777777" w:rsidR="003F0D96" w:rsidRPr="003F0D96" w:rsidRDefault="003F0D96" w:rsidP="003F0D96">
      <w:pPr>
        <w:pStyle w:val="Body"/>
        <w:numPr>
          <w:ilvl w:val="1"/>
          <w:numId w:val="34"/>
        </w:numPr>
        <w:spacing w:after="0"/>
        <w:rPr>
          <w:rFonts w:ascii="Arial" w:hAnsi="Arial" w:cs="Arial"/>
          <w:b/>
          <w:lang w:val="en-IN"/>
        </w:rPr>
      </w:pPr>
      <w:r w:rsidRPr="003F0D96">
        <w:rPr>
          <w:rFonts w:ascii="Arial" w:hAnsi="Arial" w:cs="Arial"/>
          <w:b/>
          <w:lang w:val="en-IN"/>
        </w:rPr>
        <w:t>Flavonoid</w:t>
      </w:r>
    </w:p>
    <w:p w14:paraId="30A0DC51" w14:textId="77777777" w:rsidR="003F0D96" w:rsidRDefault="003F0D96" w:rsidP="003F0D96">
      <w:pPr>
        <w:pStyle w:val="Body"/>
        <w:rPr>
          <w:rFonts w:ascii="Arial" w:hAnsi="Arial" w:cs="Arial"/>
          <w:lang w:val="en-IN"/>
        </w:rPr>
      </w:pPr>
      <w:r w:rsidRPr="003F0D96">
        <w:rPr>
          <w:rFonts w:ascii="Arial" w:hAnsi="Arial" w:cs="Arial"/>
          <w:lang w:val="en-IN"/>
        </w:rPr>
        <w:t>Under NaCl stress, flavonoid levels increased progressively from the control group (99.42±3.67 µgQEg</w:t>
      </w:r>
      <w:r w:rsidRPr="003F0D96">
        <w:rPr>
          <w:rFonts w:ascii="Arial" w:hAnsi="Arial" w:cs="Arial"/>
          <w:vertAlign w:val="superscript"/>
          <w:lang w:val="en-IN"/>
        </w:rPr>
        <w:t>−1</w:t>
      </w:r>
      <w:r w:rsidRPr="003F0D96">
        <w:rPr>
          <w:rFonts w:ascii="Arial" w:hAnsi="Arial" w:cs="Arial"/>
          <w:lang w:val="en-IN"/>
        </w:rPr>
        <w:t>) to a peak at 150mM NaCl, where the highest concentration of flavonoids was recorded at 160.63±4.5 µgQEg</w:t>
      </w:r>
      <w:r w:rsidRPr="003F0D96">
        <w:rPr>
          <w:rFonts w:ascii="Arial" w:hAnsi="Arial" w:cs="Arial"/>
          <w:vertAlign w:val="superscript"/>
          <w:lang w:val="en-IN"/>
        </w:rPr>
        <w:t>−1</w:t>
      </w:r>
      <w:r w:rsidRPr="003F0D96">
        <w:rPr>
          <w:rFonts w:ascii="Arial" w:hAnsi="Arial" w:cs="Arial"/>
          <w:lang w:val="en-IN"/>
        </w:rPr>
        <w:t>. However, at higher NaCl concentrations (200mM and 250mM) flavonoid content decreased to 143.49±1.42 and 121.4±3.66 µgQEg</w:t>
      </w:r>
      <w:r w:rsidRPr="003F0D96">
        <w:rPr>
          <w:rFonts w:ascii="Arial" w:hAnsi="Arial" w:cs="Arial"/>
          <w:vertAlign w:val="superscript"/>
          <w:lang w:val="en-IN"/>
        </w:rPr>
        <w:t>−1</w:t>
      </w:r>
      <w:r w:rsidRPr="003F0D96">
        <w:rPr>
          <w:rFonts w:ascii="Arial" w:hAnsi="Arial" w:cs="Arial"/>
          <w:lang w:val="en-IN"/>
        </w:rPr>
        <w:t>, respectively. PEG-induced drought stress also led to a significant increase in flavonoid content. Starting from the control (98.49±4.11µgQEg</w:t>
      </w:r>
      <w:r w:rsidRPr="003F0D96">
        <w:rPr>
          <w:rFonts w:ascii="Arial" w:hAnsi="Arial" w:cs="Arial"/>
          <w:vertAlign w:val="superscript"/>
          <w:lang w:val="en-IN"/>
        </w:rPr>
        <w:t>−1</w:t>
      </w:r>
      <w:r w:rsidRPr="003F0D96">
        <w:rPr>
          <w:rFonts w:ascii="Arial" w:hAnsi="Arial" w:cs="Arial"/>
          <w:lang w:val="en-IN"/>
        </w:rPr>
        <w:t>), flavonoid levels increased to 138.9±3.3 at 5% PEG and continued to rise to 141.4±8.85 µgQEg</w:t>
      </w:r>
      <w:r w:rsidRPr="003F0D96">
        <w:rPr>
          <w:rFonts w:ascii="Arial" w:hAnsi="Arial" w:cs="Arial"/>
          <w:vertAlign w:val="superscript"/>
          <w:lang w:val="en-IN"/>
        </w:rPr>
        <w:t>−1</w:t>
      </w:r>
      <w:r w:rsidRPr="003F0D96">
        <w:rPr>
          <w:rFonts w:ascii="Arial" w:hAnsi="Arial" w:cs="Arial"/>
          <w:lang w:val="en-IN"/>
        </w:rPr>
        <w:t xml:space="preserve"> at 10% PEG. The highest flavonoid content (156.52±3.71 µ</w:t>
      </w:r>
      <w:proofErr w:type="spellStart"/>
      <w:r w:rsidRPr="003F0D96">
        <w:rPr>
          <w:rFonts w:ascii="Arial" w:hAnsi="Arial" w:cs="Arial"/>
          <w:lang w:val="en-IN"/>
        </w:rPr>
        <w:t>gQE</w:t>
      </w:r>
      <w:proofErr w:type="spellEnd"/>
      <w:r w:rsidRPr="003F0D96">
        <w:rPr>
          <w:rFonts w:ascii="Arial" w:hAnsi="Arial" w:cs="Arial"/>
          <w:lang w:val="en-IN"/>
        </w:rPr>
        <w:t xml:space="preserve"> g</w:t>
      </w:r>
      <w:r w:rsidRPr="003F0D96">
        <w:rPr>
          <w:rFonts w:ascii="Arial" w:hAnsi="Arial" w:cs="Arial"/>
          <w:vertAlign w:val="superscript"/>
          <w:lang w:val="en-IN"/>
        </w:rPr>
        <w:t>−1</w:t>
      </w:r>
      <w:r w:rsidRPr="003F0D96">
        <w:rPr>
          <w:rFonts w:ascii="Arial" w:hAnsi="Arial" w:cs="Arial"/>
          <w:lang w:val="en-IN"/>
        </w:rPr>
        <w:t>) was observed at 15% PEG. However, at 20% PEG, flavonoid content decreased to 133.57±5.38 µgQEg</w:t>
      </w:r>
      <w:r w:rsidRPr="003F0D96">
        <w:rPr>
          <w:rFonts w:ascii="Arial" w:hAnsi="Arial" w:cs="Arial"/>
          <w:vertAlign w:val="superscript"/>
          <w:lang w:val="en-IN"/>
        </w:rPr>
        <w:t>−1</w:t>
      </w:r>
      <w:r w:rsidRPr="003F0D96">
        <w:rPr>
          <w:rFonts w:ascii="Arial" w:hAnsi="Arial" w:cs="Arial"/>
          <w:lang w:val="en-IN"/>
        </w:rPr>
        <w:t xml:space="preserve"> (Figure 7).</w:t>
      </w:r>
    </w:p>
    <w:p w14:paraId="2630D4E3" w14:textId="77777777" w:rsidR="000D0374" w:rsidRPr="000D0374" w:rsidRDefault="000D0374" w:rsidP="000D0374">
      <w:pPr>
        <w:pStyle w:val="Body"/>
        <w:rPr>
          <w:rFonts w:ascii="Arial" w:hAnsi="Arial" w:cs="Arial"/>
          <w:lang w:val="en-IN"/>
        </w:rPr>
      </w:pPr>
      <w:r w:rsidRPr="000D0374">
        <w:rPr>
          <w:rFonts w:ascii="Arial" w:hAnsi="Arial" w:cs="Arial"/>
          <w:noProof/>
          <w:lang w:val="en-IN" w:eastAsia="en-IN"/>
        </w:rPr>
        <w:drawing>
          <wp:inline distT="0" distB="0" distL="0" distR="0" wp14:anchorId="0CDFE573" wp14:editId="04721757">
            <wp:extent cx="2472538" cy="1826260"/>
            <wp:effectExtent l="19050" t="0" r="23012" b="2540"/>
            <wp:docPr id="16"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0D0374">
        <w:rPr>
          <w:rFonts w:ascii="Arial" w:hAnsi="Arial" w:cs="Arial"/>
          <w:lang w:val="en-IN"/>
        </w:rPr>
        <w:t xml:space="preserve"> </w:t>
      </w:r>
      <w:r w:rsidRPr="000D0374">
        <w:rPr>
          <w:rFonts w:ascii="Arial" w:hAnsi="Arial" w:cs="Arial"/>
          <w:noProof/>
          <w:lang w:val="en-IN" w:eastAsia="en-IN"/>
        </w:rPr>
        <w:drawing>
          <wp:inline distT="0" distB="0" distL="0" distR="0" wp14:anchorId="27F61EAD" wp14:editId="2803A3EC">
            <wp:extent cx="2400402" cy="1828800"/>
            <wp:effectExtent l="19050" t="0" r="18948" b="0"/>
            <wp:docPr id="17"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A63CA8D" w14:textId="77777777" w:rsidR="000D0374" w:rsidRPr="000D0374" w:rsidRDefault="000D0374" w:rsidP="000D0374">
      <w:pPr>
        <w:pStyle w:val="Body"/>
        <w:rPr>
          <w:rFonts w:ascii="Arial" w:hAnsi="Arial" w:cs="Arial"/>
          <w:b/>
          <w:lang w:val="en-IN"/>
        </w:rPr>
      </w:pPr>
      <w:r>
        <w:rPr>
          <w:rFonts w:ascii="Arial" w:hAnsi="Arial" w:cs="Arial"/>
          <w:b/>
          <w:lang w:val="en-IN"/>
        </w:rPr>
        <w:t xml:space="preserve">                           </w:t>
      </w:r>
      <w:r w:rsidRPr="000D0374">
        <w:rPr>
          <w:rFonts w:ascii="Arial" w:hAnsi="Arial" w:cs="Arial"/>
          <w:b/>
          <w:lang w:val="en-IN"/>
        </w:rPr>
        <w:t>A</w:t>
      </w:r>
      <w:r w:rsidRPr="000D0374">
        <w:rPr>
          <w:rFonts w:ascii="Arial" w:hAnsi="Arial" w:cs="Arial"/>
          <w:b/>
          <w:lang w:val="en-IN"/>
        </w:rPr>
        <w:tab/>
      </w:r>
      <w:r w:rsidRPr="000D0374">
        <w:rPr>
          <w:rFonts w:ascii="Arial" w:hAnsi="Arial" w:cs="Arial"/>
          <w:b/>
          <w:lang w:val="en-IN"/>
        </w:rPr>
        <w:tab/>
      </w:r>
      <w:r w:rsidRPr="000D0374">
        <w:rPr>
          <w:rFonts w:ascii="Arial" w:hAnsi="Arial" w:cs="Arial"/>
          <w:b/>
          <w:lang w:val="en-IN"/>
        </w:rPr>
        <w:tab/>
      </w:r>
      <w:r w:rsidRPr="000D0374">
        <w:rPr>
          <w:rFonts w:ascii="Arial" w:hAnsi="Arial" w:cs="Arial"/>
          <w:b/>
          <w:lang w:val="en-IN"/>
        </w:rPr>
        <w:tab/>
      </w:r>
      <w:r w:rsidRPr="000D0374">
        <w:rPr>
          <w:rFonts w:ascii="Arial" w:hAnsi="Arial" w:cs="Arial"/>
          <w:b/>
          <w:lang w:val="en-IN"/>
        </w:rPr>
        <w:tab/>
      </w:r>
      <w:r w:rsidRPr="000D0374">
        <w:rPr>
          <w:rFonts w:ascii="Arial" w:hAnsi="Arial" w:cs="Arial"/>
          <w:b/>
          <w:lang w:val="en-IN"/>
        </w:rPr>
        <w:tab/>
      </w:r>
      <w:r>
        <w:rPr>
          <w:rFonts w:ascii="Arial" w:hAnsi="Arial" w:cs="Arial"/>
          <w:b/>
          <w:lang w:val="en-IN"/>
        </w:rPr>
        <w:t xml:space="preserve">    </w:t>
      </w:r>
      <w:r w:rsidRPr="000D0374">
        <w:rPr>
          <w:rFonts w:ascii="Arial" w:hAnsi="Arial" w:cs="Arial"/>
          <w:b/>
          <w:lang w:val="en-IN"/>
        </w:rPr>
        <w:t>B</w:t>
      </w:r>
    </w:p>
    <w:p w14:paraId="215E6502" w14:textId="77777777" w:rsidR="000D0374" w:rsidRPr="000D0374" w:rsidRDefault="000D0374" w:rsidP="000D0374">
      <w:pPr>
        <w:pStyle w:val="Body"/>
        <w:rPr>
          <w:rFonts w:ascii="Arial" w:hAnsi="Arial" w:cs="Arial"/>
          <w:b/>
          <w:lang w:val="en-IN"/>
        </w:rPr>
      </w:pPr>
      <w:r w:rsidRPr="000D0374">
        <w:rPr>
          <w:rFonts w:ascii="Arial" w:hAnsi="Arial" w:cs="Arial"/>
          <w:b/>
          <w:lang w:val="en-IN"/>
        </w:rPr>
        <w:t xml:space="preserve">Figure </w:t>
      </w:r>
      <w:proofErr w:type="gramStart"/>
      <w:r w:rsidRPr="000D0374">
        <w:rPr>
          <w:rFonts w:ascii="Arial" w:hAnsi="Arial" w:cs="Arial"/>
          <w:b/>
          <w:lang w:val="en-IN"/>
        </w:rPr>
        <w:t>7 :</w:t>
      </w:r>
      <w:proofErr w:type="gramEnd"/>
      <w:r w:rsidRPr="000D0374">
        <w:rPr>
          <w:rFonts w:ascii="Arial" w:hAnsi="Arial" w:cs="Arial"/>
          <w:b/>
          <w:lang w:val="en-IN"/>
        </w:rPr>
        <w:t xml:space="preserve"> </w:t>
      </w:r>
      <w:r w:rsidRPr="000D0374">
        <w:rPr>
          <w:rFonts w:ascii="Arial" w:hAnsi="Arial" w:cs="Arial"/>
          <w:lang w:val="en-IN"/>
        </w:rPr>
        <w:t xml:space="preserve">Total Flavonoid content (TFC) in </w:t>
      </w:r>
      <w:proofErr w:type="spellStart"/>
      <w:r w:rsidRPr="000D0374">
        <w:rPr>
          <w:rFonts w:ascii="Arial" w:hAnsi="Arial" w:cs="Arial"/>
          <w:i/>
          <w:lang w:val="en-IN"/>
        </w:rPr>
        <w:t>Bacopa</w:t>
      </w:r>
      <w:proofErr w:type="spellEnd"/>
      <w:r w:rsidRPr="000D0374">
        <w:rPr>
          <w:rFonts w:ascii="Arial" w:hAnsi="Arial" w:cs="Arial"/>
          <w:i/>
          <w:lang w:val="en-IN"/>
        </w:rPr>
        <w:t xml:space="preserve"> </w:t>
      </w:r>
      <w:proofErr w:type="spellStart"/>
      <w:r w:rsidRPr="000D0374">
        <w:rPr>
          <w:rFonts w:ascii="Arial" w:hAnsi="Arial" w:cs="Arial"/>
          <w:i/>
          <w:lang w:val="en-IN"/>
        </w:rPr>
        <w:t>monnieri</w:t>
      </w:r>
      <w:proofErr w:type="spellEnd"/>
      <w:r w:rsidRPr="000D0374">
        <w:rPr>
          <w:rFonts w:ascii="Arial" w:hAnsi="Arial" w:cs="Arial"/>
          <w:lang w:val="en-IN"/>
        </w:rPr>
        <w:t xml:space="preserve"> simulated with (A) PEG 6000 and (B) NaCl induced stress</w:t>
      </w:r>
    </w:p>
    <w:p w14:paraId="3D55B2C7" w14:textId="77777777" w:rsidR="000D0374" w:rsidRPr="003F0D96" w:rsidRDefault="000D0374" w:rsidP="003F0D96">
      <w:pPr>
        <w:pStyle w:val="Body"/>
        <w:rPr>
          <w:rFonts w:ascii="Arial" w:hAnsi="Arial" w:cs="Arial"/>
          <w:lang w:val="en-IN"/>
        </w:rPr>
      </w:pPr>
    </w:p>
    <w:p w14:paraId="1BB846D9" w14:textId="77777777" w:rsidR="003F0D96" w:rsidRDefault="003F0D96" w:rsidP="003F0D96">
      <w:pPr>
        <w:pStyle w:val="Head1"/>
        <w:spacing w:after="0"/>
        <w:jc w:val="both"/>
        <w:rPr>
          <w:rFonts w:ascii="Arial" w:hAnsi="Arial" w:cs="Arial"/>
        </w:rPr>
      </w:pPr>
      <w:r>
        <w:rPr>
          <w:rFonts w:ascii="Arial" w:hAnsi="Arial" w:cs="Arial"/>
        </w:rPr>
        <w:t>4. discussion</w:t>
      </w:r>
    </w:p>
    <w:p w14:paraId="0782C269" w14:textId="7E012E1C" w:rsidR="003F0D96" w:rsidRPr="003F0D96" w:rsidRDefault="003F0D96" w:rsidP="003F0D96">
      <w:pPr>
        <w:pStyle w:val="Body"/>
        <w:rPr>
          <w:rFonts w:ascii="Arial" w:hAnsi="Arial" w:cs="Arial"/>
          <w:lang w:val="en-IN"/>
        </w:rPr>
      </w:pPr>
      <w:r w:rsidRPr="003F0D96">
        <w:rPr>
          <w:rFonts w:ascii="Arial" w:hAnsi="Arial" w:cs="Arial"/>
          <w:lang w:val="en-IN"/>
        </w:rPr>
        <w:t xml:space="preserve">Relative water content is utilized as a marker of a plant's water status and its capacity to cope with osmotic stress. The present study clearly demonstrates that both NaCl and PEG-induced stress significantly reduce the RWC of the plants. The </w:t>
      </w:r>
      <w:r w:rsidRPr="003F0D96">
        <w:rPr>
          <w:rFonts w:ascii="Arial" w:hAnsi="Arial" w:cs="Arial"/>
          <w:lang w:val="en-IN"/>
        </w:rPr>
        <w:lastRenderedPageBreak/>
        <w:t xml:space="preserve">study suggests that under normal, non-stress environments, the plants maintained appropriate hydration and physiological performance and under salinity and dehydration stress, there is a consistent and significant reduction in RWC as the severity of stress increases. Plants under mild stress (50mM NaCl and 5% PEG) caused slight reductions in RWC, indicating the onset of osmotic stress, though the impact is still minimal. As the stress level increases, RWC </w:t>
      </w:r>
      <w:r w:rsidR="00E32861" w:rsidRPr="00E32861">
        <w:rPr>
          <w:rFonts w:ascii="Arial" w:hAnsi="Arial" w:cs="Arial"/>
          <w:highlight w:val="yellow"/>
          <w:lang w:val="en-IN"/>
        </w:rPr>
        <w:t>decreases</w:t>
      </w:r>
      <w:r w:rsidRPr="003F0D96">
        <w:rPr>
          <w:rFonts w:ascii="Arial" w:hAnsi="Arial" w:cs="Arial"/>
          <w:lang w:val="en-IN"/>
        </w:rPr>
        <w:t xml:space="preserve"> more noticeably, suggesting a stronger osmotic imbalance caused by the higher salt and PEG concentration. The finding of the present study is also supported by the </w:t>
      </w:r>
      <w:r w:rsidRPr="00E32861">
        <w:rPr>
          <w:rFonts w:ascii="Arial" w:hAnsi="Arial" w:cs="Arial"/>
          <w:highlight w:val="yellow"/>
          <w:lang w:val="en-IN"/>
        </w:rPr>
        <w:t>finding</w:t>
      </w:r>
      <w:r w:rsidR="00E32861" w:rsidRPr="00E32861">
        <w:rPr>
          <w:rFonts w:ascii="Arial" w:hAnsi="Arial" w:cs="Arial"/>
          <w:highlight w:val="yellow"/>
          <w:lang w:val="en-IN"/>
        </w:rPr>
        <w:t>s</w:t>
      </w:r>
      <w:r w:rsidRPr="003F0D96">
        <w:rPr>
          <w:rFonts w:ascii="Arial" w:hAnsi="Arial" w:cs="Arial"/>
          <w:lang w:val="en-IN"/>
        </w:rPr>
        <w:t xml:space="preserve"> of </w:t>
      </w:r>
      <w:r w:rsidR="00E32861" w:rsidRPr="00E32861">
        <w:rPr>
          <w:rFonts w:ascii="Arial" w:hAnsi="Arial" w:cs="Arial"/>
          <w:highlight w:val="yellow"/>
          <w:lang w:val="en-IN"/>
        </w:rPr>
        <w:t>other authors</w:t>
      </w:r>
      <w:r w:rsidRPr="003F0D96">
        <w:rPr>
          <w:rFonts w:ascii="Arial" w:hAnsi="Arial" w:cs="Arial"/>
          <w:lang w:val="en-IN"/>
        </w:rPr>
        <w:t xml:space="preserve"> in different plant species. RWC in the </w:t>
      </w:r>
      <w:r w:rsidRPr="003F0D96">
        <w:rPr>
          <w:rFonts w:ascii="Arial" w:hAnsi="Arial" w:cs="Arial"/>
          <w:i/>
          <w:lang w:val="en-IN"/>
        </w:rPr>
        <w:t>Catharanthus roseus</w:t>
      </w:r>
      <w:r w:rsidRPr="003F0D96">
        <w:rPr>
          <w:rFonts w:ascii="Arial" w:hAnsi="Arial" w:cs="Arial"/>
          <w:lang w:val="en-IN"/>
        </w:rPr>
        <w:t xml:space="preserve"> leaves decreased under the treatment of PEG 6000 at different concentrations, especially, when treated with 35% PEG 6000, which caused a sharp decrease (Liu et al., 2017).</w:t>
      </w:r>
      <w:r w:rsidRPr="003F0D96">
        <w:rPr>
          <w:rFonts w:ascii="Arial" w:hAnsi="Arial" w:cs="Arial"/>
          <w:bCs/>
          <w:lang w:val="en-IN"/>
        </w:rPr>
        <w:t xml:space="preserve"> </w:t>
      </w:r>
      <w:r w:rsidRPr="003F0D96">
        <w:rPr>
          <w:rFonts w:ascii="Arial" w:hAnsi="Arial" w:cs="Arial"/>
          <w:lang w:val="en-IN"/>
        </w:rPr>
        <w:t xml:space="preserve">Other plant species likewise showed a noticeable decrease in relative water content when facing water stress, such as </w:t>
      </w:r>
      <w:r w:rsidRPr="003F0D96">
        <w:rPr>
          <w:rFonts w:ascii="Arial" w:hAnsi="Arial" w:cs="Arial"/>
          <w:i/>
          <w:iCs/>
          <w:lang w:val="en-IN"/>
        </w:rPr>
        <w:t xml:space="preserve">Thymus </w:t>
      </w:r>
      <w:proofErr w:type="spellStart"/>
      <w:r w:rsidRPr="003F0D96">
        <w:rPr>
          <w:rFonts w:ascii="Arial" w:hAnsi="Arial" w:cs="Arial"/>
          <w:i/>
          <w:iCs/>
          <w:lang w:val="en-IN"/>
        </w:rPr>
        <w:t>citriodorus</w:t>
      </w:r>
      <w:proofErr w:type="spellEnd"/>
      <w:r w:rsidRPr="003F0D96">
        <w:rPr>
          <w:rFonts w:ascii="Arial" w:hAnsi="Arial" w:cs="Arial"/>
          <w:lang w:val="en-IN"/>
        </w:rPr>
        <w:t xml:space="preserve"> (</w:t>
      </w:r>
      <w:proofErr w:type="spellStart"/>
      <w:r w:rsidRPr="003F0D96">
        <w:rPr>
          <w:rFonts w:ascii="Arial" w:hAnsi="Arial" w:cs="Arial"/>
          <w:bCs/>
          <w:lang w:val="en-IN"/>
        </w:rPr>
        <w:t>Tátrai</w:t>
      </w:r>
      <w:proofErr w:type="spellEnd"/>
      <w:r w:rsidRPr="003F0D96">
        <w:rPr>
          <w:rFonts w:ascii="Arial" w:hAnsi="Arial" w:cs="Arial"/>
          <w:bCs/>
          <w:lang w:val="en-IN"/>
        </w:rPr>
        <w:t xml:space="preserve"> et al., 2016), </w:t>
      </w:r>
      <w:r w:rsidRPr="003F0D96">
        <w:rPr>
          <w:rFonts w:ascii="Arial" w:hAnsi="Arial" w:cs="Arial"/>
          <w:lang w:val="en-IN"/>
        </w:rPr>
        <w:t xml:space="preserve">Cotton Species </w:t>
      </w:r>
      <w:r w:rsidRPr="003F0D96">
        <w:rPr>
          <w:rFonts w:ascii="Arial" w:hAnsi="Arial" w:cs="Arial"/>
          <w:bCs/>
          <w:lang w:val="en-IN"/>
        </w:rPr>
        <w:t>(</w:t>
      </w:r>
      <w:r w:rsidRPr="003F0D96">
        <w:rPr>
          <w:rFonts w:ascii="Arial" w:hAnsi="Arial" w:cs="Arial"/>
          <w:lang w:val="en-IN"/>
        </w:rPr>
        <w:t xml:space="preserve">Ul-Hasan et al., 2018), </w:t>
      </w:r>
      <w:r w:rsidRPr="003F0D96">
        <w:rPr>
          <w:rFonts w:ascii="Arial" w:hAnsi="Arial" w:cs="Arial"/>
          <w:bCs/>
          <w:lang w:val="en-IN"/>
        </w:rPr>
        <w:t xml:space="preserve">peanut </w:t>
      </w:r>
      <w:r w:rsidRPr="003F0D96">
        <w:rPr>
          <w:rFonts w:ascii="Arial" w:hAnsi="Arial" w:cs="Arial"/>
          <w:lang w:val="en-IN"/>
        </w:rPr>
        <w:t xml:space="preserve">(Meher et al., 2018). Under salt stress, a significant decline in relative water content has also been noted (Kumar et al., 2021; Khan et al., 2022; </w:t>
      </w:r>
      <w:proofErr w:type="spellStart"/>
      <w:r w:rsidRPr="003F0D96">
        <w:rPr>
          <w:rFonts w:ascii="Arial" w:hAnsi="Arial" w:cs="Arial"/>
          <w:lang w:val="en-IN"/>
        </w:rPr>
        <w:t>Boussora</w:t>
      </w:r>
      <w:proofErr w:type="spellEnd"/>
      <w:r w:rsidRPr="003F0D96">
        <w:rPr>
          <w:rFonts w:ascii="Arial" w:hAnsi="Arial" w:cs="Arial"/>
          <w:lang w:val="en-IN"/>
        </w:rPr>
        <w:t xml:space="preserve"> et al., 2024). These findings indicate that both salinity and water stress disrupt the osmotic balance between the plant cells and their environment, which leads to reduced water uptake, loss of turgor, and compromised physiological processes. These results highlight the detrimental effects of salinity and drought on plant hydration, turgor, and physiological processes, which can ultimately impact growth, productivity and survival. </w:t>
      </w:r>
    </w:p>
    <w:p w14:paraId="3E68E5E0" w14:textId="05E484C4" w:rsidR="003F0D96" w:rsidRPr="003F0D96" w:rsidRDefault="003F0D96" w:rsidP="003F0D96">
      <w:pPr>
        <w:pStyle w:val="Body"/>
        <w:rPr>
          <w:rFonts w:ascii="Arial" w:hAnsi="Arial" w:cs="Arial"/>
          <w:lang w:val="en-IN"/>
        </w:rPr>
      </w:pPr>
      <w:r w:rsidRPr="003F0D96">
        <w:rPr>
          <w:rFonts w:ascii="Arial" w:hAnsi="Arial" w:cs="Arial"/>
          <w:lang w:val="en-IN"/>
        </w:rPr>
        <w:t>Environmental stress disrupts plant cellular membranes, reducing their stability and increasing ion leakage. Measuring electrolyte leakage from stressed leaf tissue in an aqueous medium is a common method to assess cell membrane stability (CMS) and evaluate stress resistance (Sairam, 1994; Lal et al., 2006). Membrane stability index under a given amount of stress has also been utilized as an indicator of resistance to stress by many researchers (</w:t>
      </w:r>
      <w:proofErr w:type="spellStart"/>
      <w:r w:rsidRPr="003F0D96">
        <w:rPr>
          <w:rFonts w:ascii="Arial" w:hAnsi="Arial" w:cs="Arial"/>
          <w:lang w:val="en-IN"/>
        </w:rPr>
        <w:t>Premchandra</w:t>
      </w:r>
      <w:proofErr w:type="spellEnd"/>
      <w:r w:rsidRPr="003F0D96">
        <w:rPr>
          <w:rFonts w:ascii="Arial" w:hAnsi="Arial" w:cs="Arial"/>
          <w:lang w:val="en-IN"/>
        </w:rPr>
        <w:t xml:space="preserve"> et al., 1990; Lal et al., 2006; </w:t>
      </w:r>
      <w:proofErr w:type="spellStart"/>
      <w:r w:rsidRPr="003F0D96">
        <w:rPr>
          <w:rFonts w:ascii="Arial" w:hAnsi="Arial" w:cs="Arial"/>
          <w:lang w:val="en-IN"/>
        </w:rPr>
        <w:t>Venkateswarlu</w:t>
      </w:r>
      <w:proofErr w:type="spellEnd"/>
      <w:r w:rsidRPr="003F0D96">
        <w:rPr>
          <w:rFonts w:ascii="Arial" w:hAnsi="Arial" w:cs="Arial"/>
          <w:lang w:val="en-IN"/>
        </w:rPr>
        <w:t xml:space="preserve"> and Ramesh, 1993; Ahmed et al., 2013; </w:t>
      </w:r>
      <w:proofErr w:type="spellStart"/>
      <w:r w:rsidRPr="003F0D96">
        <w:rPr>
          <w:rFonts w:ascii="Arial" w:hAnsi="Arial" w:cs="Arial"/>
          <w:lang w:val="en-IN"/>
        </w:rPr>
        <w:t>Assaha</w:t>
      </w:r>
      <w:proofErr w:type="spellEnd"/>
      <w:r w:rsidRPr="003F0D96">
        <w:rPr>
          <w:rFonts w:ascii="Arial" w:hAnsi="Arial" w:cs="Arial"/>
          <w:lang w:val="en-IN"/>
        </w:rPr>
        <w:t xml:space="preserve"> et al., 2016). Additionally, the cell membrane stability test can be employed in vitro to distinguish between genotypes that are sensitive to drought and those that are resistant to it (</w:t>
      </w:r>
      <w:proofErr w:type="spellStart"/>
      <w:r w:rsidRPr="003F0D96">
        <w:rPr>
          <w:rFonts w:ascii="Arial" w:hAnsi="Arial" w:cs="Arial"/>
          <w:lang w:val="en-IN"/>
        </w:rPr>
        <w:t>Venkateswarlu</w:t>
      </w:r>
      <w:proofErr w:type="spellEnd"/>
      <w:r w:rsidRPr="003F0D96">
        <w:rPr>
          <w:rFonts w:ascii="Arial" w:hAnsi="Arial" w:cs="Arial"/>
          <w:lang w:val="en-IN"/>
        </w:rPr>
        <w:t xml:space="preserve"> </w:t>
      </w:r>
      <w:r w:rsidR="00E32861" w:rsidRPr="00E32861">
        <w:rPr>
          <w:rFonts w:ascii="Arial" w:hAnsi="Arial" w:cs="Arial"/>
          <w:highlight w:val="yellow"/>
          <w:lang w:val="en-IN"/>
        </w:rPr>
        <w:t>&amp;</w:t>
      </w:r>
      <w:r w:rsidRPr="003F0D96">
        <w:rPr>
          <w:rFonts w:ascii="Arial" w:hAnsi="Arial" w:cs="Arial"/>
          <w:lang w:val="en-IN"/>
        </w:rPr>
        <w:t xml:space="preserve"> Ramesh, 1993). In the present study, NaCl and PEG-induced stresses significantly affected the Membrane Stability Index (MSI), with the highest MSI observed in control plants under normal conditions. NaCl stress caused a gradual MSI decline, most notably at 250mM, where MSI dropped to 92.41±0.59. Similarly, PEG-induced drought stress led to reduced MSI, with a pronounced decline at 20% PEG (88.2±0.51). These results suggest that both salinity and drought-like conditions disrupt membrane stability, with more impacts at higher levels of stress. The data highlights the plants' susceptibility to environmental stresses, as </w:t>
      </w:r>
      <w:r w:rsidRPr="00905720">
        <w:rPr>
          <w:rFonts w:ascii="Arial" w:hAnsi="Arial" w:cs="Arial"/>
          <w:strike/>
          <w:lang w:val="en-IN"/>
        </w:rPr>
        <w:t xml:space="preserve">evidenced by the MSI values </w:t>
      </w:r>
      <w:proofErr w:type="gramStart"/>
      <w:r w:rsidRPr="00905720">
        <w:rPr>
          <w:rFonts w:ascii="Arial" w:hAnsi="Arial" w:cs="Arial"/>
          <w:strike/>
          <w:lang w:val="en-IN"/>
        </w:rPr>
        <w:t>decreasing</w:t>
      </w:r>
      <w:r w:rsidRPr="003F0D96">
        <w:rPr>
          <w:rFonts w:ascii="Arial" w:hAnsi="Arial" w:cs="Arial"/>
          <w:lang w:val="en-IN"/>
        </w:rPr>
        <w:t xml:space="preserve"> </w:t>
      </w:r>
      <w:r w:rsidR="00905720">
        <w:rPr>
          <w:rFonts w:ascii="Arial" w:hAnsi="Arial" w:cs="Arial"/>
          <w:lang w:val="en-IN"/>
        </w:rPr>
        <w:t xml:space="preserve"> </w:t>
      </w:r>
      <w:r w:rsidR="00905720" w:rsidRPr="00905720">
        <w:rPr>
          <w:rFonts w:ascii="Arial" w:hAnsi="Arial" w:cs="Arial"/>
          <w:highlight w:val="yellow"/>
          <w:lang w:val="en-IN"/>
        </w:rPr>
        <w:t>the</w:t>
      </w:r>
      <w:proofErr w:type="gramEnd"/>
      <w:r w:rsidR="00905720" w:rsidRPr="00905720">
        <w:rPr>
          <w:rFonts w:ascii="Arial" w:hAnsi="Arial" w:cs="Arial"/>
          <w:highlight w:val="yellow"/>
          <w:lang w:val="en-IN"/>
        </w:rPr>
        <w:t xml:space="preserve"> MSI values decrease</w:t>
      </w:r>
      <w:r w:rsidR="00905720">
        <w:rPr>
          <w:rFonts w:ascii="Arial" w:hAnsi="Arial" w:cs="Arial"/>
          <w:lang w:val="en-IN"/>
        </w:rPr>
        <w:t xml:space="preserve"> as</w:t>
      </w:r>
      <w:r w:rsidRPr="003F0D96">
        <w:rPr>
          <w:rFonts w:ascii="Arial" w:hAnsi="Arial" w:cs="Arial"/>
          <w:lang w:val="en-IN"/>
        </w:rPr>
        <w:t xml:space="preserve"> stress intensity increases. A significant decrease in MSI under salinity stress has been reported in mulberry (Lal et al., 2006). In barley, a notable decline in the cell membrane stability index was also noted in responses to</w:t>
      </w:r>
      <w:r w:rsidR="00EA7E18">
        <w:rPr>
          <w:rFonts w:ascii="Arial" w:hAnsi="Arial" w:cs="Arial"/>
          <w:lang w:val="en-IN"/>
        </w:rPr>
        <w:t xml:space="preserve"> </w:t>
      </w:r>
      <w:r w:rsidR="00EA7E18" w:rsidRPr="00EA7E18">
        <w:rPr>
          <w:rFonts w:ascii="Arial" w:hAnsi="Arial" w:cs="Arial"/>
          <w:highlight w:val="yellow"/>
          <w:lang w:val="en-IN"/>
        </w:rPr>
        <w:t>the</w:t>
      </w:r>
      <w:r w:rsidRPr="003F0D96">
        <w:rPr>
          <w:rFonts w:ascii="Arial" w:hAnsi="Arial" w:cs="Arial"/>
          <w:lang w:val="en-IN"/>
        </w:rPr>
        <w:t xml:space="preserve"> combined stress of saline and drought (Ahmed et al., 2013). A negative correlation between membrane stability as determined by electrolyte leakage and PEG concentration was found in groundnut cultivars (</w:t>
      </w:r>
      <w:proofErr w:type="spellStart"/>
      <w:r w:rsidRPr="003F0D96">
        <w:rPr>
          <w:rFonts w:ascii="Arial" w:hAnsi="Arial" w:cs="Arial"/>
          <w:lang w:val="en-IN"/>
        </w:rPr>
        <w:t>Venkateswarlu</w:t>
      </w:r>
      <w:proofErr w:type="spellEnd"/>
      <w:r w:rsidRPr="003F0D96">
        <w:rPr>
          <w:rFonts w:ascii="Arial" w:hAnsi="Arial" w:cs="Arial"/>
          <w:lang w:val="en-IN"/>
        </w:rPr>
        <w:t xml:space="preserve"> </w:t>
      </w:r>
      <w:r w:rsidR="00EA7E18" w:rsidRPr="00EA7E18">
        <w:rPr>
          <w:rFonts w:ascii="Arial" w:hAnsi="Arial" w:cs="Arial"/>
          <w:highlight w:val="yellow"/>
          <w:lang w:val="en-IN"/>
        </w:rPr>
        <w:t>&amp;</w:t>
      </w:r>
      <w:r w:rsidRPr="003F0D96">
        <w:rPr>
          <w:rFonts w:ascii="Arial" w:hAnsi="Arial" w:cs="Arial"/>
          <w:lang w:val="en-IN"/>
        </w:rPr>
        <w:t xml:space="preserve"> Ramesh, 1993).</w:t>
      </w:r>
    </w:p>
    <w:p w14:paraId="594790E6" w14:textId="77777777" w:rsidR="003F0D96" w:rsidRPr="003F0D96" w:rsidRDefault="003F0D96" w:rsidP="003F0D96">
      <w:pPr>
        <w:pStyle w:val="Body"/>
        <w:rPr>
          <w:rFonts w:ascii="Arial" w:hAnsi="Arial" w:cs="Arial"/>
          <w:lang w:val="en-IN"/>
        </w:rPr>
      </w:pPr>
      <w:r w:rsidRPr="003F0D96">
        <w:rPr>
          <w:rFonts w:ascii="Arial" w:hAnsi="Arial" w:cs="Arial"/>
          <w:lang w:val="en-IN"/>
        </w:rPr>
        <w:t xml:space="preserve">Plants are able to survive in harsh environments by synthesizing and accumulating osmolytes, or suitable solutes, in there. Because of their low molecular mass and solubility, these substances can sustain physiological and biochemical functions without interfering with them. Stress-induced accumulation of proline and soluble carbohydrates provides protection to the cell by preserving the cytosol's osmotic strength relative to the vacuole and surrounding environment. Proline not only protects against </w:t>
      </w:r>
      <w:proofErr w:type="spellStart"/>
      <w:r w:rsidRPr="003F0D96">
        <w:rPr>
          <w:rFonts w:ascii="Arial" w:hAnsi="Arial" w:cs="Arial"/>
          <w:lang w:val="en-IN"/>
        </w:rPr>
        <w:t>osmoprotection</w:t>
      </w:r>
      <w:proofErr w:type="spellEnd"/>
      <w:r w:rsidRPr="003F0D96">
        <w:rPr>
          <w:rFonts w:ascii="Arial" w:hAnsi="Arial" w:cs="Arial"/>
          <w:lang w:val="en-IN"/>
        </w:rPr>
        <w:t xml:space="preserve"> but also scavenges reactive oxygen species (ROS) and inhibits lipid peroxidation, hence reducing cellular damage (</w:t>
      </w:r>
      <w:r w:rsidRPr="003F0D96">
        <w:rPr>
          <w:rFonts w:ascii="Arial" w:hAnsi="Arial" w:cs="Arial"/>
        </w:rPr>
        <w:t xml:space="preserve">Szabados and </w:t>
      </w:r>
      <w:r w:rsidRPr="003F0D96">
        <w:rPr>
          <w:rFonts w:ascii="Arial" w:hAnsi="Arial" w:cs="Arial"/>
          <w:lang w:val="fr-FR"/>
        </w:rPr>
        <w:t>Savouré</w:t>
      </w:r>
      <w:r w:rsidRPr="003F0D96">
        <w:rPr>
          <w:rFonts w:ascii="Arial" w:hAnsi="Arial" w:cs="Arial"/>
        </w:rPr>
        <w:t xml:space="preserve">, 2010), </w:t>
      </w:r>
      <w:r w:rsidRPr="003F0D96">
        <w:rPr>
          <w:rFonts w:ascii="Arial" w:hAnsi="Arial" w:cs="Arial"/>
          <w:lang w:val="en-IN"/>
        </w:rPr>
        <w:t>Hayat</w:t>
      </w:r>
      <w:r w:rsidRPr="003F0D96">
        <w:rPr>
          <w:rFonts w:ascii="Arial" w:hAnsi="Arial" w:cs="Arial"/>
          <w:bCs/>
          <w:lang w:val="en-IN"/>
        </w:rPr>
        <w:t xml:space="preserve"> et al., 2012, </w:t>
      </w:r>
      <w:proofErr w:type="spellStart"/>
      <w:r w:rsidRPr="003F0D96">
        <w:rPr>
          <w:rFonts w:ascii="Arial" w:hAnsi="Arial" w:cs="Arial"/>
          <w:bCs/>
          <w:lang w:val="en-IN"/>
        </w:rPr>
        <w:t>Rahneshan</w:t>
      </w:r>
      <w:proofErr w:type="spellEnd"/>
      <w:r w:rsidRPr="003F0D96">
        <w:rPr>
          <w:rFonts w:ascii="Arial" w:hAnsi="Arial" w:cs="Arial"/>
          <w:bCs/>
          <w:lang w:val="en-IN"/>
        </w:rPr>
        <w:t xml:space="preserve"> et al., 2018, </w:t>
      </w:r>
      <w:r w:rsidRPr="003F0D96">
        <w:rPr>
          <w:rFonts w:ascii="Arial" w:hAnsi="Arial" w:cs="Arial"/>
          <w:lang w:val="en-IN"/>
        </w:rPr>
        <w:t>Shahid et al., 2020, Kishor et al., 2022)</w:t>
      </w:r>
      <w:r w:rsidRPr="003F0D96">
        <w:rPr>
          <w:rFonts w:ascii="Arial" w:hAnsi="Arial" w:cs="Arial"/>
          <w:bCs/>
          <w:lang w:val="en-IN"/>
        </w:rPr>
        <w:t xml:space="preserve">.  </w:t>
      </w:r>
      <w:r w:rsidRPr="003F0D96">
        <w:rPr>
          <w:rFonts w:ascii="Arial" w:hAnsi="Arial" w:cs="Arial"/>
          <w:lang w:val="en-IN"/>
        </w:rPr>
        <w:t xml:space="preserve">In the present study we observed increased proline content with increasing stress level under both salinity and drought stress. NaCl and PEG stress induce proline accumulation as a potential adaptive response, with NaCl stress showing a more pronounced increase at higher concentrations. The current study's findings corroborate previous reports on the accumulation of free proline under stress in </w:t>
      </w:r>
      <w:proofErr w:type="spellStart"/>
      <w:r w:rsidRPr="003F0D96">
        <w:rPr>
          <w:rFonts w:ascii="Arial" w:hAnsi="Arial" w:cs="Arial"/>
          <w:i/>
          <w:iCs/>
          <w:lang w:val="en-IN"/>
        </w:rPr>
        <w:t>Bacopa</w:t>
      </w:r>
      <w:proofErr w:type="spellEnd"/>
      <w:r w:rsidRPr="003F0D96">
        <w:rPr>
          <w:rFonts w:ascii="Arial" w:hAnsi="Arial" w:cs="Arial"/>
          <w:i/>
          <w:iCs/>
          <w:lang w:val="en-IN"/>
        </w:rPr>
        <w:t xml:space="preserve"> </w:t>
      </w:r>
      <w:proofErr w:type="spellStart"/>
      <w:r w:rsidRPr="003F0D96">
        <w:rPr>
          <w:rFonts w:ascii="Arial" w:hAnsi="Arial" w:cs="Arial"/>
          <w:i/>
          <w:iCs/>
          <w:lang w:val="en-IN"/>
        </w:rPr>
        <w:t>monnieri</w:t>
      </w:r>
      <w:proofErr w:type="spellEnd"/>
      <w:r w:rsidRPr="003F0D96">
        <w:rPr>
          <w:rFonts w:ascii="Arial" w:hAnsi="Arial" w:cs="Arial"/>
          <w:lang w:val="en-IN"/>
        </w:rPr>
        <w:t>.</w:t>
      </w:r>
      <w:r w:rsidRPr="003F0D96">
        <w:rPr>
          <w:rFonts w:ascii="Arial" w:hAnsi="Arial" w:cs="Arial"/>
          <w:i/>
          <w:lang w:val="en-IN"/>
        </w:rPr>
        <w:t xml:space="preserve"> </w:t>
      </w:r>
      <w:r w:rsidRPr="003F0D96">
        <w:rPr>
          <w:rFonts w:ascii="Arial" w:hAnsi="Arial" w:cs="Arial"/>
          <w:lang w:val="en-IN"/>
        </w:rPr>
        <w:t>(</w:t>
      </w:r>
      <w:r w:rsidRPr="003F0D96">
        <w:rPr>
          <w:rFonts w:ascii="Arial" w:hAnsi="Arial" w:cs="Arial"/>
        </w:rPr>
        <w:t xml:space="preserve">Debnath, 2008; </w:t>
      </w:r>
      <w:r w:rsidRPr="003F0D96">
        <w:rPr>
          <w:rFonts w:ascii="Arial" w:hAnsi="Arial" w:cs="Arial"/>
          <w:lang w:val="en-IN"/>
        </w:rPr>
        <w:t xml:space="preserve">Afroz et al., 2020). This trend highlights the role of proline as a stress-responsive molecule in plants under salinity and drought conditions. However, the observed slight decrease in proline levels under severe PEG stress (20%) may be attributed to a decline in the plant's capacity to synthesize proline, a phenomenon likely associated with the detrimental effects of stress on overall plant growth. Accumulation of proline contents with increasing stress level indicates an active role in the osmotic regulation and adaptability to stress of </w:t>
      </w:r>
      <w:r w:rsidRPr="003F0D96">
        <w:rPr>
          <w:rFonts w:ascii="Arial" w:hAnsi="Arial" w:cs="Arial"/>
          <w:i/>
          <w:lang w:val="en-IN"/>
        </w:rPr>
        <w:t>Bacopa</w:t>
      </w:r>
      <w:r w:rsidRPr="003F0D96">
        <w:rPr>
          <w:rFonts w:ascii="Arial" w:hAnsi="Arial" w:cs="Arial"/>
          <w:lang w:val="en-IN"/>
        </w:rPr>
        <w:t xml:space="preserve">, as noted for other plant species like cotton (Ul-Hasan et al., 2018), </w:t>
      </w:r>
      <w:r w:rsidRPr="003F0D96">
        <w:rPr>
          <w:rFonts w:ascii="Arial" w:hAnsi="Arial" w:cs="Arial"/>
          <w:bCs/>
          <w:i/>
          <w:iCs/>
          <w:lang w:val="en-IN"/>
        </w:rPr>
        <w:t>Oenanthe javanica</w:t>
      </w:r>
      <w:r w:rsidRPr="003F0D96">
        <w:rPr>
          <w:rFonts w:ascii="Arial" w:hAnsi="Arial" w:cs="Arial"/>
          <w:bCs/>
          <w:lang w:val="en-IN"/>
        </w:rPr>
        <w:t xml:space="preserve"> (Kumar et al., 2021), </w:t>
      </w:r>
      <w:r w:rsidRPr="003F0D96">
        <w:rPr>
          <w:rFonts w:ascii="Arial" w:hAnsi="Arial" w:cs="Arial"/>
          <w:bCs/>
          <w:i/>
          <w:lang w:val="en-IN"/>
        </w:rPr>
        <w:t>Gossypium hirsutum</w:t>
      </w:r>
      <w:r w:rsidRPr="003F0D96">
        <w:rPr>
          <w:rFonts w:ascii="Arial" w:hAnsi="Arial" w:cs="Arial"/>
          <w:bCs/>
          <w:lang w:val="en-IN"/>
        </w:rPr>
        <w:t xml:space="preserve"> (Zhang et al., 2014) and</w:t>
      </w:r>
      <w:r w:rsidRPr="003F0D96">
        <w:rPr>
          <w:rFonts w:ascii="Arial" w:hAnsi="Arial" w:cs="Arial"/>
          <w:lang w:val="en-IN"/>
        </w:rPr>
        <w:t xml:space="preserve"> </w:t>
      </w:r>
      <w:r w:rsidRPr="003F0D96">
        <w:rPr>
          <w:rFonts w:ascii="Arial" w:hAnsi="Arial" w:cs="Arial"/>
          <w:bCs/>
          <w:i/>
          <w:lang w:val="en-IN"/>
        </w:rPr>
        <w:t>Moringa oleifera</w:t>
      </w:r>
      <w:r w:rsidRPr="003F0D96">
        <w:rPr>
          <w:rFonts w:ascii="Arial" w:hAnsi="Arial" w:cs="Arial"/>
          <w:bCs/>
          <w:lang w:val="en-IN"/>
        </w:rPr>
        <w:t xml:space="preserve"> </w:t>
      </w:r>
      <w:r w:rsidRPr="003F0D96">
        <w:rPr>
          <w:rFonts w:ascii="Arial" w:hAnsi="Arial" w:cs="Arial"/>
          <w:lang w:val="en-IN"/>
        </w:rPr>
        <w:t>(</w:t>
      </w:r>
      <w:r w:rsidRPr="003F0D96">
        <w:rPr>
          <w:rFonts w:ascii="Arial" w:hAnsi="Arial" w:cs="Arial"/>
          <w:bCs/>
          <w:lang w:val="en-IN"/>
        </w:rPr>
        <w:t>Azeem et al., 2023).</w:t>
      </w:r>
      <w:r w:rsidRPr="003F0D96">
        <w:rPr>
          <w:rFonts w:ascii="Arial" w:hAnsi="Arial" w:cs="Arial"/>
          <w:lang w:val="en-IN"/>
        </w:rPr>
        <w:t xml:space="preserve"> An increase in proline accumulation in </w:t>
      </w:r>
      <w:r w:rsidRPr="003F0D96">
        <w:rPr>
          <w:rFonts w:ascii="Arial" w:hAnsi="Arial" w:cs="Arial"/>
          <w:i/>
          <w:lang w:val="en-IN"/>
        </w:rPr>
        <w:t>Catharanthus roseus</w:t>
      </w:r>
      <w:r w:rsidRPr="003F0D96">
        <w:rPr>
          <w:rFonts w:ascii="Arial" w:hAnsi="Arial" w:cs="Arial"/>
          <w:lang w:val="en-IN"/>
        </w:rPr>
        <w:t xml:space="preserve"> under drought stress induced by PEG 6000 of different concentrations was also observed (Liu et al., 2017). </w:t>
      </w:r>
      <w:r w:rsidRPr="003F0D96">
        <w:rPr>
          <w:rFonts w:ascii="Arial" w:hAnsi="Arial" w:cs="Arial"/>
          <w:i/>
          <w:iCs/>
          <w:lang w:val="en-IN"/>
        </w:rPr>
        <w:t xml:space="preserve">Mentha piperita </w:t>
      </w:r>
      <w:r w:rsidRPr="003F0D96">
        <w:rPr>
          <w:rFonts w:ascii="Arial" w:hAnsi="Arial" w:cs="Arial"/>
          <w:lang w:val="en-IN"/>
        </w:rPr>
        <w:t xml:space="preserve">and </w:t>
      </w:r>
      <w:r w:rsidRPr="003F0D96">
        <w:rPr>
          <w:rFonts w:ascii="Arial" w:hAnsi="Arial" w:cs="Arial"/>
          <w:i/>
          <w:iCs/>
          <w:lang w:val="en-IN"/>
        </w:rPr>
        <w:t>Catharanthus roseus</w:t>
      </w:r>
      <w:r w:rsidRPr="003F0D96">
        <w:rPr>
          <w:rFonts w:ascii="Arial" w:hAnsi="Arial" w:cs="Arial"/>
          <w:lang w:val="en-IN"/>
        </w:rPr>
        <w:t xml:space="preserve"> responded to stress by triggering the accumulation of secondary metabolites and osmolytes, which enhance plant water potential and boost ROS scavenging to sustain growth under stress (</w:t>
      </w:r>
      <w:proofErr w:type="spellStart"/>
      <w:r w:rsidRPr="003F0D96">
        <w:rPr>
          <w:rFonts w:ascii="Arial" w:hAnsi="Arial" w:cs="Arial"/>
          <w:lang w:val="en-IN"/>
        </w:rPr>
        <w:t>Alhaithloul</w:t>
      </w:r>
      <w:proofErr w:type="spellEnd"/>
      <w:r w:rsidRPr="003F0D96">
        <w:rPr>
          <w:rFonts w:ascii="Arial" w:hAnsi="Arial" w:cs="Arial"/>
          <w:lang w:val="en-IN"/>
        </w:rPr>
        <w:t xml:space="preserve"> et al., 2019). The increase of osmolytes that results from drought along with heat stress also validated the compounds' ability to mitigate the detrimental effects of drought and heat stress (</w:t>
      </w:r>
      <w:proofErr w:type="spellStart"/>
      <w:r w:rsidRPr="003F0D96">
        <w:rPr>
          <w:rFonts w:ascii="Arial" w:hAnsi="Arial" w:cs="Arial"/>
          <w:lang w:val="en-IN"/>
        </w:rPr>
        <w:t>Alhaithloul</w:t>
      </w:r>
      <w:proofErr w:type="spellEnd"/>
      <w:r w:rsidRPr="003F0D96">
        <w:rPr>
          <w:rFonts w:ascii="Arial" w:hAnsi="Arial" w:cs="Arial"/>
          <w:lang w:val="en-IN"/>
        </w:rPr>
        <w:t xml:space="preserve"> et al., 2019).</w:t>
      </w:r>
    </w:p>
    <w:p w14:paraId="298EAF2F" w14:textId="77777777" w:rsidR="003F0D96" w:rsidRPr="003F0D96" w:rsidRDefault="003F0D96" w:rsidP="003F0D96">
      <w:pPr>
        <w:pStyle w:val="Body"/>
        <w:rPr>
          <w:rFonts w:ascii="Arial" w:hAnsi="Arial" w:cs="Arial"/>
          <w:lang w:val="en-IN"/>
        </w:rPr>
      </w:pPr>
      <w:r w:rsidRPr="003F0D96">
        <w:rPr>
          <w:rFonts w:ascii="Arial" w:hAnsi="Arial" w:cs="Arial"/>
          <w:lang w:val="en-IN"/>
        </w:rPr>
        <w:t xml:space="preserve">The measurement of malondialdehyde (MDA) content is a well-established marker for lipid peroxidation, widely used in studies investigating oxidative stress and redox signalling, particularly in the context of plant responses to abiotic and biotic stresses (Morales and </w:t>
      </w:r>
      <w:proofErr w:type="spellStart"/>
      <w:r w:rsidRPr="003F0D96">
        <w:rPr>
          <w:rFonts w:ascii="Arial" w:hAnsi="Arial" w:cs="Arial"/>
          <w:lang w:val="en-IN"/>
        </w:rPr>
        <w:t>Munné</w:t>
      </w:r>
      <w:proofErr w:type="spellEnd"/>
      <w:r w:rsidRPr="003F0D96">
        <w:rPr>
          <w:rFonts w:ascii="Arial" w:hAnsi="Arial" w:cs="Arial"/>
          <w:lang w:val="en-IN"/>
        </w:rPr>
        <w:t>-Bosch, 2019</w:t>
      </w:r>
      <w:r w:rsidRPr="003F0D96">
        <w:rPr>
          <w:rFonts w:ascii="Arial" w:hAnsi="Arial" w:cs="Arial"/>
          <w:bCs/>
          <w:lang w:val="en-IN"/>
        </w:rPr>
        <w:t xml:space="preserve">; </w:t>
      </w:r>
      <w:proofErr w:type="spellStart"/>
      <w:r w:rsidRPr="003F0D96">
        <w:rPr>
          <w:rFonts w:ascii="Arial" w:hAnsi="Arial" w:cs="Arial"/>
          <w:lang w:val="en-IN"/>
        </w:rPr>
        <w:t>Sarker</w:t>
      </w:r>
      <w:proofErr w:type="spellEnd"/>
      <w:r w:rsidRPr="003F0D96">
        <w:rPr>
          <w:rFonts w:ascii="Arial" w:hAnsi="Arial" w:cs="Arial"/>
          <w:lang w:val="en-IN"/>
        </w:rPr>
        <w:t xml:space="preserve"> and Oba, 2020b). The findings from the present study indicate that both NaCl and PEG stresses induce oxidative damage in plants, which result into the elevated MDA levels. The finding of Azeem et al. (2023), which indicated that abiotic stresses increase the formation of reactive oxygen species (ROS), leading to </w:t>
      </w:r>
      <w:r w:rsidRPr="003F0D96">
        <w:rPr>
          <w:rFonts w:ascii="Arial" w:hAnsi="Arial" w:cs="Arial"/>
          <w:lang w:val="en-IN"/>
        </w:rPr>
        <w:lastRenderedPageBreak/>
        <w:t xml:space="preserve">peroxidation of lipids in </w:t>
      </w:r>
      <w:r w:rsidRPr="003F0D96">
        <w:rPr>
          <w:rFonts w:ascii="Arial" w:hAnsi="Arial" w:cs="Arial"/>
          <w:i/>
          <w:iCs/>
          <w:lang w:val="en-IN"/>
        </w:rPr>
        <w:t>Moringa oleifera</w:t>
      </w:r>
      <w:r w:rsidRPr="003F0D96">
        <w:rPr>
          <w:rFonts w:ascii="Arial" w:hAnsi="Arial" w:cs="Arial"/>
          <w:lang w:val="en-IN"/>
        </w:rPr>
        <w:t xml:space="preserve">, corroborate the pattern of rising MDA levels with both NaCl and PEG stress. In terms of MDA content, the salt stress markedly increased lipid peroxidation in the water dropwort cultivars' roots and leaves (Kumar et al., 2021). </w:t>
      </w:r>
      <w:r w:rsidRPr="003F0D96">
        <w:rPr>
          <w:rFonts w:ascii="Arial" w:hAnsi="Arial" w:cs="Arial"/>
          <w:bCs/>
          <w:lang w:val="en-IN"/>
        </w:rPr>
        <w:t xml:space="preserve">The MDA contents also increased in response to salinity in </w:t>
      </w:r>
      <w:r w:rsidRPr="003F0D96">
        <w:rPr>
          <w:rFonts w:ascii="Arial" w:hAnsi="Arial" w:cs="Arial"/>
          <w:lang w:val="en-IN"/>
        </w:rPr>
        <w:t>two cotton (</w:t>
      </w:r>
      <w:r w:rsidRPr="003F0D96">
        <w:rPr>
          <w:rFonts w:ascii="Arial" w:hAnsi="Arial" w:cs="Arial"/>
          <w:bCs/>
          <w:i/>
          <w:lang w:val="en-IN"/>
        </w:rPr>
        <w:t>Gossypium hirsutum</w:t>
      </w:r>
      <w:r w:rsidRPr="003F0D96">
        <w:rPr>
          <w:rFonts w:ascii="Arial" w:hAnsi="Arial" w:cs="Arial"/>
          <w:bCs/>
          <w:lang w:val="en-IN"/>
        </w:rPr>
        <w:t xml:space="preserve">) </w:t>
      </w:r>
      <w:r w:rsidRPr="003F0D96">
        <w:rPr>
          <w:rFonts w:ascii="Arial" w:hAnsi="Arial" w:cs="Arial"/>
          <w:lang w:val="en-IN"/>
        </w:rPr>
        <w:t>cultivars</w:t>
      </w:r>
      <w:r w:rsidRPr="003F0D96">
        <w:rPr>
          <w:rFonts w:ascii="Arial" w:hAnsi="Arial" w:cs="Arial"/>
          <w:bCs/>
          <w:i/>
          <w:lang w:val="en-IN"/>
        </w:rPr>
        <w:t xml:space="preserve"> </w:t>
      </w:r>
      <w:r w:rsidRPr="003F0D96">
        <w:rPr>
          <w:rFonts w:ascii="Arial" w:hAnsi="Arial" w:cs="Arial"/>
          <w:bCs/>
          <w:lang w:val="en-IN"/>
        </w:rPr>
        <w:t xml:space="preserve">(Zhang et al., 2014). </w:t>
      </w:r>
      <w:r w:rsidRPr="003F0D96">
        <w:rPr>
          <w:rFonts w:ascii="Arial" w:hAnsi="Arial" w:cs="Arial"/>
          <w:lang w:val="en-IN"/>
        </w:rPr>
        <w:t xml:space="preserve">The patterns of MDA accumulation suggest that while oxidative stress intensifies with higher stress levels, plants may activate certain </w:t>
      </w:r>
      <w:proofErr w:type="spellStart"/>
      <w:r w:rsidRPr="003F0D96">
        <w:rPr>
          <w:rFonts w:ascii="Arial" w:hAnsi="Arial" w:cs="Arial"/>
          <w:lang w:val="en-IN"/>
        </w:rPr>
        <w:t>defense</w:t>
      </w:r>
      <w:proofErr w:type="spellEnd"/>
      <w:r w:rsidRPr="003F0D96">
        <w:rPr>
          <w:rFonts w:ascii="Arial" w:hAnsi="Arial" w:cs="Arial"/>
          <w:lang w:val="en-IN"/>
        </w:rPr>
        <w:t xml:space="preserve"> mechanisms to mitigate damage at extreme concentrations. This response is slightly more pronounced in PEG-induced stress, where MDA levels decrease more significantly at higher stress conditions.</w:t>
      </w:r>
      <w:r w:rsidRPr="003F0D96">
        <w:rPr>
          <w:rFonts w:ascii="Arial" w:hAnsi="Arial" w:cs="Arial"/>
          <w:bCs/>
          <w:lang w:val="en-IN"/>
        </w:rPr>
        <w:t xml:space="preserve"> </w:t>
      </w:r>
    </w:p>
    <w:p w14:paraId="61E35991" w14:textId="77777777" w:rsidR="003F0D96" w:rsidRPr="003F0D96" w:rsidRDefault="003F0D96" w:rsidP="003F0D96">
      <w:pPr>
        <w:pStyle w:val="Body"/>
        <w:rPr>
          <w:rFonts w:ascii="Arial" w:hAnsi="Arial" w:cs="Arial"/>
          <w:lang w:val="en-IN"/>
        </w:rPr>
      </w:pPr>
      <w:r w:rsidRPr="003F0D96">
        <w:rPr>
          <w:rFonts w:ascii="Arial" w:hAnsi="Arial" w:cs="Arial"/>
          <w:lang w:val="en-IN"/>
        </w:rPr>
        <w:t xml:space="preserve">β-carotene, a non-enzymatic antioxidant, plays a vital role in quenching singlet oxygen and protecting photosynthetic machinery. Both NaCl and PEG stress stimulate β-carotene accumulation; likely as part of the plants </w:t>
      </w:r>
      <w:proofErr w:type="spellStart"/>
      <w:r w:rsidRPr="003F0D96">
        <w:rPr>
          <w:rFonts w:ascii="Arial" w:hAnsi="Arial" w:cs="Arial"/>
          <w:lang w:val="en-IN"/>
        </w:rPr>
        <w:t>defense</w:t>
      </w:r>
      <w:proofErr w:type="spellEnd"/>
      <w:r w:rsidRPr="003F0D96">
        <w:rPr>
          <w:rFonts w:ascii="Arial" w:hAnsi="Arial" w:cs="Arial"/>
          <w:lang w:val="en-IN"/>
        </w:rPr>
        <w:t xml:space="preserve"> mechanism against oxidative stress. The increasing trend in β-carotene levels under moderate NaCl and PEG stress aligns with the findings of other author, who showed enhanced β-carotene synthesis as part of the plant's </w:t>
      </w:r>
      <w:proofErr w:type="spellStart"/>
      <w:r w:rsidRPr="003F0D96">
        <w:rPr>
          <w:rFonts w:ascii="Arial" w:hAnsi="Arial" w:cs="Arial"/>
          <w:lang w:val="en-IN"/>
        </w:rPr>
        <w:t>defense</w:t>
      </w:r>
      <w:proofErr w:type="spellEnd"/>
      <w:r w:rsidRPr="003F0D96">
        <w:rPr>
          <w:rFonts w:ascii="Arial" w:hAnsi="Arial" w:cs="Arial"/>
          <w:lang w:val="en-IN"/>
        </w:rPr>
        <w:t xml:space="preserve"> mechanism. Numerous studies show that plants under environmental stress increase their β-carotene concentration, which mitigates the adverse impacts of stress. (Kim et al., 2008; Kim et al., 2012). Exogenous use of β-carotene also reduces the adverse effects of salinity stress on plants (Babaei et al., 2022). However, the observed decline in β-carotene levels at higher stress concentrations indicates a potential limitation in the plant's ability to sustain antioxidant production under extreme conditions. Therefore, the excessive generation of ROS that exceeds the antioxidant </w:t>
      </w:r>
      <w:proofErr w:type="spellStart"/>
      <w:r w:rsidRPr="003F0D96">
        <w:rPr>
          <w:rFonts w:ascii="Arial" w:hAnsi="Arial" w:cs="Arial"/>
          <w:lang w:val="en-IN"/>
        </w:rPr>
        <w:t>defense</w:t>
      </w:r>
      <w:proofErr w:type="spellEnd"/>
      <w:r w:rsidRPr="003F0D96">
        <w:rPr>
          <w:rFonts w:ascii="Arial" w:hAnsi="Arial" w:cs="Arial"/>
          <w:lang w:val="en-IN"/>
        </w:rPr>
        <w:t xml:space="preserve"> system may be the cause of this loss.</w:t>
      </w:r>
    </w:p>
    <w:p w14:paraId="69EFF20E" w14:textId="721B375F" w:rsidR="00790ADA" w:rsidRPr="00751DF9" w:rsidRDefault="003F0D96" w:rsidP="00751DF9">
      <w:pPr>
        <w:pStyle w:val="Body"/>
        <w:rPr>
          <w:rFonts w:ascii="Arial" w:hAnsi="Arial" w:cs="Arial"/>
          <w:lang w:val="en-IN"/>
        </w:rPr>
      </w:pPr>
      <w:r w:rsidRPr="003F0D96">
        <w:rPr>
          <w:rFonts w:ascii="Arial" w:hAnsi="Arial" w:cs="Arial"/>
          <w:lang w:val="en-IN"/>
        </w:rPr>
        <w:t xml:space="preserve">In the present </w:t>
      </w:r>
      <w:r w:rsidRPr="00386F5F">
        <w:rPr>
          <w:rFonts w:ascii="Arial" w:hAnsi="Arial" w:cs="Arial"/>
          <w:highlight w:val="yellow"/>
          <w:lang w:val="en-IN"/>
        </w:rPr>
        <w:t>study</w:t>
      </w:r>
      <w:r w:rsidR="00386F5F" w:rsidRPr="00386F5F">
        <w:rPr>
          <w:rFonts w:ascii="Arial" w:hAnsi="Arial" w:cs="Arial"/>
          <w:highlight w:val="yellow"/>
          <w:lang w:val="en-IN"/>
        </w:rPr>
        <w:t>,</w:t>
      </w:r>
      <w:r w:rsidRPr="003F0D96">
        <w:rPr>
          <w:rFonts w:ascii="Arial" w:hAnsi="Arial" w:cs="Arial"/>
          <w:lang w:val="en-IN"/>
        </w:rPr>
        <w:t xml:space="preserve"> both induced salinity and dehydration stress in the form </w:t>
      </w:r>
      <w:proofErr w:type="gramStart"/>
      <w:r w:rsidRPr="003F0D96">
        <w:rPr>
          <w:rFonts w:ascii="Arial" w:hAnsi="Arial" w:cs="Arial"/>
          <w:lang w:val="en-IN"/>
        </w:rPr>
        <w:t>of  NaCl</w:t>
      </w:r>
      <w:proofErr w:type="gramEnd"/>
      <w:r w:rsidRPr="003F0D96">
        <w:rPr>
          <w:rFonts w:ascii="Arial" w:hAnsi="Arial" w:cs="Arial"/>
          <w:lang w:val="en-IN"/>
        </w:rPr>
        <w:t xml:space="preserve"> and PEG stresses significantly increased total phenolic and total flavonoid content, reflecting the plant's enhanced antioxidative mechanisms in response to stress. Highest total phenolic compound and total flavonoid production occurred at moderate stress levels (150mM NaCl and 15% PEG). These findings highlight the importance of phenolic compound and flavonoids as antioxidants in plant stress tolerance and their role in mitigating oxidative damage caused by salinity and drought. These natural antioxidants </w:t>
      </w:r>
      <w:r w:rsidRPr="00386F5F">
        <w:rPr>
          <w:rFonts w:ascii="Arial" w:hAnsi="Arial" w:cs="Arial"/>
          <w:strike/>
          <w:highlight w:val="yellow"/>
          <w:lang w:val="en-IN"/>
        </w:rPr>
        <w:t>not only</w:t>
      </w:r>
      <w:r w:rsidRPr="003F0D96">
        <w:rPr>
          <w:rFonts w:ascii="Arial" w:hAnsi="Arial" w:cs="Arial"/>
          <w:lang w:val="en-IN"/>
        </w:rPr>
        <w:t xml:space="preserve"> play a critical role in plant stress management </w:t>
      </w:r>
      <w:proofErr w:type="spellStart"/>
      <w:r w:rsidR="00386F5F" w:rsidRPr="00386F5F">
        <w:rPr>
          <w:rFonts w:ascii="Arial" w:hAnsi="Arial" w:cs="Arial"/>
          <w:strike/>
          <w:highlight w:val="yellow"/>
          <w:lang w:val="en-IN"/>
        </w:rPr>
        <w:t>but</w:t>
      </w:r>
      <w:proofErr w:type="spellEnd"/>
      <w:r w:rsidRPr="003F0D96">
        <w:rPr>
          <w:rFonts w:ascii="Arial" w:hAnsi="Arial" w:cs="Arial"/>
          <w:lang w:val="en-IN"/>
        </w:rPr>
        <w:t xml:space="preserve"> </w:t>
      </w:r>
      <w:r w:rsidR="00386F5F">
        <w:rPr>
          <w:rFonts w:ascii="Arial" w:hAnsi="Arial" w:cs="Arial"/>
          <w:lang w:val="en-IN"/>
        </w:rPr>
        <w:t xml:space="preserve">and </w:t>
      </w:r>
      <w:r w:rsidRPr="003F0D96">
        <w:rPr>
          <w:rFonts w:ascii="Arial" w:hAnsi="Arial" w:cs="Arial"/>
          <w:lang w:val="en-IN"/>
        </w:rPr>
        <w:t xml:space="preserve">hold significant value for medicinal applications (Azeem et al., 2023). The decline in flavonoid and phenolic content at higher concentrations for both the NaCl and PEG stress indicates that extreme salinity and drought conditions can limit the plant's capacity to maintain high phenol and flavonoid production, suggesting a metabolic limitations or stress saturation. The </w:t>
      </w:r>
      <w:r w:rsidRPr="00386F5F">
        <w:rPr>
          <w:rFonts w:ascii="Arial" w:hAnsi="Arial" w:cs="Arial"/>
          <w:highlight w:val="yellow"/>
          <w:lang w:val="en-IN"/>
        </w:rPr>
        <w:t>increase</w:t>
      </w:r>
      <w:r w:rsidR="00386F5F" w:rsidRPr="00386F5F">
        <w:rPr>
          <w:rFonts w:ascii="Arial" w:hAnsi="Arial" w:cs="Arial"/>
          <w:highlight w:val="yellow"/>
          <w:lang w:val="en-IN"/>
        </w:rPr>
        <w:t>d</w:t>
      </w:r>
      <w:r w:rsidRPr="003F0D96">
        <w:rPr>
          <w:rFonts w:ascii="Arial" w:hAnsi="Arial" w:cs="Arial"/>
          <w:lang w:val="en-IN"/>
        </w:rPr>
        <w:t xml:space="preserve"> synthesis of phenolic and flavonoid content has also been reported in other plant. In </w:t>
      </w:r>
      <w:proofErr w:type="spellStart"/>
      <w:r w:rsidRPr="003F0D96">
        <w:rPr>
          <w:rFonts w:ascii="Arial" w:hAnsi="Arial" w:cs="Arial"/>
          <w:i/>
          <w:iCs/>
          <w:lang w:val="en-IN"/>
        </w:rPr>
        <w:t>Schizonepeta</w:t>
      </w:r>
      <w:proofErr w:type="spellEnd"/>
      <w:r w:rsidRPr="003F0D96">
        <w:rPr>
          <w:rFonts w:ascii="Arial" w:hAnsi="Arial" w:cs="Arial"/>
          <w:i/>
          <w:iCs/>
          <w:lang w:val="en-IN"/>
        </w:rPr>
        <w:t xml:space="preserve"> </w:t>
      </w:r>
      <w:proofErr w:type="spellStart"/>
      <w:r w:rsidRPr="003F0D96">
        <w:rPr>
          <w:rFonts w:ascii="Arial" w:hAnsi="Arial" w:cs="Arial"/>
          <w:i/>
          <w:iCs/>
          <w:lang w:val="en-IN"/>
        </w:rPr>
        <w:t>tenuifolia</w:t>
      </w:r>
      <w:proofErr w:type="spellEnd"/>
      <w:r w:rsidRPr="003F0D96">
        <w:rPr>
          <w:rFonts w:ascii="Arial" w:hAnsi="Arial" w:cs="Arial"/>
          <w:lang w:val="en-IN"/>
        </w:rPr>
        <w:t>, phenolic accumulation was stimulated at mild salinity levels (25 mM) but inhibited at severe salinity levels (75 and 100 mM) (Zhou et al., 2018). By raising the amounts of antioxidant components</w:t>
      </w:r>
      <w:r w:rsidR="00386F5F" w:rsidRPr="00386F5F">
        <w:rPr>
          <w:rFonts w:ascii="Arial" w:hAnsi="Arial" w:cs="Arial"/>
          <w:highlight w:val="yellow"/>
          <w:lang w:val="en-IN"/>
        </w:rPr>
        <w:t>,</w:t>
      </w:r>
      <w:r w:rsidRPr="003F0D96">
        <w:rPr>
          <w:rFonts w:ascii="Arial" w:hAnsi="Arial" w:cs="Arial"/>
          <w:lang w:val="en-IN"/>
        </w:rPr>
        <w:t xml:space="preserve"> including glutathione, ascorbic acid, total flavonoids, and phenols, as well as their subsequent actions, salt stress also improved Moringa's therapeutic potential (Azeem et al., 2023). Total phenolic, total flavonoid, and antioxidant activity all increased in </w:t>
      </w:r>
      <w:proofErr w:type="spellStart"/>
      <w:r w:rsidRPr="003F0D96">
        <w:rPr>
          <w:rFonts w:ascii="Arial" w:hAnsi="Arial" w:cs="Arial"/>
          <w:i/>
          <w:iCs/>
          <w:lang w:val="en-IN"/>
        </w:rPr>
        <w:t>Centella</w:t>
      </w:r>
      <w:proofErr w:type="spellEnd"/>
      <w:r w:rsidRPr="003F0D96">
        <w:rPr>
          <w:rFonts w:ascii="Arial" w:hAnsi="Arial" w:cs="Arial"/>
          <w:i/>
          <w:iCs/>
          <w:lang w:val="en-IN"/>
        </w:rPr>
        <w:t xml:space="preserve"> </w:t>
      </w:r>
      <w:proofErr w:type="spellStart"/>
      <w:r w:rsidRPr="003F0D96">
        <w:rPr>
          <w:rFonts w:ascii="Arial" w:hAnsi="Arial" w:cs="Arial"/>
          <w:i/>
          <w:iCs/>
          <w:lang w:val="en-IN"/>
        </w:rPr>
        <w:t>asiatica</w:t>
      </w:r>
      <w:proofErr w:type="spellEnd"/>
      <w:r w:rsidRPr="003F0D96">
        <w:rPr>
          <w:rFonts w:ascii="Arial" w:hAnsi="Arial" w:cs="Arial"/>
          <w:lang w:val="en-IN"/>
        </w:rPr>
        <w:t xml:space="preserve"> as the level of salinity increased (Hoang and Rehman, 2022). The majority of phenolic acids kept building up as the stress duration increased; however, flavonoids in </w:t>
      </w:r>
      <w:proofErr w:type="spellStart"/>
      <w:r w:rsidRPr="003F0D96">
        <w:rPr>
          <w:rFonts w:ascii="Arial" w:hAnsi="Arial" w:cs="Arial"/>
          <w:i/>
          <w:iCs/>
          <w:lang w:val="en-IN"/>
        </w:rPr>
        <w:t>Achillea</w:t>
      </w:r>
      <w:proofErr w:type="spellEnd"/>
      <w:r w:rsidRPr="003F0D96">
        <w:rPr>
          <w:rFonts w:ascii="Arial" w:hAnsi="Arial" w:cs="Arial"/>
          <w:i/>
          <w:iCs/>
          <w:lang w:val="en-IN"/>
        </w:rPr>
        <w:t xml:space="preserve"> </w:t>
      </w:r>
      <w:proofErr w:type="spellStart"/>
      <w:r w:rsidRPr="003F0D96">
        <w:rPr>
          <w:rFonts w:ascii="Arial" w:hAnsi="Arial" w:cs="Arial"/>
          <w:i/>
          <w:iCs/>
          <w:lang w:val="en-IN"/>
        </w:rPr>
        <w:t>pachycephala</w:t>
      </w:r>
      <w:proofErr w:type="spellEnd"/>
      <w:r w:rsidRPr="003F0D96">
        <w:rPr>
          <w:rFonts w:ascii="Arial" w:hAnsi="Arial" w:cs="Arial"/>
          <w:lang w:val="en-IN"/>
        </w:rPr>
        <w:t xml:space="preserve"> drastically dropped on day 28 of drought stress (Gharibi et al., 2019). </w:t>
      </w:r>
      <w:proofErr w:type="spellStart"/>
      <w:r w:rsidRPr="003F0D96">
        <w:rPr>
          <w:rFonts w:ascii="Arial" w:hAnsi="Arial" w:cs="Arial"/>
          <w:lang w:val="en-IN"/>
        </w:rPr>
        <w:t>Alhaithloul</w:t>
      </w:r>
      <w:proofErr w:type="spellEnd"/>
      <w:r w:rsidRPr="003F0D96">
        <w:rPr>
          <w:rFonts w:ascii="Arial" w:hAnsi="Arial" w:cs="Arial"/>
          <w:lang w:val="en-IN"/>
        </w:rPr>
        <w:t xml:space="preserve"> et al. (2019) found that </w:t>
      </w:r>
      <w:r w:rsidRPr="003F0D96">
        <w:rPr>
          <w:rFonts w:ascii="Arial" w:hAnsi="Arial" w:cs="Arial"/>
          <w:i/>
          <w:iCs/>
          <w:lang w:val="en-IN"/>
        </w:rPr>
        <w:t xml:space="preserve">Catharanthus roseus </w:t>
      </w:r>
      <w:r w:rsidRPr="003F0D96">
        <w:rPr>
          <w:rFonts w:ascii="Arial" w:hAnsi="Arial" w:cs="Arial"/>
          <w:lang w:val="en-IN"/>
        </w:rPr>
        <w:t xml:space="preserve">and </w:t>
      </w:r>
      <w:r w:rsidRPr="003F0D96">
        <w:rPr>
          <w:rFonts w:ascii="Arial" w:hAnsi="Arial" w:cs="Arial"/>
          <w:i/>
          <w:iCs/>
          <w:lang w:val="en-IN"/>
        </w:rPr>
        <w:t xml:space="preserve">Mentha piperita </w:t>
      </w:r>
      <w:r w:rsidRPr="003F0D96">
        <w:rPr>
          <w:rFonts w:ascii="Arial" w:hAnsi="Arial" w:cs="Arial"/>
          <w:lang w:val="en-IN"/>
        </w:rPr>
        <w:t xml:space="preserve">responded to drought and/or heat stress by reducing their saponin, flavonoid, and phenol levels. On the other hand, the quantity of alkaloids, </w:t>
      </w:r>
      <w:proofErr w:type="spellStart"/>
      <w:r w:rsidRPr="003F0D96">
        <w:rPr>
          <w:rFonts w:ascii="Arial" w:hAnsi="Arial" w:cs="Arial"/>
          <w:lang w:val="en-IN"/>
        </w:rPr>
        <w:t>terpenoids</w:t>
      </w:r>
      <w:proofErr w:type="spellEnd"/>
      <w:r w:rsidRPr="003F0D96">
        <w:rPr>
          <w:rFonts w:ascii="Arial" w:hAnsi="Arial" w:cs="Arial"/>
          <w:lang w:val="en-IN"/>
        </w:rPr>
        <w:t>, and tannins,</w:t>
      </w:r>
      <w:r w:rsidR="00386F5F">
        <w:rPr>
          <w:rFonts w:ascii="Arial" w:hAnsi="Arial" w:cs="Arial"/>
          <w:lang w:val="en-IN"/>
        </w:rPr>
        <w:t xml:space="preserve"> are enhanced</w:t>
      </w:r>
      <w:r w:rsidRPr="003F0D96">
        <w:rPr>
          <w:rFonts w:ascii="Arial" w:hAnsi="Arial" w:cs="Arial"/>
          <w:lang w:val="en-IN"/>
        </w:rPr>
        <w:t xml:space="preserve"> during stress, with the highest level under the combination of heat and drought stress (</w:t>
      </w:r>
      <w:proofErr w:type="spellStart"/>
      <w:r w:rsidRPr="003F0D96">
        <w:rPr>
          <w:rFonts w:ascii="Arial" w:hAnsi="Arial" w:cs="Arial"/>
          <w:lang w:val="en-IN"/>
        </w:rPr>
        <w:t>Alhaithloul</w:t>
      </w:r>
      <w:proofErr w:type="spellEnd"/>
      <w:r w:rsidRPr="003F0D96">
        <w:rPr>
          <w:rFonts w:ascii="Arial" w:hAnsi="Arial" w:cs="Arial"/>
          <w:lang w:val="en-IN"/>
        </w:rPr>
        <w:t xml:space="preserve"> et al., 2019). By boosting the removal of ROS and enhancing plant water potential, the buildup of osmolytes and secondary metabolic compounds may help plants to maintain growth in adverse situations and minimize the negative impacts of stress (</w:t>
      </w:r>
      <w:proofErr w:type="spellStart"/>
      <w:r w:rsidRPr="003F0D96">
        <w:rPr>
          <w:rFonts w:ascii="Arial" w:hAnsi="Arial" w:cs="Arial"/>
          <w:lang w:val="en-IN"/>
        </w:rPr>
        <w:t>Alhaithloul</w:t>
      </w:r>
      <w:proofErr w:type="spellEnd"/>
      <w:r w:rsidRPr="003F0D96">
        <w:rPr>
          <w:rFonts w:ascii="Arial" w:hAnsi="Arial" w:cs="Arial"/>
          <w:lang w:val="en-IN"/>
        </w:rPr>
        <w:t xml:space="preserve"> et al., 2019). While the development of medicinal plants declines under adverse environments, the production of secondary metabolites (SM) may rise, this could have a substantial impact on the medicinal qualities of the plants (</w:t>
      </w:r>
      <w:proofErr w:type="spellStart"/>
      <w:r w:rsidRPr="003F0D96">
        <w:rPr>
          <w:rFonts w:ascii="Arial" w:hAnsi="Arial" w:cs="Arial"/>
          <w:lang w:val="en-IN"/>
        </w:rPr>
        <w:t>Miransari</w:t>
      </w:r>
      <w:proofErr w:type="spellEnd"/>
      <w:r w:rsidRPr="003F0D96">
        <w:rPr>
          <w:rFonts w:ascii="Arial" w:hAnsi="Arial" w:cs="Arial"/>
          <w:lang w:val="en-IN"/>
        </w:rPr>
        <w:t xml:space="preserve"> et al., 2021). Thus, applying abiotic stress could be a strategy to increase the amount of these plants' therapeutic secondary metabolites (</w:t>
      </w:r>
      <w:proofErr w:type="spellStart"/>
      <w:r w:rsidRPr="003F0D96">
        <w:rPr>
          <w:rFonts w:ascii="Arial" w:hAnsi="Arial" w:cs="Arial"/>
          <w:lang w:val="en-IN"/>
        </w:rPr>
        <w:t>Alhaithloul</w:t>
      </w:r>
      <w:proofErr w:type="spellEnd"/>
      <w:r w:rsidRPr="003F0D96">
        <w:rPr>
          <w:rFonts w:ascii="Arial" w:hAnsi="Arial" w:cs="Arial"/>
          <w:lang w:val="en-IN"/>
        </w:rPr>
        <w:t xml:space="preserve"> et al., 2019).</w:t>
      </w:r>
    </w:p>
    <w:p w14:paraId="3525EFE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B70810E" w14:textId="77777777" w:rsidR="00790ADA" w:rsidRPr="00FB3A86" w:rsidRDefault="00790ADA" w:rsidP="00441B6F">
      <w:pPr>
        <w:pStyle w:val="ConcHead"/>
        <w:spacing w:after="0"/>
        <w:jc w:val="both"/>
        <w:rPr>
          <w:rFonts w:ascii="Arial" w:hAnsi="Arial" w:cs="Arial"/>
        </w:rPr>
      </w:pPr>
    </w:p>
    <w:p w14:paraId="7613A24A" w14:textId="77777777" w:rsidR="00790ADA" w:rsidRPr="00751DF9" w:rsidRDefault="003F0D96" w:rsidP="00751DF9">
      <w:pPr>
        <w:pStyle w:val="Body"/>
        <w:rPr>
          <w:rFonts w:ascii="Arial" w:hAnsi="Arial" w:cs="Arial"/>
          <w:lang w:val="en-IN"/>
        </w:rPr>
      </w:pPr>
      <w:r w:rsidRPr="003F0D96">
        <w:rPr>
          <w:rFonts w:ascii="Arial" w:hAnsi="Arial" w:cs="Arial"/>
          <w:lang w:val="en-IN"/>
        </w:rPr>
        <w:t xml:space="preserve">In the present study, significant changes in the physiological and biochemical parameters have been observed in NaCl- and PEG 6000-induced salt- and drought-stressed plants in relation to control. PEG and NaCl stress reduced RWC and MSI when compared to the control. Screening for drought-resistant genotypes that preserve cell turgor under water stress conditions can be done using parameters like relative water content and membrane stability index. By increasing the synthesis of proline, β-carotene, phenolic compounds, and total flavonoids, the </w:t>
      </w:r>
      <w:proofErr w:type="spellStart"/>
      <w:r w:rsidRPr="003F0D96">
        <w:rPr>
          <w:rFonts w:ascii="Arial" w:hAnsi="Arial" w:cs="Arial"/>
          <w:i/>
          <w:lang w:val="en-IN"/>
        </w:rPr>
        <w:t>Bacopa</w:t>
      </w:r>
      <w:proofErr w:type="spellEnd"/>
      <w:r w:rsidRPr="003F0D96">
        <w:rPr>
          <w:rFonts w:ascii="Arial" w:hAnsi="Arial" w:cs="Arial"/>
          <w:i/>
          <w:lang w:val="en-IN"/>
        </w:rPr>
        <w:t xml:space="preserve"> </w:t>
      </w:r>
      <w:proofErr w:type="spellStart"/>
      <w:r w:rsidRPr="003F0D96">
        <w:rPr>
          <w:rFonts w:ascii="Arial" w:hAnsi="Arial" w:cs="Arial"/>
          <w:i/>
          <w:lang w:val="en-IN"/>
        </w:rPr>
        <w:t>monnieri</w:t>
      </w:r>
      <w:proofErr w:type="spellEnd"/>
      <w:r w:rsidRPr="003F0D96">
        <w:rPr>
          <w:rFonts w:ascii="Arial" w:hAnsi="Arial" w:cs="Arial"/>
          <w:lang w:val="en-IN"/>
        </w:rPr>
        <w:t xml:space="preserve"> plant defends itself against oxidative stress. These compounds help plants to reduce cellular damage by scavenging reactive oxygen species (ROS) and inhibiting lipid peroxidation. In the current investigation, it was observed that proline content increased markedly when stress levels increased in both drought and salinity. As an </w:t>
      </w:r>
      <w:proofErr w:type="spellStart"/>
      <w:r w:rsidRPr="003F0D96">
        <w:rPr>
          <w:rFonts w:ascii="Arial" w:hAnsi="Arial" w:cs="Arial"/>
          <w:lang w:val="en-IN"/>
        </w:rPr>
        <w:t>osmoprotectant</w:t>
      </w:r>
      <w:proofErr w:type="spellEnd"/>
      <w:r w:rsidRPr="003F0D96">
        <w:rPr>
          <w:rFonts w:ascii="Arial" w:hAnsi="Arial" w:cs="Arial"/>
          <w:lang w:val="en-IN"/>
        </w:rPr>
        <w:t xml:space="preserve">, </w:t>
      </w:r>
      <w:proofErr w:type="spellStart"/>
      <w:r w:rsidRPr="003F0D96">
        <w:rPr>
          <w:rFonts w:ascii="Arial" w:hAnsi="Arial" w:cs="Arial"/>
          <w:lang w:val="en-IN"/>
        </w:rPr>
        <w:t>proline</w:t>
      </w:r>
      <w:proofErr w:type="spellEnd"/>
      <w:r w:rsidRPr="003F0D96">
        <w:rPr>
          <w:rFonts w:ascii="Arial" w:hAnsi="Arial" w:cs="Arial"/>
          <w:lang w:val="en-IN"/>
        </w:rPr>
        <w:t xml:space="preserve"> helps plants in maintaining the stability of their cellular structures under stress. In addition to being essential for managing plant stress, natural antioxidants have great potential for use in medicine. Plants that experience drought and salinity produce more bioactive molecules with antioxidant properties. The results also highlight the need for more investigation into how salinity and drought affect the various therapeutic benefits of </w:t>
      </w:r>
      <w:proofErr w:type="spellStart"/>
      <w:r w:rsidRPr="003F0D96">
        <w:rPr>
          <w:rFonts w:ascii="Arial" w:hAnsi="Arial" w:cs="Arial"/>
          <w:i/>
          <w:lang w:val="en-IN"/>
        </w:rPr>
        <w:t>Bacopa</w:t>
      </w:r>
      <w:proofErr w:type="spellEnd"/>
      <w:r w:rsidRPr="003F0D96">
        <w:rPr>
          <w:rFonts w:ascii="Arial" w:hAnsi="Arial" w:cs="Arial"/>
          <w:lang w:val="en-IN"/>
        </w:rPr>
        <w:t xml:space="preserve"> </w:t>
      </w:r>
      <w:proofErr w:type="spellStart"/>
      <w:r w:rsidRPr="003F0D96">
        <w:rPr>
          <w:rFonts w:ascii="Arial" w:hAnsi="Arial" w:cs="Arial"/>
          <w:i/>
          <w:lang w:val="en-IN"/>
        </w:rPr>
        <w:t>monnieri</w:t>
      </w:r>
      <w:proofErr w:type="spellEnd"/>
      <w:r w:rsidRPr="003F0D96">
        <w:rPr>
          <w:rFonts w:ascii="Arial" w:hAnsi="Arial" w:cs="Arial"/>
          <w:lang w:val="en-IN"/>
        </w:rPr>
        <w:t xml:space="preserve"> and other medicinal plants. In order to identify important pathways governing salinity and drought tolerance at the whole-plant level, it is necessary to combine data from genomic, transcriptomic, proteomic, and metabolomic studies. Additional research may also be conducted to test for the synthesis of additional active chemicals in plants under various stressors. If production rises under stressful conditions, the information gathered can be utilized to produce more active compounds at industrial scale.</w:t>
      </w:r>
      <w:bookmarkStart w:id="0" w:name="_GoBack"/>
      <w:bookmarkEnd w:id="0"/>
    </w:p>
    <w:p w14:paraId="6A6BACC1" w14:textId="77777777" w:rsidR="00751DF9" w:rsidRDefault="00751DF9" w:rsidP="00441B6F">
      <w:pPr>
        <w:pStyle w:val="ReferHead"/>
        <w:spacing w:after="0"/>
        <w:jc w:val="both"/>
        <w:rPr>
          <w:rFonts w:ascii="Arial" w:hAnsi="Arial" w:cs="Arial"/>
          <w:b w:val="0"/>
          <w:caps w:val="0"/>
          <w:sz w:val="20"/>
          <w:u w:val="single"/>
        </w:rPr>
      </w:pPr>
    </w:p>
    <w:p w14:paraId="3FCF4B18"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E80AF8A" w14:textId="77777777" w:rsidR="00790ADA" w:rsidRPr="00FB3A86" w:rsidRDefault="00790ADA" w:rsidP="00441B6F">
      <w:pPr>
        <w:pStyle w:val="ReferHead"/>
        <w:spacing w:after="0"/>
        <w:jc w:val="both"/>
        <w:rPr>
          <w:rFonts w:ascii="Arial" w:hAnsi="Arial" w:cs="Arial"/>
        </w:rPr>
      </w:pPr>
    </w:p>
    <w:p w14:paraId="79DAF01C" w14:textId="77777777" w:rsidR="00751DF9" w:rsidRPr="00751DF9" w:rsidRDefault="00751DF9" w:rsidP="00751DF9">
      <w:pPr>
        <w:pStyle w:val="Body"/>
        <w:rPr>
          <w:lang w:val="en-IN"/>
        </w:rPr>
      </w:pPr>
      <w:r w:rsidRPr="00751DF9">
        <w:rPr>
          <w:lang w:val="en-IN"/>
        </w:rPr>
        <w:t xml:space="preserve">Afroz, N., </w:t>
      </w:r>
      <w:proofErr w:type="spellStart"/>
      <w:r w:rsidRPr="00751DF9">
        <w:rPr>
          <w:lang w:val="en-IN"/>
        </w:rPr>
        <w:t>Baraik</w:t>
      </w:r>
      <w:proofErr w:type="spellEnd"/>
      <w:r w:rsidRPr="00751DF9">
        <w:rPr>
          <w:lang w:val="en-IN"/>
        </w:rPr>
        <w:t xml:space="preserve">, B., &amp; Lal, S. (2020). Effect of PEG induced drought stress on </w:t>
      </w:r>
      <w:proofErr w:type="spellStart"/>
      <w:r w:rsidRPr="00751DF9">
        <w:rPr>
          <w:i/>
          <w:iCs/>
          <w:lang w:val="en-IN"/>
        </w:rPr>
        <w:t>Bacopa</w:t>
      </w:r>
      <w:proofErr w:type="spellEnd"/>
      <w:r w:rsidRPr="00751DF9">
        <w:rPr>
          <w:i/>
          <w:iCs/>
          <w:lang w:val="en-IN"/>
        </w:rPr>
        <w:t xml:space="preserve"> </w:t>
      </w:r>
      <w:proofErr w:type="spellStart"/>
      <w:r w:rsidRPr="00751DF9">
        <w:rPr>
          <w:i/>
          <w:iCs/>
          <w:lang w:val="en-IN"/>
        </w:rPr>
        <w:t>monnieri</w:t>
      </w:r>
      <w:proofErr w:type="spellEnd"/>
      <w:r w:rsidRPr="00751DF9">
        <w:rPr>
          <w:lang w:val="en-IN"/>
        </w:rPr>
        <w:t xml:space="preserve"> (L.) </w:t>
      </w:r>
      <w:proofErr w:type="spellStart"/>
      <w:r w:rsidRPr="00751DF9">
        <w:rPr>
          <w:lang w:val="en-IN"/>
        </w:rPr>
        <w:t>Wettst</w:t>
      </w:r>
      <w:proofErr w:type="spellEnd"/>
      <w:r w:rsidRPr="00751DF9">
        <w:rPr>
          <w:lang w:val="en-IN"/>
        </w:rPr>
        <w:t xml:space="preserve">. and </w:t>
      </w:r>
      <w:proofErr w:type="spellStart"/>
      <w:r w:rsidRPr="00751DF9">
        <w:rPr>
          <w:i/>
          <w:iCs/>
          <w:lang w:val="en-IN"/>
        </w:rPr>
        <w:t>Adhatoda</w:t>
      </w:r>
      <w:proofErr w:type="spellEnd"/>
      <w:r w:rsidRPr="00751DF9">
        <w:rPr>
          <w:i/>
          <w:iCs/>
          <w:lang w:val="en-IN"/>
        </w:rPr>
        <w:t xml:space="preserve"> </w:t>
      </w:r>
      <w:proofErr w:type="spellStart"/>
      <w:r w:rsidRPr="00751DF9">
        <w:rPr>
          <w:i/>
          <w:iCs/>
          <w:lang w:val="en-IN"/>
        </w:rPr>
        <w:t>vasica</w:t>
      </w:r>
      <w:proofErr w:type="spellEnd"/>
      <w:r w:rsidRPr="00751DF9">
        <w:rPr>
          <w:lang w:val="en-IN"/>
        </w:rPr>
        <w:t xml:space="preserve"> </w:t>
      </w:r>
      <w:proofErr w:type="spellStart"/>
      <w:r w:rsidRPr="00751DF9">
        <w:rPr>
          <w:lang w:val="en-IN"/>
        </w:rPr>
        <w:t>Nees</w:t>
      </w:r>
      <w:proofErr w:type="spellEnd"/>
      <w:r w:rsidRPr="00751DF9">
        <w:rPr>
          <w:lang w:val="en-IN"/>
        </w:rPr>
        <w:t xml:space="preserve">. </w:t>
      </w:r>
      <w:r w:rsidRPr="00751DF9">
        <w:rPr>
          <w:i/>
          <w:iCs/>
          <w:lang w:val="en-IN"/>
        </w:rPr>
        <w:t>International Journal of Botany Studies, 5</w:t>
      </w:r>
      <w:r w:rsidRPr="00751DF9">
        <w:rPr>
          <w:lang w:val="en-IN"/>
        </w:rPr>
        <w:t>(3), 50-54.</w:t>
      </w:r>
    </w:p>
    <w:p w14:paraId="5F3A5E1A" w14:textId="77777777" w:rsidR="00751DF9" w:rsidRPr="00751DF9" w:rsidRDefault="00751DF9" w:rsidP="00751DF9">
      <w:pPr>
        <w:pStyle w:val="Body"/>
        <w:rPr>
          <w:lang w:val="en-IN"/>
        </w:rPr>
      </w:pPr>
      <w:r w:rsidRPr="00751DF9">
        <w:rPr>
          <w:lang w:val="en-IN"/>
        </w:rPr>
        <w:t xml:space="preserve">Ahmad, I., Zhu, G., Zhou, G., Younas, M. U., Suliman, M. S. E., Liu, J. et al. (2023). Integrated approaches for increasing plant yield under salt stress. </w:t>
      </w:r>
      <w:r w:rsidRPr="00751DF9">
        <w:rPr>
          <w:i/>
          <w:iCs/>
          <w:lang w:val="en-IN"/>
        </w:rPr>
        <w:t>Frontiers in Plant Science, 14</w:t>
      </w:r>
      <w:r w:rsidRPr="00751DF9">
        <w:rPr>
          <w:lang w:val="en-IN"/>
        </w:rPr>
        <w:t>, 1215343.</w:t>
      </w:r>
    </w:p>
    <w:p w14:paraId="5D38F5EB" w14:textId="77777777" w:rsidR="00751DF9" w:rsidRPr="00751DF9" w:rsidRDefault="00751DF9" w:rsidP="00751DF9">
      <w:pPr>
        <w:pStyle w:val="Body"/>
        <w:rPr>
          <w:lang w:val="en-IN"/>
        </w:rPr>
      </w:pPr>
      <w:r w:rsidRPr="00751DF9">
        <w:rPr>
          <w:lang w:val="en-IN"/>
        </w:rPr>
        <w:t xml:space="preserve">Ahmed, I. M., Cao, F., Zhang, M., Chen, X., Zhang, G., &amp; Wu, F. (2013). Difference in yield and physiological features in response to drought and salinity combined stress during anthesis in Tibetan wild and cultivated barleys. </w:t>
      </w:r>
      <w:r w:rsidRPr="00751DF9">
        <w:rPr>
          <w:i/>
          <w:iCs/>
          <w:lang w:val="en-IN"/>
        </w:rPr>
        <w:t>PLOS One, 8</w:t>
      </w:r>
      <w:r w:rsidRPr="00751DF9">
        <w:rPr>
          <w:lang w:val="en-IN"/>
        </w:rPr>
        <w:t>(10), e77869.</w:t>
      </w:r>
    </w:p>
    <w:p w14:paraId="6D3F167B" w14:textId="77777777" w:rsidR="00751DF9" w:rsidRPr="00751DF9" w:rsidRDefault="00751DF9" w:rsidP="00751DF9">
      <w:pPr>
        <w:pStyle w:val="Body"/>
        <w:rPr>
          <w:lang w:val="en-IN"/>
        </w:rPr>
      </w:pPr>
      <w:proofErr w:type="spellStart"/>
      <w:r w:rsidRPr="00751DF9">
        <w:rPr>
          <w:lang w:val="en-IN"/>
        </w:rPr>
        <w:t>Alhaithloul</w:t>
      </w:r>
      <w:proofErr w:type="spellEnd"/>
      <w:r w:rsidRPr="00751DF9">
        <w:rPr>
          <w:lang w:val="en-IN"/>
        </w:rPr>
        <w:t>, H. A., Soliman, M. H., Ameta, K. L., El-</w:t>
      </w:r>
      <w:proofErr w:type="spellStart"/>
      <w:r w:rsidRPr="00751DF9">
        <w:rPr>
          <w:lang w:val="en-IN"/>
        </w:rPr>
        <w:t>Esawi</w:t>
      </w:r>
      <w:proofErr w:type="spellEnd"/>
      <w:r w:rsidRPr="00751DF9">
        <w:rPr>
          <w:lang w:val="en-IN"/>
        </w:rPr>
        <w:t xml:space="preserve">, M. A., &amp; </w:t>
      </w:r>
      <w:proofErr w:type="spellStart"/>
      <w:r w:rsidRPr="00751DF9">
        <w:rPr>
          <w:lang w:val="en-IN"/>
        </w:rPr>
        <w:t>Elkelish</w:t>
      </w:r>
      <w:proofErr w:type="spellEnd"/>
      <w:r w:rsidRPr="00751DF9">
        <w:rPr>
          <w:lang w:val="en-IN"/>
        </w:rPr>
        <w:t xml:space="preserve">, A. (2019). Changes in ecophysiology, osmolytes, and secondary metabolites of the medicinal plants </w:t>
      </w:r>
      <w:r w:rsidRPr="00751DF9">
        <w:rPr>
          <w:i/>
          <w:iCs/>
          <w:lang w:val="en-IN"/>
        </w:rPr>
        <w:t>Mentha piperita</w:t>
      </w:r>
      <w:r w:rsidRPr="00751DF9">
        <w:rPr>
          <w:lang w:val="en-IN"/>
        </w:rPr>
        <w:t xml:space="preserve"> and </w:t>
      </w:r>
      <w:r w:rsidRPr="00751DF9">
        <w:rPr>
          <w:i/>
          <w:iCs/>
          <w:lang w:val="en-IN"/>
        </w:rPr>
        <w:t>Catharanthus roseus</w:t>
      </w:r>
      <w:r w:rsidRPr="00751DF9">
        <w:rPr>
          <w:lang w:val="en-IN"/>
        </w:rPr>
        <w:t xml:space="preserve"> subjected to drought and heat stress. </w:t>
      </w:r>
      <w:r w:rsidRPr="00751DF9">
        <w:rPr>
          <w:i/>
          <w:iCs/>
          <w:lang w:val="en-IN"/>
        </w:rPr>
        <w:t>Biomolecules, 10</w:t>
      </w:r>
      <w:r w:rsidRPr="00751DF9">
        <w:rPr>
          <w:lang w:val="en-IN"/>
        </w:rPr>
        <w:t>(1), 43.</w:t>
      </w:r>
    </w:p>
    <w:p w14:paraId="284E4BEB" w14:textId="77777777" w:rsidR="00751DF9" w:rsidRPr="00751DF9" w:rsidRDefault="00751DF9" w:rsidP="00751DF9">
      <w:pPr>
        <w:pStyle w:val="Body"/>
        <w:rPr>
          <w:lang w:val="en-IN"/>
        </w:rPr>
      </w:pPr>
      <w:proofErr w:type="spellStart"/>
      <w:r w:rsidRPr="00751DF9">
        <w:rPr>
          <w:lang w:val="en-IN"/>
        </w:rPr>
        <w:t>Assaha</w:t>
      </w:r>
      <w:proofErr w:type="spellEnd"/>
      <w:r w:rsidRPr="00751DF9">
        <w:rPr>
          <w:lang w:val="en-IN"/>
        </w:rPr>
        <w:t xml:space="preserve">, D. V., Liu, L., Ueda, A., Nagaoka, T., &amp; </w:t>
      </w:r>
      <w:proofErr w:type="spellStart"/>
      <w:r w:rsidRPr="00751DF9">
        <w:rPr>
          <w:lang w:val="en-IN"/>
        </w:rPr>
        <w:t>Saneoka</w:t>
      </w:r>
      <w:proofErr w:type="spellEnd"/>
      <w:r w:rsidRPr="00751DF9">
        <w:rPr>
          <w:lang w:val="en-IN"/>
        </w:rPr>
        <w:t>, H. (2016). Effects of drought stress on growth, solute accumulation and membrane stability of leafy vegetable, huckleberry (</w:t>
      </w:r>
      <w:proofErr w:type="spellStart"/>
      <w:r w:rsidRPr="00751DF9">
        <w:rPr>
          <w:i/>
          <w:iCs/>
          <w:lang w:val="en-IN"/>
        </w:rPr>
        <w:t>Solanum</w:t>
      </w:r>
      <w:proofErr w:type="spellEnd"/>
      <w:r w:rsidRPr="00751DF9">
        <w:rPr>
          <w:i/>
          <w:iCs/>
          <w:lang w:val="en-IN"/>
        </w:rPr>
        <w:t xml:space="preserve"> </w:t>
      </w:r>
      <w:proofErr w:type="spellStart"/>
      <w:r w:rsidRPr="00751DF9">
        <w:rPr>
          <w:i/>
          <w:iCs/>
          <w:lang w:val="en-IN"/>
        </w:rPr>
        <w:t>scabrum</w:t>
      </w:r>
      <w:proofErr w:type="spellEnd"/>
      <w:r w:rsidRPr="00751DF9">
        <w:rPr>
          <w:lang w:val="en-IN"/>
        </w:rPr>
        <w:t xml:space="preserve"> Mill.). </w:t>
      </w:r>
      <w:r w:rsidRPr="00751DF9">
        <w:rPr>
          <w:i/>
          <w:iCs/>
          <w:lang w:val="en-IN"/>
        </w:rPr>
        <w:t>Journal of Environmental Biology, 37</w:t>
      </w:r>
      <w:r w:rsidRPr="00751DF9">
        <w:rPr>
          <w:lang w:val="en-IN"/>
        </w:rPr>
        <w:t>(1), 107-114.</w:t>
      </w:r>
    </w:p>
    <w:p w14:paraId="5EC34B1D" w14:textId="77777777" w:rsidR="00751DF9" w:rsidRPr="00751DF9" w:rsidRDefault="00751DF9" w:rsidP="00751DF9">
      <w:pPr>
        <w:pStyle w:val="Body"/>
        <w:rPr>
          <w:lang w:val="en-IN"/>
        </w:rPr>
      </w:pPr>
      <w:r w:rsidRPr="00751DF9">
        <w:rPr>
          <w:lang w:val="en-IN"/>
        </w:rPr>
        <w:t xml:space="preserve">Azeem, M., </w:t>
      </w:r>
      <w:proofErr w:type="spellStart"/>
      <w:r w:rsidRPr="00751DF9">
        <w:rPr>
          <w:lang w:val="en-IN"/>
        </w:rPr>
        <w:t>Pirjan</w:t>
      </w:r>
      <w:proofErr w:type="spellEnd"/>
      <w:r w:rsidRPr="00751DF9">
        <w:rPr>
          <w:lang w:val="en-IN"/>
        </w:rPr>
        <w:t xml:space="preserve">, K., Qasim, M., Mahmood, A., Javed, T., Muhammad, H. et al. (2023). Salinity stress improves antioxidant potential by modulating physio-biochemical responses in </w:t>
      </w:r>
      <w:r w:rsidRPr="00751DF9">
        <w:rPr>
          <w:i/>
          <w:iCs/>
          <w:lang w:val="en-IN"/>
        </w:rPr>
        <w:t>Moringa oleifera</w:t>
      </w:r>
      <w:r w:rsidRPr="00751DF9">
        <w:rPr>
          <w:lang w:val="en-IN"/>
        </w:rPr>
        <w:t xml:space="preserve"> Lam. </w:t>
      </w:r>
      <w:r w:rsidRPr="00751DF9">
        <w:rPr>
          <w:i/>
          <w:iCs/>
          <w:lang w:val="en-IN"/>
        </w:rPr>
        <w:t>Scientific Reports, 13</w:t>
      </w:r>
      <w:r w:rsidRPr="00751DF9">
        <w:rPr>
          <w:lang w:val="en-IN"/>
        </w:rPr>
        <w:t>(1), 2895.</w:t>
      </w:r>
    </w:p>
    <w:p w14:paraId="05258216" w14:textId="77777777" w:rsidR="00751DF9" w:rsidRPr="00751DF9" w:rsidRDefault="00751DF9" w:rsidP="00751DF9">
      <w:pPr>
        <w:pStyle w:val="Body"/>
        <w:rPr>
          <w:lang w:val="en-IN"/>
        </w:rPr>
      </w:pPr>
      <w:r w:rsidRPr="00751DF9">
        <w:rPr>
          <w:lang w:val="en-IN"/>
        </w:rPr>
        <w:t xml:space="preserve">Babaei, M., Shabani, L., &amp; </w:t>
      </w:r>
      <w:proofErr w:type="spellStart"/>
      <w:r w:rsidRPr="00751DF9">
        <w:rPr>
          <w:lang w:val="en-IN"/>
        </w:rPr>
        <w:t>Hashemi-Shahraki</w:t>
      </w:r>
      <w:proofErr w:type="spellEnd"/>
      <w:r w:rsidRPr="00751DF9">
        <w:rPr>
          <w:lang w:val="en-IN"/>
        </w:rPr>
        <w:t xml:space="preserve">, S. (2022). Improving the effects of salt stress by β-carotene and gallic acid using increasing antioxidant activity and regulating ion uptake in </w:t>
      </w:r>
      <w:r w:rsidRPr="00751DF9">
        <w:rPr>
          <w:i/>
          <w:iCs/>
          <w:lang w:val="en-IN"/>
        </w:rPr>
        <w:t>Lepidium sativum</w:t>
      </w:r>
      <w:r w:rsidRPr="00751DF9">
        <w:rPr>
          <w:lang w:val="en-IN"/>
        </w:rPr>
        <w:t xml:space="preserve"> L. </w:t>
      </w:r>
      <w:r w:rsidRPr="00751DF9">
        <w:rPr>
          <w:i/>
          <w:iCs/>
          <w:lang w:val="en-IN"/>
        </w:rPr>
        <w:t>Botanical Studies, 63</w:t>
      </w:r>
      <w:r w:rsidRPr="00751DF9">
        <w:rPr>
          <w:lang w:val="en-IN"/>
        </w:rPr>
        <w:t>(1), 22.</w:t>
      </w:r>
    </w:p>
    <w:p w14:paraId="0AFC44B6" w14:textId="77777777" w:rsidR="00751DF9" w:rsidRPr="00751DF9" w:rsidRDefault="00751DF9" w:rsidP="00751DF9">
      <w:pPr>
        <w:pStyle w:val="Body"/>
        <w:rPr>
          <w:lang w:val="en-IN"/>
        </w:rPr>
      </w:pPr>
      <w:r w:rsidRPr="00751DF9">
        <w:rPr>
          <w:lang w:val="en-IN"/>
        </w:rPr>
        <w:t xml:space="preserve">Bates, L. S., Waldran, R. P., &amp; Teare, R. D. (1973). Rapid determination of free proline for water studies. </w:t>
      </w:r>
      <w:r w:rsidRPr="00751DF9">
        <w:rPr>
          <w:i/>
          <w:iCs/>
          <w:lang w:val="en-IN"/>
        </w:rPr>
        <w:t>Plant and Soil, 39</w:t>
      </w:r>
      <w:r w:rsidRPr="00751DF9">
        <w:rPr>
          <w:lang w:val="en-IN"/>
        </w:rPr>
        <w:t>, 205-208.</w:t>
      </w:r>
    </w:p>
    <w:p w14:paraId="0AE4AEDF" w14:textId="77777777" w:rsidR="00751DF9" w:rsidRPr="00751DF9" w:rsidRDefault="00751DF9" w:rsidP="00751DF9">
      <w:pPr>
        <w:pStyle w:val="Body"/>
        <w:rPr>
          <w:lang w:val="en-IN"/>
        </w:rPr>
      </w:pPr>
      <w:proofErr w:type="spellStart"/>
      <w:r w:rsidRPr="00751DF9">
        <w:rPr>
          <w:lang w:val="en-IN"/>
        </w:rPr>
        <w:t>Boussora</w:t>
      </w:r>
      <w:proofErr w:type="spellEnd"/>
      <w:r w:rsidRPr="00751DF9">
        <w:rPr>
          <w:lang w:val="en-IN"/>
        </w:rPr>
        <w:t xml:space="preserve">, F., Triki, T., Bennani, L., </w:t>
      </w:r>
      <w:proofErr w:type="spellStart"/>
      <w:r w:rsidRPr="00751DF9">
        <w:rPr>
          <w:lang w:val="en-IN"/>
        </w:rPr>
        <w:t>Bagues</w:t>
      </w:r>
      <w:proofErr w:type="spellEnd"/>
      <w:r w:rsidRPr="00751DF9">
        <w:rPr>
          <w:lang w:val="en-IN"/>
        </w:rPr>
        <w:t xml:space="preserve">, M., Ben Ali, S., Ferchichi, A. et al. (2024). Mineral accumulation, relative water content and gas exchange are the main physiological regulating mechanisms to cope with salt stress in barley. </w:t>
      </w:r>
      <w:r w:rsidRPr="00751DF9">
        <w:rPr>
          <w:i/>
          <w:iCs/>
          <w:lang w:val="en-IN"/>
        </w:rPr>
        <w:t>Scientific Reports, 14</w:t>
      </w:r>
      <w:r w:rsidRPr="00751DF9">
        <w:rPr>
          <w:lang w:val="en-IN"/>
        </w:rPr>
        <w:t>(1), 14931.</w:t>
      </w:r>
    </w:p>
    <w:p w14:paraId="02154FB2" w14:textId="77777777" w:rsidR="00751DF9" w:rsidRPr="00751DF9" w:rsidRDefault="00751DF9" w:rsidP="00751DF9">
      <w:pPr>
        <w:pStyle w:val="Body"/>
        <w:rPr>
          <w:lang w:val="en-IN"/>
        </w:rPr>
      </w:pPr>
      <w:r w:rsidRPr="00751DF9">
        <w:rPr>
          <w:lang w:val="en-IN"/>
        </w:rPr>
        <w:t xml:space="preserve">Debnath, M. (2008). Responses of </w:t>
      </w:r>
      <w:proofErr w:type="spellStart"/>
      <w:r w:rsidRPr="00751DF9">
        <w:rPr>
          <w:i/>
          <w:iCs/>
          <w:lang w:val="en-IN"/>
        </w:rPr>
        <w:t>Bacopa</w:t>
      </w:r>
      <w:proofErr w:type="spellEnd"/>
      <w:r w:rsidRPr="00751DF9">
        <w:rPr>
          <w:i/>
          <w:iCs/>
          <w:lang w:val="en-IN"/>
        </w:rPr>
        <w:t xml:space="preserve"> </w:t>
      </w:r>
      <w:proofErr w:type="spellStart"/>
      <w:r w:rsidRPr="00751DF9">
        <w:rPr>
          <w:i/>
          <w:iCs/>
          <w:lang w:val="en-IN"/>
        </w:rPr>
        <w:t>monnieri</w:t>
      </w:r>
      <w:proofErr w:type="spellEnd"/>
      <w:r w:rsidRPr="00751DF9">
        <w:rPr>
          <w:lang w:val="en-IN"/>
        </w:rPr>
        <w:t xml:space="preserve"> to salinity and drought stress </w:t>
      </w:r>
      <w:r w:rsidRPr="00751DF9">
        <w:rPr>
          <w:i/>
          <w:iCs/>
          <w:lang w:val="en-IN"/>
        </w:rPr>
        <w:t>in vitro</w:t>
      </w:r>
      <w:r w:rsidRPr="00751DF9">
        <w:rPr>
          <w:lang w:val="en-IN"/>
        </w:rPr>
        <w:t xml:space="preserve">. </w:t>
      </w:r>
      <w:r w:rsidRPr="00751DF9">
        <w:rPr>
          <w:i/>
          <w:iCs/>
          <w:lang w:val="en-IN"/>
        </w:rPr>
        <w:t>Journal of Medicinal Plants Research, 2</w:t>
      </w:r>
      <w:r w:rsidRPr="00751DF9">
        <w:rPr>
          <w:lang w:val="en-IN"/>
        </w:rPr>
        <w:t>(11), 347-351.</w:t>
      </w:r>
    </w:p>
    <w:p w14:paraId="069F195D" w14:textId="77777777" w:rsidR="00751DF9" w:rsidRPr="00751DF9" w:rsidRDefault="00751DF9" w:rsidP="00751DF9">
      <w:pPr>
        <w:pStyle w:val="Body"/>
        <w:rPr>
          <w:lang w:val="en-IN"/>
        </w:rPr>
      </w:pPr>
      <w:r w:rsidRPr="00751DF9">
        <w:rPr>
          <w:lang w:val="en-IN"/>
        </w:rPr>
        <w:t xml:space="preserve">Farooq, M., Wahid, A., Kobayashi, N., Fujita, D., &amp; Basra, S. M. A. (2009). Plant drought stress: Effects, mechanisms and management. In </w:t>
      </w:r>
      <w:proofErr w:type="spellStart"/>
      <w:r w:rsidRPr="00751DF9">
        <w:rPr>
          <w:lang w:val="en-IN"/>
        </w:rPr>
        <w:t>Lichtfouse</w:t>
      </w:r>
      <w:proofErr w:type="spellEnd"/>
      <w:r w:rsidRPr="00751DF9">
        <w:rPr>
          <w:lang w:val="en-IN"/>
        </w:rPr>
        <w:t xml:space="preserve">, E., Navarrete, M., </w:t>
      </w:r>
      <w:proofErr w:type="spellStart"/>
      <w:r w:rsidRPr="00751DF9">
        <w:rPr>
          <w:lang w:val="en-IN"/>
        </w:rPr>
        <w:t>Debaeke</w:t>
      </w:r>
      <w:proofErr w:type="spellEnd"/>
      <w:r w:rsidRPr="00751DF9">
        <w:rPr>
          <w:lang w:val="en-IN"/>
        </w:rPr>
        <w:t xml:space="preserve">, P., Véronique, S., &amp; </w:t>
      </w:r>
      <w:proofErr w:type="spellStart"/>
      <w:r w:rsidRPr="00751DF9">
        <w:rPr>
          <w:lang w:val="en-IN"/>
        </w:rPr>
        <w:t>Alberola</w:t>
      </w:r>
      <w:proofErr w:type="spellEnd"/>
      <w:r w:rsidRPr="00751DF9">
        <w:rPr>
          <w:lang w:val="en-IN"/>
        </w:rPr>
        <w:t xml:space="preserve">, C. (Eds.), </w:t>
      </w:r>
      <w:r w:rsidRPr="00751DF9">
        <w:rPr>
          <w:i/>
          <w:iCs/>
          <w:lang w:val="en-IN"/>
        </w:rPr>
        <w:t>Sustainable Agriculture</w:t>
      </w:r>
      <w:r w:rsidRPr="00751DF9">
        <w:rPr>
          <w:lang w:val="en-IN"/>
        </w:rPr>
        <w:t xml:space="preserve"> (pp. 153-188). Springer, Dordrecht. </w:t>
      </w:r>
      <w:hyperlink r:id="rId28" w:tgtFrame="_new" w:history="1">
        <w:r w:rsidRPr="00751DF9">
          <w:rPr>
            <w:rStyle w:val="Hyperlink"/>
            <w:lang w:val="en-IN"/>
          </w:rPr>
          <w:t>https://doi.org/10.1007/978-90-481-2666-8_12</w:t>
        </w:r>
      </w:hyperlink>
    </w:p>
    <w:p w14:paraId="209CB305" w14:textId="77777777" w:rsidR="00751DF9" w:rsidRPr="00751DF9" w:rsidRDefault="00751DF9" w:rsidP="00751DF9">
      <w:pPr>
        <w:pStyle w:val="Body"/>
        <w:rPr>
          <w:lang w:val="en-IN"/>
        </w:rPr>
      </w:pPr>
      <w:proofErr w:type="spellStart"/>
      <w:r w:rsidRPr="00751DF9">
        <w:rPr>
          <w:lang w:val="en-IN"/>
        </w:rPr>
        <w:t>Galmes</w:t>
      </w:r>
      <w:proofErr w:type="spellEnd"/>
      <w:r w:rsidRPr="00751DF9">
        <w:rPr>
          <w:lang w:val="en-IN"/>
        </w:rPr>
        <w:t xml:space="preserve">, J., </w:t>
      </w:r>
      <w:proofErr w:type="spellStart"/>
      <w:r w:rsidRPr="00751DF9">
        <w:rPr>
          <w:lang w:val="en-IN"/>
        </w:rPr>
        <w:t>Flexas</w:t>
      </w:r>
      <w:proofErr w:type="spellEnd"/>
      <w:r w:rsidRPr="00751DF9">
        <w:rPr>
          <w:lang w:val="en-IN"/>
        </w:rPr>
        <w:t xml:space="preserve">, J., Save, R., &amp; Medrano, H. (2007). Water relation and stomatal characteristics of Mediterranean plants with different growth forms and leaf habits: responses to water stress and recovery. </w:t>
      </w:r>
      <w:r w:rsidRPr="00751DF9">
        <w:rPr>
          <w:i/>
          <w:iCs/>
          <w:lang w:val="en-IN"/>
        </w:rPr>
        <w:t>Plant and Soil, 290</w:t>
      </w:r>
      <w:r w:rsidRPr="00751DF9">
        <w:rPr>
          <w:lang w:val="en-IN"/>
        </w:rPr>
        <w:t>, 139-155.</w:t>
      </w:r>
    </w:p>
    <w:p w14:paraId="368C9410" w14:textId="77777777" w:rsidR="00751DF9" w:rsidRPr="00751DF9" w:rsidRDefault="00751DF9" w:rsidP="00751DF9">
      <w:pPr>
        <w:pStyle w:val="Body"/>
        <w:rPr>
          <w:lang w:val="en-IN"/>
        </w:rPr>
      </w:pPr>
      <w:r w:rsidRPr="00751DF9">
        <w:rPr>
          <w:lang w:val="en-IN"/>
        </w:rPr>
        <w:t xml:space="preserve">Gharibi, S., Tabatabaei, B. E. S., Saeidi, G., Talebi, M., &amp; Matkowski, A. (2019). The effect of drought stress on polyphenolic compounds and expression of flavonoid biosynthesis-related genes in </w:t>
      </w:r>
      <w:proofErr w:type="spellStart"/>
      <w:r w:rsidRPr="00751DF9">
        <w:rPr>
          <w:i/>
          <w:iCs/>
          <w:lang w:val="en-IN"/>
        </w:rPr>
        <w:t>Achillea</w:t>
      </w:r>
      <w:proofErr w:type="spellEnd"/>
      <w:r w:rsidRPr="00751DF9">
        <w:rPr>
          <w:i/>
          <w:iCs/>
          <w:lang w:val="en-IN"/>
        </w:rPr>
        <w:t xml:space="preserve"> </w:t>
      </w:r>
      <w:proofErr w:type="spellStart"/>
      <w:r w:rsidRPr="00751DF9">
        <w:rPr>
          <w:i/>
          <w:iCs/>
          <w:lang w:val="en-IN"/>
        </w:rPr>
        <w:t>pachycephala</w:t>
      </w:r>
      <w:proofErr w:type="spellEnd"/>
      <w:r w:rsidRPr="00751DF9">
        <w:rPr>
          <w:lang w:val="en-IN"/>
        </w:rPr>
        <w:t xml:space="preserve"> </w:t>
      </w:r>
      <w:proofErr w:type="spellStart"/>
      <w:r w:rsidRPr="00751DF9">
        <w:rPr>
          <w:lang w:val="en-IN"/>
        </w:rPr>
        <w:t>Rech.f</w:t>
      </w:r>
      <w:proofErr w:type="spellEnd"/>
      <w:r w:rsidRPr="00751DF9">
        <w:rPr>
          <w:lang w:val="en-IN"/>
        </w:rPr>
        <w:t xml:space="preserve">. </w:t>
      </w:r>
      <w:r w:rsidRPr="00751DF9">
        <w:rPr>
          <w:i/>
          <w:iCs/>
          <w:lang w:val="en-IN"/>
        </w:rPr>
        <w:t>Phytochemistry, 162</w:t>
      </w:r>
      <w:r w:rsidRPr="00751DF9">
        <w:rPr>
          <w:lang w:val="en-IN"/>
        </w:rPr>
        <w:t>, 90-98.</w:t>
      </w:r>
    </w:p>
    <w:p w14:paraId="4A19066C" w14:textId="77777777" w:rsidR="00751DF9" w:rsidRPr="00751DF9" w:rsidRDefault="00751DF9" w:rsidP="00751DF9">
      <w:pPr>
        <w:pStyle w:val="Body"/>
        <w:rPr>
          <w:lang w:val="en-IN"/>
        </w:rPr>
      </w:pPr>
      <w:r w:rsidRPr="00751DF9">
        <w:rPr>
          <w:lang w:val="en-IN"/>
        </w:rPr>
        <w:t xml:space="preserve">Gill, S. S., &amp; Tuteja, N. (2010). Reactive oxygen species and antioxidant machinery in abiotic stress tolerance in crop plants. </w:t>
      </w:r>
      <w:r w:rsidRPr="00751DF9">
        <w:rPr>
          <w:i/>
          <w:iCs/>
          <w:lang w:val="en-IN"/>
        </w:rPr>
        <w:t>Plant Physiology and Biochemistry, 48</w:t>
      </w:r>
      <w:r w:rsidRPr="00751DF9">
        <w:rPr>
          <w:lang w:val="en-IN"/>
        </w:rPr>
        <w:t>, 909–930.</w:t>
      </w:r>
    </w:p>
    <w:p w14:paraId="3D184A8E" w14:textId="77777777" w:rsidR="00751DF9" w:rsidRPr="00751DF9" w:rsidRDefault="00751DF9" w:rsidP="00751DF9">
      <w:pPr>
        <w:pStyle w:val="Body"/>
        <w:rPr>
          <w:lang w:val="en-IN"/>
        </w:rPr>
      </w:pPr>
      <w:r w:rsidRPr="00751DF9">
        <w:rPr>
          <w:lang w:val="en-IN"/>
        </w:rPr>
        <w:t xml:space="preserve">Gupta, B., &amp; Huang, B. (2014). Mechanism of salinity tolerance in plants: Physiological, biochemical, and molecular characterization. </w:t>
      </w:r>
      <w:r w:rsidRPr="00751DF9">
        <w:rPr>
          <w:i/>
          <w:iCs/>
          <w:lang w:val="en-IN"/>
        </w:rPr>
        <w:t>International Journal of Genomics, 2014</w:t>
      </w:r>
      <w:r w:rsidRPr="00751DF9">
        <w:rPr>
          <w:lang w:val="en-IN"/>
        </w:rPr>
        <w:t>, 701596.</w:t>
      </w:r>
    </w:p>
    <w:p w14:paraId="67F103F3" w14:textId="77777777" w:rsidR="00751DF9" w:rsidRPr="00751DF9" w:rsidRDefault="00751DF9" w:rsidP="00751DF9">
      <w:pPr>
        <w:pStyle w:val="Body"/>
        <w:rPr>
          <w:lang w:val="en-IN"/>
        </w:rPr>
      </w:pPr>
      <w:proofErr w:type="spellStart"/>
      <w:r w:rsidRPr="00751DF9">
        <w:rPr>
          <w:lang w:val="en-IN"/>
        </w:rPr>
        <w:t>Hasanuzzaman</w:t>
      </w:r>
      <w:proofErr w:type="spellEnd"/>
      <w:r w:rsidRPr="00751DF9">
        <w:rPr>
          <w:lang w:val="en-IN"/>
        </w:rPr>
        <w:t xml:space="preserve">, M., &amp; Fujita, M. (2022). Plant responses and tolerance to salt stress: Physiological and molecular interventions. </w:t>
      </w:r>
      <w:r w:rsidRPr="00751DF9">
        <w:rPr>
          <w:i/>
          <w:iCs/>
          <w:lang w:val="en-IN"/>
        </w:rPr>
        <w:t>International Journal of Molecular Sciences, 23</w:t>
      </w:r>
      <w:r w:rsidRPr="00751DF9">
        <w:rPr>
          <w:lang w:val="en-IN"/>
        </w:rPr>
        <w:t>(9), 4810.</w:t>
      </w:r>
    </w:p>
    <w:p w14:paraId="24315D5E" w14:textId="77777777" w:rsidR="00751DF9" w:rsidRPr="00751DF9" w:rsidRDefault="00751DF9" w:rsidP="00751DF9">
      <w:pPr>
        <w:pStyle w:val="Body"/>
        <w:rPr>
          <w:lang w:val="en-IN"/>
        </w:rPr>
      </w:pPr>
      <w:r w:rsidRPr="00751DF9">
        <w:rPr>
          <w:lang w:val="en-IN"/>
        </w:rPr>
        <w:t xml:space="preserve">Hayat, S., Hayat, Q., </w:t>
      </w:r>
      <w:proofErr w:type="spellStart"/>
      <w:r w:rsidRPr="00751DF9">
        <w:rPr>
          <w:lang w:val="en-IN"/>
        </w:rPr>
        <w:t>Alyemeni</w:t>
      </w:r>
      <w:proofErr w:type="spellEnd"/>
      <w:r w:rsidRPr="00751DF9">
        <w:rPr>
          <w:lang w:val="en-IN"/>
        </w:rPr>
        <w:t xml:space="preserve">, M. N., Wani, A. S., </w:t>
      </w:r>
      <w:proofErr w:type="spellStart"/>
      <w:r w:rsidRPr="00751DF9">
        <w:rPr>
          <w:lang w:val="en-IN"/>
        </w:rPr>
        <w:t>Pichtel</w:t>
      </w:r>
      <w:proofErr w:type="spellEnd"/>
      <w:r w:rsidRPr="00751DF9">
        <w:rPr>
          <w:lang w:val="en-IN"/>
        </w:rPr>
        <w:t xml:space="preserve">, J., &amp; Ahmad, A. (2012). Role of proline under changing environments: A review. </w:t>
      </w:r>
      <w:r w:rsidRPr="00751DF9">
        <w:rPr>
          <w:i/>
          <w:iCs/>
          <w:lang w:val="en-IN"/>
        </w:rPr>
        <w:t xml:space="preserve">Plant </w:t>
      </w:r>
      <w:proofErr w:type="spellStart"/>
      <w:r w:rsidRPr="00751DF9">
        <w:rPr>
          <w:i/>
          <w:iCs/>
          <w:lang w:val="en-IN"/>
        </w:rPr>
        <w:t>Signaling</w:t>
      </w:r>
      <w:proofErr w:type="spellEnd"/>
      <w:r w:rsidRPr="00751DF9">
        <w:rPr>
          <w:i/>
          <w:iCs/>
          <w:lang w:val="en-IN"/>
        </w:rPr>
        <w:t xml:space="preserve"> &amp; </w:t>
      </w:r>
      <w:proofErr w:type="spellStart"/>
      <w:r w:rsidRPr="00751DF9">
        <w:rPr>
          <w:i/>
          <w:iCs/>
          <w:lang w:val="en-IN"/>
        </w:rPr>
        <w:t>Behavior</w:t>
      </w:r>
      <w:proofErr w:type="spellEnd"/>
      <w:r w:rsidRPr="00751DF9">
        <w:rPr>
          <w:i/>
          <w:iCs/>
          <w:lang w:val="en-IN"/>
        </w:rPr>
        <w:t>, 7</w:t>
      </w:r>
      <w:r w:rsidRPr="00751DF9">
        <w:rPr>
          <w:lang w:val="en-IN"/>
        </w:rPr>
        <w:t>(11), 1456–1466.</w:t>
      </w:r>
    </w:p>
    <w:p w14:paraId="14D79BB2" w14:textId="77777777" w:rsidR="00751DF9" w:rsidRPr="00751DF9" w:rsidRDefault="00751DF9" w:rsidP="00751DF9">
      <w:pPr>
        <w:pStyle w:val="Body"/>
        <w:rPr>
          <w:lang w:val="en-IN"/>
        </w:rPr>
      </w:pPr>
      <w:r w:rsidRPr="00751DF9">
        <w:rPr>
          <w:lang w:val="en-IN"/>
        </w:rPr>
        <w:lastRenderedPageBreak/>
        <w:t xml:space="preserve">Hoang, H. L., &amp; Rehman, H. (2022). Unravelling the morphological, physiological, and phytochemical responses in </w:t>
      </w:r>
      <w:proofErr w:type="spellStart"/>
      <w:r w:rsidRPr="00751DF9">
        <w:rPr>
          <w:i/>
          <w:iCs/>
          <w:lang w:val="en-IN"/>
        </w:rPr>
        <w:t>Centella</w:t>
      </w:r>
      <w:proofErr w:type="spellEnd"/>
      <w:r w:rsidRPr="00751DF9">
        <w:rPr>
          <w:i/>
          <w:iCs/>
          <w:lang w:val="en-IN"/>
        </w:rPr>
        <w:t xml:space="preserve"> </w:t>
      </w:r>
      <w:proofErr w:type="spellStart"/>
      <w:r w:rsidRPr="00751DF9">
        <w:rPr>
          <w:i/>
          <w:iCs/>
          <w:lang w:val="en-IN"/>
        </w:rPr>
        <w:t>asiatica</w:t>
      </w:r>
      <w:proofErr w:type="spellEnd"/>
      <w:r w:rsidRPr="00751DF9">
        <w:rPr>
          <w:lang w:val="en-IN"/>
        </w:rPr>
        <w:t xml:space="preserve"> L. Urban to incremental salinity stress. </w:t>
      </w:r>
      <w:r w:rsidRPr="00751DF9">
        <w:rPr>
          <w:i/>
          <w:iCs/>
          <w:lang w:val="en-IN"/>
        </w:rPr>
        <w:t>Life, 13</w:t>
      </w:r>
      <w:r w:rsidRPr="00751DF9">
        <w:rPr>
          <w:lang w:val="en-IN"/>
        </w:rPr>
        <w:t>(1), 61.</w:t>
      </w:r>
    </w:p>
    <w:p w14:paraId="2E7CA626" w14:textId="77777777" w:rsidR="00751DF9" w:rsidRPr="00751DF9" w:rsidRDefault="00751DF9" w:rsidP="00751DF9">
      <w:pPr>
        <w:pStyle w:val="Body"/>
        <w:rPr>
          <w:lang w:val="en-IN"/>
        </w:rPr>
      </w:pPr>
      <w:r w:rsidRPr="00751DF9">
        <w:rPr>
          <w:lang w:val="en-IN"/>
        </w:rPr>
        <w:t xml:space="preserve">Hodges, D. M., DeLong, J. M., Forney, C. F., &amp; Prange, R. K. (1999). Improving the </w:t>
      </w:r>
      <w:proofErr w:type="spellStart"/>
      <w:r w:rsidRPr="00751DF9">
        <w:rPr>
          <w:lang w:val="en-IN"/>
        </w:rPr>
        <w:t>thiobarbituric</w:t>
      </w:r>
      <w:proofErr w:type="spellEnd"/>
      <w:r w:rsidRPr="00751DF9">
        <w:rPr>
          <w:lang w:val="en-IN"/>
        </w:rPr>
        <w:t xml:space="preserve"> acid-reactive-substances assay for estimating lipid peroxidation in plant tissues containing anthocyanin and other interfering compounds. </w:t>
      </w:r>
      <w:r w:rsidRPr="00751DF9">
        <w:rPr>
          <w:i/>
          <w:iCs/>
          <w:lang w:val="en-IN"/>
        </w:rPr>
        <w:t>Planta, 207</w:t>
      </w:r>
      <w:r w:rsidRPr="00751DF9">
        <w:rPr>
          <w:lang w:val="en-IN"/>
        </w:rPr>
        <w:t>, 604–611.</w:t>
      </w:r>
    </w:p>
    <w:p w14:paraId="7EFED944" w14:textId="77777777" w:rsidR="00751DF9" w:rsidRPr="00751DF9" w:rsidRDefault="00751DF9" w:rsidP="00751DF9">
      <w:pPr>
        <w:pStyle w:val="Body"/>
        <w:rPr>
          <w:lang w:val="en-IN"/>
        </w:rPr>
      </w:pPr>
      <w:r w:rsidRPr="00751DF9">
        <w:rPr>
          <w:lang w:val="en-IN"/>
        </w:rPr>
        <w:t>Khan, M. A. H., Baset Mia, M. A., Quddus, M. A., Sarker, K. K., Rahman, M., Skalicky, M. (2022). Salinity-induced physiological changes in pea (</w:t>
      </w:r>
      <w:r w:rsidRPr="00751DF9">
        <w:rPr>
          <w:i/>
          <w:iCs/>
          <w:lang w:val="en-IN"/>
        </w:rPr>
        <w:t>Pisum sativum</w:t>
      </w:r>
      <w:r w:rsidRPr="00751DF9">
        <w:rPr>
          <w:lang w:val="en-IN"/>
        </w:rPr>
        <w:t xml:space="preserve"> L.): Germination rate, biomass accumulation, relative water content, seedling </w:t>
      </w:r>
      <w:proofErr w:type="spellStart"/>
      <w:r w:rsidRPr="00751DF9">
        <w:rPr>
          <w:lang w:val="en-IN"/>
        </w:rPr>
        <w:t>vigor</w:t>
      </w:r>
      <w:proofErr w:type="spellEnd"/>
      <w:r w:rsidRPr="00751DF9">
        <w:rPr>
          <w:lang w:val="en-IN"/>
        </w:rPr>
        <w:t xml:space="preserve"> and salt tolerance index. </w:t>
      </w:r>
      <w:r w:rsidRPr="00751DF9">
        <w:rPr>
          <w:i/>
          <w:iCs/>
          <w:lang w:val="en-IN"/>
        </w:rPr>
        <w:t>Plants, 11</w:t>
      </w:r>
      <w:r w:rsidRPr="00751DF9">
        <w:rPr>
          <w:lang w:val="en-IN"/>
        </w:rPr>
        <w:t>(24), 3493.</w:t>
      </w:r>
    </w:p>
    <w:p w14:paraId="11E20143" w14:textId="77777777" w:rsidR="00751DF9" w:rsidRPr="00751DF9" w:rsidRDefault="00751DF9" w:rsidP="00751DF9">
      <w:pPr>
        <w:pStyle w:val="Body"/>
        <w:rPr>
          <w:lang w:val="en-IN"/>
        </w:rPr>
      </w:pPr>
      <w:r w:rsidRPr="00751DF9">
        <w:rPr>
          <w:lang w:val="en-IN"/>
        </w:rPr>
        <w:t>Kim, H. J., Fonseca, J. M., Choi, J. H., Kubota, C., &amp; Kwon, D. Y. (2008). Salt in irrigation water affects the nutritional and visual properties of romaine lettuce (</w:t>
      </w:r>
      <w:r w:rsidRPr="00751DF9">
        <w:rPr>
          <w:i/>
          <w:iCs/>
          <w:lang w:val="en-IN"/>
        </w:rPr>
        <w:t>Lactuca sativa</w:t>
      </w:r>
      <w:r w:rsidRPr="00751DF9">
        <w:rPr>
          <w:lang w:val="en-IN"/>
        </w:rPr>
        <w:t xml:space="preserve"> L.). </w:t>
      </w:r>
      <w:r w:rsidRPr="00751DF9">
        <w:rPr>
          <w:i/>
          <w:iCs/>
          <w:lang w:val="en-IN"/>
        </w:rPr>
        <w:t>Journal of Agricultural and Food Chemistry, 56</w:t>
      </w:r>
      <w:r w:rsidRPr="00751DF9">
        <w:rPr>
          <w:lang w:val="en-IN"/>
        </w:rPr>
        <w:t>(10), 3772–3776.</w:t>
      </w:r>
    </w:p>
    <w:p w14:paraId="26572F0C" w14:textId="77777777" w:rsidR="00751DF9" w:rsidRPr="00751DF9" w:rsidRDefault="00751DF9" w:rsidP="00751DF9">
      <w:pPr>
        <w:pStyle w:val="Body"/>
        <w:rPr>
          <w:lang w:val="en-IN"/>
        </w:rPr>
      </w:pPr>
      <w:r w:rsidRPr="00751DF9">
        <w:rPr>
          <w:lang w:val="en-IN"/>
        </w:rPr>
        <w:t xml:space="preserve">Kim, S. H., Ahn, Y. O., Ahn, M. J., Lee, H. S., &amp; Kwak, S. S. (2012). Down-regulation of β-carotene hydroxylase increases β-carotene and total carotenoids enhancing salt stress tolerance in transgenic cultured cells of sweet potato. </w:t>
      </w:r>
      <w:r w:rsidRPr="00751DF9">
        <w:rPr>
          <w:i/>
          <w:iCs/>
          <w:lang w:val="en-IN"/>
        </w:rPr>
        <w:t>Phytochemistry, 74</w:t>
      </w:r>
      <w:r w:rsidRPr="00751DF9">
        <w:rPr>
          <w:lang w:val="en-IN"/>
        </w:rPr>
        <w:t>, 69–78.</w:t>
      </w:r>
    </w:p>
    <w:p w14:paraId="79B4B2AD" w14:textId="77777777" w:rsidR="00751DF9" w:rsidRPr="00751DF9" w:rsidRDefault="00751DF9" w:rsidP="00751DF9">
      <w:pPr>
        <w:pStyle w:val="Body"/>
        <w:rPr>
          <w:lang w:val="en-IN"/>
        </w:rPr>
      </w:pPr>
      <w:r w:rsidRPr="00751DF9">
        <w:rPr>
          <w:lang w:val="en-IN"/>
        </w:rPr>
        <w:t xml:space="preserve">Kishor, P. B. K., </w:t>
      </w:r>
      <w:proofErr w:type="spellStart"/>
      <w:r w:rsidRPr="00751DF9">
        <w:rPr>
          <w:lang w:val="en-IN"/>
        </w:rPr>
        <w:t>Suravajhala</w:t>
      </w:r>
      <w:proofErr w:type="spellEnd"/>
      <w:r w:rsidRPr="00751DF9">
        <w:rPr>
          <w:lang w:val="en-IN"/>
        </w:rPr>
        <w:t xml:space="preserve">, P., </w:t>
      </w:r>
      <w:proofErr w:type="spellStart"/>
      <w:r w:rsidRPr="00751DF9">
        <w:rPr>
          <w:lang w:val="en-IN"/>
        </w:rPr>
        <w:t>Rathnagiri</w:t>
      </w:r>
      <w:proofErr w:type="spellEnd"/>
      <w:r w:rsidRPr="00751DF9">
        <w:rPr>
          <w:lang w:val="en-IN"/>
        </w:rPr>
        <w:t xml:space="preserve">, P., &amp; Sreenivasulu, N. (2022). Intriguing role of proline in redox potential conferring high temperature stress tolerance. </w:t>
      </w:r>
      <w:r w:rsidRPr="00751DF9">
        <w:rPr>
          <w:i/>
          <w:iCs/>
          <w:lang w:val="en-IN"/>
        </w:rPr>
        <w:t>Frontiers in Plant Science, 13</w:t>
      </w:r>
      <w:r w:rsidRPr="00751DF9">
        <w:rPr>
          <w:lang w:val="en-IN"/>
        </w:rPr>
        <w:t>, 867531.</w:t>
      </w:r>
    </w:p>
    <w:p w14:paraId="24379674" w14:textId="77777777" w:rsidR="00751DF9" w:rsidRPr="00751DF9" w:rsidRDefault="00751DF9" w:rsidP="00751DF9">
      <w:pPr>
        <w:pStyle w:val="Body"/>
        <w:rPr>
          <w:lang w:val="en-IN"/>
        </w:rPr>
      </w:pPr>
      <w:r w:rsidRPr="00751DF9">
        <w:rPr>
          <w:lang w:val="en-IN"/>
        </w:rPr>
        <w:t>Kumar, S., Li, G., Yang, J., Huang, X., Ji, Q., Liu, Z., Ke, W., &amp; Hou, H. (2021). Effect of salt stress on growth, physiological parameters, and ionic concentration of water dropwort (</w:t>
      </w:r>
      <w:r w:rsidRPr="00751DF9">
        <w:rPr>
          <w:i/>
          <w:iCs/>
          <w:lang w:val="en-IN"/>
        </w:rPr>
        <w:t>Oenanthe javanica</w:t>
      </w:r>
      <w:r w:rsidRPr="00751DF9">
        <w:rPr>
          <w:lang w:val="en-IN"/>
        </w:rPr>
        <w:t xml:space="preserve">) cultivars. </w:t>
      </w:r>
      <w:r w:rsidRPr="00751DF9">
        <w:rPr>
          <w:i/>
          <w:iCs/>
          <w:lang w:val="en-IN"/>
        </w:rPr>
        <w:t>Frontiers in Plant Science, 12</w:t>
      </w:r>
      <w:r w:rsidRPr="00751DF9">
        <w:rPr>
          <w:lang w:val="en-IN"/>
        </w:rPr>
        <w:t>, 660409.</w:t>
      </w:r>
    </w:p>
    <w:p w14:paraId="0393A082" w14:textId="77777777" w:rsidR="00751DF9" w:rsidRPr="00751DF9" w:rsidRDefault="00751DF9" w:rsidP="00751DF9">
      <w:pPr>
        <w:pStyle w:val="Body"/>
        <w:rPr>
          <w:lang w:val="en-IN"/>
        </w:rPr>
      </w:pPr>
      <w:r w:rsidRPr="00751DF9">
        <w:rPr>
          <w:lang w:val="en-IN"/>
        </w:rPr>
        <w:t xml:space="preserve">Lal, S., &amp; </w:t>
      </w:r>
      <w:proofErr w:type="spellStart"/>
      <w:r w:rsidRPr="00751DF9">
        <w:rPr>
          <w:lang w:val="en-IN"/>
        </w:rPr>
        <w:t>Baraik</w:t>
      </w:r>
      <w:proofErr w:type="spellEnd"/>
      <w:r w:rsidRPr="00751DF9">
        <w:rPr>
          <w:lang w:val="en-IN"/>
        </w:rPr>
        <w:t xml:space="preserve">, B. (2019). Phytochemical and pharmacological profile of </w:t>
      </w:r>
      <w:proofErr w:type="spellStart"/>
      <w:r w:rsidRPr="00751DF9">
        <w:rPr>
          <w:i/>
          <w:iCs/>
          <w:lang w:val="en-IN"/>
        </w:rPr>
        <w:t>Bacopa</w:t>
      </w:r>
      <w:proofErr w:type="spellEnd"/>
      <w:r w:rsidRPr="00751DF9">
        <w:rPr>
          <w:i/>
          <w:iCs/>
          <w:lang w:val="en-IN"/>
        </w:rPr>
        <w:t xml:space="preserve"> </w:t>
      </w:r>
      <w:proofErr w:type="spellStart"/>
      <w:r w:rsidRPr="00751DF9">
        <w:rPr>
          <w:i/>
          <w:iCs/>
          <w:lang w:val="en-IN"/>
        </w:rPr>
        <w:t>monnieri</w:t>
      </w:r>
      <w:proofErr w:type="spellEnd"/>
      <w:r w:rsidRPr="00751DF9">
        <w:rPr>
          <w:lang w:val="en-IN"/>
        </w:rPr>
        <w:t xml:space="preserve"> - an </w:t>
      </w:r>
      <w:proofErr w:type="spellStart"/>
      <w:r w:rsidRPr="00751DF9">
        <w:rPr>
          <w:lang w:val="en-IN"/>
        </w:rPr>
        <w:t>ethnomedicinal</w:t>
      </w:r>
      <w:proofErr w:type="spellEnd"/>
      <w:r w:rsidRPr="00751DF9">
        <w:rPr>
          <w:lang w:val="en-IN"/>
        </w:rPr>
        <w:t xml:space="preserve"> plant. </w:t>
      </w:r>
      <w:r w:rsidRPr="00751DF9">
        <w:rPr>
          <w:i/>
          <w:iCs/>
          <w:lang w:val="en-IN"/>
        </w:rPr>
        <w:t>International Journal of Pharmaceutical Sciences &amp; Research, 10</w:t>
      </w:r>
      <w:r w:rsidRPr="00751DF9">
        <w:rPr>
          <w:lang w:val="en-IN"/>
        </w:rPr>
        <w:t>(3), 1001-1013.</w:t>
      </w:r>
    </w:p>
    <w:p w14:paraId="51814FD3" w14:textId="77777777" w:rsidR="00751DF9" w:rsidRPr="00751DF9" w:rsidRDefault="00751DF9" w:rsidP="00751DF9">
      <w:pPr>
        <w:pStyle w:val="Body"/>
        <w:rPr>
          <w:lang w:val="en-IN"/>
        </w:rPr>
      </w:pPr>
      <w:r w:rsidRPr="00751DF9">
        <w:rPr>
          <w:lang w:val="en-IN"/>
        </w:rPr>
        <w:t xml:space="preserve">Lal, S., Bhatnagar, S., &amp; Khurana, P. (2006). Screening of Indian mulberry for abiotic stress tolerance and ameliorative effect of calcium on salinity stress. </w:t>
      </w:r>
      <w:r w:rsidRPr="00751DF9">
        <w:rPr>
          <w:i/>
          <w:iCs/>
          <w:lang w:val="en-IN"/>
        </w:rPr>
        <w:t>Physiology and Molecular Biology of Plants, 12</w:t>
      </w:r>
      <w:r w:rsidRPr="00751DF9">
        <w:rPr>
          <w:lang w:val="en-IN"/>
        </w:rPr>
        <w:t>(3), 193-199.</w:t>
      </w:r>
    </w:p>
    <w:p w14:paraId="68E03F1F" w14:textId="77777777" w:rsidR="00751DF9" w:rsidRPr="00751DF9" w:rsidRDefault="00751DF9" w:rsidP="00751DF9">
      <w:pPr>
        <w:pStyle w:val="Body"/>
        <w:rPr>
          <w:lang w:val="en-IN"/>
        </w:rPr>
      </w:pPr>
      <w:r w:rsidRPr="00751DF9">
        <w:rPr>
          <w:lang w:val="en-IN"/>
        </w:rPr>
        <w:t xml:space="preserve">Liu, Y., Meng, Q., Duan, X., Zhang, Z., &amp; Li, D. (2017). Effects of PEG-induced drought stress on regulation of indole alkaloid biosynthesis in </w:t>
      </w:r>
      <w:r w:rsidRPr="00751DF9">
        <w:rPr>
          <w:i/>
          <w:iCs/>
          <w:lang w:val="en-IN"/>
        </w:rPr>
        <w:t>Catharanthus roseus</w:t>
      </w:r>
      <w:r w:rsidRPr="00751DF9">
        <w:rPr>
          <w:lang w:val="en-IN"/>
        </w:rPr>
        <w:t xml:space="preserve">. </w:t>
      </w:r>
      <w:r w:rsidRPr="00751DF9">
        <w:rPr>
          <w:i/>
          <w:iCs/>
          <w:lang w:val="en-IN"/>
        </w:rPr>
        <w:t>Journal of Plant Interactions, 12</w:t>
      </w:r>
      <w:r w:rsidRPr="00751DF9">
        <w:rPr>
          <w:lang w:val="en-IN"/>
        </w:rPr>
        <w:t>(1), 87-91.</w:t>
      </w:r>
    </w:p>
    <w:p w14:paraId="7DE2708F" w14:textId="77777777" w:rsidR="00751DF9" w:rsidRPr="00751DF9" w:rsidRDefault="00751DF9" w:rsidP="00751DF9">
      <w:pPr>
        <w:pStyle w:val="Body"/>
        <w:rPr>
          <w:lang w:val="en-IN"/>
        </w:rPr>
      </w:pPr>
      <w:r w:rsidRPr="00751DF9">
        <w:rPr>
          <w:lang w:val="en-IN"/>
        </w:rPr>
        <w:t xml:space="preserve">Meher, P., </w:t>
      </w:r>
      <w:proofErr w:type="spellStart"/>
      <w:r w:rsidRPr="00751DF9">
        <w:rPr>
          <w:lang w:val="en-IN"/>
        </w:rPr>
        <w:t>Shivakrishna</w:t>
      </w:r>
      <w:proofErr w:type="spellEnd"/>
      <w:r w:rsidRPr="00751DF9">
        <w:rPr>
          <w:lang w:val="en-IN"/>
        </w:rPr>
        <w:t xml:space="preserve">, Reddy, K. A., &amp; Rao, D. M. (2018). Effect of PEG-6000 imposed drought stress on RNA content, relative water content (RWC), and chlorophyll content in peanut leaves and roots. </w:t>
      </w:r>
      <w:r w:rsidRPr="00751DF9">
        <w:rPr>
          <w:i/>
          <w:iCs/>
          <w:lang w:val="en-IN"/>
        </w:rPr>
        <w:t>Saudi Journal of Biological Sciences, 25</w:t>
      </w:r>
      <w:r w:rsidRPr="00751DF9">
        <w:rPr>
          <w:lang w:val="en-IN"/>
        </w:rPr>
        <w:t>(2), 285-289.</w:t>
      </w:r>
    </w:p>
    <w:p w14:paraId="73051828" w14:textId="77777777" w:rsidR="00751DF9" w:rsidRPr="00751DF9" w:rsidRDefault="00751DF9" w:rsidP="00751DF9">
      <w:pPr>
        <w:pStyle w:val="Body"/>
        <w:rPr>
          <w:lang w:val="en-IN"/>
        </w:rPr>
      </w:pPr>
      <w:proofErr w:type="spellStart"/>
      <w:r w:rsidRPr="00751DF9">
        <w:rPr>
          <w:lang w:val="en-IN"/>
        </w:rPr>
        <w:t>Miransari</w:t>
      </w:r>
      <w:proofErr w:type="spellEnd"/>
      <w:r w:rsidRPr="00751DF9">
        <w:rPr>
          <w:lang w:val="en-IN"/>
        </w:rPr>
        <w:t xml:space="preserve">, M., Mahdavi, S., &amp; Smith, D. (2021). The biological approaches of altering the growth and biochemical properties of medicinal plants under salinity stress. </w:t>
      </w:r>
      <w:r w:rsidRPr="00751DF9">
        <w:rPr>
          <w:i/>
          <w:iCs/>
          <w:lang w:val="en-IN"/>
        </w:rPr>
        <w:t>Applied Microbiology and Biotechnology, 105</w:t>
      </w:r>
      <w:r w:rsidRPr="00751DF9">
        <w:rPr>
          <w:lang w:val="en-IN"/>
        </w:rPr>
        <w:t>(19), 7201-7213.</w:t>
      </w:r>
    </w:p>
    <w:p w14:paraId="257C9A43" w14:textId="77777777" w:rsidR="00194FF3" w:rsidRPr="00751DF9" w:rsidRDefault="00945554" w:rsidP="00751DF9">
      <w:pPr>
        <w:pStyle w:val="Body"/>
        <w:rPr>
          <w:lang w:val="en-IN"/>
        </w:rPr>
      </w:pPr>
      <w:r w:rsidRPr="00751DF9">
        <w:rPr>
          <w:lang w:val="en-IN"/>
        </w:rPr>
        <w:t xml:space="preserve">Morales, M., &amp; </w:t>
      </w:r>
      <w:proofErr w:type="spellStart"/>
      <w:r w:rsidRPr="00751DF9">
        <w:rPr>
          <w:lang w:val="en-IN"/>
        </w:rPr>
        <w:t>Munné</w:t>
      </w:r>
      <w:proofErr w:type="spellEnd"/>
      <w:r w:rsidRPr="00751DF9">
        <w:rPr>
          <w:lang w:val="en-IN"/>
        </w:rPr>
        <w:t xml:space="preserve">-Bosch, S. (2019). Malondialdehyde: Facts and artifacts. </w:t>
      </w:r>
      <w:r w:rsidRPr="00751DF9">
        <w:rPr>
          <w:i/>
          <w:iCs/>
          <w:lang w:val="en-IN"/>
        </w:rPr>
        <w:t>Plant Physiology, 180</w:t>
      </w:r>
      <w:r w:rsidRPr="00751DF9">
        <w:rPr>
          <w:lang w:val="en-IN"/>
        </w:rPr>
        <w:t>(3), 1246-1250.</w:t>
      </w:r>
    </w:p>
    <w:p w14:paraId="3836CD30" w14:textId="77777777" w:rsidR="00194FF3" w:rsidRPr="00751DF9" w:rsidRDefault="00945554" w:rsidP="00751DF9">
      <w:pPr>
        <w:pStyle w:val="Body"/>
        <w:rPr>
          <w:lang w:val="en-IN"/>
        </w:rPr>
      </w:pPr>
      <w:proofErr w:type="spellStart"/>
      <w:r w:rsidRPr="00751DF9">
        <w:rPr>
          <w:lang w:val="en-IN"/>
        </w:rPr>
        <w:t>Premchandra</w:t>
      </w:r>
      <w:proofErr w:type="spellEnd"/>
      <w:r w:rsidRPr="00751DF9">
        <w:rPr>
          <w:lang w:val="en-IN"/>
        </w:rPr>
        <w:t xml:space="preserve">, G. S., </w:t>
      </w:r>
      <w:proofErr w:type="spellStart"/>
      <w:r w:rsidRPr="00751DF9">
        <w:rPr>
          <w:lang w:val="en-IN"/>
        </w:rPr>
        <w:t>Saneoka</w:t>
      </w:r>
      <w:proofErr w:type="spellEnd"/>
      <w:r w:rsidRPr="00751DF9">
        <w:rPr>
          <w:lang w:val="en-IN"/>
        </w:rPr>
        <w:t xml:space="preserve">, H., Fujita, K., &amp; Ogata, S. (1990). Cell membrane stability and leaf water relations as affected by phosphorus nutrition under water stress in maize. </w:t>
      </w:r>
      <w:r w:rsidRPr="00751DF9">
        <w:rPr>
          <w:i/>
          <w:iCs/>
          <w:lang w:val="en-IN"/>
        </w:rPr>
        <w:t>Soil Science and Plant Nutrition, 36</w:t>
      </w:r>
      <w:r w:rsidRPr="00751DF9">
        <w:rPr>
          <w:lang w:val="en-IN"/>
        </w:rPr>
        <w:t>(4), 661-666.</w:t>
      </w:r>
    </w:p>
    <w:p w14:paraId="296A83E7" w14:textId="77777777" w:rsidR="00194FF3" w:rsidRPr="00751DF9" w:rsidRDefault="00945554" w:rsidP="00751DF9">
      <w:pPr>
        <w:pStyle w:val="Body"/>
        <w:rPr>
          <w:lang w:val="en-IN"/>
        </w:rPr>
      </w:pPr>
      <w:proofErr w:type="spellStart"/>
      <w:r w:rsidRPr="00751DF9">
        <w:rPr>
          <w:lang w:val="en-IN"/>
        </w:rPr>
        <w:t>Rahneshan</w:t>
      </w:r>
      <w:proofErr w:type="spellEnd"/>
      <w:r w:rsidRPr="00751DF9">
        <w:rPr>
          <w:lang w:val="en-IN"/>
        </w:rPr>
        <w:t>, Z., Nasibi, F., &amp; Moghadam, A. A. (2018). Effects of salinity stress on some growth, physiological, biochemical parameters and nutrients in two pistachio (</w:t>
      </w:r>
      <w:r w:rsidRPr="00751DF9">
        <w:rPr>
          <w:i/>
          <w:iCs/>
          <w:lang w:val="en-IN"/>
        </w:rPr>
        <w:t>Pistacia vera</w:t>
      </w:r>
      <w:r w:rsidRPr="00751DF9">
        <w:rPr>
          <w:lang w:val="en-IN"/>
        </w:rPr>
        <w:t xml:space="preserve"> L.) rootstocks. </w:t>
      </w:r>
      <w:r w:rsidRPr="00751DF9">
        <w:rPr>
          <w:i/>
          <w:iCs/>
          <w:lang w:val="en-IN"/>
        </w:rPr>
        <w:t>Journal of Plant Interactions, 13</w:t>
      </w:r>
      <w:r w:rsidRPr="00751DF9">
        <w:rPr>
          <w:lang w:val="en-IN"/>
        </w:rPr>
        <w:t>, 73–82.</w:t>
      </w:r>
    </w:p>
    <w:p w14:paraId="76530A1C" w14:textId="77777777" w:rsidR="00194FF3" w:rsidRPr="00751DF9" w:rsidRDefault="00945554" w:rsidP="00751DF9">
      <w:pPr>
        <w:pStyle w:val="Body"/>
        <w:rPr>
          <w:lang w:val="en-IN"/>
        </w:rPr>
      </w:pPr>
      <w:r w:rsidRPr="00751DF9">
        <w:rPr>
          <w:lang w:val="en-IN"/>
        </w:rPr>
        <w:t xml:space="preserve">Ramakrishna, A., &amp; Ravishankar, G. A. (2011). Influence of abiotic stress signals on secondary metabolites in plants. </w:t>
      </w:r>
      <w:r w:rsidRPr="00751DF9">
        <w:rPr>
          <w:i/>
          <w:iCs/>
          <w:lang w:val="en-IN"/>
        </w:rPr>
        <w:t xml:space="preserve">Plant </w:t>
      </w:r>
      <w:proofErr w:type="spellStart"/>
      <w:r w:rsidRPr="00751DF9">
        <w:rPr>
          <w:i/>
          <w:iCs/>
          <w:lang w:val="en-IN"/>
        </w:rPr>
        <w:t>Signaling</w:t>
      </w:r>
      <w:proofErr w:type="spellEnd"/>
      <w:r w:rsidRPr="00751DF9">
        <w:rPr>
          <w:i/>
          <w:iCs/>
          <w:lang w:val="en-IN"/>
        </w:rPr>
        <w:t xml:space="preserve"> &amp; </w:t>
      </w:r>
      <w:proofErr w:type="spellStart"/>
      <w:r w:rsidRPr="00751DF9">
        <w:rPr>
          <w:i/>
          <w:iCs/>
          <w:lang w:val="en-IN"/>
        </w:rPr>
        <w:t>Behavior</w:t>
      </w:r>
      <w:proofErr w:type="spellEnd"/>
      <w:r w:rsidRPr="00751DF9">
        <w:rPr>
          <w:i/>
          <w:iCs/>
          <w:lang w:val="en-IN"/>
        </w:rPr>
        <w:t>, 6</w:t>
      </w:r>
      <w:r w:rsidRPr="00751DF9">
        <w:rPr>
          <w:lang w:val="en-IN"/>
        </w:rPr>
        <w:t>(11), 1720-1731.</w:t>
      </w:r>
    </w:p>
    <w:p w14:paraId="6AB7C22A" w14:textId="77777777" w:rsidR="00194FF3" w:rsidRPr="00751DF9" w:rsidRDefault="00945554" w:rsidP="00751DF9">
      <w:pPr>
        <w:pStyle w:val="Body"/>
        <w:rPr>
          <w:lang w:val="en-IN"/>
        </w:rPr>
      </w:pPr>
      <w:r w:rsidRPr="00751DF9">
        <w:rPr>
          <w:lang w:val="en-IN"/>
        </w:rPr>
        <w:t xml:space="preserve">Sairam, R. K. (1994). Effect of moisture stress on physiological activities of two contrasting wheat genotypes. </w:t>
      </w:r>
      <w:r w:rsidRPr="00751DF9">
        <w:rPr>
          <w:i/>
          <w:iCs/>
          <w:lang w:val="en-IN"/>
        </w:rPr>
        <w:t>Indian Journal of Experimental Biology, 32</w:t>
      </w:r>
      <w:r w:rsidRPr="00751DF9">
        <w:rPr>
          <w:lang w:val="en-IN"/>
        </w:rPr>
        <w:t>, 594-597.</w:t>
      </w:r>
    </w:p>
    <w:p w14:paraId="26A0B7FA" w14:textId="77777777" w:rsidR="00194FF3" w:rsidRPr="00751DF9" w:rsidRDefault="00945554" w:rsidP="00751DF9">
      <w:pPr>
        <w:pStyle w:val="Body"/>
        <w:rPr>
          <w:lang w:val="en-IN"/>
        </w:rPr>
      </w:pPr>
      <w:r w:rsidRPr="00751DF9">
        <w:rPr>
          <w:lang w:val="en-IN"/>
        </w:rPr>
        <w:t xml:space="preserve">Sarker, U., &amp; Oba, S. (2018a). Catalase, superoxide dismutase and ascorbate-glutathione cycle enzymes confer drought tolerance of </w:t>
      </w:r>
      <w:proofErr w:type="spellStart"/>
      <w:r w:rsidRPr="00751DF9">
        <w:rPr>
          <w:i/>
          <w:iCs/>
          <w:lang w:val="en-IN"/>
        </w:rPr>
        <w:t>Amaranthus</w:t>
      </w:r>
      <w:proofErr w:type="spellEnd"/>
      <w:r w:rsidRPr="00751DF9">
        <w:rPr>
          <w:i/>
          <w:iCs/>
          <w:lang w:val="en-IN"/>
        </w:rPr>
        <w:t xml:space="preserve"> </w:t>
      </w:r>
      <w:proofErr w:type="spellStart"/>
      <w:r w:rsidRPr="00751DF9">
        <w:rPr>
          <w:i/>
          <w:iCs/>
          <w:lang w:val="en-IN"/>
        </w:rPr>
        <w:t>tricolor</w:t>
      </w:r>
      <w:proofErr w:type="spellEnd"/>
      <w:r w:rsidRPr="00751DF9">
        <w:rPr>
          <w:lang w:val="en-IN"/>
        </w:rPr>
        <w:t xml:space="preserve">. </w:t>
      </w:r>
      <w:r w:rsidRPr="00751DF9">
        <w:rPr>
          <w:i/>
          <w:iCs/>
          <w:lang w:val="en-IN"/>
        </w:rPr>
        <w:t>Scientific Reports, 8</w:t>
      </w:r>
      <w:r w:rsidRPr="00751DF9">
        <w:rPr>
          <w:lang w:val="en-IN"/>
        </w:rPr>
        <w:t>, 16496.</w:t>
      </w:r>
    </w:p>
    <w:p w14:paraId="7EBEA8D0" w14:textId="77777777" w:rsidR="00194FF3" w:rsidRPr="00751DF9" w:rsidRDefault="00945554" w:rsidP="00751DF9">
      <w:pPr>
        <w:pStyle w:val="Body"/>
        <w:rPr>
          <w:lang w:val="en-IN"/>
        </w:rPr>
      </w:pPr>
      <w:r w:rsidRPr="00751DF9">
        <w:rPr>
          <w:lang w:val="en-IN"/>
        </w:rPr>
        <w:t xml:space="preserve">Sarker, U., &amp; Oba, S. (2018b). Response of nutrients, minerals, antioxidant leaf pigments, vitamins, polyphenol, flavonoid and antioxidant activity in selected vegetable amaranth under four soil water content. </w:t>
      </w:r>
      <w:r w:rsidRPr="00751DF9">
        <w:rPr>
          <w:i/>
          <w:iCs/>
          <w:lang w:val="en-IN"/>
        </w:rPr>
        <w:t>Food Chemistry, 252</w:t>
      </w:r>
      <w:r w:rsidRPr="00751DF9">
        <w:rPr>
          <w:lang w:val="en-IN"/>
        </w:rPr>
        <w:t>, 72–83.</w:t>
      </w:r>
    </w:p>
    <w:p w14:paraId="735F4033" w14:textId="77777777" w:rsidR="00194FF3" w:rsidRPr="00751DF9" w:rsidRDefault="00945554" w:rsidP="00751DF9">
      <w:pPr>
        <w:pStyle w:val="Body"/>
        <w:rPr>
          <w:lang w:val="en-IN"/>
        </w:rPr>
      </w:pPr>
      <w:r w:rsidRPr="00751DF9">
        <w:rPr>
          <w:lang w:val="en-IN"/>
        </w:rPr>
        <w:lastRenderedPageBreak/>
        <w:t xml:space="preserve">Sarker, U., &amp; Oba, S. (2019a). Protein, dietary </w:t>
      </w:r>
      <w:proofErr w:type="spellStart"/>
      <w:r w:rsidRPr="00751DF9">
        <w:rPr>
          <w:lang w:val="en-IN"/>
        </w:rPr>
        <w:t>fiber</w:t>
      </w:r>
      <w:proofErr w:type="spellEnd"/>
      <w:r w:rsidRPr="00751DF9">
        <w:rPr>
          <w:lang w:val="en-IN"/>
        </w:rPr>
        <w:t xml:space="preserve">, minerals, antioxidant pigments and phytochemicals, and antioxidant activity in selected red morph </w:t>
      </w:r>
      <w:r w:rsidRPr="00751DF9">
        <w:rPr>
          <w:i/>
          <w:iCs/>
          <w:lang w:val="en-IN"/>
        </w:rPr>
        <w:t>Amaranthus</w:t>
      </w:r>
      <w:r w:rsidRPr="00751DF9">
        <w:rPr>
          <w:lang w:val="en-IN"/>
        </w:rPr>
        <w:t xml:space="preserve"> leafy vegetable. </w:t>
      </w:r>
      <w:r w:rsidRPr="00751DF9">
        <w:rPr>
          <w:i/>
          <w:iCs/>
          <w:lang w:val="en-IN"/>
        </w:rPr>
        <w:t>PLOS ONE, 14</w:t>
      </w:r>
      <w:r w:rsidRPr="00751DF9">
        <w:rPr>
          <w:lang w:val="en-IN"/>
        </w:rPr>
        <w:t>(12), e0222517.</w:t>
      </w:r>
    </w:p>
    <w:p w14:paraId="282EE27C" w14:textId="77777777" w:rsidR="00194FF3" w:rsidRPr="00751DF9" w:rsidRDefault="00945554" w:rsidP="00751DF9">
      <w:pPr>
        <w:pStyle w:val="Body"/>
        <w:rPr>
          <w:lang w:val="en-IN"/>
        </w:rPr>
      </w:pPr>
      <w:r w:rsidRPr="00751DF9">
        <w:rPr>
          <w:lang w:val="en-IN"/>
        </w:rPr>
        <w:t xml:space="preserve">Sarker, U., &amp; Oba, S. (2019b). Nutraceuticals, antioxidant pigments, and phytochemicals in the leaves of </w:t>
      </w:r>
      <w:proofErr w:type="spellStart"/>
      <w:r w:rsidRPr="00751DF9">
        <w:rPr>
          <w:i/>
          <w:iCs/>
          <w:lang w:val="en-IN"/>
        </w:rPr>
        <w:t>Amaranthus</w:t>
      </w:r>
      <w:proofErr w:type="spellEnd"/>
      <w:r w:rsidRPr="00751DF9">
        <w:rPr>
          <w:i/>
          <w:iCs/>
          <w:lang w:val="en-IN"/>
        </w:rPr>
        <w:t xml:space="preserve"> </w:t>
      </w:r>
      <w:proofErr w:type="spellStart"/>
      <w:r w:rsidRPr="00751DF9">
        <w:rPr>
          <w:i/>
          <w:iCs/>
          <w:lang w:val="en-IN"/>
        </w:rPr>
        <w:t>spinosus</w:t>
      </w:r>
      <w:proofErr w:type="spellEnd"/>
      <w:r w:rsidRPr="00751DF9">
        <w:rPr>
          <w:lang w:val="en-IN"/>
        </w:rPr>
        <w:t xml:space="preserve"> and </w:t>
      </w:r>
      <w:proofErr w:type="spellStart"/>
      <w:r w:rsidRPr="00751DF9">
        <w:rPr>
          <w:i/>
          <w:iCs/>
          <w:lang w:val="en-IN"/>
        </w:rPr>
        <w:t>Amaranthus</w:t>
      </w:r>
      <w:proofErr w:type="spellEnd"/>
      <w:r w:rsidRPr="00751DF9">
        <w:rPr>
          <w:i/>
          <w:iCs/>
          <w:lang w:val="en-IN"/>
        </w:rPr>
        <w:t xml:space="preserve"> </w:t>
      </w:r>
      <w:proofErr w:type="spellStart"/>
      <w:r w:rsidRPr="00751DF9">
        <w:rPr>
          <w:i/>
          <w:iCs/>
          <w:lang w:val="en-IN"/>
        </w:rPr>
        <w:t>viridis</w:t>
      </w:r>
      <w:proofErr w:type="spellEnd"/>
      <w:r w:rsidRPr="00751DF9">
        <w:rPr>
          <w:lang w:val="en-IN"/>
        </w:rPr>
        <w:t xml:space="preserve"> weedy species. </w:t>
      </w:r>
      <w:r w:rsidRPr="00751DF9">
        <w:rPr>
          <w:i/>
          <w:iCs/>
          <w:lang w:val="en-IN"/>
        </w:rPr>
        <w:t>Scientific Reports, 9</w:t>
      </w:r>
      <w:r w:rsidRPr="00751DF9">
        <w:rPr>
          <w:lang w:val="en-IN"/>
        </w:rPr>
        <w:t>, 20413.</w:t>
      </w:r>
    </w:p>
    <w:p w14:paraId="29B36F90" w14:textId="77777777" w:rsidR="00194FF3" w:rsidRPr="00751DF9" w:rsidRDefault="00945554" w:rsidP="00751DF9">
      <w:pPr>
        <w:pStyle w:val="Body"/>
        <w:rPr>
          <w:lang w:val="en-IN"/>
        </w:rPr>
      </w:pPr>
      <w:r w:rsidRPr="00751DF9">
        <w:rPr>
          <w:lang w:val="en-IN"/>
        </w:rPr>
        <w:t xml:space="preserve">Sarker, U., &amp; Oba, S. (2020a). Nutritional and antioxidant components and antioxidant capacity in green morph </w:t>
      </w:r>
      <w:r w:rsidRPr="00751DF9">
        <w:rPr>
          <w:i/>
          <w:iCs/>
          <w:lang w:val="en-IN"/>
        </w:rPr>
        <w:t>Amaranthus</w:t>
      </w:r>
      <w:r w:rsidRPr="00751DF9">
        <w:rPr>
          <w:lang w:val="en-IN"/>
        </w:rPr>
        <w:t xml:space="preserve"> leafy vegetable. </w:t>
      </w:r>
      <w:r w:rsidRPr="00751DF9">
        <w:rPr>
          <w:i/>
          <w:iCs/>
          <w:lang w:val="en-IN"/>
        </w:rPr>
        <w:t>Scientific Reports, 10</w:t>
      </w:r>
      <w:r w:rsidRPr="00751DF9">
        <w:rPr>
          <w:lang w:val="en-IN"/>
        </w:rPr>
        <w:t>(1), 1336.</w:t>
      </w:r>
    </w:p>
    <w:p w14:paraId="63CBA9D9" w14:textId="77777777" w:rsidR="00194FF3" w:rsidRPr="00751DF9" w:rsidRDefault="00945554" w:rsidP="00751DF9">
      <w:pPr>
        <w:pStyle w:val="Body"/>
        <w:rPr>
          <w:lang w:val="en-IN"/>
        </w:rPr>
      </w:pPr>
      <w:r w:rsidRPr="00751DF9">
        <w:rPr>
          <w:lang w:val="en-IN"/>
        </w:rPr>
        <w:t xml:space="preserve">Sarker, U., &amp; Oba, S. (2020b). The response of salinity stress-induced </w:t>
      </w:r>
      <w:r w:rsidRPr="00751DF9">
        <w:rPr>
          <w:i/>
          <w:iCs/>
          <w:lang w:val="en-IN"/>
        </w:rPr>
        <w:t xml:space="preserve">A. </w:t>
      </w:r>
      <w:proofErr w:type="spellStart"/>
      <w:r w:rsidRPr="00751DF9">
        <w:rPr>
          <w:i/>
          <w:iCs/>
          <w:lang w:val="en-IN"/>
        </w:rPr>
        <w:t>tricolor</w:t>
      </w:r>
      <w:proofErr w:type="spellEnd"/>
      <w:r w:rsidRPr="00751DF9">
        <w:rPr>
          <w:lang w:val="en-IN"/>
        </w:rPr>
        <w:t xml:space="preserve"> to growth, anatomy, physiology, non-enzymatic and enzymatic antioxidants. </w:t>
      </w:r>
      <w:r w:rsidRPr="00751DF9">
        <w:rPr>
          <w:i/>
          <w:iCs/>
          <w:lang w:val="en-IN"/>
        </w:rPr>
        <w:t>Frontiers in Plant Science, 11</w:t>
      </w:r>
      <w:r w:rsidRPr="00751DF9">
        <w:rPr>
          <w:lang w:val="en-IN"/>
        </w:rPr>
        <w:t>, 559876.</w:t>
      </w:r>
    </w:p>
    <w:p w14:paraId="173FCF10" w14:textId="77777777" w:rsidR="00194FF3" w:rsidRPr="00751DF9" w:rsidRDefault="00945554" w:rsidP="00751DF9">
      <w:pPr>
        <w:pStyle w:val="Body"/>
        <w:rPr>
          <w:lang w:val="en-IN"/>
        </w:rPr>
      </w:pPr>
      <w:proofErr w:type="spellStart"/>
      <w:r w:rsidRPr="00751DF9">
        <w:rPr>
          <w:lang w:val="en-IN"/>
        </w:rPr>
        <w:t>Seleiman</w:t>
      </w:r>
      <w:proofErr w:type="spellEnd"/>
      <w:r w:rsidRPr="00751DF9">
        <w:rPr>
          <w:lang w:val="en-IN"/>
        </w:rPr>
        <w:t>, M. F., Al-</w:t>
      </w:r>
      <w:proofErr w:type="spellStart"/>
      <w:r w:rsidRPr="00751DF9">
        <w:rPr>
          <w:lang w:val="en-IN"/>
        </w:rPr>
        <w:t>Suhaibani</w:t>
      </w:r>
      <w:proofErr w:type="spellEnd"/>
      <w:r w:rsidRPr="00751DF9">
        <w:rPr>
          <w:lang w:val="en-IN"/>
        </w:rPr>
        <w:t xml:space="preserve">, N., Ali, N., Akmal, M., Alotaibi, M., </w:t>
      </w:r>
      <w:proofErr w:type="spellStart"/>
      <w:r w:rsidRPr="00751DF9">
        <w:rPr>
          <w:lang w:val="en-IN"/>
        </w:rPr>
        <w:t>Refay</w:t>
      </w:r>
      <w:proofErr w:type="spellEnd"/>
      <w:r w:rsidRPr="00751DF9">
        <w:rPr>
          <w:lang w:val="en-IN"/>
        </w:rPr>
        <w:t xml:space="preserve">, Y., </w:t>
      </w:r>
      <w:proofErr w:type="spellStart"/>
      <w:r w:rsidRPr="00751DF9">
        <w:rPr>
          <w:lang w:val="en-IN"/>
        </w:rPr>
        <w:t>Dindaroglu</w:t>
      </w:r>
      <w:proofErr w:type="spellEnd"/>
      <w:r w:rsidRPr="00751DF9">
        <w:rPr>
          <w:lang w:val="en-IN"/>
        </w:rPr>
        <w:t xml:space="preserve">, T., Abdul-Wajid, H. H., &amp; Battaglia, M. L. (2021). Drought stress impacts on plants and different approaches to alleviate its adverse effects. </w:t>
      </w:r>
      <w:r w:rsidRPr="00751DF9">
        <w:rPr>
          <w:i/>
          <w:iCs/>
          <w:lang w:val="en-IN"/>
        </w:rPr>
        <w:t>Plants (Basel), 10</w:t>
      </w:r>
      <w:r w:rsidRPr="00751DF9">
        <w:rPr>
          <w:lang w:val="en-IN"/>
        </w:rPr>
        <w:t>(2), 259.</w:t>
      </w:r>
    </w:p>
    <w:p w14:paraId="05F75B81" w14:textId="77777777" w:rsidR="00194FF3" w:rsidRPr="00751DF9" w:rsidRDefault="00945554" w:rsidP="00751DF9">
      <w:pPr>
        <w:pStyle w:val="Body"/>
        <w:rPr>
          <w:lang w:val="en-IN"/>
        </w:rPr>
      </w:pPr>
      <w:r w:rsidRPr="00751DF9">
        <w:rPr>
          <w:lang w:val="en-IN"/>
        </w:rPr>
        <w:t xml:space="preserve">Shahid, M. A., </w:t>
      </w:r>
      <w:proofErr w:type="spellStart"/>
      <w:r w:rsidRPr="00751DF9">
        <w:rPr>
          <w:lang w:val="en-IN"/>
        </w:rPr>
        <w:t>Sarkhosh</w:t>
      </w:r>
      <w:proofErr w:type="spellEnd"/>
      <w:r w:rsidRPr="00751DF9">
        <w:rPr>
          <w:lang w:val="en-IN"/>
        </w:rPr>
        <w:t xml:space="preserve">, A., Khan, N., Balal, R. M., Ali, S., Rossi, L., Gómez, C., Mattson, N., Nasim, W., &amp; Garcia-Sanchez, F. (2020). Insights into the physiological and biochemical impacts of salt stress on plant growth and development. </w:t>
      </w:r>
      <w:r w:rsidRPr="00751DF9">
        <w:rPr>
          <w:i/>
          <w:iCs/>
          <w:lang w:val="en-IN"/>
        </w:rPr>
        <w:t>Agronomy, 10</w:t>
      </w:r>
      <w:r w:rsidRPr="00751DF9">
        <w:rPr>
          <w:lang w:val="en-IN"/>
        </w:rPr>
        <w:t>(7), 938.</w:t>
      </w:r>
    </w:p>
    <w:p w14:paraId="7D7E0A4C" w14:textId="77777777" w:rsidR="00194FF3" w:rsidRPr="00751DF9" w:rsidRDefault="00945554" w:rsidP="00751DF9">
      <w:pPr>
        <w:pStyle w:val="Body"/>
        <w:rPr>
          <w:lang w:val="en-IN"/>
        </w:rPr>
      </w:pPr>
      <w:r w:rsidRPr="00751DF9">
        <w:rPr>
          <w:lang w:val="en-IN"/>
        </w:rPr>
        <w:t xml:space="preserve">Szabados, L., &amp; </w:t>
      </w:r>
      <w:proofErr w:type="spellStart"/>
      <w:r w:rsidRPr="00751DF9">
        <w:rPr>
          <w:lang w:val="en-IN"/>
        </w:rPr>
        <w:t>Savouré</w:t>
      </w:r>
      <w:proofErr w:type="spellEnd"/>
      <w:r w:rsidRPr="00751DF9">
        <w:rPr>
          <w:lang w:val="en-IN"/>
        </w:rPr>
        <w:t xml:space="preserve">, A. (2010). Proline: A multifunctional amino acid. </w:t>
      </w:r>
      <w:r w:rsidRPr="00751DF9">
        <w:rPr>
          <w:i/>
          <w:iCs/>
          <w:lang w:val="en-IN"/>
        </w:rPr>
        <w:t>Trends in Plant Science, 15</w:t>
      </w:r>
      <w:r w:rsidRPr="00751DF9">
        <w:rPr>
          <w:lang w:val="en-IN"/>
        </w:rPr>
        <w:t>(2), 89-97.</w:t>
      </w:r>
    </w:p>
    <w:p w14:paraId="675E0CC7" w14:textId="77777777" w:rsidR="00194FF3" w:rsidRPr="00751DF9" w:rsidRDefault="00945554" w:rsidP="00751DF9">
      <w:pPr>
        <w:pStyle w:val="Body"/>
        <w:rPr>
          <w:lang w:val="en-IN"/>
        </w:rPr>
      </w:pPr>
      <w:r w:rsidRPr="00751DF9">
        <w:rPr>
          <w:lang w:val="en-IN"/>
        </w:rPr>
        <w:t xml:space="preserve">Tátrai, Z. A., </w:t>
      </w:r>
      <w:proofErr w:type="spellStart"/>
      <w:r w:rsidRPr="00751DF9">
        <w:rPr>
          <w:lang w:val="en-IN"/>
        </w:rPr>
        <w:t>Sanoubar</w:t>
      </w:r>
      <w:proofErr w:type="spellEnd"/>
      <w:r w:rsidRPr="00751DF9">
        <w:rPr>
          <w:lang w:val="en-IN"/>
        </w:rPr>
        <w:t xml:space="preserve">, R., Pluhár, Z., Mancarella, S., Orsini, F., &amp; Gianquinto, G. (2016). Morphological and physiological plant responses to drought stress in </w:t>
      </w:r>
      <w:r w:rsidRPr="00751DF9">
        <w:rPr>
          <w:i/>
          <w:iCs/>
          <w:lang w:val="en-IN"/>
        </w:rPr>
        <w:t xml:space="preserve">Thymus </w:t>
      </w:r>
      <w:proofErr w:type="spellStart"/>
      <w:r w:rsidRPr="00751DF9">
        <w:rPr>
          <w:i/>
          <w:iCs/>
          <w:lang w:val="en-IN"/>
        </w:rPr>
        <w:t>citriodorus</w:t>
      </w:r>
      <w:proofErr w:type="spellEnd"/>
      <w:r w:rsidRPr="00751DF9">
        <w:rPr>
          <w:lang w:val="en-IN"/>
        </w:rPr>
        <w:t xml:space="preserve">. </w:t>
      </w:r>
      <w:r w:rsidRPr="00751DF9">
        <w:rPr>
          <w:i/>
          <w:iCs/>
          <w:lang w:val="en-IN"/>
        </w:rPr>
        <w:t>International Journal of Agronomy, 2016</w:t>
      </w:r>
      <w:r w:rsidRPr="00751DF9">
        <w:rPr>
          <w:lang w:val="en-IN"/>
        </w:rPr>
        <w:t>, 4165750.</w:t>
      </w:r>
    </w:p>
    <w:p w14:paraId="1E1D2236" w14:textId="77777777" w:rsidR="00194FF3" w:rsidRPr="00751DF9" w:rsidRDefault="00945554" w:rsidP="00751DF9">
      <w:pPr>
        <w:pStyle w:val="Body"/>
        <w:rPr>
          <w:lang w:val="en-IN"/>
        </w:rPr>
      </w:pPr>
      <w:r w:rsidRPr="00751DF9">
        <w:rPr>
          <w:lang w:val="en-IN"/>
        </w:rPr>
        <w:t xml:space="preserve">Ul-Hasan, M. M., Ma, F., </w:t>
      </w:r>
      <w:proofErr w:type="spellStart"/>
      <w:r w:rsidRPr="00751DF9">
        <w:rPr>
          <w:lang w:val="en-IN"/>
        </w:rPr>
        <w:t>Prodhan</w:t>
      </w:r>
      <w:proofErr w:type="spellEnd"/>
      <w:r w:rsidRPr="00751DF9">
        <w:rPr>
          <w:lang w:val="en-IN"/>
        </w:rPr>
        <w:t xml:space="preserve">, Z. H., Li, F., Shen, H., Chen, Y., &amp; Wang, X. (2018). Molecular and physio-biochemical characterization of cotton species for assessing drought stress tolerance. </w:t>
      </w:r>
      <w:r w:rsidRPr="00751DF9">
        <w:rPr>
          <w:i/>
          <w:iCs/>
          <w:lang w:val="en-IN"/>
        </w:rPr>
        <w:t>International Journal of Molecular Sciences, 19</w:t>
      </w:r>
      <w:r w:rsidRPr="00751DF9">
        <w:rPr>
          <w:lang w:val="en-IN"/>
        </w:rPr>
        <w:t>(9), 2636.</w:t>
      </w:r>
    </w:p>
    <w:p w14:paraId="5EB62504" w14:textId="77777777" w:rsidR="00194FF3" w:rsidRPr="00751DF9" w:rsidRDefault="00945554" w:rsidP="00751DF9">
      <w:pPr>
        <w:pStyle w:val="Body"/>
        <w:rPr>
          <w:lang w:val="en-IN"/>
        </w:rPr>
      </w:pPr>
      <w:proofErr w:type="spellStart"/>
      <w:r w:rsidRPr="00751DF9">
        <w:rPr>
          <w:lang w:val="en-IN"/>
        </w:rPr>
        <w:t>Venkateswarlu</w:t>
      </w:r>
      <w:proofErr w:type="spellEnd"/>
      <w:r w:rsidRPr="00751DF9">
        <w:rPr>
          <w:lang w:val="en-IN"/>
        </w:rPr>
        <w:t xml:space="preserve">, B., &amp; Ramesh, K. (1993). Cell membrane stability and biochemical response of cultured cells of groundnut under polyethylene glycol-induced water stress. </w:t>
      </w:r>
      <w:r w:rsidRPr="00751DF9">
        <w:rPr>
          <w:i/>
          <w:iCs/>
          <w:lang w:val="en-IN"/>
        </w:rPr>
        <w:t>Plant Science, 90</w:t>
      </w:r>
      <w:r w:rsidRPr="00751DF9">
        <w:rPr>
          <w:lang w:val="en-IN"/>
        </w:rPr>
        <w:t>(2), 179-185.</w:t>
      </w:r>
    </w:p>
    <w:p w14:paraId="0CB6FB86" w14:textId="77777777" w:rsidR="00194FF3" w:rsidRPr="00751DF9" w:rsidRDefault="00945554" w:rsidP="00751DF9">
      <w:pPr>
        <w:pStyle w:val="Body"/>
        <w:rPr>
          <w:lang w:val="en-IN"/>
        </w:rPr>
      </w:pPr>
      <w:r w:rsidRPr="00751DF9">
        <w:rPr>
          <w:lang w:val="en-IN"/>
        </w:rPr>
        <w:t xml:space="preserve">Xiao, F., &amp; Zhou, H. (2023). Plant salt response: Perception, </w:t>
      </w:r>
      <w:proofErr w:type="spellStart"/>
      <w:r w:rsidRPr="00751DF9">
        <w:rPr>
          <w:lang w:val="en-IN"/>
        </w:rPr>
        <w:t>signaling</w:t>
      </w:r>
      <w:proofErr w:type="spellEnd"/>
      <w:r w:rsidRPr="00751DF9">
        <w:rPr>
          <w:lang w:val="en-IN"/>
        </w:rPr>
        <w:t xml:space="preserve">, and tolerance. </w:t>
      </w:r>
      <w:r w:rsidRPr="00751DF9">
        <w:rPr>
          <w:i/>
          <w:iCs/>
          <w:lang w:val="en-IN"/>
        </w:rPr>
        <w:t>Frontiers in Plant Science, 13</w:t>
      </w:r>
      <w:r w:rsidRPr="00751DF9">
        <w:rPr>
          <w:lang w:val="en-IN"/>
        </w:rPr>
        <w:t>, 1053699.</w:t>
      </w:r>
    </w:p>
    <w:p w14:paraId="62DBFAD3" w14:textId="77777777" w:rsidR="00194FF3" w:rsidRPr="00751DF9" w:rsidRDefault="00945554" w:rsidP="00751DF9">
      <w:pPr>
        <w:pStyle w:val="Body"/>
        <w:rPr>
          <w:lang w:val="en-IN"/>
        </w:rPr>
      </w:pPr>
      <w:r w:rsidRPr="00751DF9">
        <w:rPr>
          <w:lang w:val="en-IN"/>
        </w:rPr>
        <w:t>Zhang, L., Ma, H., Chen, T., Pen, J., Yu, S., &amp; Zhao, X. (2014). Morphological and physiological responses of cotton (</w:t>
      </w:r>
      <w:r w:rsidRPr="00751DF9">
        <w:rPr>
          <w:i/>
          <w:iCs/>
          <w:lang w:val="en-IN"/>
        </w:rPr>
        <w:t>Gossypium hirsutum</w:t>
      </w:r>
      <w:r w:rsidRPr="00751DF9">
        <w:rPr>
          <w:lang w:val="en-IN"/>
        </w:rPr>
        <w:t xml:space="preserve"> L.) plants to salinity. </w:t>
      </w:r>
      <w:r w:rsidRPr="00751DF9">
        <w:rPr>
          <w:i/>
          <w:iCs/>
          <w:lang w:val="en-IN"/>
        </w:rPr>
        <w:t>PLOS ONE, 9</w:t>
      </w:r>
      <w:r w:rsidRPr="00751DF9">
        <w:rPr>
          <w:lang w:val="en-IN"/>
        </w:rPr>
        <w:t>(11), e112807.</w:t>
      </w:r>
    </w:p>
    <w:p w14:paraId="2C3264DE" w14:textId="77777777" w:rsidR="00B01FCD" w:rsidRPr="00751DF9" w:rsidRDefault="00945554" w:rsidP="00751DF9">
      <w:pPr>
        <w:pStyle w:val="Body"/>
        <w:rPr>
          <w:lang w:val="en-IN"/>
        </w:rPr>
      </w:pPr>
      <w:r w:rsidRPr="00751DF9">
        <w:rPr>
          <w:lang w:val="en-IN"/>
        </w:rPr>
        <w:t xml:space="preserve">Zhou, Y., Tang, N., Huang, L., Zhao, Y., Tang, X., &amp; Wang, K. (2018). Effects of salt stress on plant growth, antioxidant capacity, glandular trichome density, and volatile exudates of </w:t>
      </w:r>
      <w:proofErr w:type="spellStart"/>
      <w:r w:rsidRPr="00751DF9">
        <w:rPr>
          <w:i/>
          <w:iCs/>
          <w:lang w:val="en-IN"/>
        </w:rPr>
        <w:t>Schizonepeta</w:t>
      </w:r>
      <w:proofErr w:type="spellEnd"/>
      <w:r w:rsidRPr="00751DF9">
        <w:rPr>
          <w:i/>
          <w:iCs/>
          <w:lang w:val="en-IN"/>
        </w:rPr>
        <w:t xml:space="preserve"> </w:t>
      </w:r>
      <w:proofErr w:type="spellStart"/>
      <w:r w:rsidRPr="00751DF9">
        <w:rPr>
          <w:i/>
          <w:iCs/>
          <w:lang w:val="en-IN"/>
        </w:rPr>
        <w:t>tenuifolia</w:t>
      </w:r>
      <w:proofErr w:type="spellEnd"/>
      <w:r w:rsidRPr="00751DF9">
        <w:rPr>
          <w:lang w:val="en-IN"/>
        </w:rPr>
        <w:t xml:space="preserve"> </w:t>
      </w:r>
      <w:proofErr w:type="spellStart"/>
      <w:r w:rsidRPr="00751DF9">
        <w:rPr>
          <w:lang w:val="en-IN"/>
        </w:rPr>
        <w:t>Briq</w:t>
      </w:r>
      <w:proofErr w:type="spellEnd"/>
      <w:r w:rsidRPr="00751DF9">
        <w:rPr>
          <w:lang w:val="en-IN"/>
        </w:rPr>
        <w:t xml:space="preserve">. </w:t>
      </w:r>
      <w:r w:rsidRPr="00751DF9">
        <w:rPr>
          <w:i/>
          <w:iCs/>
          <w:lang w:val="en-IN"/>
        </w:rPr>
        <w:t>International Journal of Molecular Sciences, 19</w:t>
      </w:r>
      <w:r w:rsidRPr="00751DF9">
        <w:rPr>
          <w:lang w:val="en-IN"/>
        </w:rPr>
        <w:t>(1), 252.</w:t>
      </w:r>
    </w:p>
    <w:sectPr w:rsidR="00B01FCD" w:rsidRPr="00751DF9" w:rsidSect="006D22CC">
      <w:headerReference w:type="even" r:id="rId29"/>
      <w:headerReference w:type="default" r:id="rId30"/>
      <w:footerReference w:type="default" r:id="rId31"/>
      <w:headerReference w:type="first" r:id="rId3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59B82" w14:textId="77777777" w:rsidR="00F178A0" w:rsidRDefault="00F178A0" w:rsidP="00C37E61">
      <w:r>
        <w:separator/>
      </w:r>
    </w:p>
  </w:endnote>
  <w:endnote w:type="continuationSeparator" w:id="0">
    <w:p w14:paraId="2AE61718" w14:textId="77777777" w:rsidR="00F178A0" w:rsidRDefault="00F178A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996C2" w14:textId="77777777" w:rsidR="006D22CC" w:rsidRDefault="006D22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FFAB8" w14:textId="77777777" w:rsidR="006D22CC" w:rsidRDefault="006D22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4D20F" w14:textId="1F0A708B" w:rsidR="00754C9A" w:rsidRPr="006D22CC" w:rsidRDefault="00754C9A" w:rsidP="006D22C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EB61E" w14:textId="77777777" w:rsidR="00C37E61" w:rsidRPr="00C37E61" w:rsidRDefault="00C37E61"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607C9" w14:textId="77777777" w:rsidR="00F178A0" w:rsidRDefault="00F178A0" w:rsidP="00C37E61">
      <w:r>
        <w:separator/>
      </w:r>
    </w:p>
  </w:footnote>
  <w:footnote w:type="continuationSeparator" w:id="0">
    <w:p w14:paraId="3248C425" w14:textId="77777777" w:rsidR="00F178A0" w:rsidRDefault="00F178A0"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C0E44" w14:textId="458CA4D2" w:rsidR="006D22CC" w:rsidRDefault="00F178A0">
    <w:pPr>
      <w:pStyle w:val="Header"/>
    </w:pPr>
    <w:r>
      <w:rPr>
        <w:noProof/>
      </w:rPr>
      <w:pict w14:anchorId="4A0539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87157"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5317B" w14:textId="4E875E2E" w:rsidR="006D22CC" w:rsidRDefault="00F178A0">
    <w:pPr>
      <w:pStyle w:val="Header"/>
    </w:pPr>
    <w:r>
      <w:rPr>
        <w:noProof/>
      </w:rPr>
      <w:pict w14:anchorId="107E0B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87158"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40D59" w14:textId="706752C2" w:rsidR="00296529" w:rsidRPr="00296529" w:rsidRDefault="00F178A0" w:rsidP="00296529">
    <w:pPr>
      <w:ind w:left="2160"/>
      <w:jc w:val="center"/>
      <w:rPr>
        <w:rFonts w:ascii="Times New Roman" w:eastAsia="Calibri" w:hAnsi="Times New Roman"/>
        <w:i/>
        <w:sz w:val="18"/>
        <w:szCs w:val="22"/>
      </w:rPr>
    </w:pPr>
    <w:r>
      <w:rPr>
        <w:noProof/>
      </w:rPr>
      <w:pict w14:anchorId="5D1457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87156"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9C0C4D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34BED6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2DE7F7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CCC371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16B59B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E5E40FD" w14:textId="77777777" w:rsidR="00296529" w:rsidRDefault="00754C9A">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DD941" w14:textId="0BA925B0" w:rsidR="006D22CC" w:rsidRDefault="00F178A0">
    <w:pPr>
      <w:pStyle w:val="Header"/>
    </w:pPr>
    <w:r>
      <w:rPr>
        <w:noProof/>
      </w:rPr>
      <w:pict w14:anchorId="7EA7EF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87160"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D3A49" w14:textId="6B3273B8" w:rsidR="006D22CC" w:rsidRDefault="00F178A0">
    <w:pPr>
      <w:pStyle w:val="Header"/>
    </w:pPr>
    <w:r>
      <w:rPr>
        <w:noProof/>
      </w:rPr>
      <w:pict w14:anchorId="29C44F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87161"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7D044" w14:textId="25B56CB9" w:rsidR="006D22CC" w:rsidRDefault="00F178A0">
    <w:pPr>
      <w:pStyle w:val="Header"/>
    </w:pPr>
    <w:r>
      <w:rPr>
        <w:noProof/>
      </w:rPr>
      <w:pict w14:anchorId="59AB8F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87159"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C7F2589"/>
    <w:multiLevelType w:val="multilevel"/>
    <w:tmpl w:val="AAD4FA3C"/>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ascii="Arial Black" w:hAnsi="Arial Black" w:cs="Times New Roman" w:hint="default"/>
        <w:b w:val="0"/>
        <w:sz w:val="20"/>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9591E06"/>
    <w:multiLevelType w:val="multilevel"/>
    <w:tmpl w:val="F572A3C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nsid w:val="365C140D"/>
    <w:multiLevelType w:val="multilevel"/>
    <w:tmpl w:val="71BEDF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999295D"/>
    <w:multiLevelType w:val="multilevel"/>
    <w:tmpl w:val="FD80C86C"/>
    <w:lvl w:ilvl="0">
      <w:start w:val="2"/>
      <w:numFmt w:val="decimal"/>
      <w:lvlText w:val="%1"/>
      <w:lvlJc w:val="left"/>
      <w:pPr>
        <w:ind w:left="435" w:hanging="435"/>
      </w:pPr>
      <w:rPr>
        <w:rFonts w:hint="default"/>
        <w:b w:val="0"/>
      </w:rPr>
    </w:lvl>
    <w:lvl w:ilvl="1">
      <w:start w:val="3"/>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91127E"/>
    <w:multiLevelType w:val="multilevel"/>
    <w:tmpl w:val="45342814"/>
    <w:lvl w:ilvl="0">
      <w:start w:val="2"/>
      <w:numFmt w:val="decimal"/>
      <w:lvlText w:val="%1"/>
      <w:lvlJc w:val="left"/>
      <w:pPr>
        <w:ind w:left="435" w:hanging="435"/>
      </w:pPr>
      <w:rPr>
        <w:rFonts w:hint="default"/>
        <w:b w:val="0"/>
      </w:rPr>
    </w:lvl>
    <w:lvl w:ilvl="1">
      <w:start w:val="3"/>
      <w:numFmt w:val="decimal"/>
      <w:lvlText w:val="%1.%2"/>
      <w:lvlJc w:val="left"/>
      <w:pPr>
        <w:ind w:left="435" w:hanging="435"/>
      </w:pPr>
      <w:rPr>
        <w:rFonts w:hint="default"/>
        <w:b w:val="0"/>
      </w:rPr>
    </w:lvl>
    <w:lvl w:ilvl="2">
      <w:start w:val="6"/>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4"/>
  </w:num>
  <w:num w:numId="9">
    <w:abstractNumId w:val="29"/>
  </w:num>
  <w:num w:numId="10">
    <w:abstractNumId w:val="2"/>
  </w:num>
  <w:num w:numId="11">
    <w:abstractNumId w:val="22"/>
  </w:num>
  <w:num w:numId="12">
    <w:abstractNumId w:val="3"/>
  </w:num>
  <w:num w:numId="13">
    <w:abstractNumId w:val="21"/>
  </w:num>
  <w:num w:numId="14">
    <w:abstractNumId w:val="10"/>
  </w:num>
  <w:num w:numId="15">
    <w:abstractNumId w:val="25"/>
  </w:num>
  <w:num w:numId="16">
    <w:abstractNumId w:val="5"/>
  </w:num>
  <w:num w:numId="17">
    <w:abstractNumId w:val="26"/>
  </w:num>
  <w:num w:numId="18">
    <w:abstractNumId w:val="16"/>
  </w:num>
  <w:num w:numId="19">
    <w:abstractNumId w:val="33"/>
  </w:num>
  <w:num w:numId="20">
    <w:abstractNumId w:val="13"/>
  </w:num>
  <w:num w:numId="21">
    <w:abstractNumId w:val="11"/>
  </w:num>
  <w:num w:numId="22">
    <w:abstractNumId w:val="15"/>
  </w:num>
  <w:num w:numId="23">
    <w:abstractNumId w:val="23"/>
  </w:num>
  <w:num w:numId="24">
    <w:abstractNumId w:val="30"/>
  </w:num>
  <w:num w:numId="25">
    <w:abstractNumId w:val="4"/>
  </w:num>
  <w:num w:numId="26">
    <w:abstractNumId w:val="20"/>
  </w:num>
  <w:num w:numId="27">
    <w:abstractNumId w:val="24"/>
  </w:num>
  <w:num w:numId="28">
    <w:abstractNumId w:val="31"/>
  </w:num>
  <w:num w:numId="29">
    <w:abstractNumId w:val="28"/>
  </w:num>
  <w:num w:numId="30">
    <w:abstractNumId w:val="12"/>
  </w:num>
  <w:num w:numId="31">
    <w:abstractNumId w:val="9"/>
  </w:num>
  <w:num w:numId="32">
    <w:abstractNumId w:val="6"/>
  </w:num>
  <w:num w:numId="33">
    <w:abstractNumId w:val="18"/>
  </w:num>
  <w:num w:numId="34">
    <w:abstractNumId w:val="17"/>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12EFF"/>
    <w:rsid w:val="00016846"/>
    <w:rsid w:val="00030174"/>
    <w:rsid w:val="0004579C"/>
    <w:rsid w:val="000A47FA"/>
    <w:rsid w:val="000A65D3"/>
    <w:rsid w:val="000B1E33"/>
    <w:rsid w:val="000B50B7"/>
    <w:rsid w:val="000C5EAE"/>
    <w:rsid w:val="000D0374"/>
    <w:rsid w:val="000D1A37"/>
    <w:rsid w:val="000D689F"/>
    <w:rsid w:val="000E7B7B"/>
    <w:rsid w:val="000E7D62"/>
    <w:rsid w:val="00103357"/>
    <w:rsid w:val="00107D92"/>
    <w:rsid w:val="00123C9F"/>
    <w:rsid w:val="00126190"/>
    <w:rsid w:val="00130F17"/>
    <w:rsid w:val="001320BF"/>
    <w:rsid w:val="00163BC4"/>
    <w:rsid w:val="00191062"/>
    <w:rsid w:val="00192B72"/>
    <w:rsid w:val="00194FF3"/>
    <w:rsid w:val="001A29D8"/>
    <w:rsid w:val="001A5CAA"/>
    <w:rsid w:val="001B0427"/>
    <w:rsid w:val="001D3A51"/>
    <w:rsid w:val="001E10D2"/>
    <w:rsid w:val="001E25B4"/>
    <w:rsid w:val="001E44FE"/>
    <w:rsid w:val="001F3F34"/>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000BA"/>
    <w:rsid w:val="00315186"/>
    <w:rsid w:val="003223F3"/>
    <w:rsid w:val="0033343E"/>
    <w:rsid w:val="00337FC1"/>
    <w:rsid w:val="003512C2"/>
    <w:rsid w:val="00371FB6"/>
    <w:rsid w:val="003763C1"/>
    <w:rsid w:val="00376BBE"/>
    <w:rsid w:val="00386F5F"/>
    <w:rsid w:val="0039224F"/>
    <w:rsid w:val="003A43A4"/>
    <w:rsid w:val="003A7E18"/>
    <w:rsid w:val="003C4C86"/>
    <w:rsid w:val="003C6258"/>
    <w:rsid w:val="003E2904"/>
    <w:rsid w:val="003E4173"/>
    <w:rsid w:val="003F0D96"/>
    <w:rsid w:val="003F384E"/>
    <w:rsid w:val="00401927"/>
    <w:rsid w:val="0041027F"/>
    <w:rsid w:val="00412475"/>
    <w:rsid w:val="00423789"/>
    <w:rsid w:val="00440F43"/>
    <w:rsid w:val="00441B6F"/>
    <w:rsid w:val="00446221"/>
    <w:rsid w:val="00450E62"/>
    <w:rsid w:val="004539DB"/>
    <w:rsid w:val="00471A80"/>
    <w:rsid w:val="004B26A7"/>
    <w:rsid w:val="004D305E"/>
    <w:rsid w:val="004D4277"/>
    <w:rsid w:val="00502516"/>
    <w:rsid w:val="00505F06"/>
    <w:rsid w:val="00506828"/>
    <w:rsid w:val="0053056E"/>
    <w:rsid w:val="005358F5"/>
    <w:rsid w:val="00554FDA"/>
    <w:rsid w:val="005A2D2E"/>
    <w:rsid w:val="005C784C"/>
    <w:rsid w:val="005D17F6"/>
    <w:rsid w:val="005E5539"/>
    <w:rsid w:val="00602BF5"/>
    <w:rsid w:val="00616DF3"/>
    <w:rsid w:val="00617FDD"/>
    <w:rsid w:val="00633614"/>
    <w:rsid w:val="00633F68"/>
    <w:rsid w:val="00636EB2"/>
    <w:rsid w:val="006375B8"/>
    <w:rsid w:val="00641287"/>
    <w:rsid w:val="0066510A"/>
    <w:rsid w:val="00665C48"/>
    <w:rsid w:val="00673F9F"/>
    <w:rsid w:val="00686953"/>
    <w:rsid w:val="00687DEA"/>
    <w:rsid w:val="00687E67"/>
    <w:rsid w:val="006967F7"/>
    <w:rsid w:val="006A250C"/>
    <w:rsid w:val="006B21D3"/>
    <w:rsid w:val="006B57D0"/>
    <w:rsid w:val="006D22CC"/>
    <w:rsid w:val="006D30FF"/>
    <w:rsid w:val="006D6940"/>
    <w:rsid w:val="006F11EC"/>
    <w:rsid w:val="0070082C"/>
    <w:rsid w:val="007369E6"/>
    <w:rsid w:val="00746E59"/>
    <w:rsid w:val="00751DF9"/>
    <w:rsid w:val="00754C9A"/>
    <w:rsid w:val="0075599A"/>
    <w:rsid w:val="00761D52"/>
    <w:rsid w:val="0077749E"/>
    <w:rsid w:val="00790ADA"/>
    <w:rsid w:val="007D2288"/>
    <w:rsid w:val="007E088F"/>
    <w:rsid w:val="007F7B32"/>
    <w:rsid w:val="00804BC2"/>
    <w:rsid w:val="0081431A"/>
    <w:rsid w:val="00824213"/>
    <w:rsid w:val="0083216F"/>
    <w:rsid w:val="00860000"/>
    <w:rsid w:val="00863BD3"/>
    <w:rsid w:val="008641ED"/>
    <w:rsid w:val="00866D66"/>
    <w:rsid w:val="008671C6"/>
    <w:rsid w:val="008679BE"/>
    <w:rsid w:val="00875803"/>
    <w:rsid w:val="008B459E"/>
    <w:rsid w:val="008D2E89"/>
    <w:rsid w:val="008E13AE"/>
    <w:rsid w:val="008E1506"/>
    <w:rsid w:val="008E710C"/>
    <w:rsid w:val="008F69D6"/>
    <w:rsid w:val="00902823"/>
    <w:rsid w:val="00905720"/>
    <w:rsid w:val="00915CA6"/>
    <w:rsid w:val="00927834"/>
    <w:rsid w:val="00945554"/>
    <w:rsid w:val="009500A6"/>
    <w:rsid w:val="00957C18"/>
    <w:rsid w:val="009659BA"/>
    <w:rsid w:val="00983040"/>
    <w:rsid w:val="00994B6C"/>
    <w:rsid w:val="009B3FB9"/>
    <w:rsid w:val="009C2465"/>
    <w:rsid w:val="009D35A0"/>
    <w:rsid w:val="009D7EB7"/>
    <w:rsid w:val="009E048A"/>
    <w:rsid w:val="009E08E9"/>
    <w:rsid w:val="009E3DB9"/>
    <w:rsid w:val="009E6E35"/>
    <w:rsid w:val="009F0EDA"/>
    <w:rsid w:val="009F7674"/>
    <w:rsid w:val="00A03B96"/>
    <w:rsid w:val="00A05B19"/>
    <w:rsid w:val="00A1134E"/>
    <w:rsid w:val="00A24E7E"/>
    <w:rsid w:val="00A258C3"/>
    <w:rsid w:val="00A347C0"/>
    <w:rsid w:val="00A51431"/>
    <w:rsid w:val="00A539AD"/>
    <w:rsid w:val="00A576E2"/>
    <w:rsid w:val="00A91312"/>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43CD"/>
    <w:rsid w:val="00BE62AD"/>
    <w:rsid w:val="00BF121F"/>
    <w:rsid w:val="00BF1F80"/>
    <w:rsid w:val="00BF41E4"/>
    <w:rsid w:val="00C166EF"/>
    <w:rsid w:val="00C17EB0"/>
    <w:rsid w:val="00C24260"/>
    <w:rsid w:val="00C27F5F"/>
    <w:rsid w:val="00C30A0F"/>
    <w:rsid w:val="00C37E61"/>
    <w:rsid w:val="00C428FC"/>
    <w:rsid w:val="00C52121"/>
    <w:rsid w:val="00C70F1B"/>
    <w:rsid w:val="00C71A47"/>
    <w:rsid w:val="00C7464C"/>
    <w:rsid w:val="00C85588"/>
    <w:rsid w:val="00CB62E1"/>
    <w:rsid w:val="00CC66C9"/>
    <w:rsid w:val="00CD6755"/>
    <w:rsid w:val="00CD6856"/>
    <w:rsid w:val="00CE0089"/>
    <w:rsid w:val="00CE793C"/>
    <w:rsid w:val="00CF193C"/>
    <w:rsid w:val="00D173F1"/>
    <w:rsid w:val="00D24F10"/>
    <w:rsid w:val="00D40465"/>
    <w:rsid w:val="00D6766F"/>
    <w:rsid w:val="00D74CB0"/>
    <w:rsid w:val="00D8295D"/>
    <w:rsid w:val="00DC2A65"/>
    <w:rsid w:val="00DD6057"/>
    <w:rsid w:val="00DE15F0"/>
    <w:rsid w:val="00DE5663"/>
    <w:rsid w:val="00DE78AA"/>
    <w:rsid w:val="00E053D0"/>
    <w:rsid w:val="00E157C4"/>
    <w:rsid w:val="00E15994"/>
    <w:rsid w:val="00E3114E"/>
    <w:rsid w:val="00E31A70"/>
    <w:rsid w:val="00E32861"/>
    <w:rsid w:val="00E35B02"/>
    <w:rsid w:val="00E562A8"/>
    <w:rsid w:val="00E66496"/>
    <w:rsid w:val="00E66B35"/>
    <w:rsid w:val="00E66E10"/>
    <w:rsid w:val="00E769F6"/>
    <w:rsid w:val="00E8407C"/>
    <w:rsid w:val="00E84F3C"/>
    <w:rsid w:val="00EA012C"/>
    <w:rsid w:val="00EA7E18"/>
    <w:rsid w:val="00EC6A55"/>
    <w:rsid w:val="00ED0288"/>
    <w:rsid w:val="00ED24C7"/>
    <w:rsid w:val="00EE52CB"/>
    <w:rsid w:val="00EF581D"/>
    <w:rsid w:val="00EF7FD8"/>
    <w:rsid w:val="00F06F59"/>
    <w:rsid w:val="00F178A0"/>
    <w:rsid w:val="00F17988"/>
    <w:rsid w:val="00F469F0"/>
    <w:rsid w:val="00F53273"/>
    <w:rsid w:val="00F74248"/>
    <w:rsid w:val="00F755E4"/>
    <w:rsid w:val="00F77D02"/>
    <w:rsid w:val="00F93AC9"/>
    <w:rsid w:val="00FB3A86"/>
    <w:rsid w:val="00FD36C8"/>
    <w:rsid w:val="00FD6E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448D973"/>
  <w15:docId w15:val="{2FB032A0-6575-1B48-9B17-8CD8B9ED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824213"/>
    <w:rPr>
      <w:rFonts w:ascii="Times New Roman" w:hAnsi="Times New Roman"/>
      <w:sz w:val="24"/>
      <w:szCs w:val="24"/>
    </w:rPr>
  </w:style>
  <w:style w:type="paragraph" w:styleId="ListParagraph">
    <w:name w:val="List Paragraph"/>
    <w:basedOn w:val="Normal"/>
    <w:uiPriority w:val="34"/>
    <w:qFormat/>
    <w:rsid w:val="00D40465"/>
    <w:pPr>
      <w:spacing w:after="200" w:line="276" w:lineRule="auto"/>
      <w:ind w:left="720"/>
      <w:contextualSpacing/>
    </w:pPr>
    <w:rPr>
      <w:rFonts w:asciiTheme="minorHAnsi" w:eastAsiaTheme="minorEastAsia" w:hAnsiTheme="minorHAnsi" w:cstheme="minorBidi"/>
      <w:sz w:val="22"/>
      <w:szCs w:val="22"/>
      <w:lang w:val="en-IN" w:eastAsia="en-IN"/>
    </w:rPr>
  </w:style>
  <w:style w:type="character" w:customStyle="1" w:styleId="Heading1Char">
    <w:name w:val="Heading 1 Char"/>
    <w:basedOn w:val="DefaultParagraphFont"/>
    <w:link w:val="Heading1"/>
    <w:rsid w:val="00616DF3"/>
    <w:rPr>
      <w:rFonts w:ascii="Arial" w:hAnsi="Arial"/>
      <w:b/>
      <w:kern w:val="28"/>
      <w:sz w:val="28"/>
    </w:rPr>
  </w:style>
  <w:style w:type="character" w:customStyle="1" w:styleId="UnresolvedMention">
    <w:name w:val="Unresolved Mention"/>
    <w:basedOn w:val="DefaultParagraphFont"/>
    <w:uiPriority w:val="99"/>
    <w:semiHidden/>
    <w:unhideWhenUsed/>
    <w:rsid w:val="00ED24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11.xm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hyperlink" Target="https://doi.org/10.1007/978-90-481-2666-8_12" TargetMode="External"/><Relationship Id="rId10" Type="http://schemas.openxmlformats.org/officeDocument/2006/relationships/footer" Target="footer1.xml"/><Relationship Id="rId19" Type="http://schemas.openxmlformats.org/officeDocument/2006/relationships/chart" Target="charts/chart6.xm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Final%20Bacopa%20Stress_PEG%206000%20Repeated.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Final%20Bacopa%20Stress_Salt.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Standard%20curve_Gallic%20acid.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Standard%20curve_Gallic%20acid.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Standard%20curve_quercetin.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Standard%20curve_querceti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Final%20Bacopa%20Stress_Sal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Final%20Bacopa%20Stress_PEG%206000%20Repeat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Final%20Bacopa%20Stress_Sal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Final%20Bacopa%20Stress_PEG%206000%20Repeate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Final%20Bacopa%20Stress_Sal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Final%20Bacopa%20Stress_PEG%206000%20Repeated.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Final%20Bacopa%20Stress_Sal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Final%20Bacopa%20Stress_PEG%206000%20Repeat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errBars>
            <c:errBarType val="plus"/>
            <c:errValType val="cust"/>
            <c:noEndCap val="0"/>
            <c:plus>
              <c:numRef>
                <c:f>Sheet1!$I$27:$I$31</c:f>
                <c:numCache>
                  <c:formatCode>General</c:formatCode>
                  <c:ptCount val="5"/>
                  <c:pt idx="0">
                    <c:v>0.83056478405274958</c:v>
                  </c:pt>
                  <c:pt idx="1">
                    <c:v>1.0211797560125258</c:v>
                  </c:pt>
                  <c:pt idx="2">
                    <c:v>1.1561296798160985</c:v>
                  </c:pt>
                  <c:pt idx="3">
                    <c:v>0.28923564360524534</c:v>
                  </c:pt>
                  <c:pt idx="4">
                    <c:v>0.26753259249512373</c:v>
                  </c:pt>
                </c:numCache>
              </c:numRef>
            </c:plus>
            <c:minus>
              <c:numRef>
                <c:f>Sheet1!$I$27:$I$31</c:f>
                <c:numCache>
                  <c:formatCode>General</c:formatCode>
                  <c:ptCount val="5"/>
                  <c:pt idx="0">
                    <c:v>0.83056478405274958</c:v>
                  </c:pt>
                  <c:pt idx="1">
                    <c:v>1.0211797560125258</c:v>
                  </c:pt>
                  <c:pt idx="2">
                    <c:v>1.1561296798160985</c:v>
                  </c:pt>
                  <c:pt idx="3">
                    <c:v>0.28923564360524534</c:v>
                  </c:pt>
                  <c:pt idx="4">
                    <c:v>0.26753259249512373</c:v>
                  </c:pt>
                </c:numCache>
              </c:numRef>
            </c:minus>
          </c:errBars>
          <c:cat>
            <c:strRef>
              <c:f>Sheet1!$B$27:$B$32</c:f>
              <c:strCache>
                <c:ptCount val="5"/>
                <c:pt idx="0">
                  <c:v>Control</c:v>
                </c:pt>
                <c:pt idx="1">
                  <c:v>5%</c:v>
                </c:pt>
                <c:pt idx="2">
                  <c:v>10%</c:v>
                </c:pt>
                <c:pt idx="3">
                  <c:v>15%</c:v>
                </c:pt>
                <c:pt idx="4">
                  <c:v>20%</c:v>
                </c:pt>
              </c:strCache>
            </c:strRef>
          </c:cat>
          <c:val>
            <c:numRef>
              <c:f>Sheet1!$F$27:$F$32</c:f>
              <c:numCache>
                <c:formatCode>General</c:formatCode>
                <c:ptCount val="6"/>
                <c:pt idx="0">
                  <c:v>94.518272425249165</c:v>
                </c:pt>
                <c:pt idx="1">
                  <c:v>92.991452991453002</c:v>
                </c:pt>
                <c:pt idx="2">
                  <c:v>91.460172169553758</c:v>
                </c:pt>
                <c:pt idx="3">
                  <c:v>90.131091169402268</c:v>
                </c:pt>
                <c:pt idx="4">
                  <c:v>83.324753324753289</c:v>
                </c:pt>
              </c:numCache>
            </c:numRef>
          </c:val>
          <c:extLst xmlns:c16r2="http://schemas.microsoft.com/office/drawing/2015/06/chart">
            <c:ext xmlns:c16="http://schemas.microsoft.com/office/drawing/2014/chart" uri="{C3380CC4-5D6E-409C-BE32-E72D297353CC}">
              <c16:uniqueId val="{00000000-34C2-8B4E-8181-203D2D183E8A}"/>
            </c:ext>
          </c:extLst>
        </c:ser>
        <c:dLbls>
          <c:showLegendKey val="0"/>
          <c:showVal val="0"/>
          <c:showCatName val="0"/>
          <c:showSerName val="0"/>
          <c:showPercent val="0"/>
          <c:showBubbleSize val="0"/>
        </c:dLbls>
        <c:gapWidth val="150"/>
        <c:axId val="365628376"/>
        <c:axId val="365629552"/>
      </c:barChart>
      <c:catAx>
        <c:axId val="365628376"/>
        <c:scaling>
          <c:orientation val="minMax"/>
        </c:scaling>
        <c:delete val="0"/>
        <c:axPos val="b"/>
        <c:title>
          <c:tx>
            <c:rich>
              <a:bodyPr/>
              <a:lstStyle/>
              <a:p>
                <a:pPr>
                  <a:defRPr sz="1000">
                    <a:latin typeface="Times New Roman" pitchFamily="18" charset="0"/>
                    <a:cs typeface="Times New Roman" pitchFamily="18" charset="0"/>
                  </a:defRPr>
                </a:pPr>
                <a:r>
                  <a:rPr lang="en-US" sz="1000">
                    <a:latin typeface="Times New Roman" pitchFamily="18" charset="0"/>
                    <a:cs typeface="Times New Roman" pitchFamily="18" charset="0"/>
                  </a:rPr>
                  <a:t>PEG 6000 Stress</a:t>
                </a:r>
              </a:p>
            </c:rich>
          </c:tx>
          <c:layout>
            <c:manualLayout>
              <c:xMode val="edge"/>
              <c:yMode val="edge"/>
              <c:x val="0.36113568321495998"/>
              <c:y val="0.86257976686412463"/>
            </c:manualLayout>
          </c:layout>
          <c:overlay val="0"/>
        </c:title>
        <c:numFmt formatCode="General" sourceLinked="0"/>
        <c:majorTickMark val="out"/>
        <c:minorTickMark val="none"/>
        <c:tickLblPos val="nextTo"/>
        <c:txPr>
          <a:bodyPr/>
          <a:lstStyle/>
          <a:p>
            <a:pPr>
              <a:defRPr sz="1000">
                <a:latin typeface="Times New Roman" pitchFamily="18" charset="0"/>
                <a:cs typeface="Times New Roman" pitchFamily="18" charset="0"/>
              </a:defRPr>
            </a:pPr>
            <a:endParaRPr lang="en-US"/>
          </a:p>
        </c:txPr>
        <c:crossAx val="365629552"/>
        <c:crosses val="autoZero"/>
        <c:auto val="1"/>
        <c:lblAlgn val="ctr"/>
        <c:lblOffset val="100"/>
        <c:noMultiLvlLbl val="0"/>
      </c:catAx>
      <c:valAx>
        <c:axId val="365629552"/>
        <c:scaling>
          <c:orientation val="minMax"/>
          <c:max val="100"/>
          <c:min val="70"/>
        </c:scaling>
        <c:delete val="0"/>
        <c:axPos val="l"/>
        <c:majorGridlines/>
        <c:title>
          <c:tx>
            <c:rich>
              <a:bodyPr rot="-5400000" vert="horz"/>
              <a:lstStyle/>
              <a:p>
                <a:pPr>
                  <a:defRPr sz="1000" b="0">
                    <a:latin typeface="Times New Roman" pitchFamily="18" charset="0"/>
                    <a:cs typeface="Times New Roman" pitchFamily="18" charset="0"/>
                  </a:defRPr>
                </a:pPr>
                <a:r>
                  <a:rPr lang="en-US" sz="1000" b="0">
                    <a:latin typeface="Times New Roman" pitchFamily="18" charset="0"/>
                    <a:cs typeface="Times New Roman" pitchFamily="18" charset="0"/>
                  </a:rPr>
                  <a:t>RWC (%)</a:t>
                </a:r>
              </a:p>
            </c:rich>
          </c:tx>
          <c:overlay val="0"/>
        </c:title>
        <c:numFmt formatCode="General" sourceLinked="1"/>
        <c:majorTickMark val="out"/>
        <c:minorTickMark val="none"/>
        <c:tickLblPos val="nextTo"/>
        <c:crossAx val="365628376"/>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errBars>
            <c:errBarType val="plus"/>
            <c:errValType val="cust"/>
            <c:noEndCap val="0"/>
            <c:plus>
              <c:numRef>
                <c:f>Sheet2!$I$75:$I$80</c:f>
                <c:numCache>
                  <c:formatCode>General</c:formatCode>
                  <c:ptCount val="6"/>
                  <c:pt idx="0">
                    <c:v>1.888301135447789E-2</c:v>
                  </c:pt>
                  <c:pt idx="1">
                    <c:v>1.1204669505959521E-2</c:v>
                  </c:pt>
                  <c:pt idx="2">
                    <c:v>8.4009138942009228E-3</c:v>
                  </c:pt>
                  <c:pt idx="3">
                    <c:v>1.7561911084060289E-2</c:v>
                  </c:pt>
                  <c:pt idx="4">
                    <c:v>5.0460211183246971E-2</c:v>
                  </c:pt>
                  <c:pt idx="5">
                    <c:v>1.7636004161184875E-2</c:v>
                  </c:pt>
                </c:numCache>
              </c:numRef>
            </c:plus>
            <c:minus>
              <c:numRef>
                <c:f>Sheet2!$I$75:$I$80</c:f>
                <c:numCache>
                  <c:formatCode>General</c:formatCode>
                  <c:ptCount val="6"/>
                  <c:pt idx="0">
                    <c:v>1.888301135447789E-2</c:v>
                  </c:pt>
                  <c:pt idx="1">
                    <c:v>1.1204669505959521E-2</c:v>
                  </c:pt>
                  <c:pt idx="2">
                    <c:v>8.4009138942009228E-3</c:v>
                  </c:pt>
                  <c:pt idx="3">
                    <c:v>1.7561911084060289E-2</c:v>
                  </c:pt>
                  <c:pt idx="4">
                    <c:v>5.0460211183246971E-2</c:v>
                  </c:pt>
                  <c:pt idx="5">
                    <c:v>1.7636004161184875E-2</c:v>
                  </c:pt>
                </c:numCache>
              </c:numRef>
            </c:minus>
          </c:errBars>
          <c:cat>
            <c:strRef>
              <c:f>Sheet2!$B$75:$B$80</c:f>
              <c:strCache>
                <c:ptCount val="6"/>
                <c:pt idx="0">
                  <c:v>Control</c:v>
                </c:pt>
                <c:pt idx="1">
                  <c:v>50mM</c:v>
                </c:pt>
                <c:pt idx="2">
                  <c:v>100mM</c:v>
                </c:pt>
                <c:pt idx="3">
                  <c:v>150mM</c:v>
                </c:pt>
                <c:pt idx="4">
                  <c:v>200mM</c:v>
                </c:pt>
                <c:pt idx="5">
                  <c:v>250mM</c:v>
                </c:pt>
              </c:strCache>
            </c:strRef>
          </c:cat>
          <c:val>
            <c:numRef>
              <c:f>Sheet2!$F$75:$F$80</c:f>
              <c:numCache>
                <c:formatCode>General</c:formatCode>
                <c:ptCount val="6"/>
                <c:pt idx="0">
                  <c:v>0.16724240000000237</c:v>
                </c:pt>
                <c:pt idx="1">
                  <c:v>0.18792653333333534</c:v>
                </c:pt>
                <c:pt idx="2">
                  <c:v>0.2121550666666667</c:v>
                </c:pt>
                <c:pt idx="3">
                  <c:v>0.27289773333333334</c:v>
                </c:pt>
                <c:pt idx="4">
                  <c:v>0.28480146666667006</c:v>
                </c:pt>
                <c:pt idx="5">
                  <c:v>0.2391556</c:v>
                </c:pt>
              </c:numCache>
            </c:numRef>
          </c:val>
          <c:extLst xmlns:c16r2="http://schemas.microsoft.com/office/drawing/2015/06/chart">
            <c:ext xmlns:c16="http://schemas.microsoft.com/office/drawing/2014/chart" uri="{C3380CC4-5D6E-409C-BE32-E72D297353CC}">
              <c16:uniqueId val="{00000000-0A71-C843-B2FF-933F0183D326}"/>
            </c:ext>
          </c:extLst>
        </c:ser>
        <c:dLbls>
          <c:showLegendKey val="0"/>
          <c:showVal val="0"/>
          <c:showCatName val="0"/>
          <c:showSerName val="0"/>
          <c:showPercent val="0"/>
          <c:showBubbleSize val="0"/>
        </c:dLbls>
        <c:gapWidth val="150"/>
        <c:axId val="411145944"/>
        <c:axId val="507138256"/>
      </c:barChart>
      <c:catAx>
        <c:axId val="411145944"/>
        <c:scaling>
          <c:orientation val="minMax"/>
        </c:scaling>
        <c:delete val="0"/>
        <c:axPos val="b"/>
        <c:title>
          <c:tx>
            <c:rich>
              <a:bodyPr/>
              <a:lstStyle/>
              <a:p>
                <a:pPr>
                  <a:defRPr>
                    <a:latin typeface="Times New Roman" pitchFamily="18" charset="0"/>
                    <a:cs typeface="Times New Roman" pitchFamily="18" charset="0"/>
                  </a:defRPr>
                </a:pPr>
                <a:r>
                  <a:rPr lang="en-IN">
                    <a:latin typeface="Times New Roman" pitchFamily="18" charset="0"/>
                    <a:cs typeface="Times New Roman" pitchFamily="18" charset="0"/>
                  </a:rPr>
                  <a:t>Salt stress</a:t>
                </a:r>
              </a:p>
            </c:rich>
          </c:tx>
          <c:overlay val="0"/>
        </c:title>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en-US"/>
          </a:p>
        </c:txPr>
        <c:crossAx val="507138256"/>
        <c:crosses val="autoZero"/>
        <c:auto val="1"/>
        <c:lblAlgn val="ctr"/>
        <c:lblOffset val="100"/>
        <c:noMultiLvlLbl val="0"/>
      </c:catAx>
      <c:valAx>
        <c:axId val="507138256"/>
        <c:scaling>
          <c:orientation val="minMax"/>
        </c:scaling>
        <c:delete val="0"/>
        <c:axPos val="l"/>
        <c:majorGridlines/>
        <c:title>
          <c:tx>
            <c:rich>
              <a:bodyPr rot="-5400000" vert="horz"/>
              <a:lstStyle/>
              <a:p>
                <a:pPr>
                  <a:defRPr b="0">
                    <a:latin typeface="Times New Roman" pitchFamily="18" charset="0"/>
                    <a:cs typeface="Times New Roman" pitchFamily="18" charset="0"/>
                  </a:defRPr>
                </a:pPr>
                <a:r>
                  <a:rPr lang="el-GR" sz="1000" b="0" i="0" u="none" strike="noStrike" baseline="0">
                    <a:latin typeface="Times New Roman" pitchFamily="18" charset="0"/>
                    <a:cs typeface="Times New Roman" pitchFamily="18" charset="0"/>
                  </a:rPr>
                  <a:t>β </a:t>
                </a:r>
                <a:r>
                  <a:rPr lang="en-IN" sz="1000" b="0" i="0" u="none" strike="noStrike" baseline="0">
                    <a:latin typeface="Times New Roman" pitchFamily="18" charset="0"/>
                    <a:cs typeface="Times New Roman" pitchFamily="18" charset="0"/>
                  </a:rPr>
                  <a:t>carotene (</a:t>
                </a:r>
                <a:r>
                  <a:rPr lang="en-IN" sz="1000" b="0" i="0" u="none" strike="noStrike" baseline="0"/>
                  <a:t>μg g</a:t>
                </a:r>
                <a:r>
                  <a:rPr lang="en-IN" sz="1000" b="0" i="0" u="none" strike="noStrike" baseline="30000"/>
                  <a:t>-1</a:t>
                </a:r>
                <a:r>
                  <a:rPr lang="en-IN" sz="1000" b="0" i="0" u="none" strike="noStrike" baseline="0"/>
                  <a:t> FW)</a:t>
                </a:r>
                <a:r>
                  <a:rPr lang="en-IN" sz="1000" b="0" i="0" u="none" strike="noStrike" baseline="0">
                    <a:latin typeface="Times New Roman" pitchFamily="18" charset="0"/>
                    <a:cs typeface="Times New Roman" pitchFamily="18" charset="0"/>
                  </a:rPr>
                  <a:t> </a:t>
                </a:r>
                <a:endParaRPr lang="en-IN" b="0">
                  <a:latin typeface="Times New Roman" pitchFamily="18" charset="0"/>
                  <a:cs typeface="Times New Roman" pitchFamily="18" charset="0"/>
                </a:endParaRPr>
              </a:p>
            </c:rich>
          </c:tx>
          <c:overlay val="0"/>
        </c:title>
        <c:numFmt formatCode="General" sourceLinked="1"/>
        <c:majorTickMark val="out"/>
        <c:minorTickMark val="none"/>
        <c:tickLblPos val="nextTo"/>
        <c:crossAx val="411145944"/>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'Phenol (2)'!$C$25:$C$29</c:f>
              <c:strCache>
                <c:ptCount val="5"/>
                <c:pt idx="0">
                  <c:v>Control</c:v>
                </c:pt>
                <c:pt idx="1">
                  <c:v>5%</c:v>
                </c:pt>
                <c:pt idx="2">
                  <c:v>10%</c:v>
                </c:pt>
                <c:pt idx="3">
                  <c:v>15%</c:v>
                </c:pt>
                <c:pt idx="4">
                  <c:v>20%</c:v>
                </c:pt>
              </c:strCache>
            </c:strRef>
          </c:cat>
          <c:val>
            <c:numRef>
              <c:f>'Phenol (2)'!$C$25:$C$29</c:f>
              <c:numCache>
                <c:formatCode>0%</c:formatCode>
                <c:ptCount val="5"/>
                <c:pt idx="0" formatCode="General">
                  <c:v>0</c:v>
                </c:pt>
                <c:pt idx="1">
                  <c:v>0.05</c:v>
                </c:pt>
                <c:pt idx="2">
                  <c:v>0.1</c:v>
                </c:pt>
                <c:pt idx="3">
                  <c:v>0.15000000000000024</c:v>
                </c:pt>
                <c:pt idx="4">
                  <c:v>0.2</c:v>
                </c:pt>
              </c:numCache>
            </c:numRef>
          </c:val>
          <c:extLst xmlns:c16r2="http://schemas.microsoft.com/office/drawing/2015/06/chart">
            <c:ext xmlns:c16="http://schemas.microsoft.com/office/drawing/2014/chart" uri="{C3380CC4-5D6E-409C-BE32-E72D297353CC}">
              <c16:uniqueId val="{00000000-78B3-A746-BFFC-D887AEE09BB8}"/>
            </c:ext>
          </c:extLst>
        </c:ser>
        <c:ser>
          <c:idx val="1"/>
          <c:order val="1"/>
          <c:spPr>
            <a:solidFill>
              <a:schemeClr val="accent1"/>
            </a:solidFill>
          </c:spPr>
          <c:invertIfNegative val="0"/>
          <c:errBars>
            <c:errBarType val="plus"/>
            <c:errValType val="cust"/>
            <c:noEndCap val="0"/>
            <c:plus>
              <c:numRef>
                <c:f>'Phenol (2)'!$J$25:$J$29</c:f>
                <c:numCache>
                  <c:formatCode>General</c:formatCode>
                  <c:ptCount val="5"/>
                  <c:pt idx="0">
                    <c:v>4.8896178105584625</c:v>
                  </c:pt>
                  <c:pt idx="1">
                    <c:v>25.05585710855739</c:v>
                  </c:pt>
                  <c:pt idx="2">
                    <c:v>10.118759316789324</c:v>
                  </c:pt>
                  <c:pt idx="3">
                    <c:v>15.220021817037781</c:v>
                  </c:pt>
                  <c:pt idx="4">
                    <c:v>4.0887269548250575</c:v>
                  </c:pt>
                </c:numCache>
              </c:numRef>
            </c:plus>
            <c:minus>
              <c:numRef>
                <c:f>'Phenol (2)'!$J$25:$J$29</c:f>
                <c:numCache>
                  <c:formatCode>General</c:formatCode>
                  <c:ptCount val="5"/>
                  <c:pt idx="0">
                    <c:v>4.8896178105584625</c:v>
                  </c:pt>
                  <c:pt idx="1">
                    <c:v>25.05585710855739</c:v>
                  </c:pt>
                  <c:pt idx="2">
                    <c:v>10.118759316789324</c:v>
                  </c:pt>
                  <c:pt idx="3">
                    <c:v>15.220021817037781</c:v>
                  </c:pt>
                  <c:pt idx="4">
                    <c:v>4.0887269548250575</c:v>
                  </c:pt>
                </c:numCache>
              </c:numRef>
            </c:minus>
          </c:errBars>
          <c:cat>
            <c:strRef>
              <c:f>'Phenol (2)'!$C$25:$C$29</c:f>
              <c:strCache>
                <c:ptCount val="5"/>
                <c:pt idx="0">
                  <c:v>Control</c:v>
                </c:pt>
                <c:pt idx="1">
                  <c:v>5%</c:v>
                </c:pt>
                <c:pt idx="2">
                  <c:v>10%</c:v>
                </c:pt>
                <c:pt idx="3">
                  <c:v>15%</c:v>
                </c:pt>
                <c:pt idx="4">
                  <c:v>20%</c:v>
                </c:pt>
              </c:strCache>
            </c:strRef>
          </c:cat>
          <c:val>
            <c:numRef>
              <c:f>'Phenol (2)'!$G$25:$G$29</c:f>
              <c:numCache>
                <c:formatCode>General</c:formatCode>
                <c:ptCount val="5"/>
                <c:pt idx="0">
                  <c:v>161.62900000000002</c:v>
                </c:pt>
                <c:pt idx="1">
                  <c:v>270.49966666666671</c:v>
                </c:pt>
                <c:pt idx="2">
                  <c:v>293.29833333333335</c:v>
                </c:pt>
                <c:pt idx="3">
                  <c:v>347.94733333333431</c:v>
                </c:pt>
                <c:pt idx="4">
                  <c:v>318.74433333333792</c:v>
                </c:pt>
              </c:numCache>
            </c:numRef>
          </c:val>
          <c:extLst xmlns:c16r2="http://schemas.microsoft.com/office/drawing/2015/06/chart">
            <c:ext xmlns:c16="http://schemas.microsoft.com/office/drawing/2014/chart" uri="{C3380CC4-5D6E-409C-BE32-E72D297353CC}">
              <c16:uniqueId val="{00000001-78B3-A746-BFFC-D887AEE09BB8}"/>
            </c:ext>
          </c:extLst>
        </c:ser>
        <c:dLbls>
          <c:showLegendKey val="0"/>
          <c:showVal val="0"/>
          <c:showCatName val="0"/>
          <c:showSerName val="0"/>
          <c:showPercent val="0"/>
          <c:showBubbleSize val="0"/>
        </c:dLbls>
        <c:gapWidth val="150"/>
        <c:axId val="507137080"/>
        <c:axId val="507138648"/>
      </c:barChart>
      <c:catAx>
        <c:axId val="507137080"/>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PEG  6000</a:t>
                </a:r>
              </a:p>
            </c:rich>
          </c:tx>
          <c:overlay val="0"/>
        </c:title>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507138648"/>
        <c:crosses val="autoZero"/>
        <c:auto val="1"/>
        <c:lblAlgn val="ctr"/>
        <c:lblOffset val="100"/>
        <c:noMultiLvlLbl val="0"/>
      </c:catAx>
      <c:valAx>
        <c:axId val="507138648"/>
        <c:scaling>
          <c:orientation val="minMax"/>
        </c:scaling>
        <c:delete val="0"/>
        <c:axPos val="l"/>
        <c:majorGridlines/>
        <c:title>
          <c:tx>
            <c:rich>
              <a:bodyPr rot="-5400000" vert="horz"/>
              <a:lstStyle/>
              <a:p>
                <a:pPr>
                  <a:defRPr b="0">
                    <a:latin typeface="Times New Roman" pitchFamily="18" charset="0"/>
                    <a:cs typeface="Times New Roman" pitchFamily="18" charset="0"/>
                  </a:defRPr>
                </a:pPr>
                <a:r>
                  <a:rPr lang="en-US" b="0">
                    <a:latin typeface="Times New Roman" pitchFamily="18" charset="0"/>
                    <a:cs typeface="Times New Roman" pitchFamily="18" charset="0"/>
                  </a:rPr>
                  <a:t>TPC (</a:t>
                </a:r>
                <a:r>
                  <a:rPr lang="en-IN" sz="1000" b="0" i="0" u="none" strike="noStrike" baseline="0">
                    <a:latin typeface="Times New Roman" pitchFamily="18" charset="0"/>
                    <a:cs typeface="Times New Roman" pitchFamily="18" charset="0"/>
                  </a:rPr>
                  <a:t>µg GAE g</a:t>
                </a:r>
                <a:r>
                  <a:rPr lang="en-IN" sz="1000" b="0" i="0" u="none" strike="noStrike" baseline="30000">
                    <a:effectLst/>
                    <a:latin typeface="Times New Roman" pitchFamily="18" charset="0"/>
                    <a:cs typeface="Times New Roman" pitchFamily="18" charset="0"/>
                  </a:rPr>
                  <a:t>−1</a:t>
                </a:r>
                <a:r>
                  <a:rPr lang="en-IN" sz="1000" b="0" i="0" u="none" strike="noStrike" baseline="0">
                    <a:latin typeface="Times New Roman" pitchFamily="18" charset="0"/>
                    <a:cs typeface="Times New Roman" pitchFamily="18" charset="0"/>
                  </a:rPr>
                  <a:t> DW)</a:t>
                </a:r>
                <a:endParaRPr lang="en-US" b="0">
                  <a:latin typeface="Times New Roman" pitchFamily="18" charset="0"/>
                  <a:cs typeface="Times New Roman" pitchFamily="18" charset="0"/>
                </a:endParaRPr>
              </a:p>
            </c:rich>
          </c:tx>
          <c:layout>
            <c:manualLayout>
              <c:xMode val="edge"/>
              <c:yMode val="edge"/>
              <c:x val="3.1424053999886181E-2"/>
              <c:y val="0.15796094361838722"/>
            </c:manualLayout>
          </c:layout>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507137080"/>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errBars>
            <c:errBarType val="plus"/>
            <c:errValType val="cust"/>
            <c:noEndCap val="0"/>
            <c:plus>
              <c:numRef>
                <c:f>'Phenol (2)'!$J$32:$J$37</c:f>
                <c:numCache>
                  <c:formatCode>General</c:formatCode>
                  <c:ptCount val="6"/>
                  <c:pt idx="0">
                    <c:v>3.939092718437244</c:v>
                  </c:pt>
                  <c:pt idx="1">
                    <c:v>16.56438541972911</c:v>
                  </c:pt>
                  <c:pt idx="2">
                    <c:v>11.99388078702305</c:v>
                  </c:pt>
                  <c:pt idx="3">
                    <c:v>10.535515997488375</c:v>
                  </c:pt>
                  <c:pt idx="4">
                    <c:v>6.9512972410426999</c:v>
                  </c:pt>
                  <c:pt idx="5">
                    <c:v>4.3431193219211304</c:v>
                  </c:pt>
                </c:numCache>
              </c:numRef>
            </c:plus>
            <c:minus>
              <c:numRef>
                <c:f>'Phenol (2)'!$J$32:$J$37</c:f>
                <c:numCache>
                  <c:formatCode>General</c:formatCode>
                  <c:ptCount val="6"/>
                  <c:pt idx="0">
                    <c:v>3.939092718437244</c:v>
                  </c:pt>
                  <c:pt idx="1">
                    <c:v>16.56438541972911</c:v>
                  </c:pt>
                  <c:pt idx="2">
                    <c:v>11.99388078702305</c:v>
                  </c:pt>
                  <c:pt idx="3">
                    <c:v>10.535515997488375</c:v>
                  </c:pt>
                  <c:pt idx="4">
                    <c:v>6.9512972410426999</c:v>
                  </c:pt>
                  <c:pt idx="5">
                    <c:v>4.3431193219211304</c:v>
                  </c:pt>
                </c:numCache>
              </c:numRef>
            </c:minus>
          </c:errBars>
          <c:cat>
            <c:strRef>
              <c:f>'Phenol (2)'!$C$32:$C$37</c:f>
              <c:strCache>
                <c:ptCount val="6"/>
                <c:pt idx="0">
                  <c:v>Control</c:v>
                </c:pt>
                <c:pt idx="1">
                  <c:v>50mM</c:v>
                </c:pt>
                <c:pt idx="2">
                  <c:v>100mM</c:v>
                </c:pt>
                <c:pt idx="3">
                  <c:v>150mM</c:v>
                </c:pt>
                <c:pt idx="4">
                  <c:v>200mM</c:v>
                </c:pt>
                <c:pt idx="5">
                  <c:v>250mM</c:v>
                </c:pt>
              </c:strCache>
            </c:strRef>
          </c:cat>
          <c:val>
            <c:numRef>
              <c:f>'Phenol (2)'!$G$32:$G$37</c:f>
              <c:numCache>
                <c:formatCode>General</c:formatCode>
                <c:ptCount val="6"/>
                <c:pt idx="0">
                  <c:v>163.76333333333341</c:v>
                </c:pt>
                <c:pt idx="1">
                  <c:v>256.92299999999869</c:v>
                </c:pt>
                <c:pt idx="2">
                  <c:v>296.714</c:v>
                </c:pt>
                <c:pt idx="3">
                  <c:v>365.70800000000003</c:v>
                </c:pt>
                <c:pt idx="4">
                  <c:v>326.08799999999923</c:v>
                </c:pt>
                <c:pt idx="5">
                  <c:v>300.81266666666738</c:v>
                </c:pt>
              </c:numCache>
            </c:numRef>
          </c:val>
          <c:extLst xmlns:c16r2="http://schemas.microsoft.com/office/drawing/2015/06/chart">
            <c:ext xmlns:c16="http://schemas.microsoft.com/office/drawing/2014/chart" uri="{C3380CC4-5D6E-409C-BE32-E72D297353CC}">
              <c16:uniqueId val="{00000000-E79E-0246-ABD9-26619146B586}"/>
            </c:ext>
          </c:extLst>
        </c:ser>
        <c:dLbls>
          <c:showLegendKey val="0"/>
          <c:showVal val="0"/>
          <c:showCatName val="0"/>
          <c:showSerName val="0"/>
          <c:showPercent val="0"/>
          <c:showBubbleSize val="0"/>
        </c:dLbls>
        <c:gapWidth val="150"/>
        <c:axId val="507137472"/>
        <c:axId val="507139432"/>
      </c:barChart>
      <c:catAx>
        <c:axId val="507137472"/>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Salt stress</a:t>
                </a:r>
              </a:p>
            </c:rich>
          </c:tx>
          <c:overlay val="0"/>
        </c:title>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en-US"/>
          </a:p>
        </c:txPr>
        <c:crossAx val="507139432"/>
        <c:crosses val="autoZero"/>
        <c:auto val="1"/>
        <c:lblAlgn val="ctr"/>
        <c:lblOffset val="100"/>
        <c:noMultiLvlLbl val="0"/>
      </c:catAx>
      <c:valAx>
        <c:axId val="507139432"/>
        <c:scaling>
          <c:orientation val="minMax"/>
        </c:scaling>
        <c:delete val="0"/>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itchFamily="18" charset="0"/>
                    <a:ea typeface="+mn-ea"/>
                    <a:cs typeface="Times New Roman" pitchFamily="18" charset="0"/>
                  </a:defRPr>
                </a:pPr>
                <a:r>
                  <a:rPr lang="en-US" sz="1000" b="0" i="0" baseline="0">
                    <a:latin typeface="Times New Roman" pitchFamily="18" charset="0"/>
                    <a:cs typeface="Times New Roman" pitchFamily="18" charset="0"/>
                  </a:rPr>
                  <a:t>TPC  (</a:t>
                </a:r>
                <a:r>
                  <a:rPr lang="en-IN" sz="1000" b="0" i="0" baseline="0">
                    <a:latin typeface="Times New Roman" pitchFamily="18" charset="0"/>
                    <a:cs typeface="Times New Roman" pitchFamily="18" charset="0"/>
                  </a:rPr>
                  <a:t>µgGAE g</a:t>
                </a:r>
                <a:r>
                  <a:rPr lang="en-IN" sz="1000" b="0" i="0" baseline="30000">
                    <a:latin typeface="Times New Roman" pitchFamily="18" charset="0"/>
                    <a:cs typeface="Times New Roman" pitchFamily="18" charset="0"/>
                  </a:rPr>
                  <a:t>−1</a:t>
                </a:r>
                <a:r>
                  <a:rPr lang="en-IN" sz="1000" b="0" i="0" baseline="0">
                    <a:latin typeface="Times New Roman" pitchFamily="18" charset="0"/>
                    <a:cs typeface="Times New Roman" pitchFamily="18" charset="0"/>
                  </a:rPr>
                  <a:t> DW)</a:t>
                </a:r>
                <a:endParaRPr lang="en-US" sz="1000" b="0" i="0" baseline="0">
                  <a:latin typeface="Times New Roman" pitchFamily="18" charset="0"/>
                  <a:cs typeface="Times New Roman" pitchFamily="18" charset="0"/>
                </a:endParaRPr>
              </a:p>
            </c:rich>
          </c:tx>
          <c:layout>
            <c:manualLayout>
              <c:xMode val="edge"/>
              <c:yMode val="edge"/>
              <c:x val="4.1159702526622356E-2"/>
              <c:y val="0.12658990624463387"/>
            </c:manualLayout>
          </c:layout>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507137472"/>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'Flavonoid (2)'!$C$24:$C$28</c:f>
              <c:strCache>
                <c:ptCount val="1"/>
                <c:pt idx="0">
                  <c:v>Control 5% 10% 15% 20%</c:v>
                </c:pt>
              </c:strCache>
            </c:strRef>
          </c:tx>
          <c:invertIfNegative val="0"/>
          <c:cat>
            <c:strRef>
              <c:f>'Flavonoid (2)'!$C$24:$C$28</c:f>
              <c:strCache>
                <c:ptCount val="5"/>
                <c:pt idx="0">
                  <c:v>Control</c:v>
                </c:pt>
                <c:pt idx="1">
                  <c:v>5%</c:v>
                </c:pt>
                <c:pt idx="2">
                  <c:v>10%</c:v>
                </c:pt>
                <c:pt idx="3">
                  <c:v>15%</c:v>
                </c:pt>
                <c:pt idx="4">
                  <c:v>20%</c:v>
                </c:pt>
              </c:strCache>
            </c:strRef>
          </c:cat>
          <c:val>
            <c:numRef>
              <c:f>'Flavonoid (2)'!$C$24:$C$28</c:f>
              <c:numCache>
                <c:formatCode>0%</c:formatCode>
                <c:ptCount val="5"/>
                <c:pt idx="0" formatCode="General">
                  <c:v>0</c:v>
                </c:pt>
                <c:pt idx="1">
                  <c:v>0.05</c:v>
                </c:pt>
                <c:pt idx="2">
                  <c:v>0.1</c:v>
                </c:pt>
                <c:pt idx="3">
                  <c:v>0.15000000000000024</c:v>
                </c:pt>
                <c:pt idx="4">
                  <c:v>0.2</c:v>
                </c:pt>
              </c:numCache>
            </c:numRef>
          </c:val>
          <c:extLst xmlns:c16r2="http://schemas.microsoft.com/office/drawing/2015/06/chart">
            <c:ext xmlns:c16="http://schemas.microsoft.com/office/drawing/2014/chart" uri="{C3380CC4-5D6E-409C-BE32-E72D297353CC}">
              <c16:uniqueId val="{00000000-A1CF-F945-95A7-1D93E2407AB3}"/>
            </c:ext>
          </c:extLst>
        </c:ser>
        <c:ser>
          <c:idx val="1"/>
          <c:order val="1"/>
          <c:spPr>
            <a:solidFill>
              <a:schemeClr val="accent1"/>
            </a:solidFill>
          </c:spPr>
          <c:invertIfNegative val="0"/>
          <c:errBars>
            <c:errBarType val="plus"/>
            <c:errValType val="cust"/>
            <c:noEndCap val="0"/>
            <c:plus>
              <c:numRef>
                <c:f>'Flavonoid (2)'!$J$24:$J$28</c:f>
                <c:numCache>
                  <c:formatCode>General</c:formatCode>
                  <c:ptCount val="5"/>
                  <c:pt idx="0">
                    <c:v>4.1083133464409265</c:v>
                  </c:pt>
                  <c:pt idx="1">
                    <c:v>3.2994497132099037</c:v>
                  </c:pt>
                  <c:pt idx="2">
                    <c:v>8.8492785631246988</c:v>
                  </c:pt>
                  <c:pt idx="3">
                    <c:v>3.7095490787669481</c:v>
                  </c:pt>
                  <c:pt idx="4">
                    <c:v>5.3769160139535224</c:v>
                  </c:pt>
                </c:numCache>
              </c:numRef>
            </c:plus>
            <c:minus>
              <c:numRef>
                <c:f>'Flavonoid (2)'!$J$24:$J$28</c:f>
                <c:numCache>
                  <c:formatCode>General</c:formatCode>
                  <c:ptCount val="5"/>
                  <c:pt idx="0">
                    <c:v>4.1083133464409265</c:v>
                  </c:pt>
                  <c:pt idx="1">
                    <c:v>3.2994497132099037</c:v>
                  </c:pt>
                  <c:pt idx="2">
                    <c:v>8.8492785631246988</c:v>
                  </c:pt>
                  <c:pt idx="3">
                    <c:v>3.7095490787669481</c:v>
                  </c:pt>
                  <c:pt idx="4">
                    <c:v>5.3769160139535224</c:v>
                  </c:pt>
                </c:numCache>
              </c:numRef>
            </c:minus>
          </c:errBars>
          <c:cat>
            <c:strRef>
              <c:f>'Flavonoid (2)'!$C$24:$C$28</c:f>
              <c:strCache>
                <c:ptCount val="5"/>
                <c:pt idx="0">
                  <c:v>Control</c:v>
                </c:pt>
                <c:pt idx="1">
                  <c:v>5%</c:v>
                </c:pt>
                <c:pt idx="2">
                  <c:v>10%</c:v>
                </c:pt>
                <c:pt idx="3">
                  <c:v>15%</c:v>
                </c:pt>
                <c:pt idx="4">
                  <c:v>20%</c:v>
                </c:pt>
              </c:strCache>
            </c:strRef>
          </c:cat>
          <c:val>
            <c:numRef>
              <c:f>'Flavonoid (2)'!$G$24:$G$28</c:f>
              <c:numCache>
                <c:formatCode>General</c:formatCode>
                <c:ptCount val="5"/>
                <c:pt idx="0">
                  <c:v>98.487156666666664</c:v>
                </c:pt>
                <c:pt idx="1">
                  <c:v>138.89740000000177</c:v>
                </c:pt>
                <c:pt idx="2">
                  <c:v>141.40096666666668</c:v>
                </c:pt>
                <c:pt idx="3">
                  <c:v>156.51873333333344</c:v>
                </c:pt>
                <c:pt idx="4">
                  <c:v>133.56926666666658</c:v>
                </c:pt>
              </c:numCache>
            </c:numRef>
          </c:val>
          <c:extLst xmlns:c16r2="http://schemas.microsoft.com/office/drawing/2015/06/chart">
            <c:ext xmlns:c16="http://schemas.microsoft.com/office/drawing/2014/chart" uri="{C3380CC4-5D6E-409C-BE32-E72D297353CC}">
              <c16:uniqueId val="{00000001-A1CF-F945-95A7-1D93E2407AB3}"/>
            </c:ext>
          </c:extLst>
        </c:ser>
        <c:dLbls>
          <c:showLegendKey val="0"/>
          <c:showVal val="0"/>
          <c:showCatName val="0"/>
          <c:showSerName val="0"/>
          <c:showPercent val="0"/>
          <c:showBubbleSize val="0"/>
        </c:dLbls>
        <c:gapWidth val="150"/>
        <c:axId val="507136688"/>
        <c:axId val="404048248"/>
      </c:barChart>
      <c:catAx>
        <c:axId val="507136688"/>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PEG 6000</a:t>
                </a:r>
              </a:p>
            </c:rich>
          </c:tx>
          <c:layout>
            <c:manualLayout>
              <c:xMode val="edge"/>
              <c:yMode val="edge"/>
              <c:x val="0.46179712132902778"/>
              <c:y val="0.85312436859396445"/>
            </c:manualLayout>
          </c:layout>
          <c:overlay val="0"/>
        </c:title>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404048248"/>
        <c:crosses val="autoZero"/>
        <c:auto val="1"/>
        <c:lblAlgn val="ctr"/>
        <c:lblOffset val="100"/>
        <c:noMultiLvlLbl val="0"/>
      </c:catAx>
      <c:valAx>
        <c:axId val="404048248"/>
        <c:scaling>
          <c:orientation val="minMax"/>
        </c:scaling>
        <c:delete val="0"/>
        <c:axPos val="l"/>
        <c:majorGridlines/>
        <c:title>
          <c:tx>
            <c:rich>
              <a:bodyPr rot="-5400000" vert="horz"/>
              <a:lstStyle/>
              <a:p>
                <a:pPr>
                  <a:defRPr b="0">
                    <a:latin typeface="Times New Roman" pitchFamily="18" charset="0"/>
                    <a:cs typeface="Times New Roman" pitchFamily="18" charset="0"/>
                  </a:defRPr>
                </a:pPr>
                <a:r>
                  <a:rPr lang="en-IN" b="0">
                    <a:latin typeface="Times New Roman" pitchFamily="18" charset="0"/>
                    <a:cs typeface="Times New Roman" pitchFamily="18" charset="0"/>
                  </a:rPr>
                  <a:t>TFC  (µgQE g</a:t>
                </a:r>
                <a:r>
                  <a:rPr lang="en-IN" b="0" baseline="30000">
                    <a:latin typeface="Times New Roman" pitchFamily="18" charset="0"/>
                    <a:cs typeface="Times New Roman" pitchFamily="18" charset="0"/>
                  </a:rPr>
                  <a:t>−1 </a:t>
                </a:r>
                <a:r>
                  <a:rPr lang="en-IN" b="0">
                    <a:latin typeface="Times New Roman" pitchFamily="18" charset="0"/>
                    <a:cs typeface="Times New Roman" pitchFamily="18" charset="0"/>
                  </a:rPr>
                  <a:t>DW)</a:t>
                </a:r>
                <a:endParaRPr lang="en-US" b="0">
                  <a:latin typeface="Times New Roman" pitchFamily="18" charset="0"/>
                  <a:cs typeface="Times New Roman" pitchFamily="18" charset="0"/>
                </a:endParaRPr>
              </a:p>
            </c:rich>
          </c:tx>
          <c:layout>
            <c:manualLayout>
              <c:xMode val="edge"/>
              <c:yMode val="edge"/>
              <c:x val="3.1364307133365001E-2"/>
              <c:y val="0.10782551324331548"/>
            </c:manualLayout>
          </c:layout>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507136688"/>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errBars>
            <c:errBarType val="plus"/>
            <c:errValType val="cust"/>
            <c:noEndCap val="0"/>
            <c:plus>
              <c:numRef>
                <c:f>'Flavonoid (2)'!$J$32:$J$37</c:f>
                <c:numCache>
                  <c:formatCode>General</c:formatCode>
                  <c:ptCount val="6"/>
                  <c:pt idx="0">
                    <c:v>3.6714452196074308</c:v>
                  </c:pt>
                  <c:pt idx="1">
                    <c:v>2.0216250265018347</c:v>
                  </c:pt>
                  <c:pt idx="2">
                    <c:v>4.5085891943413934</c:v>
                  </c:pt>
                  <c:pt idx="3">
                    <c:v>4.4994375620121794</c:v>
                  </c:pt>
                  <c:pt idx="4">
                    <c:v>1.4220955152333055</c:v>
                  </c:pt>
                  <c:pt idx="5">
                    <c:v>3.6578154602318187</c:v>
                  </c:pt>
                </c:numCache>
              </c:numRef>
            </c:plus>
            <c:minus>
              <c:numRef>
                <c:f>'Flavonoid (2)'!$J$32:$J$37</c:f>
                <c:numCache>
                  <c:formatCode>General</c:formatCode>
                  <c:ptCount val="6"/>
                  <c:pt idx="0">
                    <c:v>3.6714452196074308</c:v>
                  </c:pt>
                  <c:pt idx="1">
                    <c:v>2.0216250265018347</c:v>
                  </c:pt>
                  <c:pt idx="2">
                    <c:v>4.5085891943413934</c:v>
                  </c:pt>
                  <c:pt idx="3">
                    <c:v>4.4994375620121794</c:v>
                  </c:pt>
                  <c:pt idx="4">
                    <c:v>1.4220955152333055</c:v>
                  </c:pt>
                  <c:pt idx="5">
                    <c:v>3.6578154602318187</c:v>
                  </c:pt>
                </c:numCache>
              </c:numRef>
            </c:minus>
          </c:errBars>
          <c:cat>
            <c:strRef>
              <c:f>'Flavonoid (2)'!$C$32:$C$37</c:f>
              <c:strCache>
                <c:ptCount val="6"/>
                <c:pt idx="0">
                  <c:v>Control</c:v>
                </c:pt>
                <c:pt idx="1">
                  <c:v>50mM</c:v>
                </c:pt>
                <c:pt idx="2">
                  <c:v>100mM</c:v>
                </c:pt>
                <c:pt idx="3">
                  <c:v>150mM</c:v>
                </c:pt>
                <c:pt idx="4">
                  <c:v>200mM</c:v>
                </c:pt>
                <c:pt idx="5">
                  <c:v>250mM</c:v>
                </c:pt>
              </c:strCache>
            </c:strRef>
          </c:cat>
          <c:val>
            <c:numRef>
              <c:f>'Flavonoid (2)'!$G$32:$G$37</c:f>
              <c:numCache>
                <c:formatCode>General</c:formatCode>
                <c:ptCount val="6"/>
                <c:pt idx="0">
                  <c:v>99.417966666667837</c:v>
                </c:pt>
                <c:pt idx="1">
                  <c:v>132.54216666666665</c:v>
                </c:pt>
                <c:pt idx="2">
                  <c:v>151.1585</c:v>
                </c:pt>
                <c:pt idx="3">
                  <c:v>160.62716666666665</c:v>
                </c:pt>
                <c:pt idx="4">
                  <c:v>143.48726666666667</c:v>
                </c:pt>
                <c:pt idx="5">
                  <c:v>121.40446666666666</c:v>
                </c:pt>
              </c:numCache>
            </c:numRef>
          </c:val>
          <c:extLst xmlns:c16r2="http://schemas.microsoft.com/office/drawing/2015/06/chart">
            <c:ext xmlns:c16="http://schemas.microsoft.com/office/drawing/2014/chart" uri="{C3380CC4-5D6E-409C-BE32-E72D297353CC}">
              <c16:uniqueId val="{00000000-8674-5F4A-B1EF-5EEECA635E8E}"/>
            </c:ext>
          </c:extLst>
        </c:ser>
        <c:dLbls>
          <c:showLegendKey val="0"/>
          <c:showVal val="0"/>
          <c:showCatName val="0"/>
          <c:showSerName val="0"/>
          <c:showPercent val="0"/>
          <c:showBubbleSize val="0"/>
        </c:dLbls>
        <c:gapWidth val="150"/>
        <c:axId val="404047072"/>
        <c:axId val="404048640"/>
      </c:barChart>
      <c:catAx>
        <c:axId val="404047072"/>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NaCl</a:t>
                </a:r>
              </a:p>
            </c:rich>
          </c:tx>
          <c:layout>
            <c:manualLayout>
              <c:xMode val="edge"/>
              <c:yMode val="edge"/>
              <c:x val="0.48062628398696267"/>
              <c:y val="0.86056953162255501"/>
            </c:manualLayout>
          </c:layout>
          <c:overlay val="0"/>
        </c:title>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en-US"/>
          </a:p>
        </c:txPr>
        <c:crossAx val="404048640"/>
        <c:crosses val="autoZero"/>
        <c:auto val="1"/>
        <c:lblAlgn val="ctr"/>
        <c:lblOffset val="100"/>
        <c:noMultiLvlLbl val="0"/>
      </c:catAx>
      <c:valAx>
        <c:axId val="404048640"/>
        <c:scaling>
          <c:orientation val="minMax"/>
        </c:scaling>
        <c:delete val="0"/>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itchFamily="18" charset="0"/>
                    <a:ea typeface="+mn-ea"/>
                    <a:cs typeface="Times New Roman" pitchFamily="18" charset="0"/>
                  </a:defRPr>
                </a:pPr>
                <a:r>
                  <a:rPr lang="en-IN" sz="1000" b="0" i="0" baseline="0">
                    <a:latin typeface="Times New Roman" pitchFamily="18" charset="0"/>
                    <a:cs typeface="Times New Roman" pitchFamily="18" charset="0"/>
                  </a:rPr>
                  <a:t>TFC  (µg QEg</a:t>
                </a:r>
                <a:r>
                  <a:rPr lang="en-IN" sz="1000" b="0" i="0" baseline="30000">
                    <a:latin typeface="Times New Roman" pitchFamily="18" charset="0"/>
                    <a:cs typeface="Times New Roman" pitchFamily="18" charset="0"/>
                  </a:rPr>
                  <a:t>−1</a:t>
                </a:r>
                <a:r>
                  <a:rPr lang="en-IN" sz="1000" b="0" i="0" baseline="0">
                    <a:latin typeface="Times New Roman" pitchFamily="18" charset="0"/>
                    <a:cs typeface="Times New Roman" pitchFamily="18" charset="0"/>
                  </a:rPr>
                  <a:t> DW)</a:t>
                </a:r>
                <a:endParaRPr lang="en-US" sz="1000" b="0" i="0" baseline="0">
                  <a:latin typeface="Times New Roman" pitchFamily="18" charset="0"/>
                  <a:cs typeface="Times New Roman" pitchFamily="18" charset="0"/>
                </a:endParaRPr>
              </a:p>
            </c:rich>
          </c:tx>
          <c:layout>
            <c:manualLayout>
              <c:xMode val="edge"/>
              <c:yMode val="edge"/>
              <c:x val="3.5844911486707119E-2"/>
              <c:y val="6.6024569457894325E-2"/>
            </c:manualLayout>
          </c:layout>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40404707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errBars>
            <c:errBarType val="plus"/>
            <c:errValType val="cust"/>
            <c:noEndCap val="0"/>
            <c:plus>
              <c:numRef>
                <c:f>Sheet1!$I$27:$I$32</c:f>
                <c:numCache>
                  <c:formatCode>General</c:formatCode>
                  <c:ptCount val="6"/>
                  <c:pt idx="0">
                    <c:v>0.62342876833853456</c:v>
                  </c:pt>
                  <c:pt idx="1">
                    <c:v>0.27716300750428818</c:v>
                  </c:pt>
                  <c:pt idx="2">
                    <c:v>0.29898472262623232</c:v>
                  </c:pt>
                  <c:pt idx="3">
                    <c:v>1.1999138861202721</c:v>
                  </c:pt>
                  <c:pt idx="4">
                    <c:v>0.5242754722565095</c:v>
                  </c:pt>
                  <c:pt idx="5">
                    <c:v>2.3642811706263211</c:v>
                  </c:pt>
                </c:numCache>
              </c:numRef>
            </c:plus>
            <c:minus>
              <c:numRef>
                <c:f>Sheet1!$I$27:$I$32</c:f>
                <c:numCache>
                  <c:formatCode>General</c:formatCode>
                  <c:ptCount val="6"/>
                  <c:pt idx="0">
                    <c:v>0.62342876833853456</c:v>
                  </c:pt>
                  <c:pt idx="1">
                    <c:v>0.27716300750428818</c:v>
                  </c:pt>
                  <c:pt idx="2">
                    <c:v>0.29898472262623232</c:v>
                  </c:pt>
                  <c:pt idx="3">
                    <c:v>1.1999138861202721</c:v>
                  </c:pt>
                  <c:pt idx="4">
                    <c:v>0.5242754722565095</c:v>
                  </c:pt>
                  <c:pt idx="5">
                    <c:v>2.3642811706263211</c:v>
                  </c:pt>
                </c:numCache>
              </c:numRef>
            </c:minus>
          </c:errBars>
          <c:cat>
            <c:strRef>
              <c:f>Sheet1!$B$27:$B$32</c:f>
              <c:strCache>
                <c:ptCount val="6"/>
                <c:pt idx="0">
                  <c:v>Control</c:v>
                </c:pt>
                <c:pt idx="1">
                  <c:v>50mM</c:v>
                </c:pt>
                <c:pt idx="2">
                  <c:v>100mM</c:v>
                </c:pt>
                <c:pt idx="3">
                  <c:v>150mM</c:v>
                </c:pt>
                <c:pt idx="4">
                  <c:v>200mM</c:v>
                </c:pt>
                <c:pt idx="5">
                  <c:v>250mM</c:v>
                </c:pt>
              </c:strCache>
            </c:strRef>
          </c:cat>
          <c:val>
            <c:numRef>
              <c:f>Sheet1!$F$27:$F$32</c:f>
              <c:numCache>
                <c:formatCode>General</c:formatCode>
                <c:ptCount val="6"/>
                <c:pt idx="0">
                  <c:v>95.297593737393626</c:v>
                </c:pt>
                <c:pt idx="1">
                  <c:v>92.498353303903016</c:v>
                </c:pt>
                <c:pt idx="2">
                  <c:v>89.183772626808988</c:v>
                </c:pt>
                <c:pt idx="3">
                  <c:v>85.299686914673984</c:v>
                </c:pt>
                <c:pt idx="4">
                  <c:v>76.355891994477915</c:v>
                </c:pt>
                <c:pt idx="5">
                  <c:v>74.98188169471382</c:v>
                </c:pt>
              </c:numCache>
            </c:numRef>
          </c:val>
          <c:extLst xmlns:c16r2="http://schemas.microsoft.com/office/drawing/2015/06/chart">
            <c:ext xmlns:c16="http://schemas.microsoft.com/office/drawing/2014/chart" uri="{C3380CC4-5D6E-409C-BE32-E72D297353CC}">
              <c16:uniqueId val="{00000000-07A6-674D-9301-7C0AA3AC506C}"/>
            </c:ext>
          </c:extLst>
        </c:ser>
        <c:dLbls>
          <c:showLegendKey val="0"/>
          <c:showVal val="0"/>
          <c:showCatName val="0"/>
          <c:showSerName val="0"/>
          <c:showPercent val="0"/>
          <c:showBubbleSize val="0"/>
        </c:dLbls>
        <c:gapWidth val="150"/>
        <c:axId val="365630336"/>
        <c:axId val="365630728"/>
      </c:barChart>
      <c:catAx>
        <c:axId val="365630336"/>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Salt Stress</a:t>
                </a:r>
              </a:p>
            </c:rich>
          </c:tx>
          <c:layout>
            <c:manualLayout>
              <c:xMode val="edge"/>
              <c:yMode val="edge"/>
              <c:x val="0.41913688793616538"/>
              <c:y val="0.87613861667917392"/>
            </c:manualLayout>
          </c:layout>
          <c:overlay val="0"/>
        </c:title>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en-US"/>
          </a:p>
        </c:txPr>
        <c:crossAx val="365630728"/>
        <c:crosses val="autoZero"/>
        <c:auto val="1"/>
        <c:lblAlgn val="ctr"/>
        <c:lblOffset val="100"/>
        <c:noMultiLvlLbl val="0"/>
      </c:catAx>
      <c:valAx>
        <c:axId val="365630728"/>
        <c:scaling>
          <c:orientation val="minMax"/>
          <c:max val="100"/>
        </c:scaling>
        <c:delete val="0"/>
        <c:axPos val="l"/>
        <c:majorGridlines/>
        <c:title>
          <c:tx>
            <c:rich>
              <a:bodyPr rot="-5400000" vert="horz"/>
              <a:lstStyle/>
              <a:p>
                <a:pPr>
                  <a:defRPr sz="800" b="0">
                    <a:latin typeface="Times New Roman" pitchFamily="18" charset="0"/>
                    <a:cs typeface="Times New Roman" pitchFamily="18" charset="0"/>
                  </a:defRPr>
                </a:pPr>
                <a:r>
                  <a:rPr lang="en-US" sz="1000" b="0">
                    <a:latin typeface="Times New Roman" pitchFamily="18" charset="0"/>
                    <a:cs typeface="Times New Roman" pitchFamily="18" charset="0"/>
                  </a:rPr>
                  <a:t>RWC (%)</a:t>
                </a:r>
              </a:p>
            </c:rich>
          </c:tx>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36563033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errBars>
            <c:errBarType val="plus"/>
            <c:errValType val="cust"/>
            <c:noEndCap val="0"/>
            <c:plus>
              <c:numRef>
                <c:f>Sheet1!$I$66:$I$70</c:f>
                <c:numCache>
                  <c:formatCode>General</c:formatCode>
                  <c:ptCount val="5"/>
                  <c:pt idx="0">
                    <c:v>0.12090871315633006</c:v>
                  </c:pt>
                  <c:pt idx="1">
                    <c:v>7.7982222680008109E-2</c:v>
                  </c:pt>
                  <c:pt idx="2">
                    <c:v>0.32786538248858532</c:v>
                  </c:pt>
                  <c:pt idx="3">
                    <c:v>0.89108123127383754</c:v>
                  </c:pt>
                  <c:pt idx="4">
                    <c:v>0.51421710896710826</c:v>
                  </c:pt>
                </c:numCache>
              </c:numRef>
            </c:plus>
            <c:minus>
              <c:numRef>
                <c:f>Sheet1!$I$66:$I$70</c:f>
                <c:numCache>
                  <c:formatCode>General</c:formatCode>
                  <c:ptCount val="5"/>
                  <c:pt idx="0">
                    <c:v>0.12090871315633006</c:v>
                  </c:pt>
                  <c:pt idx="1">
                    <c:v>7.7982222680008109E-2</c:v>
                  </c:pt>
                  <c:pt idx="2">
                    <c:v>0.32786538248858532</c:v>
                  </c:pt>
                  <c:pt idx="3">
                    <c:v>0.89108123127383754</c:v>
                  </c:pt>
                  <c:pt idx="4">
                    <c:v>0.51421710896710826</c:v>
                  </c:pt>
                </c:numCache>
              </c:numRef>
            </c:minus>
          </c:errBars>
          <c:cat>
            <c:strRef>
              <c:f>Sheet1!$B$66:$B$71</c:f>
              <c:strCache>
                <c:ptCount val="5"/>
                <c:pt idx="0">
                  <c:v>Control</c:v>
                </c:pt>
                <c:pt idx="1">
                  <c:v>5%</c:v>
                </c:pt>
                <c:pt idx="2">
                  <c:v>10%</c:v>
                </c:pt>
                <c:pt idx="3">
                  <c:v>15%</c:v>
                </c:pt>
                <c:pt idx="4">
                  <c:v>20%</c:v>
                </c:pt>
              </c:strCache>
            </c:strRef>
          </c:cat>
          <c:val>
            <c:numRef>
              <c:f>Sheet1!$F$66:$F$71</c:f>
              <c:numCache>
                <c:formatCode>General</c:formatCode>
                <c:ptCount val="6"/>
                <c:pt idx="0">
                  <c:v>95.233595551342745</c:v>
                </c:pt>
                <c:pt idx="1">
                  <c:v>94.632157130570349</c:v>
                </c:pt>
                <c:pt idx="2">
                  <c:v>94.393794138692058</c:v>
                </c:pt>
                <c:pt idx="3">
                  <c:v>91.422701592192993</c:v>
                </c:pt>
                <c:pt idx="4">
                  <c:v>88.197455041746963</c:v>
                </c:pt>
              </c:numCache>
            </c:numRef>
          </c:val>
          <c:extLst xmlns:c16r2="http://schemas.microsoft.com/office/drawing/2015/06/chart">
            <c:ext xmlns:c16="http://schemas.microsoft.com/office/drawing/2014/chart" uri="{C3380CC4-5D6E-409C-BE32-E72D297353CC}">
              <c16:uniqueId val="{00000000-0991-1C44-AD91-97665DDFA183}"/>
            </c:ext>
          </c:extLst>
        </c:ser>
        <c:dLbls>
          <c:showLegendKey val="0"/>
          <c:showVal val="0"/>
          <c:showCatName val="0"/>
          <c:showSerName val="0"/>
          <c:showPercent val="0"/>
          <c:showBubbleSize val="0"/>
        </c:dLbls>
        <c:gapWidth val="150"/>
        <c:axId val="365627592"/>
        <c:axId val="317509520"/>
      </c:barChart>
      <c:catAx>
        <c:axId val="365627592"/>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PEG 6000 Stress</a:t>
                </a:r>
              </a:p>
            </c:rich>
          </c:tx>
          <c:layout>
            <c:manualLayout>
              <c:xMode val="edge"/>
              <c:yMode val="edge"/>
              <c:x val="0.40902908325505544"/>
              <c:y val="0.86890241384720834"/>
            </c:manualLayout>
          </c:layout>
          <c:overlay val="0"/>
        </c:title>
        <c:numFmt formatCode="General" sourceLinked="0"/>
        <c:majorTickMark val="out"/>
        <c:minorTickMark val="none"/>
        <c:tickLblPos val="nextTo"/>
        <c:txPr>
          <a:bodyPr/>
          <a:lstStyle/>
          <a:p>
            <a:pPr>
              <a:defRPr sz="1000">
                <a:latin typeface="Times New Roman" pitchFamily="18" charset="0"/>
                <a:cs typeface="Times New Roman" pitchFamily="18" charset="0"/>
              </a:defRPr>
            </a:pPr>
            <a:endParaRPr lang="en-US"/>
          </a:p>
        </c:txPr>
        <c:crossAx val="317509520"/>
        <c:crosses val="autoZero"/>
        <c:auto val="1"/>
        <c:lblAlgn val="ctr"/>
        <c:lblOffset val="100"/>
        <c:noMultiLvlLbl val="0"/>
      </c:catAx>
      <c:valAx>
        <c:axId val="317509520"/>
        <c:scaling>
          <c:orientation val="minMax"/>
          <c:max val="100"/>
        </c:scaling>
        <c:delete val="0"/>
        <c:axPos val="l"/>
        <c:majorGridlines/>
        <c:title>
          <c:tx>
            <c:rich>
              <a:bodyPr rot="-5400000" vert="horz"/>
              <a:lstStyle/>
              <a:p>
                <a:pPr>
                  <a:defRPr sz="1000" b="0">
                    <a:latin typeface="Times New Roman" pitchFamily="18" charset="0"/>
                    <a:cs typeface="Times New Roman" pitchFamily="18" charset="0"/>
                  </a:defRPr>
                </a:pPr>
                <a:r>
                  <a:rPr lang="en-US" sz="1000" b="0">
                    <a:latin typeface="Times New Roman" pitchFamily="18" charset="0"/>
                    <a:cs typeface="Times New Roman" pitchFamily="18" charset="0"/>
                  </a:rPr>
                  <a:t>MSI (%)</a:t>
                </a:r>
              </a:p>
            </c:rich>
          </c:tx>
          <c:overlay val="0"/>
        </c:title>
        <c:numFmt formatCode="General" sourceLinked="1"/>
        <c:majorTickMark val="out"/>
        <c:minorTickMark val="none"/>
        <c:tickLblPos val="nextTo"/>
        <c:crossAx val="36562759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errBars>
            <c:errBarType val="plus"/>
            <c:errValType val="cust"/>
            <c:noEndCap val="0"/>
            <c:plus>
              <c:numRef>
                <c:f>Sheet1!$I$66:$I$71</c:f>
                <c:numCache>
                  <c:formatCode>General</c:formatCode>
                  <c:ptCount val="6"/>
                  <c:pt idx="0">
                    <c:v>0.32913580482600235</c:v>
                  </c:pt>
                  <c:pt idx="1">
                    <c:v>0.13403480212656821</c:v>
                  </c:pt>
                  <c:pt idx="2">
                    <c:v>0.23823104053508548</c:v>
                  </c:pt>
                  <c:pt idx="3">
                    <c:v>0.34053681983811451</c:v>
                  </c:pt>
                  <c:pt idx="4">
                    <c:v>0.69641934268228189</c:v>
                  </c:pt>
                  <c:pt idx="5">
                    <c:v>0.5946747261383476</c:v>
                  </c:pt>
                </c:numCache>
              </c:numRef>
            </c:plus>
            <c:minus>
              <c:numRef>
                <c:f>Sheet1!$I$66:$I$71</c:f>
                <c:numCache>
                  <c:formatCode>General</c:formatCode>
                  <c:ptCount val="6"/>
                  <c:pt idx="0">
                    <c:v>0.32913580482600235</c:v>
                  </c:pt>
                  <c:pt idx="1">
                    <c:v>0.13403480212656821</c:v>
                  </c:pt>
                  <c:pt idx="2">
                    <c:v>0.23823104053508548</c:v>
                  </c:pt>
                  <c:pt idx="3">
                    <c:v>0.34053681983811451</c:v>
                  </c:pt>
                  <c:pt idx="4">
                    <c:v>0.69641934268228189</c:v>
                  </c:pt>
                  <c:pt idx="5">
                    <c:v>0.5946747261383476</c:v>
                  </c:pt>
                </c:numCache>
              </c:numRef>
            </c:minus>
          </c:errBars>
          <c:cat>
            <c:strRef>
              <c:f>Sheet1!$B$66:$B$71</c:f>
              <c:strCache>
                <c:ptCount val="6"/>
                <c:pt idx="0">
                  <c:v>Control</c:v>
                </c:pt>
                <c:pt idx="1">
                  <c:v>50mM</c:v>
                </c:pt>
                <c:pt idx="2">
                  <c:v>100mM</c:v>
                </c:pt>
                <c:pt idx="3">
                  <c:v>150mM</c:v>
                </c:pt>
                <c:pt idx="4">
                  <c:v>200mM</c:v>
                </c:pt>
                <c:pt idx="5">
                  <c:v>250mM</c:v>
                </c:pt>
              </c:strCache>
            </c:strRef>
          </c:cat>
          <c:val>
            <c:numRef>
              <c:f>Sheet1!$F$66:$F$71</c:f>
              <c:numCache>
                <c:formatCode>General</c:formatCode>
                <c:ptCount val="6"/>
                <c:pt idx="0">
                  <c:v>95.017006632324183</c:v>
                </c:pt>
                <c:pt idx="1">
                  <c:v>94.83424932368581</c:v>
                </c:pt>
                <c:pt idx="2">
                  <c:v>94.625881741536247</c:v>
                </c:pt>
                <c:pt idx="3">
                  <c:v>94.550985829758389</c:v>
                </c:pt>
                <c:pt idx="4">
                  <c:v>94.014205332571109</c:v>
                </c:pt>
                <c:pt idx="5">
                  <c:v>92.408180820522986</c:v>
                </c:pt>
              </c:numCache>
            </c:numRef>
          </c:val>
          <c:extLst xmlns:c16r2="http://schemas.microsoft.com/office/drawing/2015/06/chart">
            <c:ext xmlns:c16="http://schemas.microsoft.com/office/drawing/2014/chart" uri="{C3380CC4-5D6E-409C-BE32-E72D297353CC}">
              <c16:uniqueId val="{00000000-D622-5C42-B7AC-69B62C42A005}"/>
            </c:ext>
          </c:extLst>
        </c:ser>
        <c:dLbls>
          <c:showLegendKey val="0"/>
          <c:showVal val="0"/>
          <c:showCatName val="0"/>
          <c:showSerName val="0"/>
          <c:showPercent val="0"/>
          <c:showBubbleSize val="0"/>
        </c:dLbls>
        <c:gapWidth val="150"/>
        <c:axId val="365862240"/>
        <c:axId val="365859496"/>
      </c:barChart>
      <c:catAx>
        <c:axId val="365862240"/>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Salt Stress</a:t>
                </a:r>
              </a:p>
            </c:rich>
          </c:tx>
          <c:overlay val="0"/>
        </c:title>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en-US"/>
          </a:p>
        </c:txPr>
        <c:crossAx val="365859496"/>
        <c:crosses val="autoZero"/>
        <c:auto val="1"/>
        <c:lblAlgn val="ctr"/>
        <c:lblOffset val="100"/>
        <c:noMultiLvlLbl val="0"/>
      </c:catAx>
      <c:valAx>
        <c:axId val="365859496"/>
        <c:scaling>
          <c:orientation val="minMax"/>
          <c:max val="100"/>
          <c:min val="80"/>
        </c:scaling>
        <c:delete val="0"/>
        <c:axPos val="l"/>
        <c:majorGridlines/>
        <c:title>
          <c:tx>
            <c:rich>
              <a:bodyPr rot="-5400000" vert="horz"/>
              <a:lstStyle/>
              <a:p>
                <a:pPr>
                  <a:defRPr sz="1000" b="0">
                    <a:latin typeface="Times New Roman" pitchFamily="18" charset="0"/>
                    <a:cs typeface="Times New Roman" pitchFamily="18" charset="0"/>
                  </a:defRPr>
                </a:pPr>
                <a:r>
                  <a:rPr lang="en-US" sz="1000" b="0">
                    <a:latin typeface="Times New Roman" pitchFamily="18" charset="0"/>
                    <a:cs typeface="Times New Roman" pitchFamily="18" charset="0"/>
                  </a:rPr>
                  <a:t>MSI(%)</a:t>
                </a:r>
              </a:p>
            </c:rich>
          </c:tx>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365862240"/>
        <c:crosses val="autoZero"/>
        <c:crossBetween val="between"/>
        <c:majorUnit val="5"/>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errBars>
            <c:errBarType val="plus"/>
            <c:errValType val="cust"/>
            <c:noEndCap val="0"/>
            <c:plus>
              <c:numRef>
                <c:f>Sheet1!$I$102:$I$106</c:f>
                <c:numCache>
                  <c:formatCode>General</c:formatCode>
                  <c:ptCount val="5"/>
                  <c:pt idx="0">
                    <c:v>7.2323025028235904E-3</c:v>
                  </c:pt>
                  <c:pt idx="1">
                    <c:v>7.3692036564524024E-3</c:v>
                  </c:pt>
                  <c:pt idx="2">
                    <c:v>1.1529572499531604E-2</c:v>
                  </c:pt>
                  <c:pt idx="3">
                    <c:v>1.364685762486246E-2</c:v>
                  </c:pt>
                  <c:pt idx="4">
                    <c:v>8.7346296972130311E-3</c:v>
                  </c:pt>
                </c:numCache>
              </c:numRef>
            </c:plus>
            <c:minus>
              <c:numRef>
                <c:f>Sheet1!$I$102:$I$106</c:f>
                <c:numCache>
                  <c:formatCode>General</c:formatCode>
                  <c:ptCount val="5"/>
                  <c:pt idx="0">
                    <c:v>7.2323025028235904E-3</c:v>
                  </c:pt>
                  <c:pt idx="1">
                    <c:v>7.3692036564524024E-3</c:v>
                  </c:pt>
                  <c:pt idx="2">
                    <c:v>1.1529572499531604E-2</c:v>
                  </c:pt>
                  <c:pt idx="3">
                    <c:v>1.364685762486246E-2</c:v>
                  </c:pt>
                  <c:pt idx="4">
                    <c:v>8.7346296972130311E-3</c:v>
                  </c:pt>
                </c:numCache>
              </c:numRef>
            </c:minus>
          </c:errBars>
          <c:cat>
            <c:strRef>
              <c:f>Sheet1!$B$102:$B$107</c:f>
              <c:strCache>
                <c:ptCount val="5"/>
                <c:pt idx="0">
                  <c:v>Control</c:v>
                </c:pt>
                <c:pt idx="1">
                  <c:v>5%</c:v>
                </c:pt>
                <c:pt idx="2">
                  <c:v>10%</c:v>
                </c:pt>
                <c:pt idx="3">
                  <c:v>15%</c:v>
                </c:pt>
                <c:pt idx="4">
                  <c:v>20%</c:v>
                </c:pt>
              </c:strCache>
            </c:strRef>
          </c:cat>
          <c:val>
            <c:numRef>
              <c:f>Sheet1!$F$102:$F$107</c:f>
              <c:numCache>
                <c:formatCode>General</c:formatCode>
                <c:ptCount val="6"/>
                <c:pt idx="0">
                  <c:v>4.0981240981240979E-2</c:v>
                </c:pt>
                <c:pt idx="1">
                  <c:v>4.6176046176046176E-2</c:v>
                </c:pt>
                <c:pt idx="2">
                  <c:v>6.7532467532467583E-2</c:v>
                </c:pt>
                <c:pt idx="3">
                  <c:v>8.6002886002886025E-2</c:v>
                </c:pt>
                <c:pt idx="4">
                  <c:v>8.2539682539683246E-2</c:v>
                </c:pt>
              </c:numCache>
            </c:numRef>
          </c:val>
          <c:extLst xmlns:c16r2="http://schemas.microsoft.com/office/drawing/2015/06/chart">
            <c:ext xmlns:c16="http://schemas.microsoft.com/office/drawing/2014/chart" uri="{C3380CC4-5D6E-409C-BE32-E72D297353CC}">
              <c16:uniqueId val="{00000000-A4B4-7541-B315-49597F108956}"/>
            </c:ext>
          </c:extLst>
        </c:ser>
        <c:dLbls>
          <c:showLegendKey val="0"/>
          <c:showVal val="0"/>
          <c:showCatName val="0"/>
          <c:showSerName val="0"/>
          <c:showPercent val="0"/>
          <c:showBubbleSize val="0"/>
        </c:dLbls>
        <c:gapWidth val="150"/>
        <c:axId val="365859104"/>
        <c:axId val="365859888"/>
      </c:barChart>
      <c:catAx>
        <c:axId val="365859104"/>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PEG 6000 Stress</a:t>
                </a:r>
              </a:p>
            </c:rich>
          </c:tx>
          <c:overlay val="0"/>
        </c:title>
        <c:numFmt formatCode="General" sourceLinked="0"/>
        <c:majorTickMark val="out"/>
        <c:minorTickMark val="none"/>
        <c:tickLblPos val="nextTo"/>
        <c:txPr>
          <a:bodyPr/>
          <a:lstStyle/>
          <a:p>
            <a:pPr>
              <a:defRPr sz="1000">
                <a:latin typeface="Times New Roman" pitchFamily="18" charset="0"/>
                <a:cs typeface="Times New Roman" pitchFamily="18" charset="0"/>
              </a:defRPr>
            </a:pPr>
            <a:endParaRPr lang="en-US"/>
          </a:p>
        </c:txPr>
        <c:crossAx val="365859888"/>
        <c:crosses val="autoZero"/>
        <c:auto val="1"/>
        <c:lblAlgn val="ctr"/>
        <c:lblOffset val="100"/>
        <c:noMultiLvlLbl val="0"/>
      </c:catAx>
      <c:valAx>
        <c:axId val="365859888"/>
        <c:scaling>
          <c:orientation val="minMax"/>
        </c:scaling>
        <c:delete val="0"/>
        <c:axPos val="l"/>
        <c:majorGridlines/>
        <c:title>
          <c:tx>
            <c:rich>
              <a:bodyPr rot="-5400000" vert="horz"/>
              <a:lstStyle/>
              <a:p>
                <a:pPr>
                  <a:defRPr sz="1000" b="0">
                    <a:latin typeface="Times New Roman" pitchFamily="18" charset="0"/>
                    <a:cs typeface="Times New Roman" pitchFamily="18" charset="0"/>
                  </a:defRPr>
                </a:pPr>
                <a:r>
                  <a:rPr lang="en-US" sz="1000" b="0">
                    <a:latin typeface="Times New Roman" pitchFamily="18" charset="0"/>
                    <a:cs typeface="Times New Roman" pitchFamily="18" charset="0"/>
                  </a:rPr>
                  <a:t>Proline</a:t>
                </a:r>
                <a:r>
                  <a:rPr lang="en-US" sz="1000" b="0" baseline="0">
                    <a:latin typeface="Times New Roman" pitchFamily="18" charset="0"/>
                    <a:cs typeface="Times New Roman" pitchFamily="18" charset="0"/>
                  </a:rPr>
                  <a:t> </a:t>
                </a:r>
                <a:r>
                  <a:rPr lang="en-US" sz="1000" b="0">
                    <a:latin typeface="Times New Roman" pitchFamily="18" charset="0"/>
                    <a:cs typeface="Times New Roman" pitchFamily="18" charset="0"/>
                  </a:rPr>
                  <a:t> ( µmol.g</a:t>
                </a:r>
                <a:r>
                  <a:rPr lang="en-US" sz="1000" b="0" baseline="30000">
                    <a:latin typeface="Times New Roman" pitchFamily="18" charset="0"/>
                    <a:cs typeface="Times New Roman" pitchFamily="18" charset="0"/>
                  </a:rPr>
                  <a:t>-1 </a:t>
                </a:r>
                <a:r>
                  <a:rPr lang="en-US" sz="1000" b="0">
                    <a:latin typeface="Times New Roman" pitchFamily="18" charset="0"/>
                    <a:cs typeface="Times New Roman" pitchFamily="18" charset="0"/>
                  </a:rPr>
                  <a:t>FW)</a:t>
                </a:r>
              </a:p>
            </c:rich>
          </c:tx>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365859104"/>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errBars>
            <c:errBarType val="plus"/>
            <c:errValType val="cust"/>
            <c:noEndCap val="0"/>
            <c:plus>
              <c:numRef>
                <c:f>Sheet1!$I$102:$I$107</c:f>
                <c:numCache>
                  <c:formatCode>General</c:formatCode>
                  <c:ptCount val="6"/>
                  <c:pt idx="0">
                    <c:v>6.0261509430941124E-3</c:v>
                  </c:pt>
                  <c:pt idx="1">
                    <c:v>7.0219480869244321E-3</c:v>
                  </c:pt>
                  <c:pt idx="2">
                    <c:v>1.2763835144298023E-2</c:v>
                  </c:pt>
                  <c:pt idx="3">
                    <c:v>1.136953281592626E-2</c:v>
                  </c:pt>
                  <c:pt idx="4">
                    <c:v>4.3085616407553311E-2</c:v>
                  </c:pt>
                  <c:pt idx="5">
                    <c:v>2.1160522689550591E-2</c:v>
                  </c:pt>
                </c:numCache>
              </c:numRef>
            </c:plus>
            <c:minus>
              <c:numRef>
                <c:f>Sheet1!$I$102:$I$107</c:f>
                <c:numCache>
                  <c:formatCode>General</c:formatCode>
                  <c:ptCount val="6"/>
                  <c:pt idx="0">
                    <c:v>6.0261509430941124E-3</c:v>
                  </c:pt>
                  <c:pt idx="1">
                    <c:v>7.0219480869244321E-3</c:v>
                  </c:pt>
                  <c:pt idx="2">
                    <c:v>1.2763835144298023E-2</c:v>
                  </c:pt>
                  <c:pt idx="3">
                    <c:v>1.136953281592626E-2</c:v>
                  </c:pt>
                  <c:pt idx="4">
                    <c:v>4.3085616407553311E-2</c:v>
                  </c:pt>
                  <c:pt idx="5">
                    <c:v>2.1160522689550591E-2</c:v>
                  </c:pt>
                </c:numCache>
              </c:numRef>
            </c:minus>
          </c:errBars>
          <c:cat>
            <c:strRef>
              <c:f>Sheet1!$B$102:$B$107</c:f>
              <c:strCache>
                <c:ptCount val="6"/>
                <c:pt idx="0">
                  <c:v>Control</c:v>
                </c:pt>
                <c:pt idx="1">
                  <c:v>50mM</c:v>
                </c:pt>
                <c:pt idx="2">
                  <c:v>100mM</c:v>
                </c:pt>
                <c:pt idx="3">
                  <c:v>150mM</c:v>
                </c:pt>
                <c:pt idx="4">
                  <c:v>200mM</c:v>
                </c:pt>
                <c:pt idx="5">
                  <c:v>250mM</c:v>
                </c:pt>
              </c:strCache>
            </c:strRef>
          </c:cat>
          <c:val>
            <c:numRef>
              <c:f>Sheet1!$F$102:$F$107</c:f>
              <c:numCache>
                <c:formatCode>General</c:formatCode>
                <c:ptCount val="6"/>
                <c:pt idx="0">
                  <c:v>4.9639249639249663E-2</c:v>
                </c:pt>
                <c:pt idx="1">
                  <c:v>5.4256854256854274E-2</c:v>
                </c:pt>
                <c:pt idx="2">
                  <c:v>7.2727272727272738E-2</c:v>
                </c:pt>
                <c:pt idx="3">
                  <c:v>9.4083694083694103E-2</c:v>
                </c:pt>
                <c:pt idx="4">
                  <c:v>0.21067821067821066</c:v>
                </c:pt>
                <c:pt idx="5">
                  <c:v>0.4259740259740325</c:v>
                </c:pt>
              </c:numCache>
            </c:numRef>
          </c:val>
          <c:extLst xmlns:c16r2="http://schemas.microsoft.com/office/drawing/2015/06/chart">
            <c:ext xmlns:c16="http://schemas.microsoft.com/office/drawing/2014/chart" uri="{C3380CC4-5D6E-409C-BE32-E72D297353CC}">
              <c16:uniqueId val="{00000000-EFA0-A34C-9B3A-C25FC471E9A9}"/>
            </c:ext>
          </c:extLst>
        </c:ser>
        <c:dLbls>
          <c:showLegendKey val="0"/>
          <c:showVal val="0"/>
          <c:showCatName val="0"/>
          <c:showSerName val="0"/>
          <c:showPercent val="0"/>
          <c:showBubbleSize val="0"/>
        </c:dLbls>
        <c:gapWidth val="150"/>
        <c:axId val="365861064"/>
        <c:axId val="365861848"/>
      </c:barChart>
      <c:catAx>
        <c:axId val="365861064"/>
        <c:scaling>
          <c:orientation val="minMax"/>
        </c:scaling>
        <c:delete val="0"/>
        <c:axPos val="b"/>
        <c:title>
          <c:tx>
            <c:rich>
              <a:bodyPr/>
              <a:lstStyle/>
              <a:p>
                <a:pPr>
                  <a:defRPr/>
                </a:pPr>
                <a:r>
                  <a:rPr lang="en-US">
                    <a:latin typeface="Times New Roman" pitchFamily="18" charset="0"/>
                    <a:cs typeface="Times New Roman" pitchFamily="18" charset="0"/>
                  </a:rPr>
                  <a:t>Salt Stress</a:t>
                </a:r>
              </a:p>
            </c:rich>
          </c:tx>
          <c:overlay val="0"/>
        </c:title>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en-US"/>
          </a:p>
        </c:txPr>
        <c:crossAx val="365861848"/>
        <c:crosses val="autoZero"/>
        <c:auto val="1"/>
        <c:lblAlgn val="ctr"/>
        <c:lblOffset val="100"/>
        <c:noMultiLvlLbl val="0"/>
      </c:catAx>
      <c:valAx>
        <c:axId val="365861848"/>
        <c:scaling>
          <c:orientation val="minMax"/>
        </c:scaling>
        <c:delete val="0"/>
        <c:axPos val="l"/>
        <c:majorGridlines/>
        <c:title>
          <c:tx>
            <c:rich>
              <a:bodyPr rot="-5400000" vert="horz"/>
              <a:lstStyle/>
              <a:p>
                <a:pPr>
                  <a:defRPr sz="1000" b="0">
                    <a:latin typeface="Times New Roman" pitchFamily="18" charset="0"/>
                    <a:cs typeface="Times New Roman" pitchFamily="18" charset="0"/>
                  </a:defRPr>
                </a:pPr>
                <a:r>
                  <a:rPr lang="en-US" sz="1000" b="0">
                    <a:latin typeface="Times New Roman" pitchFamily="18" charset="0"/>
                    <a:cs typeface="Times New Roman" pitchFamily="18" charset="0"/>
                  </a:rPr>
                  <a:t>Proline (µmol.g</a:t>
                </a:r>
                <a:r>
                  <a:rPr lang="en-US" sz="1000" b="0" baseline="30000">
                    <a:latin typeface="Times New Roman" pitchFamily="18" charset="0"/>
                    <a:cs typeface="Times New Roman" pitchFamily="18" charset="0"/>
                  </a:rPr>
                  <a:t>-1 </a:t>
                </a:r>
                <a:r>
                  <a:rPr lang="en-US" sz="1000" b="0">
                    <a:latin typeface="Times New Roman" pitchFamily="18" charset="0"/>
                    <a:cs typeface="Times New Roman" pitchFamily="18" charset="0"/>
                  </a:rPr>
                  <a:t>FW)</a:t>
                </a:r>
              </a:p>
            </c:rich>
          </c:tx>
          <c:layout>
            <c:manualLayout>
              <c:xMode val="edge"/>
              <c:yMode val="edge"/>
              <c:x val="4.9547475845162184E-2"/>
              <c:y val="0.10224917051111403"/>
            </c:manualLayout>
          </c:layout>
          <c:overlay val="0"/>
        </c:title>
        <c:numFmt formatCode="General" sourceLinked="1"/>
        <c:majorTickMark val="out"/>
        <c:minorTickMark val="none"/>
        <c:tickLblPos val="nextTo"/>
        <c:crossAx val="365861064"/>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errBars>
            <c:errBarType val="plus"/>
            <c:errValType val="cust"/>
            <c:noEndCap val="0"/>
            <c:plus>
              <c:numRef>
                <c:f>Sheet2!$I$31:$I$35</c:f>
                <c:numCache>
                  <c:formatCode>General</c:formatCode>
                  <c:ptCount val="5"/>
                  <c:pt idx="0">
                    <c:v>0.3095938464253517</c:v>
                  </c:pt>
                  <c:pt idx="1">
                    <c:v>0.13026748869580573</c:v>
                  </c:pt>
                  <c:pt idx="2">
                    <c:v>3.952347445927528E-2</c:v>
                  </c:pt>
                  <c:pt idx="3">
                    <c:v>0.12946914123965353</c:v>
                  </c:pt>
                  <c:pt idx="4">
                    <c:v>9.3157938708653604E-2</c:v>
                  </c:pt>
                </c:numCache>
              </c:numRef>
            </c:plus>
            <c:minus>
              <c:numRef>
                <c:f>Sheet2!$I$31:$I$35</c:f>
                <c:numCache>
                  <c:formatCode>General</c:formatCode>
                  <c:ptCount val="5"/>
                  <c:pt idx="0">
                    <c:v>0.3095938464253517</c:v>
                  </c:pt>
                  <c:pt idx="1">
                    <c:v>0.13026748869580573</c:v>
                  </c:pt>
                  <c:pt idx="2">
                    <c:v>3.952347445927528E-2</c:v>
                  </c:pt>
                  <c:pt idx="3">
                    <c:v>0.12946914123965353</c:v>
                  </c:pt>
                  <c:pt idx="4">
                    <c:v>9.3157938708653604E-2</c:v>
                  </c:pt>
                </c:numCache>
              </c:numRef>
            </c:minus>
          </c:errBars>
          <c:cat>
            <c:strRef>
              <c:f>Sheet2!$B$31:$B$36</c:f>
              <c:strCache>
                <c:ptCount val="5"/>
                <c:pt idx="0">
                  <c:v>Control</c:v>
                </c:pt>
                <c:pt idx="1">
                  <c:v>5%</c:v>
                </c:pt>
                <c:pt idx="2">
                  <c:v>10%</c:v>
                </c:pt>
                <c:pt idx="3">
                  <c:v>15%</c:v>
                </c:pt>
                <c:pt idx="4">
                  <c:v>20%</c:v>
                </c:pt>
              </c:strCache>
            </c:strRef>
          </c:cat>
          <c:val>
            <c:numRef>
              <c:f>Sheet2!$F$31:$F$36</c:f>
              <c:numCache>
                <c:formatCode>General</c:formatCode>
                <c:ptCount val="6"/>
                <c:pt idx="0">
                  <c:v>1.4610033333333334</c:v>
                </c:pt>
                <c:pt idx="1">
                  <c:v>1.9655533333333381</c:v>
                </c:pt>
                <c:pt idx="2">
                  <c:v>2.6874300000000315</c:v>
                </c:pt>
                <c:pt idx="3">
                  <c:v>2.8062299999999967</c:v>
                </c:pt>
                <c:pt idx="4">
                  <c:v>1.8274133333333333</c:v>
                </c:pt>
              </c:numCache>
            </c:numRef>
          </c:val>
          <c:extLst xmlns:c16r2="http://schemas.microsoft.com/office/drawing/2015/06/chart">
            <c:ext xmlns:c16="http://schemas.microsoft.com/office/drawing/2014/chart" uri="{C3380CC4-5D6E-409C-BE32-E72D297353CC}">
              <c16:uniqueId val="{00000000-8238-9141-AAD5-AB97E889324C}"/>
            </c:ext>
          </c:extLst>
        </c:ser>
        <c:dLbls>
          <c:showLegendKey val="0"/>
          <c:showVal val="0"/>
          <c:showCatName val="0"/>
          <c:showSerName val="0"/>
          <c:showPercent val="0"/>
          <c:showBubbleSize val="0"/>
        </c:dLbls>
        <c:gapWidth val="150"/>
        <c:axId val="411147904"/>
        <c:axId val="411147512"/>
      </c:barChart>
      <c:catAx>
        <c:axId val="411147904"/>
        <c:scaling>
          <c:orientation val="minMax"/>
        </c:scaling>
        <c:delete val="0"/>
        <c:axPos val="b"/>
        <c:title>
          <c:tx>
            <c:rich>
              <a:bodyPr/>
              <a:lstStyle/>
              <a:p>
                <a:pPr>
                  <a:defRPr b="1">
                    <a:latin typeface="Times New Roman" pitchFamily="18" charset="0"/>
                    <a:cs typeface="Times New Roman" pitchFamily="18" charset="0"/>
                  </a:defRPr>
                </a:pPr>
                <a:r>
                  <a:rPr lang="en-IN" b="1">
                    <a:latin typeface="Times New Roman" pitchFamily="18" charset="0"/>
                    <a:cs typeface="Times New Roman" pitchFamily="18" charset="0"/>
                  </a:rPr>
                  <a:t>PEG 6000 stress</a:t>
                </a:r>
              </a:p>
            </c:rich>
          </c:tx>
          <c:overlay val="0"/>
        </c:title>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411147512"/>
        <c:crosses val="autoZero"/>
        <c:auto val="1"/>
        <c:lblAlgn val="ctr"/>
        <c:lblOffset val="100"/>
        <c:noMultiLvlLbl val="0"/>
      </c:catAx>
      <c:valAx>
        <c:axId val="411147512"/>
        <c:scaling>
          <c:orientation val="minMax"/>
        </c:scaling>
        <c:delete val="0"/>
        <c:axPos val="l"/>
        <c:majorGridlines/>
        <c:title>
          <c:tx>
            <c:rich>
              <a:bodyPr rot="-5400000" vert="horz"/>
              <a:lstStyle/>
              <a:p>
                <a:pPr>
                  <a:defRPr sz="1000" b="0">
                    <a:latin typeface="Times New Roman" pitchFamily="18" charset="0"/>
                    <a:cs typeface="Times New Roman" pitchFamily="18" charset="0"/>
                  </a:defRPr>
                </a:pPr>
                <a:r>
                  <a:rPr lang="en-IN" sz="1000" b="0">
                    <a:latin typeface="Times New Roman" pitchFamily="18" charset="0"/>
                    <a:cs typeface="Times New Roman" pitchFamily="18" charset="0"/>
                  </a:rPr>
                  <a:t>MDA</a:t>
                </a:r>
                <a:r>
                  <a:rPr lang="en-IN" sz="1000" b="0" baseline="0">
                    <a:latin typeface="Times New Roman" pitchFamily="18" charset="0"/>
                    <a:cs typeface="Times New Roman" pitchFamily="18" charset="0"/>
                  </a:rPr>
                  <a:t> </a:t>
                </a:r>
                <a:r>
                  <a:rPr lang="en-IN" sz="1000" b="0">
                    <a:latin typeface="Times New Roman" pitchFamily="18" charset="0"/>
                    <a:cs typeface="Times New Roman" pitchFamily="18" charset="0"/>
                  </a:rPr>
                  <a:t> (µmolg</a:t>
                </a:r>
                <a:r>
                  <a:rPr lang="en-IN" sz="1000" b="0" baseline="30000">
                    <a:latin typeface="Times New Roman" pitchFamily="18" charset="0"/>
                    <a:cs typeface="Times New Roman" pitchFamily="18" charset="0"/>
                  </a:rPr>
                  <a:t>-1</a:t>
                </a:r>
                <a:r>
                  <a:rPr lang="en-IN" sz="1000" b="0">
                    <a:latin typeface="Times New Roman" pitchFamily="18" charset="0"/>
                    <a:cs typeface="Times New Roman" pitchFamily="18" charset="0"/>
                  </a:rPr>
                  <a:t> FW)</a:t>
                </a:r>
              </a:p>
            </c:rich>
          </c:tx>
          <c:layout>
            <c:manualLayout>
              <c:xMode val="edge"/>
              <c:yMode val="edge"/>
              <c:x val="4.9969363808087634E-2"/>
              <c:y val="0.10406785738940118"/>
            </c:manualLayout>
          </c:layout>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411147904"/>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errBars>
            <c:errBarType val="plus"/>
            <c:errValType val="cust"/>
            <c:noEndCap val="0"/>
            <c:plus>
              <c:numRef>
                <c:f>Sheet2!$I$31:$I$36</c:f>
                <c:numCache>
                  <c:formatCode>General</c:formatCode>
                  <c:ptCount val="6"/>
                  <c:pt idx="0">
                    <c:v>0.1663869943835751</c:v>
                  </c:pt>
                  <c:pt idx="1">
                    <c:v>0.27531961707158531</c:v>
                  </c:pt>
                  <c:pt idx="2">
                    <c:v>9.6158299058254293E-2</c:v>
                  </c:pt>
                  <c:pt idx="3">
                    <c:v>0.16112129912997972</c:v>
                  </c:pt>
                  <c:pt idx="4">
                    <c:v>0.26407738097846695</c:v>
                  </c:pt>
                  <c:pt idx="5">
                    <c:v>0.11964357293413203</c:v>
                  </c:pt>
                </c:numCache>
              </c:numRef>
            </c:plus>
            <c:minus>
              <c:numRef>
                <c:f>Sheet2!$I$31:$I$36</c:f>
                <c:numCache>
                  <c:formatCode>General</c:formatCode>
                  <c:ptCount val="6"/>
                  <c:pt idx="0">
                    <c:v>0.1663869943835751</c:v>
                  </c:pt>
                  <c:pt idx="1">
                    <c:v>0.27531961707158531</c:v>
                  </c:pt>
                  <c:pt idx="2">
                    <c:v>9.6158299058254293E-2</c:v>
                  </c:pt>
                  <c:pt idx="3">
                    <c:v>0.16112129912997972</c:v>
                  </c:pt>
                  <c:pt idx="4">
                    <c:v>0.26407738097846695</c:v>
                  </c:pt>
                  <c:pt idx="5">
                    <c:v>0.11964357293413203</c:v>
                  </c:pt>
                </c:numCache>
              </c:numRef>
            </c:minus>
          </c:errBars>
          <c:cat>
            <c:strRef>
              <c:f>Sheet2!$B$31:$B$36</c:f>
              <c:strCache>
                <c:ptCount val="6"/>
                <c:pt idx="0">
                  <c:v>Control</c:v>
                </c:pt>
                <c:pt idx="1">
                  <c:v>50mM</c:v>
                </c:pt>
                <c:pt idx="2">
                  <c:v>100mM</c:v>
                </c:pt>
                <c:pt idx="3">
                  <c:v>150mM</c:v>
                </c:pt>
                <c:pt idx="4">
                  <c:v>200mM</c:v>
                </c:pt>
                <c:pt idx="5">
                  <c:v>250mM</c:v>
                </c:pt>
              </c:strCache>
            </c:strRef>
          </c:cat>
          <c:val>
            <c:numRef>
              <c:f>Sheet2!$F$31:$F$36</c:f>
              <c:numCache>
                <c:formatCode>General</c:formatCode>
                <c:ptCount val="6"/>
                <c:pt idx="0">
                  <c:v>1.605739999999986</c:v>
                </c:pt>
                <c:pt idx="1">
                  <c:v>1.9665266666666681</c:v>
                </c:pt>
                <c:pt idx="2">
                  <c:v>2.5176133333333337</c:v>
                </c:pt>
                <c:pt idx="3">
                  <c:v>2.9285300000000012</c:v>
                </c:pt>
                <c:pt idx="4">
                  <c:v>2.9919966666666666</c:v>
                </c:pt>
                <c:pt idx="5">
                  <c:v>2.2215333333333342</c:v>
                </c:pt>
              </c:numCache>
            </c:numRef>
          </c:val>
          <c:extLst xmlns:c16r2="http://schemas.microsoft.com/office/drawing/2015/06/chart">
            <c:ext xmlns:c16="http://schemas.microsoft.com/office/drawing/2014/chart" uri="{C3380CC4-5D6E-409C-BE32-E72D297353CC}">
              <c16:uniqueId val="{00000000-19DF-084C-BA39-4173D294EB31}"/>
            </c:ext>
          </c:extLst>
        </c:ser>
        <c:dLbls>
          <c:showLegendKey val="0"/>
          <c:showVal val="0"/>
          <c:showCatName val="0"/>
          <c:showSerName val="0"/>
          <c:showPercent val="0"/>
          <c:showBubbleSize val="0"/>
        </c:dLbls>
        <c:gapWidth val="150"/>
        <c:axId val="411144768"/>
        <c:axId val="411145160"/>
      </c:barChart>
      <c:catAx>
        <c:axId val="411144768"/>
        <c:scaling>
          <c:orientation val="minMax"/>
        </c:scaling>
        <c:delete val="0"/>
        <c:axPos val="b"/>
        <c:title>
          <c:tx>
            <c:rich>
              <a:bodyPr/>
              <a:lstStyle/>
              <a:p>
                <a:pPr>
                  <a:defRPr>
                    <a:latin typeface="Times New Roman" pitchFamily="18" charset="0"/>
                    <a:cs typeface="Times New Roman" pitchFamily="18" charset="0"/>
                  </a:defRPr>
                </a:pPr>
                <a:r>
                  <a:rPr lang="en-IN">
                    <a:latin typeface="Times New Roman" pitchFamily="18" charset="0"/>
                    <a:cs typeface="Times New Roman" pitchFamily="18" charset="0"/>
                  </a:rPr>
                  <a:t>Salt stress</a:t>
                </a:r>
              </a:p>
            </c:rich>
          </c:tx>
          <c:overlay val="0"/>
        </c:title>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en-US"/>
          </a:p>
        </c:txPr>
        <c:crossAx val="411145160"/>
        <c:crosses val="autoZero"/>
        <c:auto val="1"/>
        <c:lblAlgn val="ctr"/>
        <c:lblOffset val="100"/>
        <c:noMultiLvlLbl val="0"/>
      </c:catAx>
      <c:valAx>
        <c:axId val="411145160"/>
        <c:scaling>
          <c:orientation val="minMax"/>
        </c:scaling>
        <c:delete val="0"/>
        <c:axPos val="l"/>
        <c:majorGridlines/>
        <c:title>
          <c:tx>
            <c:rich>
              <a:bodyPr rot="-5400000" vert="horz"/>
              <a:lstStyle/>
              <a:p>
                <a:pPr>
                  <a:defRPr b="0">
                    <a:latin typeface="Times New Roman" pitchFamily="18" charset="0"/>
                    <a:cs typeface="Times New Roman" pitchFamily="18" charset="0"/>
                  </a:defRPr>
                </a:pPr>
                <a:r>
                  <a:rPr lang="en-IN" b="0">
                    <a:latin typeface="Times New Roman" pitchFamily="18" charset="0"/>
                    <a:cs typeface="Times New Roman" pitchFamily="18" charset="0"/>
                  </a:rPr>
                  <a:t>MDA  (µmolg</a:t>
                </a:r>
                <a:r>
                  <a:rPr lang="en-IN" b="0" baseline="30000">
                    <a:latin typeface="Times New Roman" pitchFamily="18" charset="0"/>
                    <a:cs typeface="Times New Roman" pitchFamily="18" charset="0"/>
                  </a:rPr>
                  <a:t>-1</a:t>
                </a:r>
                <a:r>
                  <a:rPr lang="en-IN" b="0">
                    <a:latin typeface="Times New Roman" pitchFamily="18" charset="0"/>
                    <a:cs typeface="Times New Roman" pitchFamily="18" charset="0"/>
                  </a:rPr>
                  <a:t> FW)</a:t>
                </a:r>
              </a:p>
            </c:rich>
          </c:tx>
          <c:overlay val="0"/>
        </c:title>
        <c:numFmt formatCode="General" sourceLinked="1"/>
        <c:majorTickMark val="out"/>
        <c:minorTickMark val="none"/>
        <c:tickLblPos val="nextTo"/>
        <c:crossAx val="411144768"/>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errBars>
            <c:errBarType val="plus"/>
            <c:errValType val="cust"/>
            <c:noEndCap val="0"/>
            <c:plus>
              <c:numRef>
                <c:f>Sheet2!$I$75:$I$79</c:f>
                <c:numCache>
                  <c:formatCode>General</c:formatCode>
                  <c:ptCount val="5"/>
                  <c:pt idx="0">
                    <c:v>5.4179978704724865E-3</c:v>
                  </c:pt>
                  <c:pt idx="1">
                    <c:v>1.6480563940728641E-2</c:v>
                  </c:pt>
                  <c:pt idx="2">
                    <c:v>1.1081518029183083E-2</c:v>
                  </c:pt>
                  <c:pt idx="3">
                    <c:v>1.563065714862244E-2</c:v>
                  </c:pt>
                  <c:pt idx="4">
                    <c:v>1.242993030891356E-2</c:v>
                  </c:pt>
                </c:numCache>
              </c:numRef>
            </c:plus>
            <c:minus>
              <c:numRef>
                <c:f>Sheet2!$I$75:$I$79</c:f>
                <c:numCache>
                  <c:formatCode>General</c:formatCode>
                  <c:ptCount val="5"/>
                  <c:pt idx="0">
                    <c:v>5.4179978704724865E-3</c:v>
                  </c:pt>
                  <c:pt idx="1">
                    <c:v>1.6480563940728641E-2</c:v>
                  </c:pt>
                  <c:pt idx="2">
                    <c:v>1.1081518029183083E-2</c:v>
                  </c:pt>
                  <c:pt idx="3">
                    <c:v>1.563065714862244E-2</c:v>
                  </c:pt>
                  <c:pt idx="4">
                    <c:v>1.242993030891356E-2</c:v>
                  </c:pt>
                </c:numCache>
              </c:numRef>
            </c:minus>
          </c:errBars>
          <c:cat>
            <c:strRef>
              <c:f>Sheet2!$B$75:$B$80</c:f>
              <c:strCache>
                <c:ptCount val="5"/>
                <c:pt idx="0">
                  <c:v>Control</c:v>
                </c:pt>
                <c:pt idx="1">
                  <c:v>5%</c:v>
                </c:pt>
                <c:pt idx="2">
                  <c:v>10%</c:v>
                </c:pt>
                <c:pt idx="3">
                  <c:v>15%</c:v>
                </c:pt>
                <c:pt idx="4">
                  <c:v>20%</c:v>
                </c:pt>
              </c:strCache>
            </c:strRef>
          </c:cat>
          <c:val>
            <c:numRef>
              <c:f>Sheet2!$F$75:$F$80</c:f>
              <c:numCache>
                <c:formatCode>General</c:formatCode>
                <c:ptCount val="6"/>
                <c:pt idx="0">
                  <c:v>0.17995706666666691</c:v>
                </c:pt>
                <c:pt idx="1">
                  <c:v>0.20078413333333509</c:v>
                </c:pt>
                <c:pt idx="2">
                  <c:v>0.25631693333333438</c:v>
                </c:pt>
                <c:pt idx="3">
                  <c:v>0.28637506666667045</c:v>
                </c:pt>
                <c:pt idx="4">
                  <c:v>0.25966266666666682</c:v>
                </c:pt>
              </c:numCache>
            </c:numRef>
          </c:val>
          <c:extLst xmlns:c16r2="http://schemas.microsoft.com/office/drawing/2015/06/chart">
            <c:ext xmlns:c16="http://schemas.microsoft.com/office/drawing/2014/chart" uri="{C3380CC4-5D6E-409C-BE32-E72D297353CC}">
              <c16:uniqueId val="{00000000-EF60-1F41-A979-215B40604E80}"/>
            </c:ext>
          </c:extLst>
        </c:ser>
        <c:dLbls>
          <c:showLegendKey val="0"/>
          <c:showVal val="0"/>
          <c:showCatName val="0"/>
          <c:showSerName val="0"/>
          <c:showPercent val="0"/>
          <c:showBubbleSize val="0"/>
        </c:dLbls>
        <c:gapWidth val="150"/>
        <c:axId val="411145552"/>
        <c:axId val="411147120"/>
      </c:barChart>
      <c:catAx>
        <c:axId val="411145552"/>
        <c:scaling>
          <c:orientation val="minMax"/>
        </c:scaling>
        <c:delete val="0"/>
        <c:axPos val="b"/>
        <c:title>
          <c:tx>
            <c:rich>
              <a:bodyPr/>
              <a:lstStyle/>
              <a:p>
                <a:pPr>
                  <a:defRPr>
                    <a:latin typeface="Times New Roman" pitchFamily="18" charset="0"/>
                    <a:cs typeface="Times New Roman" pitchFamily="18" charset="0"/>
                  </a:defRPr>
                </a:pPr>
                <a:r>
                  <a:rPr lang="en-IN">
                    <a:latin typeface="Times New Roman" pitchFamily="18" charset="0"/>
                    <a:cs typeface="Times New Roman" pitchFamily="18" charset="0"/>
                  </a:rPr>
                  <a:t>PEG 6000 Stress</a:t>
                </a:r>
              </a:p>
            </c:rich>
          </c:tx>
          <c:overlay val="0"/>
        </c:title>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411147120"/>
        <c:crosses val="autoZero"/>
        <c:auto val="1"/>
        <c:lblAlgn val="ctr"/>
        <c:lblOffset val="100"/>
        <c:noMultiLvlLbl val="0"/>
      </c:catAx>
      <c:valAx>
        <c:axId val="411147120"/>
        <c:scaling>
          <c:orientation val="minMax"/>
        </c:scaling>
        <c:delete val="0"/>
        <c:axPos val="l"/>
        <c:majorGridlines/>
        <c:title>
          <c:tx>
            <c:rich>
              <a:bodyPr rot="-5400000" vert="horz"/>
              <a:lstStyle/>
              <a:p>
                <a:pPr>
                  <a:defRPr b="0">
                    <a:latin typeface="Times New Roman" pitchFamily="18" charset="0"/>
                    <a:cs typeface="Times New Roman" pitchFamily="18" charset="0"/>
                  </a:defRPr>
                </a:pPr>
                <a:r>
                  <a:rPr lang="el-GR" b="0">
                    <a:latin typeface="Times New Roman" pitchFamily="18" charset="0"/>
                    <a:cs typeface="Times New Roman" pitchFamily="18" charset="0"/>
                  </a:rPr>
                  <a:t>β </a:t>
                </a:r>
                <a:r>
                  <a:rPr lang="en-IN" b="0">
                    <a:latin typeface="Times New Roman" pitchFamily="18" charset="0"/>
                    <a:cs typeface="Times New Roman" pitchFamily="18" charset="0"/>
                  </a:rPr>
                  <a:t>carotene (</a:t>
                </a:r>
                <a:r>
                  <a:rPr lang="en-IN" sz="1000" b="0" i="0" u="none" strike="noStrike" baseline="0"/>
                  <a:t>μg g</a:t>
                </a:r>
                <a:r>
                  <a:rPr lang="en-IN" sz="1000" b="0" i="0" u="none" strike="noStrike" baseline="30000"/>
                  <a:t>-1</a:t>
                </a:r>
                <a:r>
                  <a:rPr lang="en-IN" sz="1000" b="0" i="0" u="none" strike="noStrike" baseline="0"/>
                  <a:t> FW)</a:t>
                </a:r>
                <a:endParaRPr lang="en-IN" b="0" baseline="0">
                  <a:latin typeface="Times New Roman" pitchFamily="18" charset="0"/>
                  <a:cs typeface="Times New Roman" pitchFamily="18" charset="0"/>
                </a:endParaRPr>
              </a:p>
            </c:rich>
          </c:tx>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41114555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841FA-2E6F-40EF-9E18-7E2611C02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111</TotalTime>
  <Pages>11</Pages>
  <Words>6395</Words>
  <Characters>36262</Characters>
  <Application>Microsoft Office Word</Application>
  <DocSecurity>0</DocSecurity>
  <Lines>459</Lines>
  <Paragraphs>137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42520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carinewdelhi</cp:lastModifiedBy>
  <cp:revision>11</cp:revision>
  <cp:lastPrinted>1999-07-06T11:00:00Z</cp:lastPrinted>
  <dcterms:created xsi:type="dcterms:W3CDTF">2025-02-13T10:00:00Z</dcterms:created>
  <dcterms:modified xsi:type="dcterms:W3CDTF">2025-02-20T10:19:00Z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229d17ed4b31cc058362a4a01f97134349594dcdb5a042e4fdf9cd1bb174b090</vt:lpwstr>
  </property>
</Properties>
</file>