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397ED" w14:textId="328F0984" w:rsidR="00B954AC" w:rsidRDefault="00257CE9">
      <w:pPr>
        <w:spacing w:before="240" w:after="240" w:line="480" w:lineRule="auto"/>
        <w:jc w:val="right"/>
        <w:rPr>
          <w:rFonts w:eastAsiaTheme="minorEastAsia"/>
          <w:b/>
          <w:lang w:val="en-IN" w:eastAsia="zh-CN"/>
        </w:rPr>
      </w:pPr>
      <w:r w:rsidRPr="0097532D">
        <w:rPr>
          <w:rFonts w:eastAsiaTheme="minorEastAsia"/>
          <w:b/>
          <w:lang w:val="en-IN" w:eastAsia="zh-CN"/>
        </w:rPr>
        <w:t xml:space="preserve">Unveiling </w:t>
      </w:r>
      <w:r w:rsidRPr="0097532D">
        <w:rPr>
          <w:rFonts w:eastAsiaTheme="minorEastAsia"/>
          <w:b/>
          <w:lang w:val="en-US" w:eastAsia="zh-CN"/>
        </w:rPr>
        <w:t xml:space="preserve">the </w:t>
      </w:r>
      <w:r w:rsidRPr="0097532D">
        <w:rPr>
          <w:rFonts w:eastAsiaTheme="minorEastAsia"/>
          <w:b/>
          <w:lang w:val="en-IN" w:eastAsia="zh-CN"/>
        </w:rPr>
        <w:t>GSK-3</w:t>
      </w:r>
      <w:r w:rsidRPr="0097532D">
        <w:rPr>
          <w:rFonts w:eastAsiaTheme="minorEastAsia"/>
          <w:b/>
          <w:lang w:eastAsia="zh-CN"/>
        </w:rPr>
        <w:t>β</w:t>
      </w:r>
      <w:r w:rsidRPr="0097532D">
        <w:rPr>
          <w:rFonts w:eastAsiaTheme="minorEastAsia"/>
          <w:b/>
          <w:lang w:val="en-IN" w:eastAsia="zh-CN"/>
        </w:rPr>
        <w:t xml:space="preserve"> Inhibitory Potential</w:t>
      </w:r>
      <w:r w:rsidRPr="0097532D">
        <w:rPr>
          <w:rFonts w:eastAsiaTheme="minorEastAsia"/>
          <w:b/>
          <w:lang w:val="en-US" w:eastAsia="zh-CN"/>
        </w:rPr>
        <w:t xml:space="preserve"> of</w:t>
      </w:r>
      <w:r w:rsidRPr="0097532D">
        <w:rPr>
          <w:rFonts w:eastAsiaTheme="minorEastAsia"/>
          <w:b/>
          <w:lang w:val="en-IN" w:eastAsia="zh-CN"/>
        </w:rPr>
        <w:t xml:space="preserve"> Ferulic Acid</w:t>
      </w:r>
      <w:r w:rsidRPr="0097532D">
        <w:rPr>
          <w:rFonts w:eastAsiaTheme="minorEastAsia"/>
          <w:b/>
          <w:lang w:val="en-US" w:eastAsia="zh-CN"/>
        </w:rPr>
        <w:t xml:space="preserve"> for targeting Neurological Disorder using </w:t>
      </w:r>
      <w:r w:rsidR="00531F55" w:rsidRPr="00531F55">
        <w:rPr>
          <w:rFonts w:eastAsiaTheme="minorEastAsia"/>
          <w:b/>
          <w:i/>
          <w:iCs/>
          <w:lang w:val="en-US" w:eastAsia="zh-CN"/>
        </w:rPr>
        <w:t>in silico</w:t>
      </w:r>
      <w:r w:rsidRPr="0097532D">
        <w:rPr>
          <w:rFonts w:eastAsiaTheme="minorEastAsia"/>
          <w:b/>
          <w:lang w:val="en-US" w:eastAsia="zh-CN"/>
        </w:rPr>
        <w:t xml:space="preserve"> approach</w:t>
      </w:r>
      <w:r w:rsidRPr="0097532D">
        <w:rPr>
          <w:rFonts w:eastAsiaTheme="minorEastAsia"/>
          <w:b/>
          <w:lang w:val="en-IN" w:eastAsia="zh-CN"/>
        </w:rPr>
        <w:t xml:space="preserve"> </w:t>
      </w:r>
    </w:p>
    <w:p w14:paraId="39C0381F" w14:textId="77777777" w:rsidR="00CF429B" w:rsidRPr="0097532D" w:rsidRDefault="00CF429B">
      <w:pPr>
        <w:spacing w:before="240" w:after="240" w:line="480" w:lineRule="auto"/>
        <w:jc w:val="right"/>
        <w:rPr>
          <w:rFonts w:eastAsiaTheme="minorEastAsia"/>
          <w:b/>
          <w:lang w:val="en-IN" w:eastAsia="zh-CN"/>
        </w:rPr>
      </w:pPr>
    </w:p>
    <w:p w14:paraId="34CE6E06" w14:textId="77777777" w:rsidR="00B954AC" w:rsidRPr="0097532D" w:rsidRDefault="00257CE9">
      <w:pPr>
        <w:spacing w:before="240" w:after="240" w:line="480" w:lineRule="auto"/>
        <w:jc w:val="both"/>
        <w:rPr>
          <w:rFonts w:eastAsia="Times New Roman"/>
          <w:b/>
          <w:sz w:val="24"/>
          <w:szCs w:val="24"/>
          <w:lang w:val="en-IN"/>
        </w:rPr>
      </w:pPr>
      <w:r w:rsidRPr="0097532D">
        <w:rPr>
          <w:rFonts w:eastAsia="Times New Roman"/>
          <w:b/>
          <w:sz w:val="24"/>
          <w:szCs w:val="24"/>
          <w:lang w:val="en-IN"/>
        </w:rPr>
        <w:t>ABSTRACT:</w:t>
      </w:r>
    </w:p>
    <w:p w14:paraId="5A7CB174" w14:textId="15D70C04" w:rsidR="00B130D3" w:rsidRPr="0097532D" w:rsidRDefault="00B130D3">
      <w:pPr>
        <w:spacing w:before="240" w:after="240" w:line="480" w:lineRule="auto"/>
        <w:jc w:val="both"/>
        <w:rPr>
          <w:rFonts w:eastAsia="Times New Roman"/>
          <w:lang w:val="en-US"/>
        </w:rPr>
      </w:pPr>
      <w:r w:rsidRPr="0097532D">
        <w:rPr>
          <w:rFonts w:eastAsia="Times New Roman"/>
          <w:lang w:val="en-US"/>
        </w:rPr>
        <w:t xml:space="preserve">Glycogen synthase kinase-3 (GSK-3) has been known to regulate various cellular and metabolic processes, including neuronal plasticity. Dysregulation of the GSK-3β isoform leads to the development of various neurological disorders such as Alzheimer’s, Parkinson’s, and Huntington’s disease. Thus, GSK-3β has gained major attention for therapeutic intervention in various neurological disorders. This study aimed to explore natural derivatives as potential inhibitors of GSK-3β for consideration of therapeutic value in the treatment of neurological disorders. Using an </w:t>
      </w:r>
      <w:r w:rsidR="00531F55" w:rsidRPr="00531F55">
        <w:rPr>
          <w:rFonts w:eastAsia="Times New Roman"/>
          <w:i/>
          <w:iCs/>
          <w:lang w:val="en-US"/>
        </w:rPr>
        <w:t>in silico</w:t>
      </w:r>
      <w:r w:rsidRPr="0097532D">
        <w:rPr>
          <w:rFonts w:eastAsia="Times New Roman"/>
          <w:lang w:val="en-US"/>
        </w:rPr>
        <w:t xml:space="preserve"> approach through virtual screening, molecular docking, and Molecular Dynamic (MD) simulation, we elucidate ferulic acid's binding interaction and affinity with GSK-3β residues. Our study revealed that ferulic acid (out of 545 phytochemicals from Mangifera indica) demonstrated effective inhibitory activity for GSK-3β. Interestingly, an MD-simulation study showed ferulic acid binds with three crucial amino acid residues of GSK-3β for modulating the activity. In addition, ferulic acid passed all </w:t>
      </w:r>
      <w:commentRangeStart w:id="0"/>
      <w:r w:rsidRPr="0097532D">
        <w:rPr>
          <w:rFonts w:eastAsia="Times New Roman"/>
          <w:lang w:val="en-US"/>
        </w:rPr>
        <w:t xml:space="preserve">ADME/Tox </w:t>
      </w:r>
      <w:commentRangeEnd w:id="0"/>
      <w:r w:rsidR="006E5C3B">
        <w:rPr>
          <w:rStyle w:val="CommentReference"/>
        </w:rPr>
        <w:commentReference w:id="0"/>
      </w:r>
      <w:r w:rsidRPr="0097532D">
        <w:rPr>
          <w:rFonts w:eastAsia="Times New Roman"/>
          <w:lang w:val="en-US"/>
        </w:rPr>
        <w:t>parameters, paving the way for drug design and development targeting neurological disorders. Our findings provide valuable insight into the molecular mechanism underlying Ferulic acid as a potential GSK-3β inhibitor.</w:t>
      </w:r>
    </w:p>
    <w:p w14:paraId="3F16C9C5" w14:textId="782C671D" w:rsidR="00B954AC" w:rsidRPr="0097532D" w:rsidRDefault="00257CE9">
      <w:pPr>
        <w:spacing w:before="240" w:after="240" w:line="480" w:lineRule="auto"/>
        <w:jc w:val="both"/>
        <w:rPr>
          <w:rFonts w:eastAsia="Times New Roman"/>
          <w:lang w:val="en-US"/>
        </w:rPr>
      </w:pPr>
      <w:r w:rsidRPr="0097532D">
        <w:rPr>
          <w:rFonts w:eastAsia="Times New Roman"/>
          <w:b/>
          <w:lang w:val="en-IN"/>
        </w:rPr>
        <w:t xml:space="preserve">Keywords: </w:t>
      </w:r>
      <w:r w:rsidRPr="0097532D">
        <w:rPr>
          <w:rFonts w:eastAsia="Times New Roman"/>
          <w:lang w:val="en-IN"/>
        </w:rPr>
        <w:t xml:space="preserve"> </w:t>
      </w:r>
      <w:commentRangeStart w:id="1"/>
      <w:r w:rsidRPr="0097532D">
        <w:rPr>
          <w:rFonts w:eastAsia="Times New Roman"/>
          <w:lang w:val="en-IN"/>
        </w:rPr>
        <w:t>GSK-3</w:t>
      </w:r>
      <w:r w:rsidRPr="0097532D">
        <w:rPr>
          <w:rFonts w:eastAsia="Times New Roman"/>
        </w:rPr>
        <w:t>β</w:t>
      </w:r>
      <w:r w:rsidRPr="0097532D">
        <w:rPr>
          <w:rFonts w:eastAsia="Times New Roman"/>
          <w:lang w:val="en-IN"/>
        </w:rPr>
        <w:t>, Ferulic acid, neurological disorders</w:t>
      </w:r>
      <w:commentRangeEnd w:id="1"/>
      <w:r w:rsidR="006E5C3B">
        <w:rPr>
          <w:rStyle w:val="CommentReference"/>
        </w:rPr>
        <w:commentReference w:id="1"/>
      </w:r>
      <w:r w:rsidRPr="0097532D">
        <w:rPr>
          <w:rFonts w:eastAsia="Times New Roman"/>
          <w:lang w:val="en-IN"/>
        </w:rPr>
        <w:t>, Alzheimer’s disease (AD), phytochemicals, bio-informatics, computational biology, molecular docking, molecular dynamic simulation</w:t>
      </w:r>
      <w:r w:rsidRPr="0097532D">
        <w:rPr>
          <w:rFonts w:eastAsia="Times New Roman"/>
          <w:lang w:val="en-US"/>
        </w:rPr>
        <w:t>.</w:t>
      </w:r>
    </w:p>
    <w:p w14:paraId="6847575E" w14:textId="77777777" w:rsidR="00B954AC" w:rsidRPr="0097532D" w:rsidRDefault="00257CE9">
      <w:pPr>
        <w:spacing w:before="240" w:after="240" w:line="480" w:lineRule="auto"/>
        <w:jc w:val="both"/>
        <w:rPr>
          <w:rFonts w:eastAsia="Times New Roman"/>
          <w:b/>
          <w:lang w:val="en-IN"/>
        </w:rPr>
      </w:pPr>
      <w:r w:rsidRPr="0097532D">
        <w:rPr>
          <w:rFonts w:eastAsia="Times New Roman"/>
          <w:b/>
          <w:bCs/>
          <w:lang w:val="en-IN"/>
        </w:rPr>
        <w:t>1. IN</w:t>
      </w:r>
      <w:r w:rsidRPr="0097532D">
        <w:rPr>
          <w:rFonts w:eastAsia="Times New Roman"/>
          <w:b/>
          <w:lang w:val="en-IN"/>
        </w:rPr>
        <w:t>TRODUCTION</w:t>
      </w:r>
    </w:p>
    <w:p w14:paraId="13EF91F5" w14:textId="182FE8B6" w:rsidR="00B954AC" w:rsidRPr="0097532D" w:rsidRDefault="00257CE9">
      <w:pPr>
        <w:spacing w:before="240" w:after="240" w:line="480" w:lineRule="auto"/>
        <w:jc w:val="both"/>
        <w:rPr>
          <w:rFonts w:eastAsia="Times New Roman"/>
          <w:lang w:val="en-IN" w:eastAsia="zh-CN"/>
        </w:rPr>
      </w:pPr>
      <w:r w:rsidRPr="0097532D">
        <w:rPr>
          <w:rFonts w:eastAsia="Times New Roman"/>
          <w:lang w:val="en-IN" w:eastAsia="zh-CN"/>
        </w:rPr>
        <w:t xml:space="preserve">Glycogen synthase kinase-3 (GSK-3) is a versatile enzyme involved in pathways regulating cellular differentiation, glial cell survival, neuronal morphology, neurogenesis, synaptic </w:t>
      </w:r>
      <w:r w:rsidRPr="0097532D">
        <w:rPr>
          <w:rFonts w:eastAsia="Times New Roman"/>
          <w:lang w:val="en-IN" w:eastAsia="zh-CN"/>
        </w:rPr>
        <w:lastRenderedPageBreak/>
        <w:t xml:space="preserve">plasticity, learning, and memory </w:t>
      </w:r>
      <w:r w:rsidRPr="0097532D">
        <w:rPr>
          <w:rFonts w:eastAsia="Times New Roman"/>
          <w:lang w:val="en-IN" w:eastAsia="zh-CN"/>
        </w:rPr>
        <w:fldChar w:fldCharType="begin">
          <w:fldData xml:space="preserve">PEVuZE5vdGU+PENpdGU+PEF1dGhvcj5IYWdlbjwvQXV0aG9yPjxZZWFyPjIwMDI8L1llYXI+PFJl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</w:fldData>
        </w:fldChar>
      </w:r>
      <w:r w:rsidRPr="0097532D">
        <w:rPr>
          <w:rFonts w:eastAsia="Times New Roman"/>
          <w:lang w:val="en-US" w:eastAsia="zh-CN"/>
        </w:rPr>
        <w:instrText xml:space="preserve"> ADDIN EN.CITE </w:instrText>
      </w:r>
      <w:r w:rsidRPr="0097532D">
        <w:rPr>
          <w:rFonts w:eastAsia="Times New Roman"/>
          <w:lang w:val="en-US" w:eastAsia="zh-CN"/>
        </w:rPr>
        <w:fldChar w:fldCharType="begin">
          <w:fldData xml:space="preserve">PEVuZE5vdGU+PENpdGU+PEF1dGhvcj5IYWdlbjwvQXV0aG9yPjxZZWFyPjIwMDI8L1llYXI+PFJl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</w:fldData>
        </w:fldChar>
      </w:r>
      <w:r w:rsidRPr="0097532D">
        <w:rPr>
          <w:rFonts w:eastAsia="Times New Roman"/>
          <w:lang w:val="en-US" w:eastAsia="zh-CN"/>
        </w:rPr>
        <w:instrText xml:space="preserve"> ADDIN EN.CITE.DATA </w:instrText>
      </w:r>
      <w:r w:rsidRPr="0097532D">
        <w:rPr>
          <w:rFonts w:eastAsia="Times New Roman"/>
          <w:lang w:val="en-US" w:eastAsia="zh-CN"/>
        </w:rPr>
      </w:r>
      <w:r w:rsidRPr="0097532D">
        <w:rPr>
          <w:rFonts w:eastAsia="Times New Roman"/>
          <w:lang w:val="en-US" w:eastAsia="zh-CN"/>
        </w:rPr>
        <w:fldChar w:fldCharType="end"/>
      </w:r>
      <w:r w:rsidRPr="0097532D">
        <w:rPr>
          <w:rFonts w:eastAsia="Times New Roman"/>
          <w:lang w:val="en-IN" w:eastAsia="zh-CN"/>
        </w:rPr>
      </w:r>
      <w:r w:rsidRPr="0097532D">
        <w:rPr>
          <w:rFonts w:eastAsia="Times New Roman"/>
          <w:lang w:val="en-IN" w:eastAsia="zh-CN"/>
        </w:rPr>
        <w:fldChar w:fldCharType="separate"/>
      </w:r>
      <w:r w:rsidRPr="0097532D">
        <w:rPr>
          <w:rFonts w:eastAsia="Times New Roman"/>
          <w:lang w:val="en-US" w:eastAsia="zh-CN"/>
        </w:rPr>
        <w:t>[1, 2]</w:t>
      </w:r>
      <w:r w:rsidRPr="0097532D">
        <w:rPr>
          <w:rFonts w:eastAsia="Times New Roman"/>
          <w:lang w:val="en-IN" w:eastAsia="zh-CN"/>
        </w:rPr>
        <w:fldChar w:fldCharType="end"/>
      </w:r>
      <w:r w:rsidRPr="0097532D">
        <w:rPr>
          <w:rFonts w:eastAsia="Times New Roman"/>
          <w:lang w:val="en-IN" w:eastAsia="zh-CN"/>
        </w:rPr>
        <w:t xml:space="preserve">. Dysregulation of GSK-3 leads to the development of neurological disorders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&lt;EndNote&gt;&lt;Cite&gt;&lt;Author&gt;Eldar-Finkelman&lt;/Author&gt;&lt;Year&gt;2011&lt;/Year&gt;&lt;RecNum&gt;415&lt;/RecNum&gt;&lt;DisplayText&gt;[3]&lt;/DisplayText&gt;&lt;record&gt;&lt;rec-number&gt;415&lt;/rec-number&gt;&lt;foreign-keys&gt;&lt;key app="EN" db-id="wsdv0pte9vpfs7e9x5tpdwp1xaa59rxrzzwr" timestamp="1712496513"&gt;415&lt;/key&gt;&lt;key app="ENWeb" db-id=""&gt;0&lt;/key&gt;&lt;/foreign-keys&gt;&lt;ref-type name="Journal Article"&gt;17&lt;/ref-type&gt;&lt;contributors&gt;&lt;authors&gt;&lt;author&gt;Eldar-Finkelman, H.&lt;/author&gt;&lt;author&gt;Martinez, A.&lt;/author&gt;&lt;/authors&gt;&lt;/contributors&gt;&lt;auth-address&gt;Department of Human Molecular Genetics and Biochemistry, Sackler School of Medicine, Tel Aviv University Tel Aviv, Israel.&lt;/auth-address&gt;&lt;titles&gt;&lt;title&gt;GSK-3 Inhibitors: Preclinical and Clinical Focus on CNS&lt;/title&gt;&lt;secondary-title&gt;Front Mol Neurosci&lt;/secondary-title&gt;&lt;/titles&gt;&lt;periodical&gt;&lt;full-title&gt;Front Mol Neurosci&lt;/full-title&gt;&lt;/periodical&gt;&lt;pages&gt;32&lt;/pages&gt;&lt;volume&gt;4&lt;/volume&gt;&lt;edition&gt;2011/11/09&lt;/edition&gt;&lt;keywords&gt;&lt;keyword&gt;Cns&lt;/keyword&gt;&lt;keyword&gt;Gsk-3&lt;/keyword&gt;&lt;keyword&gt;GSK-3 inhibitors&lt;/keyword&gt;&lt;keyword&gt;protein kinases&lt;/keyword&gt;&lt;/keywords&gt;&lt;dates&gt;&lt;year&gt;2011&lt;/year&gt;&lt;/dates&gt;&lt;isbn&gt;1662-5099 (Electronic)&amp;#xD;1662-5099 (Linking)&lt;/isbn&gt;&lt;accession-num&gt;22065134&lt;/accession-num&gt;&lt;urls&gt;&lt;related-urls&gt;&lt;url&gt;https://www.ncbi.nlm.nih.gov/pubmed/22065134&lt;/url&gt;&lt;/related-urls&gt;&lt;/urls&gt;&lt;custom2&gt;PMC3204427&lt;/custom2&gt;&lt;electronic-resource-num&gt;10.3389/fnmol.2011.00032&lt;/electronic-resource-num&gt;&lt;/record&gt;&lt;/Cite&gt;&lt;/EndNote&gt;</w:instrText>
      </w:r>
      <w:r w:rsidRPr="0097532D">
        <w:rPr>
          <w:rFonts w:eastAsia="Times New Roman"/>
          <w:lang w:val="en-IN" w:eastAsia="zh-CN"/>
        </w:rPr>
        <w:fldChar w:fldCharType="separate"/>
      </w:r>
      <w:r w:rsidRPr="0097532D">
        <w:rPr>
          <w:rFonts w:eastAsia="Times New Roman"/>
          <w:lang w:val="en-US" w:eastAsia="zh-CN"/>
        </w:rPr>
        <w:t>[3]</w:t>
      </w:r>
      <w:r w:rsidRPr="0097532D">
        <w:rPr>
          <w:rFonts w:eastAsia="Times New Roman"/>
          <w:lang w:val="en-IN" w:eastAsia="zh-CN"/>
        </w:rPr>
        <w:fldChar w:fldCharType="end"/>
      </w:r>
      <w:r w:rsidRPr="0097532D">
        <w:rPr>
          <w:rFonts w:eastAsia="Times New Roman"/>
          <w:lang w:val="en-IN" w:eastAsia="zh-CN"/>
        </w:rPr>
        <w:t xml:space="preserve">. The inhibition of GSK-3 activity prevents hyperphosphorylation of the tau protein essential for linking it to the microtubule network. </w:t>
      </w:r>
      <w:commentRangeStart w:id="2"/>
      <w:r w:rsidRPr="0097532D">
        <w:rPr>
          <w:rFonts w:eastAsia="Times New Roman"/>
          <w:lang w:val="en-IN" w:eastAsia="zh-CN"/>
        </w:rPr>
        <w:t xml:space="preserve">This hyperphosphorylation </w:t>
      </w:r>
      <w:commentRangeEnd w:id="2"/>
      <w:r w:rsidR="0090249C">
        <w:rPr>
          <w:rStyle w:val="CommentReference"/>
        </w:rPr>
        <w:commentReference w:id="2"/>
      </w:r>
      <w:r w:rsidRPr="0097532D">
        <w:rPr>
          <w:rFonts w:eastAsia="Times New Roman"/>
          <w:lang w:val="en-IN" w:eastAsia="zh-CN"/>
        </w:rPr>
        <w:t xml:space="preserve">leads to the disruption of the cytoskeleton microtubule network in neurons, subsequently disrupting the neuronal network in the brain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&lt;EndNote&gt;&lt;Cite&gt;&lt;Author&gt;Iqbal&lt;/Author&gt;&lt;Year&gt;2010&lt;/Year&gt;&lt;RecNum&gt;470&lt;/RecNum&gt;&lt;DisplayText&gt;[4]&lt;/DisplayText&gt;&lt;record&gt;&lt;rec-number&gt;470&lt;/rec-number&gt;&lt;foreign-keys&gt;&lt;key app="EN" db-id="wrvdepxeaes5szerfz2pptsxsd5w9rzzweet" timestamp="1708359602"&gt;470&lt;/key&gt;&lt;/foreign-keys&gt;&lt;ref-type name="Journal Article"&gt;17&lt;/ref-type&gt;&lt;contributors&gt;&lt;authors&gt;&lt;author&gt;Iqbal, Khalid&lt;/author&gt;&lt;author&gt;Liu, Fei&lt;/author&gt;&lt;author&gt;Gong, C-X&lt;/author&gt;&lt;author&gt;Grundke-Iqbal, Inge %J Current Alzheimer Research&lt;/author&gt;&lt;/authors&gt;&lt;/contributors&gt;&lt;titles&gt;&lt;title&gt;Tau in Alzheimer disease and related tauopathies&lt;/title&gt;&lt;/titles&gt;&lt;pages&gt;656-664&lt;/pages&gt;&lt;volume&gt;7&lt;/volume&gt;&lt;number&gt;8&lt;/number&gt;&lt;dates&gt;&lt;year&gt;2010&lt;/year&gt;&lt;/dates&gt;&lt;isbn&gt;1567-2050&lt;/isbn&gt;&lt;urls&gt;&lt;/urls&gt;&lt;/record&gt;&lt;/Cite&gt;&lt;/EndNote&gt;</w:instrText>
      </w:r>
      <w:r w:rsidRPr="0097532D">
        <w:rPr>
          <w:rFonts w:eastAsia="Times New Roman"/>
          <w:lang w:val="en-IN" w:eastAsia="zh-CN"/>
        </w:rPr>
        <w:fldChar w:fldCharType="separate"/>
      </w:r>
      <w:r w:rsidRPr="0097532D">
        <w:rPr>
          <w:rFonts w:eastAsia="Times New Roman"/>
          <w:lang w:val="en-US" w:eastAsia="zh-CN"/>
        </w:rPr>
        <w:t>[4]</w:t>
      </w:r>
      <w:r w:rsidRPr="0097532D">
        <w:rPr>
          <w:rFonts w:eastAsia="Times New Roman"/>
          <w:lang w:val="en-IN" w:eastAsia="zh-CN"/>
        </w:rPr>
        <w:fldChar w:fldCharType="end"/>
      </w:r>
      <w:r w:rsidRPr="0097532D">
        <w:rPr>
          <w:rFonts w:eastAsia="Times New Roman"/>
          <w:lang w:val="en-IN" w:eastAsia="zh-CN"/>
        </w:rPr>
        <w:t xml:space="preserve">. The Tau-mediated-microtubule network disruption is a commonly observed characteristic of several neurological disorders. The decline of GSK-3 in the cortex and hippocampus brain regions leads to a marked increase in neuronal polarity, multiple axon formation and abnormal dendritic formation, reduced spine density and a decreased rate of axon elongation. In the case of Alzheimer’s disease, the overexpression of GSK-3 tends to cause </w:t>
      </w:r>
      <w:proofErr w:type="spellStart"/>
      <w:r w:rsidRPr="0097532D">
        <w:rPr>
          <w:rFonts w:eastAsia="Times New Roman"/>
          <w:lang w:val="en-IN" w:eastAsia="zh-CN"/>
        </w:rPr>
        <w:t>neuritic</w:t>
      </w:r>
      <w:proofErr w:type="spellEnd"/>
      <w:r w:rsidRPr="0097532D">
        <w:rPr>
          <w:rFonts w:eastAsia="Times New Roman"/>
          <w:lang w:val="en-IN" w:eastAsia="zh-CN"/>
        </w:rPr>
        <w:t xml:space="preserve"> dystrophy, impaired cognition, and decreased neuronal survival. Whereas, in Parkinson’s disease (PD) GSK-3β isoform causes abnormal expression and aggregation of α-synuclein, accompanied by the loss of dopaminergic neurons in the Substantia nigra pars compacta and Lewy bodies of the PD brain. Excess dopamine aggregation is also known to trigger GSK-3β activation in the PD brain. Similarly, the overexpression of GSK-3β-Tyr216 in Huntington’s disease brain is known to trigger tau aggregation in the astrocytes and hippocampus regions as well (</w:t>
      </w:r>
      <w:r w:rsidRPr="00F17206">
        <w:rPr>
          <w:rFonts w:eastAsia="Times New Roman"/>
          <w:bCs/>
          <w:lang w:val="en-IN" w:eastAsia="zh-CN"/>
        </w:rPr>
        <w:t>Fig</w:t>
      </w:r>
      <w:r w:rsidR="00884A1E">
        <w:rPr>
          <w:rFonts w:eastAsia="Times New Roman"/>
          <w:bCs/>
          <w:lang w:val="en-IN" w:eastAsia="zh-CN"/>
        </w:rPr>
        <w:t>.</w:t>
      </w:r>
      <w:r w:rsidRPr="00F17206">
        <w:rPr>
          <w:rFonts w:eastAsia="Times New Roman"/>
          <w:bCs/>
          <w:lang w:val="en-IN" w:eastAsia="zh-CN"/>
        </w:rPr>
        <w:t xml:space="preserve"> 1</w:t>
      </w:r>
      <w:r w:rsidRPr="0097532D">
        <w:rPr>
          <w:rFonts w:eastAsia="Times New Roman"/>
          <w:b/>
          <w:lang w:val="en-IN" w:eastAsia="zh-CN"/>
        </w:rPr>
        <w:t xml:space="preserve"> </w:t>
      </w:r>
      <w:r w:rsidRPr="00F17206">
        <w:rPr>
          <w:rFonts w:eastAsia="Times New Roman"/>
          <w:bCs/>
          <w:lang w:val="en-IN" w:eastAsia="zh-CN"/>
        </w:rPr>
        <w:t>summarizes the cellular mechanisms affected by GSK-3β in various neurological disorders</w:t>
      </w:r>
      <w:r w:rsidRPr="0097532D">
        <w:rPr>
          <w:rFonts w:eastAsia="Times New Roman"/>
          <w:lang w:val="en-IN" w:eastAsia="zh-CN"/>
        </w:rPr>
        <w:t xml:space="preserve">)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&lt;EndNote&gt;&lt;Cite&gt;&lt;Author&gt;Jaworski&lt;/Author&gt;&lt;Year&gt;2019&lt;/Year&gt;&lt;RecNum&gt;471&lt;/RecNum&gt;&lt;DisplayText&gt;[5]&lt;/DisplayText&gt;&lt;record&gt;&lt;rec-number&gt;471&lt;/rec-number&gt;&lt;foreign-keys&gt;&lt;key app="EN" db-id="wrvdepxeaes5szerfz2pptsxsd5w9rzzweet" timestamp="1708359798"&gt;471&lt;/key&gt;&lt;/foreign-keys&gt;&lt;ref-type name="Journal Article"&gt;17&lt;/ref-type&gt;&lt;contributors&gt;&lt;authors&gt;&lt;author&gt;Jaworski, T.&lt;/author&gt;&lt;author&gt;Banach-Kasper, E.&lt;/author&gt;&lt;author&gt;Gralec, K.&lt;/author&gt;&lt;/authors&gt;&lt;/contributors&gt;&lt;auth-address&gt;Laboratory of Animal Models, Nencki Institute of Experimental Biology PAS, 02-093 Warsaw, Poland.&lt;/auth-address&gt;&lt;titles&gt;&lt;title&gt;GSK-3β at the Intersection of Neuronal Plasticity and Neurodegeneration&lt;/title&gt;&lt;secondary-title&gt;Neural Plast&lt;/secondary-title&gt;&lt;alt-title&gt;Neural plasticity&lt;/alt-title&gt;&lt;/titles&gt;&lt;periodical&gt;&lt;full-title&gt;Neural Plast&lt;/full-title&gt;&lt;abbr-1&gt;Neural plasticity&lt;/abbr-1&gt;&lt;/periodical&gt;&lt;alt-periodical&gt;&lt;full-title&gt;Neural Plast&lt;/full-title&gt;&lt;abbr-1&gt;Neural plasticity&lt;/abbr-1&gt;&lt;/alt-periodical&gt;&lt;pages&gt;4209475&lt;/pages&gt;&lt;volume&gt;2019&lt;/volume&gt;&lt;edition&gt;2019/06/14&lt;/edition&gt;&lt;keywords&gt;&lt;keyword&gt;Animals&lt;/keyword&gt;&lt;keyword&gt;Glycogen Synthase Kinase 3 beta/*metabolism&lt;/keyword&gt;&lt;keyword&gt;Humans&lt;/keyword&gt;&lt;keyword&gt;Mice&lt;/keyword&gt;&lt;keyword&gt;Nerve Degeneration/*metabolism/pathology&lt;/keyword&gt;&lt;keyword&gt;Neurodegenerative Diseases/*metabolism/pathology&lt;/keyword&gt;&lt;keyword&gt;Neuronal Plasticity/*physiology&lt;/keyword&gt;&lt;keyword&gt;Neurons/*metabolism/pathology&lt;/keyword&gt;&lt;keyword&gt;Phosphorylation&lt;/keyword&gt;&lt;/keywords&gt;&lt;dates&gt;&lt;year&gt;2019&lt;/year&gt;&lt;/dates&gt;&lt;isbn&gt;2090-5904 (Print)&amp;#xD;1687-5443&lt;/isbn&gt;&lt;accession-num&gt;31191636&lt;/accession-num&gt;&lt;urls&gt;&lt;/urls&gt;&lt;custom2&gt;PMC6525914&lt;/custom2&gt;&lt;electronic-resource-num&gt;10.1155/2019/4209475&lt;/electronic-resource-num&gt;&lt;remote-database-provider&gt;NLM&lt;/remote-database-provider&gt;&lt;language&gt;eng&lt;/language&gt;&lt;/record&gt;&lt;/Cite&gt;&lt;/EndNote&gt;</w:instrText>
      </w:r>
      <w:r w:rsidRPr="0097532D">
        <w:rPr>
          <w:rFonts w:eastAsia="Times New Roman"/>
          <w:lang w:val="en-IN" w:eastAsia="zh-CN"/>
        </w:rPr>
        <w:fldChar w:fldCharType="separate"/>
      </w:r>
      <w:r w:rsidRPr="0097532D">
        <w:rPr>
          <w:rFonts w:eastAsia="Times New Roman"/>
          <w:lang w:val="en-US" w:eastAsia="zh-CN"/>
        </w:rPr>
        <w:t>[5]</w:t>
      </w:r>
      <w:r w:rsidRPr="0097532D">
        <w:rPr>
          <w:rFonts w:eastAsia="Times New Roman"/>
          <w:lang w:val="en-IN" w:eastAsia="zh-CN"/>
        </w:rPr>
        <w:fldChar w:fldCharType="end"/>
      </w:r>
      <w:r w:rsidRPr="0097532D">
        <w:rPr>
          <w:rFonts w:eastAsia="Times New Roman"/>
          <w:lang w:val="en-IN" w:eastAsia="zh-CN"/>
        </w:rPr>
        <w:t xml:space="preserve">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&lt;EndNote&gt;&lt;Cite&gt;&lt;Author&gt;Yu&lt;/Author&gt;&lt;Year&gt;2023&lt;/Year&gt;&lt;RecNum&gt;489&lt;/RecNum&gt;&lt;DisplayText&gt;[6]&lt;/DisplayText&gt;&lt;record&gt;&lt;rec-number&gt;489&lt;/rec-number&gt;&lt;foreign-keys&gt;&lt;key app="EN" db-id="wrvdepxeaes5szerfz2pptsxsd5w9rzzweet" timestamp="1708365770"&gt;489&lt;/key&gt;&lt;/foreign-keys&gt;&lt;ref-type name="Journal Article"&gt;17&lt;/ref-type&gt;&lt;contributors&gt;&lt;authors&gt;&lt;author&gt;Yu, Honglu&lt;/author&gt;&lt;author&gt;Xiong, Min&lt;/author&gt;&lt;author&gt;Zhang, Zhentao %J Frontiers in Molecular Neuroscience&lt;/author&gt;&lt;/authors&gt;&lt;/contributors&gt;&lt;titles&gt;&lt;title&gt;The role of glycogen synthase kinase 3 beta in neurodegenerative diseases&lt;/title&gt;&lt;/titles&gt;&lt;volume&gt;16&lt;/volume&gt;&lt;dates&gt;&lt;year&gt;2023&lt;/year&gt;&lt;/dates&gt;&lt;urls&gt;&lt;/urls&gt;&lt;/record&gt;&lt;/Cite&gt;&lt;/EndNote&gt;</w:instrText>
      </w:r>
      <w:r w:rsidRPr="0097532D">
        <w:rPr>
          <w:rFonts w:eastAsia="Times New Roman"/>
          <w:lang w:val="en-IN" w:eastAsia="zh-CN"/>
        </w:rPr>
        <w:fldChar w:fldCharType="separate"/>
      </w:r>
      <w:r w:rsidRPr="0097532D">
        <w:rPr>
          <w:rFonts w:eastAsia="Times New Roman"/>
          <w:lang w:val="en-US" w:eastAsia="zh-CN"/>
        </w:rPr>
        <w:t>[6]</w:t>
      </w:r>
      <w:r w:rsidRPr="0097532D">
        <w:rPr>
          <w:rFonts w:eastAsia="Times New Roman"/>
          <w:lang w:val="en-IN" w:eastAsia="zh-CN"/>
        </w:rPr>
        <w:fldChar w:fldCharType="end"/>
      </w:r>
      <w:r w:rsidRPr="0097532D">
        <w:rPr>
          <w:rFonts w:eastAsia="Times New Roman"/>
          <w:lang w:val="en-IN" w:eastAsia="zh-CN"/>
        </w:rPr>
        <w:t xml:space="preserve">. Consequently, a GSK-3 inhibitor may prove to be a medication for the treatment of Alzheimer’s disease and other neurological disorders </w:t>
      </w:r>
      <w:r w:rsidRPr="0097532D">
        <w:rPr>
          <w:rFonts w:eastAsia="Times New Roman"/>
          <w:lang w:val="en-IN" w:eastAsia="zh-CN"/>
        </w:rPr>
        <w:fldChar w:fldCharType="begin">
          <w:fldData xml:space="preserve">PEVuZE5vdGU+PENpdGU+PEF1dGhvcj5Fc2thbmRhcnphZGVoPC9BdXRob3I+PFllYXI+MjAyMTwv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</w:fldData>
        </w:fldChar>
      </w:r>
      <w:r w:rsidRPr="0097532D">
        <w:rPr>
          <w:rFonts w:eastAsia="Times New Roman"/>
          <w:lang w:val="en-US" w:eastAsia="zh-CN"/>
        </w:rPr>
        <w:instrText xml:space="preserve"> ADDIN EN.CITE </w:instrText>
      </w:r>
      <w:r w:rsidRPr="0097532D">
        <w:rPr>
          <w:rFonts w:eastAsia="Times New Roman"/>
          <w:lang w:val="en-US" w:eastAsia="zh-CN"/>
        </w:rPr>
        <w:fldChar w:fldCharType="begin">
          <w:fldData xml:space="preserve">PEVuZE5vdGU+PENpdGU+PEF1dGhvcj5Fc2thbmRhcnphZGVoPC9BdXRob3I+PFllYXI+MjAyMTwv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</w:fldData>
        </w:fldChar>
      </w:r>
      <w:r w:rsidRPr="0097532D">
        <w:rPr>
          <w:rFonts w:eastAsia="Times New Roman"/>
          <w:lang w:val="en-US" w:eastAsia="zh-CN"/>
        </w:rPr>
        <w:instrText xml:space="preserve"> ADDIN EN.CITE.DATA </w:instrText>
      </w:r>
      <w:r w:rsidRPr="0097532D">
        <w:rPr>
          <w:rFonts w:eastAsia="Times New Roman"/>
          <w:lang w:val="en-US" w:eastAsia="zh-CN"/>
        </w:rPr>
      </w:r>
      <w:r w:rsidRPr="0097532D">
        <w:rPr>
          <w:rFonts w:eastAsia="Times New Roman"/>
          <w:lang w:val="en-US" w:eastAsia="zh-CN"/>
        </w:rPr>
        <w:fldChar w:fldCharType="end"/>
      </w:r>
      <w:r w:rsidRPr="0097532D">
        <w:rPr>
          <w:rFonts w:eastAsia="Times New Roman"/>
          <w:lang w:val="en-IN" w:eastAsia="zh-CN"/>
        </w:rPr>
      </w:r>
      <w:r w:rsidRPr="0097532D">
        <w:rPr>
          <w:rFonts w:eastAsia="Times New Roman"/>
          <w:lang w:val="en-IN" w:eastAsia="zh-CN"/>
        </w:rPr>
        <w:fldChar w:fldCharType="separate"/>
      </w:r>
      <w:r w:rsidRPr="0097532D">
        <w:rPr>
          <w:rFonts w:eastAsia="Times New Roman"/>
          <w:lang w:val="en-US" w:eastAsia="zh-CN"/>
        </w:rPr>
        <w:t>[7]</w:t>
      </w:r>
      <w:r w:rsidRPr="0097532D">
        <w:rPr>
          <w:rFonts w:eastAsia="Times New Roman"/>
          <w:lang w:val="en-IN" w:eastAsia="zh-CN"/>
        </w:rPr>
        <w:fldChar w:fldCharType="end"/>
      </w:r>
      <w:r w:rsidRPr="0097532D">
        <w:rPr>
          <w:rFonts w:eastAsia="Times New Roman"/>
          <w:lang w:val="en-IN" w:eastAsia="zh-CN"/>
        </w:rPr>
        <w:t xml:space="preserve">. </w:t>
      </w:r>
    </w:p>
    <w:p w14:paraId="68BF318D" w14:textId="1DF36E13"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Structurally, GSK-3α and GSK-3β are two GSK-3 isoforms found in all cell types across the animal phylum. The GSK-3β isoform consists of two lobes, namely the β-strand domain (N-terminal stretching from </w:t>
      </w:r>
      <w:commentRangeStart w:id="3"/>
      <w:r w:rsidRPr="0097532D">
        <w:rPr>
          <w:rFonts w:eastAsia="Times New Roman"/>
          <w:lang w:val="en-IN"/>
        </w:rPr>
        <w:t xml:space="preserve">25 to </w:t>
      </w:r>
      <w:commentRangeEnd w:id="3"/>
      <w:r w:rsidR="006E5C3B">
        <w:rPr>
          <w:rStyle w:val="CommentReference"/>
        </w:rPr>
        <w:commentReference w:id="3"/>
      </w:r>
      <w:r w:rsidRPr="0097532D">
        <w:rPr>
          <w:rFonts w:eastAsia="Times New Roman"/>
          <w:lang w:val="en-IN"/>
        </w:rPr>
        <w:t xml:space="preserve">25–138 amino acids) and an α-helical domain (C-terminal stretching from 139–343 amino acids). Located between these lobes is an interactive zone comprising an ATP-binding site, loop, and hinge regions (Asp133-Val135) </w:t>
      </w:r>
      <w:r w:rsidRPr="0097532D">
        <w:rPr>
          <w:rFonts w:eastAsia="Times New Roman"/>
          <w:lang w:val="en-IN"/>
        </w:rPr>
        <w:fldChar w:fldCharType="begin"/>
      </w:r>
      <w:r w:rsidRPr="0097532D">
        <w:rPr>
          <w:rFonts w:eastAsia="Times New Roman"/>
          <w:lang w:val="en-US"/>
        </w:rPr>
        <w:instrText xml:space="preserve"> ADDIN EN.CITE &lt;EndNote&gt;&lt;Cite&gt;&lt;Author&gt;Emmerich&lt;/Author&gt;&lt;Year&gt;2023&lt;/Year&gt;&lt;RecNum&gt;430&lt;/RecNum&gt;&lt;DisplayText&gt;[8]&lt;/DisplayText&gt;&lt;record&gt;&lt;rec-number&gt;430&lt;/rec-number&gt;&lt;foreign-keys&gt;&lt;key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Pr="0097532D">
        <w:rPr>
          <w:rFonts w:eastAsia="Times New Roman"/>
          <w:lang w:val="en-IN"/>
        </w:rPr>
        <w:fldChar w:fldCharType="separate"/>
      </w:r>
      <w:r w:rsidRPr="0097532D">
        <w:rPr>
          <w:rFonts w:eastAsia="Times New Roman"/>
          <w:lang w:val="en-US"/>
        </w:rPr>
        <w:t>[8]</w:t>
      </w:r>
      <w:r w:rsidRPr="0097532D">
        <w:rPr>
          <w:rFonts w:eastAsia="Times New Roman"/>
          <w:lang w:val="en-IN"/>
        </w:rPr>
        <w:fldChar w:fldCharType="end"/>
      </w:r>
      <w:r w:rsidRPr="0097532D">
        <w:rPr>
          <w:rFonts w:eastAsia="Times New Roman"/>
          <w:lang w:val="en-IN"/>
        </w:rPr>
        <w:t xml:space="preserve">. The activation loop stretches from 200 to 226 amino acids. The β-strand domain is composed of seven antiparallel β-pleated sheets. Inside these sheets is an evolutionarily conserved loop of 4-5 short α- helices (spanning from 96 to 102 amino acids). In this loop, Arg96 and Glu97 play crucial roles in catalytic activity. Glu97 is located in the active site and forms a salt bridge with </w:t>
      </w:r>
      <w:r w:rsidRPr="0097532D">
        <w:rPr>
          <w:rFonts w:eastAsia="Times New Roman"/>
          <w:lang w:val="en-IN"/>
        </w:rPr>
        <w:lastRenderedPageBreak/>
        <w:t>Lys85</w:t>
      </w:r>
      <w:r w:rsidRPr="0097532D">
        <w:rPr>
          <w:rFonts w:eastAsia="Times New Roman"/>
          <w:lang w:val="en-IN"/>
        </w:rPr>
        <w:fldChar w:fldCharType="begin">
          <w:fldData xml:space="preserve">PEVuZE5vdGU+PENpdGU+PEF1dGhvcj5CYWxhc3VicmFtYW5pYW08L0F1dGhvcj48WWVhcj4yMDIw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PEVuZE5vdGU+PENpdGU+PEF1dGhvcj5CYWxhc3VicmFtYW5pYW08L0F1dGhvcj48WWVhcj4yMDIw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[9, 10]</w:t>
      </w:r>
      <w:r w:rsidRPr="0097532D">
        <w:rPr>
          <w:rFonts w:eastAsia="Times New Roman"/>
          <w:lang w:val="en-IN"/>
        </w:rPr>
        <w:fldChar w:fldCharType="end"/>
      </w:r>
      <w:r w:rsidRPr="0097532D">
        <w:rPr>
          <w:rFonts w:eastAsia="Times New Roman"/>
          <w:lang w:val="en-IN"/>
        </w:rPr>
        <w:t xml:space="preserve">. The binding pocket residues Arg96 and Ala204 are unable to establish hydrogen binding when Glu97 and Lys85 fail to form a salt bridge among themselves. This leads to disruption of the phosphate-binding site, allowing the substrate-binding groove to achieve a wider open conformation </w:t>
      </w:r>
      <w:r w:rsidRPr="0097532D">
        <w:rPr>
          <w:rFonts w:eastAsia="Times New Roman"/>
          <w:lang w:val="en-IN"/>
        </w:rPr>
        <w:fldChar w:fldCharType="begin"/>
      </w:r>
      <w:r w:rsidRPr="0097532D">
        <w:rPr>
          <w:rFonts w:eastAsia="Times New Roman"/>
          <w:lang w:val="en-US"/>
        </w:rPr>
        <w:instrText xml:space="preserve"> ADDIN EN.CITE &lt;EndNote&gt;&lt;Cite&gt;&lt;Author&gt;Sun&lt;/Author&gt;&lt;Year&gt;2008&lt;/Year&gt;&lt;RecNum&gt;353&lt;/RecNum&gt;&lt;DisplayText&gt;[11]&lt;/DisplayText&gt;&lt;record&gt;&lt;rec-number&gt;353&lt;/rec-number&gt;&lt;foreign-keys&gt;&lt;key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Pr="0097532D">
        <w:rPr>
          <w:rFonts w:eastAsia="Times New Roman"/>
          <w:lang w:val="en-IN"/>
        </w:rPr>
        <w:fldChar w:fldCharType="separate"/>
      </w:r>
      <w:r w:rsidRPr="0097532D">
        <w:rPr>
          <w:rFonts w:eastAsia="Times New Roman"/>
          <w:lang w:val="en-US"/>
        </w:rPr>
        <w:t>[11]</w:t>
      </w:r>
      <w:r w:rsidRPr="0097532D">
        <w:rPr>
          <w:rFonts w:eastAsia="Times New Roman"/>
          <w:lang w:val="en-IN"/>
        </w:rPr>
        <w:fldChar w:fldCharType="end"/>
      </w:r>
      <w:r w:rsidRPr="0097532D">
        <w:rPr>
          <w:rFonts w:eastAsia="Times New Roman"/>
          <w:lang w:val="en-IN"/>
        </w:rPr>
        <w:t xml:space="preserve">. We speculate that similar interactions between specific residues and selective phytocompounds may lead to GSK-β inhibition. In the present study, using an </w:t>
      </w:r>
      <w:r w:rsidR="00531F55" w:rsidRPr="00531F55">
        <w:rPr>
          <w:rFonts w:eastAsia="Times New Roman"/>
          <w:i/>
          <w:iCs/>
          <w:lang w:val="en-IN"/>
        </w:rPr>
        <w:t>in silico</w:t>
      </w:r>
      <w:r w:rsidRPr="0097532D">
        <w:rPr>
          <w:rFonts w:eastAsia="Times New Roman"/>
          <w:i/>
          <w:iCs/>
          <w:lang w:val="en-IN"/>
        </w:rPr>
        <w:t xml:space="preserve"> </w:t>
      </w:r>
      <w:r w:rsidRPr="0097532D">
        <w:rPr>
          <w:rFonts w:eastAsia="Times New Roman"/>
          <w:lang w:val="en-IN"/>
        </w:rPr>
        <w:t xml:space="preserve">approach, we screened 545 phytocompounds and identified the interaction between the ferulic acid found in </w:t>
      </w:r>
      <w:r w:rsidRPr="0097532D">
        <w:rPr>
          <w:rFonts w:eastAsia="Times New Roman"/>
          <w:i/>
          <w:iCs/>
          <w:lang w:val="en-IN"/>
        </w:rPr>
        <w:t xml:space="preserve">Mangifera indica </w:t>
      </w:r>
      <w:r w:rsidRPr="0097532D">
        <w:rPr>
          <w:rFonts w:eastAsia="Times New Roman"/>
          <w:lang w:val="en-IN"/>
        </w:rPr>
        <w:t xml:space="preserve">and crucial GSK-3β residues. Ferulic acid passed the necessary </w:t>
      </w:r>
      <w:r w:rsidR="00531F55" w:rsidRPr="00531F55">
        <w:rPr>
          <w:rFonts w:eastAsia="Times New Roman"/>
          <w:i/>
          <w:iCs/>
          <w:lang w:val="en-IN"/>
        </w:rPr>
        <w:t>in silico</w:t>
      </w:r>
      <w:r w:rsidRPr="0097532D">
        <w:rPr>
          <w:rFonts w:eastAsia="Times New Roman"/>
          <w:lang w:val="en-IN"/>
        </w:rPr>
        <w:t xml:space="preserve"> </w:t>
      </w:r>
      <w:commentRangeStart w:id="4"/>
      <w:commentRangeStart w:id="5"/>
      <w:r w:rsidRPr="0097532D">
        <w:rPr>
          <w:rFonts w:eastAsia="Times New Roman"/>
          <w:lang w:val="en-IN"/>
        </w:rPr>
        <w:t xml:space="preserve">ADME/Tox parameters </w:t>
      </w:r>
      <w:commentRangeEnd w:id="4"/>
      <w:r w:rsidR="00206375">
        <w:rPr>
          <w:rStyle w:val="CommentReference"/>
        </w:rPr>
        <w:commentReference w:id="4"/>
      </w:r>
      <w:commentRangeEnd w:id="5"/>
      <w:r w:rsidR="00C279DC">
        <w:rPr>
          <w:rStyle w:val="CommentReference"/>
        </w:rPr>
        <w:commentReference w:id="5"/>
      </w:r>
      <w:r w:rsidRPr="0097532D">
        <w:rPr>
          <w:rFonts w:eastAsia="Times New Roman"/>
          <w:lang w:val="en-IN"/>
        </w:rPr>
        <w:t>to be considered a potential inhibitor for the GSK-3β enzyme.</w:t>
      </w:r>
    </w:p>
    <w:p w14:paraId="09DCEE5B"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 MATERIALS AND METHODS</w:t>
      </w:r>
    </w:p>
    <w:p w14:paraId="7BB0BD65"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2.1 Phytochemical and ADME/Tox screening:</w:t>
      </w:r>
    </w:p>
    <w:p w14:paraId="465ECF91"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Fonts w:ascii="Arial" w:hAnsi="Arial" w:cs="Arial"/>
          <w:sz w:val="22"/>
          <w:szCs w:val="22"/>
        </w:rPr>
        <w:t xml:space="preserve">Phytocompounds found in </w:t>
      </w:r>
      <w:r w:rsidRPr="0097532D">
        <w:rPr>
          <w:rStyle w:val="Emphasis"/>
          <w:rFonts w:ascii="Arial" w:hAnsi="Arial" w:cs="Arial"/>
          <w:sz w:val="22"/>
          <w:szCs w:val="22"/>
        </w:rPr>
        <w:t>Mangifera indica</w:t>
      </w:r>
      <w:r w:rsidRPr="0097532D">
        <w:rPr>
          <w:rFonts w:ascii="Arial" w:hAnsi="Arial" w:cs="Arial"/>
          <w:sz w:val="22"/>
          <w:szCs w:val="22"/>
        </w:rPr>
        <w:t xml:space="preserve"> were screened using the </w:t>
      </w:r>
      <w:commentRangeStart w:id="6"/>
      <w:r w:rsidRPr="0097532D">
        <w:rPr>
          <w:rFonts w:ascii="Arial" w:hAnsi="Arial" w:cs="Arial"/>
          <w:sz w:val="22"/>
          <w:szCs w:val="22"/>
        </w:rPr>
        <w:t>IMPPAT 2.0 (</w:t>
      </w:r>
      <w:r w:rsidRPr="0097532D">
        <w:rPr>
          <w:rFonts w:ascii="Arial" w:hAnsi="Arial" w:cs="Arial"/>
          <w:sz w:val="22"/>
          <w:szCs w:val="22"/>
          <w:u w:val="single"/>
        </w:rPr>
        <w:t>I</w:t>
      </w:r>
      <w:r w:rsidRPr="0097532D">
        <w:rPr>
          <w:rFonts w:ascii="Arial" w:hAnsi="Arial" w:cs="Arial"/>
          <w:sz w:val="22"/>
          <w:szCs w:val="22"/>
        </w:rPr>
        <w:t xml:space="preserve">ndian </w:t>
      </w:r>
      <w:r w:rsidRPr="0097532D">
        <w:rPr>
          <w:rFonts w:ascii="Arial" w:hAnsi="Arial" w:cs="Arial"/>
          <w:sz w:val="22"/>
          <w:szCs w:val="22"/>
          <w:u w:val="single"/>
        </w:rPr>
        <w:t>M</w:t>
      </w:r>
      <w:r w:rsidRPr="0097532D">
        <w:rPr>
          <w:rFonts w:ascii="Arial" w:hAnsi="Arial" w:cs="Arial"/>
          <w:sz w:val="22"/>
          <w:szCs w:val="22"/>
        </w:rPr>
        <w:t xml:space="preserve">edicinal </w:t>
      </w:r>
      <w:r w:rsidRPr="0097532D">
        <w:rPr>
          <w:rFonts w:ascii="Arial" w:hAnsi="Arial" w:cs="Arial"/>
          <w:sz w:val="22"/>
          <w:szCs w:val="22"/>
          <w:u w:val="single"/>
        </w:rPr>
        <w:t>P</w:t>
      </w:r>
      <w:r w:rsidRPr="0097532D">
        <w:rPr>
          <w:rFonts w:ascii="Arial" w:hAnsi="Arial" w:cs="Arial"/>
          <w:sz w:val="22"/>
          <w:szCs w:val="22"/>
        </w:rPr>
        <w:t xml:space="preserve">lants, </w:t>
      </w:r>
      <w:r w:rsidRPr="0097532D">
        <w:rPr>
          <w:rFonts w:ascii="Arial" w:hAnsi="Arial" w:cs="Arial"/>
          <w:sz w:val="22"/>
          <w:szCs w:val="22"/>
          <w:u w:val="single"/>
        </w:rPr>
        <w:t>P</w:t>
      </w:r>
      <w:r w:rsidRPr="0097532D">
        <w:rPr>
          <w:rFonts w:ascii="Arial" w:hAnsi="Arial" w:cs="Arial"/>
          <w:sz w:val="22"/>
          <w:szCs w:val="22"/>
        </w:rPr>
        <w:t xml:space="preserve">hytochemistry </w:t>
      </w:r>
      <w:r w:rsidRPr="0097532D">
        <w:rPr>
          <w:rFonts w:ascii="Arial" w:hAnsi="Arial" w:cs="Arial"/>
          <w:sz w:val="22"/>
          <w:szCs w:val="22"/>
          <w:u w:val="single"/>
        </w:rPr>
        <w:t>and</w:t>
      </w:r>
      <w:r w:rsidRPr="0097532D">
        <w:rPr>
          <w:rFonts w:ascii="Arial" w:hAnsi="Arial" w:cs="Arial"/>
          <w:sz w:val="22"/>
          <w:szCs w:val="22"/>
        </w:rPr>
        <w:t> </w:t>
      </w:r>
      <w:r w:rsidRPr="0097532D">
        <w:rPr>
          <w:rFonts w:ascii="Arial" w:hAnsi="Arial" w:cs="Arial"/>
          <w:sz w:val="22"/>
          <w:szCs w:val="22"/>
          <w:u w:val="single"/>
        </w:rPr>
        <w:t>T</w:t>
      </w:r>
      <w:r w:rsidRPr="0097532D">
        <w:rPr>
          <w:rFonts w:ascii="Arial" w:hAnsi="Arial" w:cs="Arial"/>
          <w:sz w:val="22"/>
          <w:szCs w:val="22"/>
        </w:rPr>
        <w:t>herapeutics 2.0:</w:t>
      </w:r>
      <w:hyperlink r:id="rId13" w:history="1">
        <w:r w:rsidRPr="0097532D">
          <w:rPr>
            <w:rStyle w:val="Hyperlink"/>
            <w:rFonts w:ascii="Arial" w:hAnsi="Arial" w:cs="Arial"/>
            <w:color w:val="auto"/>
            <w:sz w:val="22"/>
            <w:szCs w:val="22"/>
          </w:rPr>
          <w:t xml:space="preserve"> https://cb.imsc.res.in/imppat/home</w:t>
        </w:r>
      </w:hyperlink>
      <w:commentRangeEnd w:id="6"/>
      <w:r w:rsidR="00C279DC">
        <w:rPr>
          <w:rStyle w:val="CommentReference"/>
          <w:rFonts w:ascii="Arial" w:eastAsia="Arial" w:hAnsi="Arial" w:cs="Arial"/>
          <w:lang w:val="zh-CN" w:eastAsia="en-IN"/>
        </w:rPr>
        <w:commentReference w:id="6"/>
      </w:r>
      <w:r w:rsidRPr="0097532D">
        <w:rPr>
          <w:rFonts w:ascii="Arial" w:hAnsi="Arial" w:cs="Arial"/>
          <w:sz w:val="22"/>
          <w:szCs w:val="22"/>
        </w:rPr>
        <w:t xml:space="preserve">) and </w:t>
      </w:r>
      <w:commentRangeStart w:id="7"/>
      <w:r w:rsidRPr="0097532D">
        <w:rPr>
          <w:rFonts w:ascii="Arial" w:hAnsi="Arial" w:cs="Arial"/>
          <w:sz w:val="22"/>
          <w:szCs w:val="22"/>
        </w:rPr>
        <w:t xml:space="preserve">PDTDB (Phytochemical and </w:t>
      </w:r>
      <w:r w:rsidRPr="0097532D">
        <w:rPr>
          <w:rFonts w:ascii="Arial" w:hAnsi="Arial" w:cs="Arial"/>
          <w:sz w:val="22"/>
          <w:szCs w:val="22"/>
          <w:u w:val="single"/>
        </w:rPr>
        <w:t>D</w:t>
      </w:r>
      <w:r w:rsidRPr="0097532D">
        <w:rPr>
          <w:rFonts w:ascii="Arial" w:hAnsi="Arial" w:cs="Arial"/>
          <w:sz w:val="22"/>
          <w:szCs w:val="22"/>
        </w:rPr>
        <w:t xml:space="preserve">rug </w:t>
      </w:r>
      <w:r w:rsidRPr="0097532D">
        <w:rPr>
          <w:rFonts w:ascii="Arial" w:hAnsi="Arial" w:cs="Arial"/>
          <w:sz w:val="22"/>
          <w:szCs w:val="22"/>
          <w:u w:val="single"/>
        </w:rPr>
        <w:t>T</w:t>
      </w:r>
      <w:r w:rsidRPr="0097532D">
        <w:rPr>
          <w:rFonts w:ascii="Arial" w:hAnsi="Arial" w:cs="Arial"/>
          <w:sz w:val="22"/>
          <w:szCs w:val="22"/>
        </w:rPr>
        <w:t xml:space="preserve">arget </w:t>
      </w:r>
      <w:proofErr w:type="spellStart"/>
      <w:r w:rsidRPr="0097532D">
        <w:rPr>
          <w:rFonts w:ascii="Arial" w:hAnsi="Arial" w:cs="Arial"/>
          <w:sz w:val="22"/>
          <w:szCs w:val="22"/>
        </w:rPr>
        <w:t>DataBase</w:t>
      </w:r>
      <w:proofErr w:type="spellEnd"/>
      <w:r w:rsidRPr="0097532D">
        <w:rPr>
          <w:rFonts w:ascii="Arial" w:hAnsi="Arial" w:cs="Arial"/>
          <w:sz w:val="22"/>
          <w:szCs w:val="22"/>
        </w:rPr>
        <w:t>:</w:t>
      </w:r>
      <w:hyperlink r:id="rId14" w:history="1">
        <w:r w:rsidRPr="0097532D">
          <w:rPr>
            <w:rStyle w:val="Hyperlink"/>
            <w:rFonts w:ascii="Arial" w:hAnsi="Arial" w:cs="Arial"/>
            <w:color w:val="auto"/>
            <w:sz w:val="22"/>
            <w:szCs w:val="22"/>
          </w:rPr>
          <w:t xml:space="preserve"> https://pdt.biogem.org/search.php</w:t>
        </w:r>
      </w:hyperlink>
      <w:commentRangeEnd w:id="7"/>
      <w:r w:rsidR="00C279DC">
        <w:rPr>
          <w:rStyle w:val="CommentReference"/>
          <w:rFonts w:ascii="Arial" w:eastAsia="Arial" w:hAnsi="Arial" w:cs="Arial"/>
          <w:lang w:val="zh-CN" w:eastAsia="en-IN"/>
        </w:rPr>
        <w:commentReference w:id="7"/>
      </w:r>
      <w:r w:rsidRPr="0097532D">
        <w:rPr>
          <w:rFonts w:ascii="Arial" w:hAnsi="Arial" w:cs="Arial"/>
          <w:sz w:val="22"/>
          <w:szCs w:val="22"/>
        </w:rPr>
        <w:t xml:space="preserve">) databases </w:t>
      </w:r>
      <w:r w:rsidRPr="0097532D">
        <w:rPr>
          <w:rFonts w:ascii="Arial" w:hAnsi="Arial" w:cs="Arial"/>
          <w:sz w:val="22"/>
          <w:szCs w:val="22"/>
        </w:rPr>
        <w:fldChar w:fldCharType="begin">
          <w:fldData xml:space="preserve">PEVuZE5vdGU+PENpdGU+PEF1dGhvcj5Nb2hhbnJhajwvQXV0aG9yPjxZZWFyPjIwMTg8L1llYXI+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PEVuZE5vdGU+PENpdGU+PEF1dGhvcj5Nb2hhbnJhajwvQXV0aG9yPjxZZWFyPjIwMTg8L1llYXI+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[12, 13]</w:t>
      </w:r>
      <w:r w:rsidRPr="0097532D">
        <w:rPr>
          <w:rFonts w:ascii="Arial" w:hAnsi="Arial" w:cs="Arial"/>
          <w:sz w:val="22"/>
          <w:szCs w:val="22"/>
        </w:rPr>
        <w:fldChar w:fldCharType="end"/>
      </w:r>
      <w:r w:rsidRPr="0097532D">
        <w:rPr>
          <w:rFonts w:ascii="Arial" w:hAnsi="Arial" w:cs="Arial"/>
          <w:sz w:val="22"/>
          <w:szCs w:val="22"/>
        </w:rPr>
        <w:t>.  These phytocompounds were further screened for their drug-likeness and physicochemical properties using the web services ‘</w:t>
      </w:r>
      <w:proofErr w:type="spellStart"/>
      <w:r w:rsidRPr="0097532D">
        <w:rPr>
          <w:rFonts w:ascii="Arial" w:hAnsi="Arial" w:cs="Arial"/>
          <w:sz w:val="22"/>
          <w:szCs w:val="22"/>
        </w:rPr>
        <w:t>SwissADME</w:t>
      </w:r>
      <w:proofErr w:type="spellEnd"/>
      <w:r w:rsidRPr="0097532D">
        <w:rPr>
          <w:rFonts w:ascii="Arial" w:hAnsi="Arial" w:cs="Arial"/>
          <w:sz w:val="22"/>
          <w:szCs w:val="22"/>
        </w:rPr>
        <w:t>’ (</w:t>
      </w:r>
      <w:hyperlink r:id="rId15" w:history="1">
        <w:r w:rsidRPr="0097532D">
          <w:rPr>
            <w:rStyle w:val="Hyperlink"/>
            <w:rFonts w:ascii="Arial" w:hAnsi="Arial" w:cs="Arial"/>
            <w:color w:val="auto"/>
            <w:sz w:val="22"/>
            <w:szCs w:val="22"/>
          </w:rPr>
          <w:t>http://www.swissadme.ch/</w:t>
        </w:r>
      </w:hyperlink>
      <w:r w:rsidRPr="0097532D">
        <w:rPr>
          <w:rFonts w:ascii="Arial" w:hAnsi="Arial" w:cs="Arial"/>
          <w:sz w:val="22"/>
          <w:szCs w:val="22"/>
        </w:rPr>
        <w:t xml:space="preserve">) and </w:t>
      </w:r>
      <w:proofErr w:type="spellStart"/>
      <w:r w:rsidRPr="0097532D">
        <w:rPr>
          <w:rFonts w:ascii="Arial" w:hAnsi="Arial" w:cs="Arial"/>
          <w:sz w:val="22"/>
          <w:szCs w:val="22"/>
        </w:rPr>
        <w:t>admetSAR</w:t>
      </w:r>
      <w:proofErr w:type="spellEnd"/>
      <w:r w:rsidRPr="0097532D">
        <w:rPr>
          <w:rFonts w:ascii="Arial" w:hAnsi="Arial" w:cs="Arial"/>
          <w:sz w:val="22"/>
          <w:szCs w:val="22"/>
        </w:rPr>
        <w:t xml:space="preserve"> (</w:t>
      </w:r>
      <w:hyperlink r:id="rId16" w:history="1">
        <w:r w:rsidRPr="0097532D">
          <w:rPr>
            <w:rStyle w:val="Hyperlink"/>
            <w:rFonts w:ascii="Arial" w:hAnsi="Arial" w:cs="Arial"/>
            <w:color w:val="auto"/>
            <w:sz w:val="22"/>
            <w:szCs w:val="22"/>
          </w:rPr>
          <w:t>http://lmmd.ecust.edu.cn/admetsar2/</w:t>
        </w:r>
      </w:hyperlink>
      <w:r w:rsidRPr="0097532D">
        <w:rPr>
          <w:rFonts w:ascii="Arial" w:hAnsi="Arial" w:cs="Arial"/>
          <w:sz w:val="22"/>
          <w:szCs w:val="22"/>
        </w:rPr>
        <w:t xml:space="preserve">)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&lt;EndNote&gt;&lt;Cite&gt;&lt;Author&gt;Daina&lt;/Author&gt;&lt;Year&gt;2017&lt;/Year&gt;&lt;RecNum&gt;251&lt;/RecNum&gt;&lt;DisplayText&gt;[14]&lt;/DisplayText&gt;&lt;record&gt;&lt;rec-number&gt;251&lt;/rec-number&gt;&lt;foreign-keys&gt;&lt;key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Pr="0097532D">
        <w:rPr>
          <w:rFonts w:ascii="Arial" w:hAnsi="Arial" w:cs="Arial"/>
          <w:sz w:val="22"/>
          <w:szCs w:val="22"/>
        </w:rPr>
        <w:fldChar w:fldCharType="separate"/>
      </w:r>
      <w:r w:rsidRPr="0097532D">
        <w:rPr>
          <w:rFonts w:ascii="Arial" w:hAnsi="Arial" w:cs="Arial"/>
          <w:sz w:val="22"/>
          <w:szCs w:val="22"/>
        </w:rPr>
        <w:t>[14]</w:t>
      </w:r>
      <w:r w:rsidRPr="0097532D">
        <w:rPr>
          <w:rFonts w:ascii="Arial" w:hAnsi="Arial" w:cs="Arial"/>
          <w:sz w:val="22"/>
          <w:szCs w:val="22"/>
        </w:rPr>
        <w:fldChar w:fldCharType="end"/>
      </w:r>
      <w:r w:rsidRPr="0097532D">
        <w:rPr>
          <w:rFonts w:ascii="Arial" w:hAnsi="Arial" w:cs="Arial"/>
          <w:sz w:val="22"/>
          <w:szCs w:val="22"/>
        </w:rPr>
        <w:t>.</w:t>
      </w:r>
    </w:p>
    <w:p w14:paraId="3E4DBB87" w14:textId="77777777" w:rsidR="00B954AC" w:rsidRPr="0097532D" w:rsidRDefault="00257CE9">
      <w:pPr>
        <w:spacing w:before="240" w:after="240" w:line="480" w:lineRule="auto"/>
        <w:jc w:val="both"/>
        <w:rPr>
          <w:rFonts w:eastAsia="Times New Roman"/>
          <w:b/>
          <w:lang w:val="en-IN"/>
        </w:rPr>
      </w:pPr>
      <w:r w:rsidRPr="0097532D">
        <w:rPr>
          <w:rFonts w:eastAsia="Times New Roman"/>
          <w:b/>
          <w:highlight w:val="white"/>
          <w:lang w:val="en-IN"/>
        </w:rPr>
        <w:t xml:space="preserve">2.3 </w:t>
      </w:r>
      <w:r w:rsidRPr="0097532D">
        <w:rPr>
          <w:rFonts w:eastAsia="Times New Roman"/>
          <w:b/>
          <w:lang w:val="en-IN"/>
        </w:rPr>
        <w:t>Target protein selection and structural validation:</w:t>
      </w:r>
    </w:p>
    <w:p w14:paraId="471FF951"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Fonts w:ascii="Arial" w:hAnsi="Arial" w:cs="Arial"/>
          <w:sz w:val="22"/>
          <w:szCs w:val="22"/>
        </w:rPr>
        <w:t>The Research Collaboratory for Structural Bio-Informatics Protein Data Bank (RCSB-PDB) (</w:t>
      </w:r>
      <w:hyperlink r:id="rId17" w:history="1">
        <w:r w:rsidRPr="0097532D">
          <w:rPr>
            <w:rStyle w:val="Hyperlink"/>
            <w:rFonts w:ascii="Arial" w:hAnsi="Arial" w:cs="Arial"/>
            <w:color w:val="auto"/>
            <w:sz w:val="22"/>
            <w:szCs w:val="22"/>
          </w:rPr>
          <w:t>https://www.rcsb.org/</w:t>
        </w:r>
      </w:hyperlink>
      <w:r w:rsidRPr="0097532D">
        <w:rPr>
          <w:rFonts w:ascii="Arial" w:hAnsi="Arial" w:cs="Arial"/>
          <w:sz w:val="22"/>
          <w:szCs w:val="22"/>
        </w:rPr>
        <w:t xml:space="preserve">) was used to search for an X-ray crystallography structure of GSK-3β </w:t>
      </w:r>
      <w:r w:rsidRPr="0097532D">
        <w:rPr>
          <w:rFonts w:ascii="Arial" w:hAnsi="Arial" w:cs="Arial"/>
          <w:sz w:val="22"/>
          <w:szCs w:val="22"/>
        </w:rPr>
        <w:fldChar w:fldCharType="begin">
          <w:fldData xml:space="preserve">PEVuZE5vdGU+PENpdGU+PEF1dGhvcj5Sb3NlPC9BdXRob3I+PFllYXI+MjAxMzwvWWVhcj48UmVj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PEVuZE5vdGU+PENpdGU+PEF1dGhvcj5Sb3NlPC9BdXRob3I+PFllYXI+MjAxMzwvWWVhcj48UmVj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[15]</w:t>
      </w:r>
      <w:r w:rsidRPr="0097532D">
        <w:rPr>
          <w:rFonts w:ascii="Arial" w:hAnsi="Arial" w:cs="Arial"/>
          <w:sz w:val="22"/>
          <w:szCs w:val="22"/>
        </w:rPr>
        <w:fldChar w:fldCharType="end"/>
      </w:r>
      <w:r w:rsidRPr="0097532D">
        <w:rPr>
          <w:rFonts w:ascii="Arial" w:hAnsi="Arial" w:cs="Arial"/>
          <w:sz w:val="22"/>
          <w:szCs w:val="22"/>
        </w:rPr>
        <w:t>. The PDB ID 2JLD was selected as the structure had 2.35 Å resolution, 0.227 and 0.190 R-free and R-working values. </w:t>
      </w:r>
    </w:p>
    <w:p w14:paraId="30AC7902"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Style w:val="Strong"/>
          <w:rFonts w:ascii="Arial" w:hAnsi="Arial" w:cs="Arial"/>
          <w:sz w:val="22"/>
          <w:szCs w:val="22"/>
        </w:rPr>
        <w:t>2.4 Protein and Ligand Preparation:</w:t>
      </w:r>
    </w:p>
    <w:p w14:paraId="63AB20BC" w14:textId="77777777"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t xml:space="preserve">The GSK-3β structure, hereto referred to as 2JLD, was prepared using the protein preparation wizard suite of Schrodinger Maestro Suite version 2022-1. The default parameters include </w:t>
      </w:r>
      <w:r w:rsidRPr="0097532D">
        <w:rPr>
          <w:rFonts w:ascii="Arial" w:hAnsi="Arial" w:cs="Arial"/>
          <w:sz w:val="22"/>
          <w:szCs w:val="22"/>
        </w:rPr>
        <w:lastRenderedPageBreak/>
        <w:t>assigning bond orders, adding missing heavy atoms, assigning protonation states, and optimizing hydrogen bonds. Similarly, the shortlisted ligands were optimized using the ‘</w:t>
      </w:r>
      <w:proofErr w:type="spellStart"/>
      <w:r w:rsidRPr="0097532D">
        <w:rPr>
          <w:rFonts w:ascii="Arial" w:hAnsi="Arial" w:cs="Arial"/>
          <w:sz w:val="22"/>
          <w:szCs w:val="22"/>
        </w:rPr>
        <w:t>LigPrep</w:t>
      </w:r>
      <w:proofErr w:type="spellEnd"/>
      <w:r w:rsidRPr="0097532D">
        <w:rPr>
          <w:rFonts w:ascii="Arial" w:hAnsi="Arial" w:cs="Arial"/>
          <w:sz w:val="22"/>
          <w:szCs w:val="22"/>
        </w:rPr>
        <w:t xml:space="preserve">’ module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&lt;EndNote&gt;&lt;Cite&gt;&lt;Author&gt;Iwaloye&lt;/Author&gt;&lt;Year&gt;2020&lt;/Year&gt;&lt;RecNum&gt;88&lt;/RecNum&gt;&lt;DisplayText&gt;[16]&lt;/DisplayText&gt;&lt;record&gt;&lt;rec-number&gt;88&lt;/rec-number&gt;&lt;foreign-keys&gt;&lt;key app="EN" db-id="wsdv0pte9vpfs7e9x5tpdwp1xaa59rxrzzwr" timestamp="1712494411"&gt;88&lt;/key&gt;&lt;key app="ENWeb" db-id=""&gt;0&lt;/key&gt;&lt;/foreign-keys&gt;&lt;ref-type name="Journal Article"&gt;17&lt;/ref-type&gt;&lt;contributors&gt;&lt;authors&gt;&lt;author&gt;Iwaloye, O.&lt;/author&gt;&lt;author&gt;Elekofehinti, O. O.&lt;/author&gt;&lt;author&gt;Oluwarotimi, E. A.&lt;/author&gt;&lt;author&gt;Kikiowo, B. I.&lt;/author&gt;&lt;author&gt;Fadipe, T. M.&lt;/author&gt;&lt;/authors&gt;&lt;/contributors&gt;&lt;auth-address&gt;Bioinformatics and Molecular Biology Unit, Department of Biochemistry, Federal University of Technology, Akure, Ondo State Nigeria. GRID: grid.411257.4. ISNI: 0000 0000 9518 4324&lt;/auth-address&gt;&lt;titles&gt;&lt;title&gt;Insight into glycogen synthase kinase-3beta inhibitory activity of phyto-constituents from Melissa officinalis: in silico studies&lt;/title&gt;&lt;secondary-title&gt;In Silico Pharmacol&lt;/secondary-title&gt;&lt;/titles&gt;&lt;periodical&gt;&lt;full-title&gt;In Silico Pharmacol&lt;/full-title&gt;&lt;/periodical&gt;&lt;pages&gt;2&lt;/pages&gt;&lt;volume&gt;8&lt;/volume&gt;&lt;number&gt;1&lt;/number&gt;&lt;edition&gt;2020/09/25&lt;/edition&gt;&lt;keywords&gt;&lt;keyword&gt;AutoQSAR&lt;/keyword&gt;&lt;keyword&gt;Glycogen synthase kinase-3beta&lt;/keyword&gt;&lt;keyword&gt;Induced-fit docking (IFD)&lt;/keyword&gt;&lt;keyword&gt;Mm-gbsa&lt;/keyword&gt;&lt;keyword&gt;Melissa officinalis&lt;/keyword&gt;&lt;/keywords&gt;&lt;dates&gt;&lt;year&gt;2020&lt;/year&gt;&lt;/dates&gt;&lt;isbn&gt;2193-9616 (Print)&amp;#xD;2193-9616 (Electronic)&amp;#xD;2193-9616 (Linking)&lt;/isbn&gt;&lt;accession-num&gt;32968615&lt;/accession-num&gt;&lt;urls&gt;&lt;related-urls&gt;&lt;url&gt;https://www.ncbi.nlm.nih.gov/pubmed/32968615&lt;/url&gt;&lt;/related-urls&gt;&lt;/urls&gt;&lt;custom2&gt;PMC7487069&lt;/custom2&gt;&lt;electronic-resource-num&gt;10.1007/s40203-020-00054-x&lt;/electronic-resource-num&gt;&lt;/record&gt;&lt;/Cite&gt;&lt;/EndNote&gt;</w:instrText>
      </w:r>
      <w:r w:rsidRPr="0097532D">
        <w:rPr>
          <w:rFonts w:ascii="Arial" w:hAnsi="Arial" w:cs="Arial"/>
          <w:sz w:val="22"/>
          <w:szCs w:val="22"/>
        </w:rPr>
        <w:fldChar w:fldCharType="separate"/>
      </w:r>
      <w:r w:rsidRPr="0097532D">
        <w:rPr>
          <w:rFonts w:ascii="Arial" w:hAnsi="Arial" w:cs="Arial"/>
          <w:sz w:val="22"/>
          <w:szCs w:val="22"/>
        </w:rPr>
        <w:t>[16]</w:t>
      </w:r>
      <w:r w:rsidRPr="0097532D">
        <w:rPr>
          <w:rFonts w:ascii="Arial" w:hAnsi="Arial" w:cs="Arial"/>
          <w:sz w:val="22"/>
          <w:szCs w:val="22"/>
        </w:rPr>
        <w:fldChar w:fldCharType="end"/>
      </w:r>
      <w:r w:rsidRPr="0097532D">
        <w:rPr>
          <w:rFonts w:ascii="Arial" w:hAnsi="Arial" w:cs="Arial"/>
          <w:sz w:val="22"/>
          <w:szCs w:val="22"/>
        </w:rPr>
        <w:t>. The parameters, such as structure optimization and the addition of any missing atoms or partial charges using the force field OPLS-2005, were set for the ligands. After protein and ligand preparations, the protein grid box was created central to the active site of 2JLD. The active site of the enzyme was determined using the UNIPROT database version 2023-02 (</w:t>
      </w:r>
      <w:hyperlink r:id="rId18" w:history="1">
        <w:r w:rsidRPr="0097532D">
          <w:rPr>
            <w:rStyle w:val="Hyperlink"/>
            <w:rFonts w:ascii="Arial" w:hAnsi="Arial" w:cs="Arial"/>
            <w:color w:val="auto"/>
            <w:sz w:val="22"/>
            <w:szCs w:val="22"/>
          </w:rPr>
          <w:t>https://www.uniprot.org/help/uniprotkb</w:t>
        </w:r>
      </w:hyperlink>
      <w:r w:rsidRPr="0097532D">
        <w:rPr>
          <w:rFonts w:ascii="Arial" w:hAnsi="Arial" w:cs="Arial"/>
          <w:sz w:val="22"/>
          <w:szCs w:val="22"/>
        </w:rPr>
        <w:t xml:space="preserve">) </w:t>
      </w:r>
      <w:r w:rsidRPr="0097532D">
        <w:rPr>
          <w:rFonts w:ascii="Arial" w:hAnsi="Arial" w:cs="Arial"/>
          <w:sz w:val="22"/>
          <w:szCs w:val="22"/>
        </w:rPr>
        <w:fldChar w:fldCharType="begin">
          <w:fldData xml:space="preserve">PEVuZE5vdGU+PENpdGU+PEF1dGhvcj5LaGFyZTwvQXV0aG9yPjxZZWFyPjIwMjI8L1llYXI+PFJl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PEVuZE5vdGU+PENpdGU+PEF1dGhvcj5LaGFyZTwvQXV0aG9yPjxZZWFyPjIwMjI8L1llYXI+PFJl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[17]</w:t>
      </w:r>
      <w:r w:rsidRPr="0097532D">
        <w:rPr>
          <w:rFonts w:ascii="Arial" w:hAnsi="Arial" w:cs="Arial"/>
          <w:sz w:val="22"/>
          <w:szCs w:val="22"/>
        </w:rPr>
        <w:fldChar w:fldCharType="end"/>
      </w:r>
      <w:r w:rsidRPr="0097532D">
        <w:rPr>
          <w:rFonts w:ascii="Arial" w:hAnsi="Arial" w:cs="Arial"/>
          <w:sz w:val="22"/>
          <w:szCs w:val="22"/>
        </w:rPr>
        <w:t>.</w:t>
      </w:r>
    </w:p>
    <w:p w14:paraId="3713B26D" w14:textId="77777777"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2.5 Molecular docking:</w:t>
      </w:r>
    </w:p>
    <w:p w14:paraId="09B0C92E" w14:textId="77777777"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t>The Molecular docking analysis was conducted using the Glide suite of Schrodinger Maestro Suite version 2022-1. Firstly, High-Throughput Virtual Screening</w:t>
      </w:r>
      <w:r w:rsidRPr="0097532D">
        <w:rPr>
          <w:rFonts w:ascii="Arial" w:hAnsi="Arial" w:cs="Arial"/>
          <w:sz w:val="22"/>
          <w:szCs w:val="22"/>
          <w:u w:val="single"/>
        </w:rPr>
        <w:t xml:space="preserve"> </w:t>
      </w:r>
      <w:r w:rsidRPr="0097532D">
        <w:rPr>
          <w:rFonts w:ascii="Arial" w:hAnsi="Arial" w:cs="Arial"/>
          <w:sz w:val="22"/>
          <w:szCs w:val="22"/>
        </w:rPr>
        <w:t xml:space="preserve">(HTVS) was used to increase the hit rate and filter the shortlisted phytochemicals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&lt;EndNote&gt;&lt;Cite&gt;&lt;Author&gt;Friesner&lt;/Author&gt;&lt;Year&gt;2004&lt;/Year&gt;&lt;RecNum&gt;475&lt;/RecNum&gt;&lt;DisplayText&gt;[18]&lt;/DisplayText&gt;&lt;record&gt;&lt;rec-number&gt;475&lt;/rec-number&gt;&lt;foreign-keys&gt;&lt;key app="EN" db-id="wrvdepxeaes5szerfz2pptsxsd5w9rzzweet" timestamp="1708361618"&gt;475&lt;/key&gt;&lt;/foreign-keys&gt;&lt;ref-type name="Journal Article"&gt;17&lt;/ref-type&gt;&lt;contributors&gt;&lt;authors&gt;&lt;author&gt;Friesner, Richard A&lt;/author&gt;&lt;author&gt;Banks, Jay L&lt;/author&gt;&lt;author&gt;Murphy, Robert B&lt;/author&gt;&lt;author&gt;Halgren, Thomas A&lt;/author&gt;&lt;author&gt;Klicic, Jasna J&lt;/author&gt;&lt;author&gt;Mainz, Daniel T&lt;/author&gt;&lt;author&gt;Repasky, Matthew P&lt;/author&gt;&lt;author&gt;Knoll, Eric H&lt;/author&gt;&lt;author&gt;Shelley, Mee&lt;/author&gt;&lt;author&gt;Perry, Jason K %J Journal of medicinal chemistry&lt;/author&gt;&lt;/authors&gt;&lt;/contributors&gt;&lt;titles&gt;&lt;title&gt;Glide: a new approach for rapid, accurate docking and scoring. 1. Method and assessment of docking accuracy&lt;/title&gt;&lt;/titles&gt;&lt;pages&gt;1739-1749&lt;/pages&gt;&lt;volume&gt;47&lt;/volume&gt;&lt;number&gt;7&lt;/number&gt;&lt;dates&gt;&lt;year&gt;2004&lt;/year&gt;&lt;/dates&gt;&lt;isbn&gt;0022-2623&lt;/isbn&gt;&lt;urls&gt;&lt;/urls&gt;&lt;/record&gt;&lt;/Cite&gt;&lt;/EndNote&gt;</w:instrText>
      </w:r>
      <w:r w:rsidRPr="0097532D">
        <w:rPr>
          <w:rFonts w:ascii="Arial" w:hAnsi="Arial" w:cs="Arial"/>
          <w:sz w:val="22"/>
          <w:szCs w:val="22"/>
        </w:rPr>
        <w:fldChar w:fldCharType="separate"/>
      </w:r>
      <w:r w:rsidRPr="0097532D">
        <w:rPr>
          <w:rFonts w:ascii="Arial" w:hAnsi="Arial" w:cs="Arial"/>
          <w:sz w:val="22"/>
          <w:szCs w:val="22"/>
        </w:rPr>
        <w:t>[18]</w:t>
      </w:r>
      <w:r w:rsidRPr="0097532D">
        <w:rPr>
          <w:rFonts w:ascii="Arial" w:hAnsi="Arial" w:cs="Arial"/>
          <w:sz w:val="22"/>
          <w:szCs w:val="22"/>
        </w:rPr>
        <w:fldChar w:fldCharType="end"/>
      </w:r>
      <w:r w:rsidRPr="0097532D">
        <w:rPr>
          <w:rFonts w:ascii="Arial" w:hAnsi="Arial" w:cs="Arial"/>
          <w:sz w:val="22"/>
          <w:szCs w:val="22"/>
        </w:rPr>
        <w:t xml:space="preserve">. Secondly, these phytochemicals were processed for molecular docking analysis using the Glide SP (standard precision) and XP (extra precision) suites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&lt;EndNote&gt;&lt;Cite&gt;&lt;Author&gt;Mishra&lt;/Author&gt;&lt;Year&gt;2019&lt;/Year&gt;&lt;RecNum&gt;476&lt;/RecNum&gt;&lt;DisplayText&gt;[19]&lt;/DisplayText&gt;&lt;record&gt;&lt;rec-number&gt;476&lt;/rec-number&gt;&lt;foreign-keys&gt;&lt;key app="EN" db-id="wrvdepxeaes5szerfz2pptsxsd5w9rzzweet" timestamp="1708361706"&gt;476&lt;/key&gt;&lt;/foreign-keys&gt;&lt;ref-type name="Journal Article"&gt;17&lt;/ref-type&gt;&lt;contributors&gt;&lt;authors&gt;&lt;author&gt;Mishra, Vinita&lt;/author&gt;&lt;author&gt;Pathak, Chandramani %J International journal of biological macromolecules&lt;/author&gt;&lt;/authors&gt;&lt;/contributors&gt;&lt;titles&gt;&lt;title&gt;Human Toll-Like Receptor 4 (hTLR4): Structural and functional dynamics in cancer&lt;/title&gt;&lt;/titles&gt;&lt;pages&gt;425-451&lt;/pages&gt;&lt;volume&gt;122&lt;/volume&gt;&lt;dates&gt;&lt;year&gt;2019&lt;/year&gt;&lt;/dates&gt;&lt;isbn&gt;0141-8130&lt;/isbn&gt;&lt;urls&gt;&lt;/urls&gt;&lt;/record&gt;&lt;/Cite&gt;&lt;/EndNote&gt;</w:instrText>
      </w:r>
      <w:r w:rsidRPr="0097532D">
        <w:rPr>
          <w:rFonts w:ascii="Arial" w:hAnsi="Arial" w:cs="Arial"/>
          <w:sz w:val="22"/>
          <w:szCs w:val="22"/>
        </w:rPr>
        <w:fldChar w:fldCharType="separate"/>
      </w:r>
      <w:r w:rsidRPr="0097532D">
        <w:rPr>
          <w:rFonts w:ascii="Arial" w:hAnsi="Arial" w:cs="Arial"/>
          <w:sz w:val="22"/>
          <w:szCs w:val="22"/>
        </w:rPr>
        <w:t>[19]</w:t>
      </w:r>
      <w:r w:rsidRPr="0097532D">
        <w:rPr>
          <w:rFonts w:ascii="Arial" w:hAnsi="Arial" w:cs="Arial"/>
          <w:sz w:val="22"/>
          <w:szCs w:val="22"/>
        </w:rPr>
        <w:fldChar w:fldCharType="end"/>
      </w:r>
      <w:r w:rsidRPr="0097532D">
        <w:rPr>
          <w:rFonts w:ascii="Arial" w:hAnsi="Arial" w:cs="Arial"/>
          <w:sz w:val="22"/>
          <w:szCs w:val="22"/>
        </w:rPr>
        <w:t xml:space="preserve">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&lt;EndNote&gt;&lt;Cite&gt;&lt;Author&gt;Singh&lt;/Author&gt;&lt;Year&gt;2021&lt;/Year&gt;&lt;RecNum&gt;477&lt;/RecNum&gt;&lt;DisplayText&gt;[20]&lt;/DisplayText&gt;&lt;record&gt;&lt;rec-number&gt;477&lt;/rec-number&gt;&lt;foreign-keys&gt;&lt;key app="EN" db-id="wrvdepxeaes5szerfz2pptsxsd5w9rzzweet" timestamp="1708361883"&gt;477&lt;/key&gt;&lt;/foreign-keys&gt;&lt;ref-type name="Journal Article"&gt;17&lt;/ref-type&gt;&lt;contributors&gt;&lt;authors&gt;&lt;author&gt;Singh, Amit&lt;/author&gt;&lt;author&gt;Mishra, Abha&lt;/author&gt;&lt;/authors&gt;&lt;/contributors&gt;&lt;titles&gt;&lt;title&gt;Leucoefdin a potential inhibitor against SARS CoV-2 Mpro&lt;/title&gt;&lt;secondary-title&gt;Journal of Biomolecular Structure and Dynamics&lt;/secondary-title&gt;&lt;/titles&gt;&lt;periodical&gt;&lt;full-title&gt;Journal of Biomolecular Structure and Dynamics&lt;/full-title&gt;&lt;/periodical&gt;&lt;pages&gt;4427-4432&lt;/pages&gt;&lt;volume&gt;39&lt;/volume&gt;&lt;number&gt;12&lt;/number&gt;&lt;dates&gt;&lt;year&gt;2021&lt;/year&gt;&lt;/dates&gt;&lt;isbn&gt;0739-1102&lt;/isbn&gt;&lt;urls&gt;&lt;/urls&gt;&lt;/record&gt;&lt;/Cite&gt;&lt;/EndNote&gt;</w:instrText>
      </w:r>
      <w:r w:rsidRPr="0097532D">
        <w:rPr>
          <w:rFonts w:ascii="Arial" w:hAnsi="Arial" w:cs="Arial"/>
          <w:sz w:val="22"/>
          <w:szCs w:val="22"/>
        </w:rPr>
        <w:fldChar w:fldCharType="separate"/>
      </w:r>
      <w:r w:rsidRPr="0097532D">
        <w:rPr>
          <w:rFonts w:ascii="Arial" w:hAnsi="Arial" w:cs="Arial"/>
          <w:sz w:val="22"/>
          <w:szCs w:val="22"/>
        </w:rPr>
        <w:t>[20]</w:t>
      </w:r>
      <w:r w:rsidRPr="0097532D">
        <w:rPr>
          <w:rFonts w:ascii="Arial" w:hAnsi="Arial" w:cs="Arial"/>
          <w:sz w:val="22"/>
          <w:szCs w:val="22"/>
        </w:rPr>
        <w:fldChar w:fldCharType="end"/>
      </w:r>
      <w:r w:rsidRPr="0097532D">
        <w:rPr>
          <w:rFonts w:ascii="Arial" w:hAnsi="Arial" w:cs="Arial"/>
          <w:sz w:val="22"/>
          <w:szCs w:val="22"/>
        </w:rPr>
        <w:t>. Thirdly, the top five docking interactions were compared with a negative and positive control.</w:t>
      </w:r>
      <w:r w:rsidRPr="0097532D">
        <w:rPr>
          <w:rStyle w:val="Strong"/>
          <w:rFonts w:ascii="Arial" w:hAnsi="Arial" w:cs="Arial"/>
          <w:sz w:val="22"/>
          <w:szCs w:val="22"/>
        </w:rPr>
        <w:t xml:space="preserve"> </w:t>
      </w:r>
    </w:p>
    <w:p w14:paraId="5E22AB6C" w14:textId="77777777"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 xml:space="preserve">2.6 Molecular Dynamic Simulation: </w:t>
      </w:r>
      <w:r w:rsidRPr="0097532D">
        <w:rPr>
          <w:rFonts w:ascii="Arial" w:hAnsi="Arial" w:cs="Arial"/>
          <w:sz w:val="22"/>
          <w:szCs w:val="22"/>
        </w:rPr>
        <w:t xml:space="preserve">The phytochemical demonstrating the highest binding affinity with GSK-3β was subjected to </w:t>
      </w:r>
      <w:r w:rsidRPr="0097532D">
        <w:rPr>
          <w:rFonts w:ascii="Arial" w:hAnsi="Arial" w:cs="Arial"/>
          <w:sz w:val="22"/>
          <w:szCs w:val="22"/>
          <w:u w:val="single"/>
        </w:rPr>
        <w:t>M</w:t>
      </w:r>
      <w:r w:rsidRPr="0097532D">
        <w:rPr>
          <w:rFonts w:ascii="Arial" w:hAnsi="Arial" w:cs="Arial"/>
          <w:sz w:val="22"/>
          <w:szCs w:val="22"/>
        </w:rPr>
        <w:t xml:space="preserve">olecular </w:t>
      </w:r>
      <w:r w:rsidRPr="0097532D">
        <w:rPr>
          <w:rFonts w:ascii="Arial" w:hAnsi="Arial" w:cs="Arial"/>
          <w:sz w:val="22"/>
          <w:szCs w:val="22"/>
          <w:u w:val="single"/>
        </w:rPr>
        <w:t>D</w:t>
      </w:r>
      <w:r w:rsidRPr="0097532D">
        <w:rPr>
          <w:rFonts w:ascii="Arial" w:hAnsi="Arial" w:cs="Arial"/>
          <w:sz w:val="22"/>
          <w:szCs w:val="22"/>
        </w:rPr>
        <w:t xml:space="preserve">ynamic (MD) simulation using the ‘Desmond’ suite. The simulation was conducted using the isothermal-isobaric ensemble at 300 Kelvin and 1.013 bar pressure for 100 nanoseconds. The OPLS-2005 force field and a predefined TIP3P solvent model were utilized for running the MD simulation </w:t>
      </w:r>
      <w:r w:rsidRPr="0097532D">
        <w:rPr>
          <w:rFonts w:ascii="Arial" w:hAnsi="Arial" w:cs="Arial"/>
          <w:sz w:val="22"/>
          <w:szCs w:val="22"/>
        </w:rPr>
        <w:fldChar w:fldCharType="begin">
          <w:fldData xml:space="preserve">PEVuZE5vdGU+PENpdGU+PEF1dGhvcj5Ib2xsaW5nc3dvcnRoPC9BdXRob3I+PFllYXI+MjAxODwv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PEVuZE5vdGU+PENpdGU+PEF1dGhvcj5Ib2xsaW5nc3dvcnRoPC9BdXRob3I+PFllYXI+MjAxODwv
WWVhcj48UmVjTnVtPjMxNjwvUmVjTnVtPjxEaXNwbGF5VGV4dD5bMjFdPC9EaXNwbGF5VGV4dD48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[21]</w:t>
      </w:r>
      <w:r w:rsidRPr="0097532D">
        <w:rPr>
          <w:rFonts w:ascii="Arial" w:hAnsi="Arial" w:cs="Arial"/>
          <w:sz w:val="22"/>
          <w:szCs w:val="22"/>
        </w:rPr>
        <w:fldChar w:fldCharType="end"/>
      </w:r>
      <w:r w:rsidRPr="0097532D">
        <w:rPr>
          <w:rFonts w:ascii="Arial" w:hAnsi="Arial" w:cs="Arial"/>
          <w:sz w:val="22"/>
          <w:szCs w:val="22"/>
        </w:rPr>
        <w:t xml:space="preserve"> Santos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&lt;EndNote&gt;&lt;Cite&gt;&lt;Author&gt;Santos&lt;/Author&gt;&lt;Year&gt;2019&lt;/Year&gt;&lt;RecNum&gt;320&lt;/RecNum&gt;&lt;DisplayText&gt;[22]&lt;/DisplayText&gt;&lt;record&gt;&lt;rec-number&gt;320&lt;/rec-number&gt;&lt;foreign-keys&gt;&lt;key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ascii="Arial" w:hAnsi="Arial" w:cs="Arial"/>
          <w:sz w:val="22"/>
          <w:szCs w:val="22"/>
        </w:rPr>
        <w:fldChar w:fldCharType="separate"/>
      </w:r>
      <w:r w:rsidRPr="0097532D">
        <w:rPr>
          <w:rFonts w:ascii="Arial" w:hAnsi="Arial" w:cs="Arial"/>
          <w:sz w:val="22"/>
          <w:szCs w:val="22"/>
        </w:rPr>
        <w:t>[22]</w:t>
      </w:r>
      <w:r w:rsidRPr="0097532D">
        <w:rPr>
          <w:rFonts w:ascii="Arial" w:hAnsi="Arial" w:cs="Arial"/>
          <w:sz w:val="22"/>
          <w:szCs w:val="22"/>
        </w:rPr>
        <w:fldChar w:fldCharType="end"/>
      </w:r>
      <w:r w:rsidRPr="0097532D">
        <w:rPr>
          <w:rFonts w:ascii="Arial" w:hAnsi="Arial" w:cs="Arial"/>
          <w:sz w:val="22"/>
          <w:szCs w:val="22"/>
        </w:rPr>
        <w:t>. The results of the MD simulation were analyzed using RMSD (Root Mean Square Deviation), RMSF (Root mean square fluctuation), and ligand-receptor interaction (ligand-atom points of contact over time, ligand-receptor point of contact plot at atomic scale).</w:t>
      </w:r>
    </w:p>
    <w:p w14:paraId="73173389"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3. RESULTS AND DISCUSSION:</w:t>
      </w:r>
    </w:p>
    <w:p w14:paraId="5C20FEC9"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3.1. Phytochemical screening from</w:t>
      </w:r>
      <w:r w:rsidRPr="0097532D">
        <w:rPr>
          <w:rFonts w:eastAsia="Times New Roman"/>
          <w:b/>
          <w:bCs/>
          <w:i/>
          <w:iCs/>
          <w:lang w:val="en-IN"/>
        </w:rPr>
        <w:t xml:space="preserve"> Mangifera indica:</w:t>
      </w:r>
    </w:p>
    <w:p w14:paraId="78DB5423" w14:textId="2E27DC7F"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Few online comprehensive databases provide chemical structures, structure information, and chemical identifiers. These databases provide chemical structures (ligands), which can be downloaded and used for further analysis. Likewise, the present study utilized the IMPPAT and PDTDB databases, which revealed the presence of 545 phytochemicals in </w:t>
      </w:r>
      <w:r w:rsidRPr="0097532D">
        <w:rPr>
          <w:rFonts w:eastAsia="Times New Roman"/>
          <w:i/>
          <w:iCs/>
          <w:lang w:val="en-IN"/>
        </w:rPr>
        <w:t>Mangifera indica</w:t>
      </w:r>
      <w:r w:rsidRPr="0097532D">
        <w:rPr>
          <w:rFonts w:eastAsia="Times New Roman"/>
          <w:lang w:val="en-IN"/>
        </w:rPr>
        <w:t>. These phytochemicals were shortlisted based on their BBB (blood-brain barrier) crossing capabilities. This yielded 241 compounds; those were subjected to molecular docking with GSK-3β (2JLD).</w:t>
      </w:r>
    </w:p>
    <w:p w14:paraId="1137AADE"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3.2. Molecular docking analysis of phytochemicals with GSK-3β:</w:t>
      </w:r>
    </w:p>
    <w:p w14:paraId="1FA2CCB5" w14:textId="144B27F2"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Schrodinger Glide module consists of three sub-modules, viz., HTVS, Glide SP, and Glide XP, designed for refined lead optimization. The sub-module HTVS shortlists compounds based on their binding affinity with protein residues and drug-likeness properties, resulting in lead optimization. We subjected the previously screened 241 phytocompounds to HTVS analysis, which filtered 161 compounds that were lead optimized</w:t>
      </w:r>
      <w:r w:rsidRPr="0097532D">
        <w:rPr>
          <w:rFonts w:eastAsia="Times New Roman"/>
          <w:b/>
          <w:bCs/>
          <w:lang w:val="en-IN"/>
        </w:rPr>
        <w:t xml:space="preserve">. </w:t>
      </w:r>
      <w:r w:rsidRPr="0097532D">
        <w:rPr>
          <w:rFonts w:eastAsia="Times New Roman"/>
          <w:lang w:val="en-IN"/>
        </w:rPr>
        <w:t xml:space="preserve">These compounds were processed using the Glide SP and XP docking suites, which yielded only 13 phytochemicals with higher binding affinities with 2JLD (the top five compounds are shown in </w:t>
      </w:r>
      <w:r w:rsidRPr="00361DEA">
        <w:rPr>
          <w:rFonts w:eastAsia="Times New Roman"/>
          <w:lang w:val="en-IN"/>
        </w:rPr>
        <w:t>Table 1</w:t>
      </w:r>
      <w:r w:rsidRPr="0097532D">
        <w:rPr>
          <w:rFonts w:eastAsia="Times New Roman"/>
          <w:lang w:val="en-IN"/>
        </w:rPr>
        <w:t>). Among these phytocompounds, only ferulic 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2</w:t>
      </w:r>
      <w:r w:rsidRPr="0097532D">
        <w:rPr>
          <w:rFonts w:eastAsia="Times New Roman"/>
          <w:lang w:val="en-IN"/>
        </w:rPr>
        <w:t xml:space="preserve">) demonstrated the highest binding affinity of −7.22 kcal/mol with 2JLD. Upon detailed analysis of the dock poses using the 2D interaction diagram </w:t>
      </w:r>
      <w:r w:rsidRPr="0097532D">
        <w:rPr>
          <w:rFonts w:eastAsia="Times New Roman"/>
          <w:b/>
          <w:bCs/>
          <w:lang w:val="en-IN"/>
        </w:rPr>
        <w:t>(</w:t>
      </w:r>
      <w:r w:rsidRPr="00361DEA">
        <w:rPr>
          <w:rFonts w:eastAsia="Times New Roman"/>
          <w:lang w:val="en-IN"/>
        </w:rPr>
        <w:t>Fig</w:t>
      </w:r>
      <w:r w:rsidR="00884A1E">
        <w:rPr>
          <w:rFonts w:eastAsia="Times New Roman"/>
          <w:lang w:val="en-IN"/>
        </w:rPr>
        <w:t>.</w:t>
      </w:r>
      <w:r w:rsidRPr="00361DEA">
        <w:rPr>
          <w:rFonts w:eastAsia="Times New Roman"/>
          <w:lang w:val="en-IN"/>
        </w:rPr>
        <w:t xml:space="preserve"> 3a</w:t>
      </w:r>
      <w:r w:rsidRPr="0097532D">
        <w:rPr>
          <w:rFonts w:eastAsia="Times New Roman"/>
          <w:b/>
          <w:bCs/>
          <w:lang w:val="en-IN"/>
        </w:rPr>
        <w:t xml:space="preserve">), </w:t>
      </w:r>
      <w:r w:rsidRPr="0097532D">
        <w:rPr>
          <w:rFonts w:eastAsia="Times New Roman"/>
          <w:lang w:val="en-IN"/>
        </w:rPr>
        <w:t>we</w:t>
      </w:r>
      <w:r w:rsidRPr="0097532D">
        <w:rPr>
          <w:rFonts w:eastAsia="Times New Roman"/>
          <w:b/>
          <w:bCs/>
          <w:lang w:val="en-IN"/>
        </w:rPr>
        <w:t xml:space="preserve"> </w:t>
      </w:r>
      <w:r w:rsidRPr="0097532D">
        <w:rPr>
          <w:rFonts w:eastAsia="Times New Roman"/>
          <w:lang w:val="en-IN"/>
        </w:rPr>
        <w:t xml:space="preserve">found that the OH groups of ferulic acid formed hydrogen bonds with Lys85 and Val135 residues of 2JLD, thus establishing interaction between the ligand and protein. The hydrogen bond distance between ferulic acid and amino acid residues of 2JLD was measured using the ‘Measure’ tool of Maestro Suite. Results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3b</w:t>
      </w:r>
      <w:r w:rsidRPr="0097532D">
        <w:rPr>
          <w:rFonts w:eastAsia="Times New Roman"/>
          <w:lang w:val="en-IN"/>
        </w:rPr>
        <w:t xml:space="preserve"> display the bond distance between the OH group and carboxylic group of ferulic acid with crucial GSK-3β residues Lys85 (2.88Å) and Val135 (2.19Å and 2.15Å), respectively, thus demonstrating a strong binding affinity with the enzyme. This finding prompted us to speculate that such interactions can inhibit enzyme activity </w:t>
      </w:r>
      <w:r w:rsidRPr="0097532D">
        <w:rPr>
          <w:rFonts w:eastAsia="Times New Roman"/>
          <w:i/>
          <w:iCs/>
          <w:lang w:val="en-IN"/>
        </w:rPr>
        <w:t>in situ</w:t>
      </w:r>
      <w:r w:rsidRPr="0097532D">
        <w:rPr>
          <w:rFonts w:eastAsia="Times New Roman"/>
          <w:lang w:val="en-IN"/>
        </w:rPr>
        <w:t>. However, it requires further validation by comparing it with suitable controls.</w:t>
      </w:r>
    </w:p>
    <w:p w14:paraId="43940F39" w14:textId="11CB9C45"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The docking results (interactions and bond distances) of ferulic acid with GSK-3β were compared with positive and negative control. A known GSK-3β inhibitor, SAR502250 [(S)-2-(2-(4-flurophenyl)morpholine)-1-methyl-[4,4’-bipyrimidin]-6 (1H)-one] was used as a positive control </w:t>
      </w:r>
      <w:r w:rsidRPr="0097532D">
        <w:rPr>
          <w:rFonts w:eastAsia="Times New Roman"/>
          <w:lang w:val="en-IN"/>
        </w:rPr>
        <w:fldChar w:fldCharType="begin">
          <w:fldData xml:space="preserve">PEVuZE5vdGU+PENpdGU+PEF1dGhvcj5HcmllYmVsPC9BdXRob3I+PFllYXI+MjAxOTwvWWVhcj48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PEVuZE5vdGU+PENpdGU+PEF1dGhvcj5HcmllYmVsPC9BdXRob3I+PFllYXI+MjAxOTwvWWVhcj48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[23]</w:t>
      </w:r>
      <w:r w:rsidRPr="0097532D">
        <w:rPr>
          <w:rFonts w:eastAsia="Times New Roman"/>
          <w:lang w:val="en-IN"/>
        </w:rPr>
        <w:fldChar w:fldCharType="end"/>
      </w:r>
      <w:r w:rsidRPr="0097532D">
        <w:rPr>
          <w:rFonts w:eastAsia="Times New Roman"/>
          <w:lang w:val="en-IN"/>
        </w:rPr>
        <w:t>. It was observed that SAR502250 had a binding energy of −4.4 kcal/mol and formed hydrogen bonds with Val 101 and Asp166 (</w:t>
      </w:r>
      <w:r w:rsidRPr="00361DEA">
        <w:rPr>
          <w:rFonts w:eastAsia="Times New Roman"/>
          <w:lang w:val="en-IN"/>
        </w:rPr>
        <w:t>Fig</w:t>
      </w:r>
      <w:r w:rsidR="00884A1E">
        <w:rPr>
          <w:rFonts w:eastAsia="Times New Roman"/>
          <w:lang w:val="en-IN"/>
        </w:rPr>
        <w:t>.</w:t>
      </w:r>
      <w:r w:rsidRPr="00361DEA">
        <w:rPr>
          <w:rFonts w:eastAsia="Times New Roman"/>
          <w:lang w:val="en-IN"/>
        </w:rPr>
        <w:t xml:space="preserve"> 3c</w:t>
      </w:r>
      <w:r w:rsidRPr="0097532D">
        <w:rPr>
          <w:rFonts w:eastAsia="Times New Roman"/>
          <w:lang w:val="en-IN"/>
        </w:rPr>
        <w:t>). Additionally, the bond distances between Val101 and Asp166 were 2.32 Å and 4.60 Å (</w:t>
      </w:r>
      <w:r w:rsidRPr="00361DEA">
        <w:rPr>
          <w:rFonts w:eastAsia="Times New Roman"/>
          <w:lang w:val="en-IN"/>
        </w:rPr>
        <w:t>Fig</w:t>
      </w:r>
      <w:r w:rsidR="00884A1E">
        <w:rPr>
          <w:rFonts w:eastAsia="Times New Roman"/>
          <w:lang w:val="en-IN"/>
        </w:rPr>
        <w:t>.</w:t>
      </w:r>
      <w:r w:rsidRPr="00361DEA">
        <w:rPr>
          <w:rFonts w:eastAsia="Times New Roman"/>
          <w:lang w:val="en-IN"/>
        </w:rPr>
        <w:t xml:space="preserve"> 3d</w:t>
      </w:r>
      <w:r w:rsidRPr="0097532D">
        <w:rPr>
          <w:rFonts w:eastAsia="Times New Roman"/>
          <w:lang w:val="en-IN"/>
        </w:rPr>
        <w:t xml:space="preserve">). In the case of the negative control, we docked ferulic acid with hexokinase (a kinase family member involved in glycolysis) </w:t>
      </w:r>
      <w:r w:rsidRPr="0097532D">
        <w:rPr>
          <w:rFonts w:eastAsia="Times New Roman"/>
          <w:lang w:val="en-IN"/>
        </w:rPr>
        <w:fldChar w:fldCharType="begin"/>
      </w:r>
      <w:r w:rsidRPr="0097532D">
        <w:rPr>
          <w:rFonts w:eastAsia="Times New Roman"/>
          <w:lang w:val="en-US"/>
        </w:rPr>
        <w:instrText xml:space="preserve"> ADDIN EN.CITE &lt;EndNote&gt;&lt;Cite&gt;&lt;Author&gt;Zheng&lt;/Author&gt;&lt;Year&gt;2021&lt;/Year&gt;&lt;RecNum&gt;480&lt;/RecNum&gt;&lt;DisplayText&gt;[24]&lt;/DisplayText&gt;&lt;record&gt;&lt;rec-number&gt;480&lt;/rec-number&gt;&lt;foreign-keys&gt;&lt;key app="EN" db-id="wrvdepxeaes5szerfz2pptsxsd5w9rzzweet" timestamp="1708364547"&gt;480&lt;/key&gt;&lt;/foreign-keys&gt;&lt;ref-type name="Journal Article"&gt;17&lt;/ref-type&gt;&lt;contributors&gt;&lt;authors&gt;&lt;author&gt;Zheng, Mengzhu&lt;/author&gt;&lt;author&gt;Wu, Canrong&lt;/author&gt;&lt;author&gt;Yang, Kaiyin&lt;/author&gt;&lt;author&gt;Yang, Yueying&lt;/author&gt;&lt;author&gt;Liu, Yang&lt;/author&gt;&lt;author&gt;Gao, Suyu&lt;/author&gt;&lt;author&gt;Wang, Qiqi&lt;/author&gt;&lt;author&gt;Li, Chen&lt;/author&gt;&lt;author&gt;Chen, Lixia&lt;/author&gt;&lt;author&gt;Li, Hua %J Pharmacological research&lt;/author&gt;&lt;/authors&gt;&lt;/contributors&gt;&lt;titles&gt;&lt;title&gt;Novel selective hexokinase 2 inhibitor Benitrobenrazide blocks cancer cells growth by targeting glycolysis&lt;/title&gt;&lt;/titles&gt;&lt;pages&gt;105367&lt;/pages&gt;&lt;volume&gt;164&lt;/volume&gt;&lt;dates&gt;&lt;year&gt;2021&lt;/year&gt;&lt;/dates&gt;&lt;isbn&gt;1043-6618&lt;/isbn&gt;&lt;urls&gt;&lt;/urls&gt;&lt;/record&gt;&lt;/Cite&gt;&lt;/EndNote&gt;</w:instrText>
      </w:r>
      <w:r w:rsidRPr="0097532D">
        <w:rPr>
          <w:rFonts w:eastAsia="Times New Roman"/>
          <w:lang w:val="en-IN"/>
        </w:rPr>
        <w:fldChar w:fldCharType="separate"/>
      </w:r>
      <w:r w:rsidRPr="0097532D">
        <w:rPr>
          <w:rFonts w:eastAsia="Times New Roman"/>
          <w:lang w:val="en-US"/>
        </w:rPr>
        <w:t>[24]</w:t>
      </w:r>
      <w:r w:rsidRPr="0097532D">
        <w:rPr>
          <w:rFonts w:eastAsia="Times New Roman"/>
          <w:lang w:val="en-IN"/>
        </w:rPr>
        <w:fldChar w:fldCharType="end"/>
      </w:r>
      <w:r w:rsidRPr="0097532D">
        <w:rPr>
          <w:rFonts w:eastAsia="Times New Roman"/>
          <w:lang w:val="en-IN"/>
        </w:rPr>
        <w:t>. The docked results demonstrated a binding energy of −6.3 kcal/mol and hydrogen bond formation with Asp73 with a bond distance of 3.19Å (</w:t>
      </w:r>
      <w:r w:rsidRPr="00361DEA">
        <w:rPr>
          <w:rFonts w:eastAsia="Times New Roman"/>
          <w:lang w:val="en-IN"/>
        </w:rPr>
        <w:t>Fig</w:t>
      </w:r>
      <w:r w:rsidR="00884A1E">
        <w:rPr>
          <w:rFonts w:eastAsia="Times New Roman"/>
          <w:lang w:val="en-IN"/>
        </w:rPr>
        <w:t>.</w:t>
      </w:r>
      <w:r w:rsidRPr="00361DEA">
        <w:rPr>
          <w:rFonts w:eastAsia="Times New Roman"/>
          <w:lang w:val="en-IN"/>
        </w:rPr>
        <w:t xml:space="preserve"> 3e and 3f</w:t>
      </w:r>
      <w:r w:rsidRPr="0097532D">
        <w:rPr>
          <w:rFonts w:eastAsia="Times New Roman"/>
          <w:lang w:val="en-IN"/>
        </w:rPr>
        <w:t xml:space="preserve">). Overall, the positive control, SAR502250, was unable to bind with any GSK-3β crucial amino acid residues. This demonstrates the inability of SAR502250 to be an efficient GSK-3β inhibitor. In the case of the negative control, ferulic acid was unable to hinder hexokinase activity </w:t>
      </w:r>
      <w:r w:rsidR="00531F55" w:rsidRPr="00531F55">
        <w:rPr>
          <w:rFonts w:eastAsia="Times New Roman"/>
          <w:i/>
          <w:iCs/>
          <w:lang w:val="en-IN"/>
        </w:rPr>
        <w:t>in silico</w:t>
      </w:r>
      <w:r w:rsidRPr="0097532D">
        <w:rPr>
          <w:rFonts w:eastAsia="Times New Roman"/>
          <w:lang w:val="en-IN"/>
        </w:rPr>
        <w:t>. Taken together, our results demonstrate that ferulic acid can counteract GSK-3β activity and may allow other cellular enzymes, such as hexokinase, to function effectively. Interestingly, we found that ferulic acid has better efficacy than SAR502250 in inhibiting GSK-3β activity.</w:t>
      </w:r>
    </w:p>
    <w:p w14:paraId="2218E4E3"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For decades, GSK-3 inhibitors such as AZD1080, LY2090314, lithium salt, SB-216763, and </w:t>
      </w:r>
      <w:proofErr w:type="spellStart"/>
      <w:r w:rsidRPr="0097532D">
        <w:rPr>
          <w:rFonts w:eastAsia="Times New Roman"/>
          <w:lang w:val="en-IN"/>
        </w:rPr>
        <w:t>tideglusib</w:t>
      </w:r>
      <w:proofErr w:type="spellEnd"/>
      <w:r w:rsidRPr="0097532D">
        <w:rPr>
          <w:rFonts w:eastAsia="Times New Roman"/>
          <w:lang w:val="en-IN"/>
        </w:rPr>
        <w:t xml:space="preserve"> have been chemically synthesized for treating various neurological disorders. These drugs demonstrate toxicity, lethal side effects, and safety issues during in vivo and clinical trials </w:t>
      </w:r>
      <w:r w:rsidRPr="0097532D">
        <w:rPr>
          <w:rFonts w:eastAsia="Times New Roman"/>
          <w:lang w:val="en-IN"/>
        </w:rPr>
        <w:fldChar w:fldCharType="begin"/>
      </w:r>
      <w:r w:rsidRPr="0097532D">
        <w:rPr>
          <w:rFonts w:eastAsia="Times New Roman"/>
          <w:lang w:val="en-IN"/>
        </w:rPr>
        <w:instrText xml:space="preserve"> ADDIN EN.CITE &lt;EndNote&gt;&lt;Cite&gt;&lt;Author&gt;Arciniegas Ruiz&lt;/Author&gt;&lt;Year&gt;2021&lt;/Year&gt;&lt;RecNum&gt;407&lt;/RecNum&gt;&lt;DisplayText&gt;[31]&lt;/DisplayText&gt;&lt;record&gt;&lt;rec-number&gt;407&lt;/rec-number&gt;&lt;foreign-keys&gt;&lt;key app="EN" db-id="wsdv0pte9vpfs7e9x5tpdwp1xaa59rxrzzwr" timestamp="1712496444"&gt;407&lt;/key&gt;&lt;key app="ENWeb" db-id=""&gt;0&lt;/key&gt;&lt;/foreign-keys&gt;&lt;ref-type name="Journal Article"&gt;17&lt;/ref-type&gt;&lt;contributors&gt;&lt;authors&gt;&lt;author&gt;Arciniegas Ruiz, S. M.&lt;/author&gt;&lt;author&gt;Eldar-Finkelman, H.&lt;/author&gt;&lt;/authors&gt;&lt;/contributors&gt;&lt;auth-address&gt;The Department of Human Molecular Genetics and Biochemistry Sackler School of Medicine, Tel Aviv University, Tel Aviv, Israel.&lt;/auth-address&gt;&lt;titles&gt;&lt;title&gt;Glycogen Synthase Kinase-3 Inhibitors: Preclinical and Clinical Focus on CNS-A Decade Onward&lt;/title&gt;&lt;secondary-title&gt;Front Mol Neurosci&lt;/secondary-title&gt;&lt;/titles&gt;&lt;periodical&gt;&lt;full-title&gt;Front Mol Neurosci&lt;/full-title&gt;&lt;/periodical&gt;&lt;pages&gt;792364&lt;/pages&gt;&lt;volume&gt;14&lt;/volume&gt;&lt;edition&gt;2022/02/08&lt;/edition&gt;&lt;keywords&gt;&lt;keyword&gt;Cns&lt;/keyword&gt;&lt;keyword&gt;Gsk-3&lt;/keyword&gt;&lt;keyword&gt;drug development&lt;/keyword&gt;&lt;keyword&gt;inhibitors&lt;/keyword&gt;&lt;keyword&gt;neurodegeneration&lt;/keyword&gt;&lt;keyword&gt;commercial or financial relationships that could be construed as a potential&lt;/keyword&gt;&lt;keyword&gt;conflict of interest.&lt;/keyword&gt;&lt;/keywords&gt;&lt;dates&gt;&lt;year&gt;2021&lt;/year&gt;&lt;/dates&gt;&lt;isbn&gt;1662-5099 (Print)&amp;#xD;1662-5099 (Electronic)&amp;#xD;1662-5099 (Linking)&lt;/isbn&gt;&lt;accession-num&gt;35126052&lt;/accession-num&gt;&lt;urls&gt;&lt;related-urls&gt;&lt;url&gt;https://www.ncbi.nlm.nih.gov/pubmed/35126052&lt;/url&gt;&lt;/related-urls&gt;&lt;/urls&gt;&lt;custom2&gt;PMC8813766&lt;/custom2&gt;&lt;electronic-resource-num&gt;10.3389/fnmol.2021.792364&lt;/electronic-resource-num&gt;&lt;/record&gt;&lt;/Cite&gt;&lt;/EndNote&gt;</w:instrText>
      </w:r>
      <w:r w:rsidRPr="0097532D">
        <w:rPr>
          <w:rFonts w:eastAsia="Times New Roman"/>
          <w:lang w:val="en-IN"/>
        </w:rPr>
        <w:fldChar w:fldCharType="separate"/>
      </w:r>
      <w:r w:rsidRPr="0097532D">
        <w:rPr>
          <w:rFonts w:eastAsia="Times New Roman"/>
          <w:lang w:val="en-IN"/>
        </w:rPr>
        <w:t>[31]</w:t>
      </w:r>
      <w:r w:rsidRPr="0097532D">
        <w:rPr>
          <w:rFonts w:eastAsia="Times New Roman"/>
          <w:lang w:val="en-IN"/>
        </w:rPr>
        <w:fldChar w:fldCharType="end"/>
      </w:r>
      <w:r w:rsidRPr="0097532D">
        <w:rPr>
          <w:rFonts w:eastAsia="Times New Roman"/>
          <w:lang w:val="en-IN"/>
        </w:rPr>
        <w:t xml:space="preserve">. Moreover, poor pharmacokinetics and safety issues related to synthetic compounds have been the leading causes of drug rejection in clinical trials </w:t>
      </w:r>
      <w:r w:rsidRPr="0097532D">
        <w:rPr>
          <w:rFonts w:eastAsia="Times New Roman"/>
          <w:lang w:val="en-IN"/>
        </w:rPr>
        <w:fldChar w:fldCharType="begin"/>
      </w:r>
      <w:r w:rsidRPr="0097532D">
        <w:rPr>
          <w:rFonts w:eastAsia="Times New Roman"/>
          <w:lang w:val="en-IN"/>
        </w:rPr>
        <w:instrText xml:space="preserve"> ADDIN EN.CITE &lt;EndNote&gt;&lt;Cite&gt;&lt;Author&gt;Priyadarshi&lt;/Author&gt;&lt;Year&gt;2021&lt;/Year&gt;&lt;RecNum&gt;490&lt;/RecNum&gt;&lt;DisplayText&gt;[32]&lt;/DisplayText&gt;&lt;record&gt;&lt;rec-number&gt;490&lt;/rec-number&gt;&lt;foreign-keys&gt;&lt;key app="EN" db-id="wrvdepxeaes5szerfz2pptsxsd5w9rzzweet" timestamp="1708367902"&gt;490&lt;/key&gt;&lt;/foreign-keys&gt;&lt;ref-type name="Journal Article"&gt;17&lt;/ref-type&gt;&lt;contributors&gt;&lt;authors&gt;&lt;author&gt;Priyadarshi, Khushbu&lt;/author&gt;&lt;author&gt;Shirsath, Kavita&lt;/author&gt;&lt;author&gt;Waghela, N Bhargav&lt;/author&gt;&lt;author&gt;Sharma, Anupama&lt;/author&gt;&lt;author&gt;Kumar, Ajay&lt;/author&gt;&lt;author&gt;Pathak, Chandramani %J Journal of Biomolecular Structure&lt;/author&gt;&lt;author&gt;Dynamics&lt;/author&gt;&lt;/authors&gt;&lt;/contributors&gt;&lt;titles&gt;&lt;title&gt;Surface modified PAMAM dendrimers with gallic acid inhibit, cell proliferation, cell migration and inflammatory response to augment apoptotic cell death in human colon carcinoma cells&lt;/title&gt;&lt;/titles&gt;&lt;pages&gt;6853-6869&lt;/pages&gt;&lt;volume&gt;39&lt;/volume&gt;&lt;number&gt;18&lt;/number&gt;&lt;dates&gt;&lt;year&gt;2021&lt;/year&gt;&lt;/dates&gt;&lt;isbn&gt;0739-1102&lt;/isbn&gt;&lt;urls&gt;&lt;/urls&gt;&lt;/record&gt;&lt;/Cite&gt;&lt;/EndNote&gt;</w:instrText>
      </w:r>
      <w:r w:rsidRPr="0097532D">
        <w:rPr>
          <w:rFonts w:eastAsia="Times New Roman"/>
          <w:lang w:val="en-IN"/>
        </w:rPr>
        <w:fldChar w:fldCharType="separate"/>
      </w:r>
      <w:r w:rsidRPr="0097532D">
        <w:rPr>
          <w:rFonts w:eastAsia="Times New Roman"/>
          <w:lang w:val="en-IN"/>
        </w:rPr>
        <w:t>[32]</w:t>
      </w:r>
      <w:r w:rsidRPr="0097532D">
        <w:rPr>
          <w:rFonts w:eastAsia="Times New Roman"/>
          <w:lang w:val="en-IN"/>
        </w:rPr>
        <w:fldChar w:fldCharType="end"/>
      </w:r>
      <w:r w:rsidRPr="0097532D">
        <w:rPr>
          <w:rFonts w:eastAsia="Times New Roman"/>
          <w:lang w:val="en-IN"/>
        </w:rPr>
        <w:t xml:space="preserve">. On the other hand, phytochemicals have proven broad safety profiles and efficacy over synthetic compounds </w:t>
      </w:r>
      <w:r w:rsidRPr="0097532D">
        <w:rPr>
          <w:rFonts w:eastAsia="Times New Roman"/>
          <w:lang w:val="en-IN"/>
        </w:rPr>
        <w:fldChar w:fldCharType="begin"/>
      </w:r>
      <w:r w:rsidRPr="0097532D">
        <w:rPr>
          <w:rFonts w:eastAsia="Times New Roman"/>
          <w:lang w:val="en-IN"/>
        </w:rPr>
        <w:instrText xml:space="preserve"> ADDIN EN.CITE &lt;EndNote&gt;&lt;Cite&gt;&lt;Author&gt;Ayaz&lt;/Author&gt;&lt;Year&gt;2019&lt;/Year&gt;&lt;RecNum&gt;196&lt;/RecNum&gt;&lt;DisplayText&gt;[33]&lt;/DisplayText&gt;&lt;record&gt;&lt;rec-number&gt;196&lt;/rec-number&gt;&lt;foreign-keys&gt;&lt;key app="EN" db-id="wsdv0pte9vpfs7e9x5tpdwp1xaa59rxrzzwr" timestamp="1712495096"&gt;196&lt;/key&gt;&lt;key app="ENWeb" db-id=""&gt;0&lt;/key&gt;&lt;/foreign-keys&gt;&lt;ref-type name="Journal Article"&gt;17&lt;/ref-type&gt;&lt;contributors&gt;&lt;authors&gt;&lt;author&gt;Ayaz, M.&lt;/author&gt;&lt;author&gt;Ullah, F.&lt;/author&gt;&lt;author&gt;Sadiq, A.&lt;/author&gt;&lt;author&gt;Kim, M. O.&lt;/author&gt;&lt;author&gt;Ali, T.&lt;/author&gt;&lt;/authors&gt;&lt;/contributors&gt;&lt;auth-address&gt;Department of Pharmacy, University of Malakand, Chakdara, Pakistan.&amp;#xD;Division of Applied Life Science (BK 21), College of Natural Science, Gyeongsang National University, Jinju, South Korea.&amp;#xD;Department of Comparative Biology and Experimental Medicine, University of Calgary, Alberta, Canada.&lt;/auth-address&gt;&lt;titles&gt;&lt;title&gt;Editorial: Natural Products-Based Drugs: Potential Therapeutics Against Alzheimer&amp;apos;s Disease and Other Neurological Disorders&lt;/title&gt;&lt;secondary-title&gt;Front Pharmacol&lt;/secondary-title&gt;&lt;/titles&gt;&lt;periodical&gt;&lt;full-title&gt;Front Pharmacol&lt;/full-title&gt;&lt;/periodical&gt;&lt;pages&gt;1417&lt;/pages&gt;&lt;volume&gt;10&lt;/volume&gt;&lt;edition&gt;2019/12/19&lt;/edition&gt;&lt;keywords&gt;&lt;keyword&gt;Alzheimer&amp;apos;s disease&lt;/keyword&gt;&lt;keyword&gt;cognition&lt;/keyword&gt;&lt;keyword&gt;natural products&lt;/keyword&gt;&lt;keyword&gt;phytochemicals&lt;/keyword&gt;&lt;keyword&gt;beta-amyloid&lt;/keyword&gt;&lt;/keywords&gt;&lt;dates&gt;&lt;year&gt;2019&lt;/year&gt;&lt;/dates&gt;&lt;isbn&gt;1663-9812 (Print)&amp;#xD;1663-9812 (Electronic)&amp;#xD;1663-9812 (Linking)&lt;/isbn&gt;&lt;accession-num&gt;31849668&lt;/accession-num&gt;&lt;urls&gt;&lt;related-urls&gt;&lt;url&gt;https://www.ncbi.nlm.nih.gov/pubmed/31849668&lt;/url&gt;&lt;/related-urls&gt;&lt;/urls&gt;&lt;custom2&gt;PMC6889855&lt;/custom2&gt;&lt;electronic-resource-num&gt;10.3389/fphar.2019.01417&lt;/electronic-resource-num&gt;&lt;/record&gt;&lt;/Cite&gt;&lt;/EndNote&gt;</w:instrText>
      </w:r>
      <w:r w:rsidRPr="0097532D">
        <w:rPr>
          <w:rFonts w:eastAsia="Times New Roman"/>
          <w:lang w:val="en-IN"/>
        </w:rPr>
        <w:fldChar w:fldCharType="separate"/>
      </w:r>
      <w:r w:rsidRPr="0097532D">
        <w:rPr>
          <w:rFonts w:eastAsia="Times New Roman"/>
          <w:lang w:val="en-IN"/>
        </w:rPr>
        <w:t>[33]</w:t>
      </w:r>
      <w:r w:rsidRPr="0097532D">
        <w:rPr>
          <w:rFonts w:eastAsia="Times New Roman"/>
          <w:lang w:val="en-IN"/>
        </w:rPr>
        <w:fldChar w:fldCharType="end"/>
      </w:r>
      <w:r w:rsidRPr="0097532D">
        <w:rPr>
          <w:rFonts w:eastAsia="Times New Roman"/>
          <w:lang w:val="en-IN"/>
        </w:rPr>
        <w:t xml:space="preserve">. For example, phytochemicals obtained from </w:t>
      </w:r>
      <w:r w:rsidRPr="00884A1E">
        <w:rPr>
          <w:rFonts w:eastAsia="Times New Roman"/>
          <w:i/>
          <w:iCs/>
          <w:lang w:val="en-IN"/>
        </w:rPr>
        <w:t>Mangifera indica</w:t>
      </w:r>
      <w:r w:rsidRPr="0097532D">
        <w:rPr>
          <w:rFonts w:eastAsia="Times New Roman"/>
          <w:lang w:val="en-IN"/>
        </w:rPr>
        <w:t xml:space="preserve"> leaf and root extracts have been studied for their antidiabetic, anticancer, neuroprotective, wound healing, and protection properties against liver injury </w:t>
      </w:r>
      <w:r w:rsidRPr="0097532D">
        <w:rPr>
          <w:rFonts w:eastAsia="Times New Roman"/>
          <w:lang w:val="en-IN"/>
        </w:rPr>
        <w:fldChar w:fldCharType="begin">
          <w:fldData xml:space="preserve">PEVuZE5vdGU+PENpdGU+PEF1dGhvcj5FbC1TYXl5YWQ8L0F1dGhvcj48WWVhcj4yMDE3PC9ZZWFy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PEVuZE5vdGU+PENpdGU+PEF1dGhvcj5FbC1TYXl5YWQ8L0F1dGhvcj48WWVhcj4yMDE3PC9ZZWFy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[34]</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fldData xml:space="preserve">PEVuZE5vdGU+PENpdGU+PEF1dGhvcj5BbCBPbWFpcmk8L0F1dGhvcj48WWVhcj4yMDE4PC9ZZWFy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==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PEVuZE5vdGU+PENpdGU+PEF1dGhvcj5BbCBPbWFpcmk8L0F1dGhvcj48WWVhcj4yMDE4PC9ZZWFy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[35]</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IN"/>
        </w:rPr>
        <w:instrText xml:space="preserve"> ADDIN EN.CITE &lt;EndNote&gt;&lt;Cite&gt;&lt;Author&gt;Samanta&lt;/Author&gt;&lt;Year&gt;2019&lt;/Year&gt;&lt;RecNum&gt;484&lt;/RecNum&gt;&lt;DisplayText&gt;[36]&lt;/DisplayText&gt;&lt;record&gt;&lt;rec-number&gt;484&lt;/rec-number&gt;&lt;foreign-keys&gt;&lt;key app="EN" db-id="wrvdepxeaes5szerfz2pptsxsd5w9rzzweet" timestamp="1708364987"&gt;484&lt;/key&gt;&lt;/foreign-keys&gt;&lt;ref-type name="Journal Article"&gt;17&lt;/ref-type&gt;&lt;contributors&gt;&lt;authors&gt;&lt;author&gt;Samanta, Subhasis&lt;/author&gt;&lt;author&gt;Chanda, Ranabir&lt;/author&gt;&lt;author&gt;Ganguli, Subarna&lt;/author&gt;&lt;author&gt;Reddy, Alugubelli Gopi&lt;/author&gt;&lt;author&gt;Banerjee, Janmajoy %J MOJ Bioequiv Availab&lt;/author&gt;&lt;/authors&gt;&lt;/contributors&gt;&lt;titles&gt;&lt;title&gt;Anti-diabetic activity of mango (Mangifera indica): a review&lt;/title&gt;&lt;/titles&gt;&lt;pages&gt;23-26&lt;/pages&gt;&lt;volume&gt;6&lt;/volume&gt;&lt;number&gt;2&lt;/number&gt;&lt;dates&gt;&lt;year&gt;2019&lt;/year&gt;&lt;/dates&gt;&lt;urls&gt;&lt;/urls&gt;&lt;/record&gt;&lt;/Cite&gt;&lt;/EndNote&gt;</w:instrText>
      </w:r>
      <w:r w:rsidRPr="0097532D">
        <w:rPr>
          <w:rFonts w:eastAsia="Times New Roman"/>
          <w:lang w:val="en-IN"/>
        </w:rPr>
        <w:fldChar w:fldCharType="separate"/>
      </w:r>
      <w:r w:rsidRPr="0097532D">
        <w:rPr>
          <w:rFonts w:eastAsia="Times New Roman"/>
          <w:lang w:val="en-IN"/>
        </w:rPr>
        <w:t>[36]</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fldData xml:space="preserve">PEVuZE5vdGU+PENpdGU+PEF1dGhvcj5Mb3Blei1SaW9zPC9BdXRob3I+PFllYXI+MjAyMDwvWWVh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PEVuZE5vdGU+PENpdGU+PEF1dGhvcj5Mb3Blei1SaW9zPC9BdXRob3I+PFllYXI+MjAyMDwvWWVh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[37]</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fldData xml:space="preserve">PEVuZE5vdGU+PENpdGU+PEF1dGhvcj5ZYXA8L0F1dGhvcj48WWVhcj4yMDIxPC9ZZWFyPjxSZWNO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PEVuZE5vdGU+PENpdGU+PEF1dGhvcj5ZYXA8L0F1dGhvcj48WWVhcj4yMDIxPC9ZZWFyPjxSZWNO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[38]</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IN"/>
        </w:rPr>
        <w:instrText xml:space="preserve"> ADDIN EN.CITE &lt;EndNote&gt;&lt;Cite&gt;&lt;Author&gt;Subbukutti&lt;/Author&gt;&lt;Year&gt;2023&lt;/Year&gt;&lt;RecNum&gt;485&lt;/RecNum&gt;&lt;DisplayText&gt;[39]&lt;/DisplayText&gt;&lt;record&gt;&lt;rec-number&gt;485&lt;/rec-number&gt;&lt;foreign-keys&gt;&lt;key app="EN" db-id="wrvdepxeaes5szerfz2pptsxsd5w9rzzweet" timestamp="1708365071"&gt;485&lt;/key&gt;&lt;/foreign-keys&gt;&lt;ref-type name="Journal Article"&gt;17&lt;/ref-type&gt;&lt;contributors&gt;&lt;authors&gt;&lt;author&gt;Subbukutti, Veerabahu&lt;/author&gt;&lt;author&gt;Sailatha, Ethirajulu&lt;/author&gt;&lt;author&gt;Gunasekaran, Sethu&lt;/author&gt;&lt;author&gt;Manibalan, Subramaniyan&lt;/author&gt;&lt;author&gt;Uma Devi, Kumba Janarthanan&lt;/author&gt;&lt;author&gt;Bhuvaneshwari, Koteeswaran&lt;/author&gt;&lt;author&gt;Suvedha, Rajendran %J Journal of Biomolecular Structure&lt;/author&gt;&lt;author&gt;Dynamics&lt;/author&gt;&lt;/authors&gt;&lt;/contributors&gt;&lt;titles&gt;&lt;title&gt;Evaluation of wound healing active principles in the transdermal patch formulated with crude bio wastes and plant extracts against GSK-3 beta-an in silico study&lt;/title&gt;&lt;/titles&gt;&lt;pages&gt;1-12&lt;/pages&gt;&lt;dates&gt;&lt;year&gt;2023&lt;/year&gt;&lt;/dates&gt;&lt;isbn&gt;0739-1102&lt;/isbn&gt;&lt;urls&gt;&lt;/urls&gt;&lt;/record&gt;&lt;/Cite&gt;&lt;/EndNote&gt;</w:instrText>
      </w:r>
      <w:r w:rsidRPr="0097532D">
        <w:rPr>
          <w:rFonts w:eastAsia="Times New Roman"/>
          <w:lang w:val="en-IN"/>
        </w:rPr>
        <w:fldChar w:fldCharType="separate"/>
      </w:r>
      <w:r w:rsidRPr="0097532D">
        <w:rPr>
          <w:rFonts w:eastAsia="Times New Roman"/>
          <w:lang w:val="en-IN"/>
        </w:rPr>
        <w:t>[39]</w:t>
      </w:r>
      <w:r w:rsidRPr="0097532D">
        <w:rPr>
          <w:rFonts w:eastAsia="Times New Roman"/>
          <w:lang w:val="en-IN"/>
        </w:rPr>
        <w:fldChar w:fldCharType="end"/>
      </w:r>
      <w:r w:rsidRPr="0097532D">
        <w:rPr>
          <w:rFonts w:eastAsia="Times New Roman"/>
          <w:lang w:val="en-IN"/>
        </w:rPr>
        <w:t xml:space="preserve">. However, studies on the therapeutic role of </w:t>
      </w:r>
      <w:r w:rsidRPr="00884A1E">
        <w:rPr>
          <w:rFonts w:eastAsia="Times New Roman"/>
          <w:i/>
          <w:iCs/>
          <w:lang w:val="en-IN"/>
        </w:rPr>
        <w:t>Mangifera indica</w:t>
      </w:r>
      <w:r w:rsidRPr="0097532D">
        <w:rPr>
          <w:rFonts w:eastAsia="Times New Roman"/>
          <w:lang w:val="en-IN"/>
        </w:rPr>
        <w:t>-derived phytochemicals in the treatment of neurodegenerative diseases remain unexplored.</w:t>
      </w:r>
    </w:p>
    <w:p w14:paraId="30119083" w14:textId="7DC2AAAE"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Our </w:t>
      </w:r>
      <w:r w:rsidR="00531F55" w:rsidRPr="00531F55">
        <w:rPr>
          <w:rFonts w:eastAsia="Times New Roman"/>
          <w:i/>
          <w:iCs/>
          <w:lang w:val="en-IN"/>
        </w:rPr>
        <w:t>in silico</w:t>
      </w:r>
      <w:r w:rsidRPr="0097532D">
        <w:rPr>
          <w:rFonts w:eastAsia="Times New Roman"/>
          <w:lang w:val="en-IN"/>
        </w:rPr>
        <w:t xml:space="preserve"> results revealed the precise interactions between ferulic acid (from Mangifera indica) and crucial GSK-3β residues to have the highest binding affinity of −7.22 kcal/mol as compared to other phytochemicals. In addition, this binding affinity formed hydrogen bonds with crucial GSK-3β residues Lys85 and Val135. In contrast, the positive control SAR502250 formed hydrogen bonds with Val 101 and Asp166 having a binding affinity of −4.40 kcal/mol. The interaction of SAR502250 with non-crucial GSK-3β residues and its low binding affinity as compared to Ferulic acid prompts an argument that Ferulic acid can be a potential GSK-3β inhibitor </w:t>
      </w:r>
      <w:r w:rsidR="00531F55" w:rsidRPr="00531F55">
        <w:rPr>
          <w:rFonts w:eastAsia="Times New Roman"/>
          <w:i/>
          <w:iCs/>
          <w:lang w:val="en-IN"/>
        </w:rPr>
        <w:t>in silico</w:t>
      </w:r>
      <w:r w:rsidRPr="0097532D">
        <w:rPr>
          <w:rFonts w:eastAsia="Times New Roman"/>
          <w:lang w:val="en-IN"/>
        </w:rPr>
        <w:t xml:space="preserve">. On the other hand, ferulic acid formed a hydrogen bond with Asp73 with a binding affinity of −6.30 kcal/mol against hexokinase (negative control). We infer that ferulic acid is unable to interfere with the metabolic pathway enzyme (hexokinase) in a cell while effectively inhibiting GSK-3β </w:t>
      </w:r>
      <w:r w:rsidR="00531F55" w:rsidRPr="00531F55">
        <w:rPr>
          <w:rFonts w:eastAsia="Times New Roman"/>
          <w:i/>
          <w:iCs/>
          <w:lang w:val="en-IN"/>
        </w:rPr>
        <w:t>in silico</w:t>
      </w:r>
      <w:r w:rsidRPr="0097532D">
        <w:rPr>
          <w:rFonts w:eastAsia="Times New Roman"/>
          <w:lang w:val="en-IN"/>
        </w:rPr>
        <w:t>.</w:t>
      </w:r>
    </w:p>
    <w:p w14:paraId="2CE1C656"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It is known that GSK-3β residues Lys85 and Asp200 play crucial roles in GSK-3β regulation. For example, Lys85 is vital for salt-bridge formation with Glu97 (an active site residue) </w:t>
      </w:r>
      <w:r w:rsidRPr="0097532D">
        <w:rPr>
          <w:rFonts w:eastAsia="Times New Roman"/>
          <w:lang w:val="en-IN"/>
        </w:rPr>
        <w:fldChar w:fldCharType="begin"/>
      </w:r>
      <w:r w:rsidRPr="0097532D">
        <w:rPr>
          <w:rFonts w:eastAsia="Times New Roman"/>
          <w:lang w:val="en-IN"/>
        </w:rPr>
        <w:instrText xml:space="preserve"> ADDIN EN.CITE &lt;EndNote&gt;&lt;Cite&gt;&lt;Author&gt;Sun&lt;/Author&gt;&lt;Year&gt;2008&lt;/Year&gt;&lt;RecNum&gt;353&lt;/RecNum&gt;&lt;DisplayText&gt;[11]&lt;/DisplayText&gt;&lt;record&gt;&lt;rec-number&gt;353&lt;/rec-number&gt;&lt;foreign-keys&gt;&lt;key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Pr="0097532D">
        <w:rPr>
          <w:rFonts w:eastAsia="Times New Roman"/>
          <w:lang w:val="en-IN"/>
        </w:rPr>
        <w:fldChar w:fldCharType="separate"/>
      </w:r>
      <w:r w:rsidRPr="0097532D">
        <w:rPr>
          <w:rFonts w:eastAsia="Times New Roman"/>
          <w:lang w:val="en-IN"/>
        </w:rPr>
        <w:t>[11]</w:t>
      </w:r>
      <w:r w:rsidRPr="0097532D">
        <w:rPr>
          <w:rFonts w:eastAsia="Times New Roman"/>
          <w:lang w:val="en-IN"/>
        </w:rPr>
        <w:fldChar w:fldCharType="end"/>
      </w:r>
      <w:r w:rsidRPr="0097532D">
        <w:rPr>
          <w:rFonts w:eastAsia="Times New Roman"/>
          <w:lang w:val="en-IN"/>
        </w:rPr>
        <w:t xml:space="preserve">. Consequently, the formation of a hydrogen bond between ferulic acid and Lys85 might restrict GSK-3β chain region movements. Whereas, Val135 is part of the (hinge region) interactive zone—an important residue in the GSK-3β </w:t>
      </w:r>
      <w:r w:rsidRPr="0097532D">
        <w:rPr>
          <w:rFonts w:eastAsia="Times New Roman"/>
          <w:lang w:val="en-IN"/>
        </w:rPr>
        <w:fldChar w:fldCharType="begin"/>
      </w:r>
      <w:r w:rsidRPr="0097532D">
        <w:rPr>
          <w:rFonts w:eastAsia="Times New Roman"/>
          <w:lang w:val="en-IN"/>
        </w:rPr>
        <w:instrText xml:space="preserve"> ADDIN EN.CITE &lt;EndNote&gt;&lt;Cite&gt;&lt;Author&gt;Emmerich&lt;/Author&gt;&lt;Year&gt;2023&lt;/Year&gt;&lt;RecNum&gt;430&lt;/RecNum&gt;&lt;DisplayText&gt;[8]&lt;/DisplayText&gt;&lt;record&gt;&lt;rec-number&gt;430&lt;/rec-number&gt;&lt;foreign-keys&gt;&lt;key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Pr="0097532D">
        <w:rPr>
          <w:rFonts w:eastAsia="Times New Roman"/>
          <w:lang w:val="en-IN"/>
        </w:rPr>
        <w:fldChar w:fldCharType="separate"/>
      </w:r>
      <w:r w:rsidRPr="0097532D">
        <w:rPr>
          <w:rFonts w:eastAsia="Times New Roman"/>
          <w:lang w:val="en-IN"/>
        </w:rPr>
        <w:t>[8]</w:t>
      </w:r>
      <w:r w:rsidRPr="0097532D">
        <w:rPr>
          <w:rFonts w:eastAsia="Times New Roman"/>
          <w:lang w:val="en-IN"/>
        </w:rPr>
        <w:fldChar w:fldCharType="end"/>
      </w:r>
      <w:r w:rsidRPr="0097532D">
        <w:rPr>
          <w:rFonts w:eastAsia="Times New Roman"/>
          <w:lang w:val="en-IN"/>
        </w:rPr>
        <w:t>. It can be deduced that the hydrogen bond formed between ferulic acid and Val135 may restrict GSK-3β hinge movement. Thus, ferulic acid demonstrates binding with crucial GSK-3β residues such as Lys85 and Val135. In contrast, the positive and negative controls were unable to bind to crucial GSK-3β residues. We further speculate that ferulic acid might show effective GSK-3β bond formation in vivo experiments, as compared to the positive control SAR502250.</w:t>
      </w:r>
    </w:p>
    <w:p w14:paraId="6C82956D"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Previous studies have classified the bond distances between a donor and acceptor for inhibition between 2.2 and 4.0 Å. The range between 2.2 and 2.5Å is classified as strong and covalent interactions, 2.5 to 3.5Å for moderate and electrostatic interactions, and 3.2 to 4.0Å is classified as weak and electrostatic interactions </w:t>
      </w:r>
      <w:r w:rsidRPr="0097532D">
        <w:rPr>
          <w:rFonts w:eastAsia="Times New Roman"/>
          <w:lang w:val="en-IN"/>
        </w:rPr>
        <w:fldChar w:fldCharType="begin"/>
      </w:r>
      <w:r w:rsidRPr="0097532D">
        <w:rPr>
          <w:rFonts w:eastAsia="Times New Roman"/>
          <w:lang w:val="en-IN"/>
        </w:rPr>
        <w:instrText xml:space="preserve"> ADDIN EN.CITE &lt;EndNote&gt;&lt;Cite&gt;&lt;Author&gt;Panigrahi&lt;/Author&gt;&lt;Year&gt;2007&lt;/Year&gt;&lt;RecNum&gt;392&lt;/RecNum&gt;&lt;DisplayText&gt;[40]&lt;/DisplayText&gt;&lt;record&gt;&lt;rec-number&gt;392&lt;/rec-number&gt;&lt;foreign-keys&gt;&lt;key app="EN" db-id="wsdv0pte9vpfs7e9x5tpdwp1xaa59rxrzzwr" timestamp="1712496332"&gt;392&lt;/key&gt;&lt;key app="ENWeb" db-id=""&gt;0&lt;/key&gt;&lt;/foreign-keys&gt;&lt;ref-type name="Journal Article"&gt;17&lt;/ref-type&gt;&lt;contributors&gt;&lt;authors&gt;&lt;author&gt;Panigrahi, S. K.&lt;/author&gt;&lt;author&gt;Desiraju, G. R.&lt;/author&gt;&lt;/authors&gt;&lt;/contributors&gt;&lt;auth-address&gt;School of Chemistry, University of Hyderabad, Hyderabad 500 046, India.&lt;/auth-address&gt;&lt;titles&gt;&lt;title&gt;Strong and weak hydrogen bonds in the protein-ligand interface&lt;/title&gt;&lt;secondary-title&gt;Proteins&lt;/secondary-title&gt;&lt;/titles&gt;&lt;periodical&gt;&lt;full-title&gt;Proteins&lt;/full-title&gt;&lt;/periodical&gt;&lt;pages&gt;128-141&lt;/pages&gt;&lt;volume&gt;67&lt;/volume&gt;&lt;number&gt;1&lt;/number&gt;&lt;edition&gt;2007/01/09&lt;/edition&gt;&lt;keywords&gt;&lt;keyword&gt;Binding Sites&lt;/keyword&gt;&lt;keyword&gt;Crystallography, X-Ray&lt;/keyword&gt;&lt;keyword&gt;Databases, Protein&lt;/keyword&gt;&lt;keyword&gt;Halogens/chemistry&lt;/keyword&gt;&lt;keyword&gt;*Hydrogen Bonding&lt;/keyword&gt;&lt;keyword&gt;Ligands&lt;/keyword&gt;&lt;keyword&gt;Phosphotransferases/chemistry&lt;/keyword&gt;&lt;keyword&gt;Proteins/*chemistry&lt;/keyword&gt;&lt;keyword&gt;Software&lt;/keyword&gt;&lt;/keywords&gt;&lt;dates&gt;&lt;year&gt;2007&lt;/year&gt;&lt;pub-dates&gt;&lt;date&gt;Apr 1&lt;/date&gt;&lt;/pub-dates&gt;&lt;/dates&gt;&lt;isbn&gt;1097-0134 (Electronic)&amp;#xD;0887-3585 (Linking)&lt;/isbn&gt;&lt;accession-num&gt;17206656&lt;/accession-num&gt;&lt;urls&gt;&lt;related-urls&gt;&lt;url&gt;https://www.ncbi.nlm.nih.gov/pubmed/17206656&lt;/url&gt;&lt;/related-urls&gt;&lt;/urls&gt;&lt;electronic-resource-num&gt;10.1002/prot.21253&lt;/electronic-resource-num&gt;&lt;/record&gt;&lt;/Cite&gt;&lt;/EndNote&gt;</w:instrText>
      </w:r>
      <w:r w:rsidRPr="0097532D">
        <w:rPr>
          <w:rFonts w:eastAsia="Times New Roman"/>
          <w:lang w:val="en-IN"/>
        </w:rPr>
        <w:fldChar w:fldCharType="separate"/>
      </w:r>
      <w:r w:rsidRPr="0097532D">
        <w:rPr>
          <w:rFonts w:eastAsia="Times New Roman"/>
          <w:lang w:val="en-IN"/>
        </w:rPr>
        <w:t>[40]</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IN"/>
        </w:rPr>
        <w:instrText xml:space="preserve"> ADDIN EN.CITE &lt;EndNote&gt;&lt;Cite&gt;&lt;Author&gt;Huang&lt;/Author&gt;&lt;Year&gt;2013&lt;/Year&gt;&lt;RecNum&gt;486&lt;/RecNum&gt;&lt;DisplayText&gt;[41]&lt;/DisplayText&gt;&lt;record&gt;&lt;rec-number&gt;486&lt;/rec-number&gt;&lt;foreign-keys&gt;&lt;key app="EN" db-id="wrvdepxeaes5szerfz2pptsxsd5w9rzzweet" timestamp="1708365337"&gt;486&lt;/key&gt;&lt;/foreign-keys&gt;&lt;ref-type name="Journal Article"&gt;17&lt;/ref-type&gt;&lt;contributors&gt;&lt;authors&gt;&lt;author&gt;Huang, Bingding %J Identification of Ligand Binding Site&lt;/author&gt;&lt;author&gt;Protein-Protein Interaction Area&lt;/author&gt;&lt;/authors&gt;&lt;/contributors&gt;&lt;titles&gt;&lt;title&gt;Identification of pockets on protein surface to predict protein–ligand binding sites&lt;/title&gt;&lt;/titles&gt;&lt;pages&gt;25-39&lt;/pages&gt;&lt;dates&gt;&lt;year&gt;2013&lt;/year&gt;&lt;/dates&gt;&lt;isbn&gt;9400752849&lt;/isbn&gt;&lt;urls&gt;&lt;/urls&gt;&lt;/record&gt;&lt;/Cite&gt;&lt;/EndNote&gt;</w:instrText>
      </w:r>
      <w:r w:rsidRPr="0097532D">
        <w:rPr>
          <w:rFonts w:eastAsia="Times New Roman"/>
          <w:lang w:val="en-IN"/>
        </w:rPr>
        <w:fldChar w:fldCharType="separate"/>
      </w:r>
      <w:r w:rsidRPr="0097532D">
        <w:rPr>
          <w:rFonts w:eastAsia="Times New Roman"/>
          <w:lang w:val="en-IN"/>
        </w:rPr>
        <w:t>[41]</w:t>
      </w:r>
      <w:r w:rsidRPr="0097532D">
        <w:rPr>
          <w:rFonts w:eastAsia="Times New Roman"/>
          <w:lang w:val="en-IN"/>
        </w:rPr>
        <w:fldChar w:fldCharType="end"/>
      </w:r>
      <w:r w:rsidRPr="0097532D">
        <w:rPr>
          <w:rFonts w:eastAsia="Times New Roman"/>
          <w:lang w:val="en-IN"/>
        </w:rPr>
        <w:t xml:space="preserve">. Based on this, the hydrogen bond distances between Ferulic acid and crucial GSK-3β residues are 2.88Å with Lys85 and 2.19Å and 2.15Å with Val135. In contrast, the positive control was able to demonstrate a bond </w:t>
      </w:r>
      <w:r w:rsidRPr="0097532D">
        <w:rPr>
          <w:rFonts w:eastAsia="Times New Roman"/>
          <w:lang w:val="en-IN"/>
        </w:rPr>
        <w:lastRenderedPageBreak/>
        <w:t>distance of 4.60 Å and 2.32 Å with Asp166 and Val101, respectively. The negative control was able to show a bond distance of 3.19 Å with Asp73. These results point out that the negative and positive controls point towards the possibility of ferulic acid being a GSK-3β inhibitor. The assessment of ligand-protein interaction using molecular docking methods is limited by the absence of entropic and solvation effects occurring in the cellular milieu. This limitation was overcome by MD simulation methods that provide an atomic spectrum of dynamic interaction between target ligand and protein</w:t>
      </w:r>
      <w:r w:rsidRPr="0097532D">
        <w:rPr>
          <w:rFonts w:eastAsia="Times New Roman"/>
          <w:lang w:val="en-IN"/>
        </w:rPr>
        <w:fldChar w:fldCharType="begin"/>
      </w:r>
      <w:r w:rsidRPr="0097532D">
        <w:rPr>
          <w:rFonts w:eastAsia="Times New Roman"/>
          <w:lang w:val="en-IN"/>
        </w:rPr>
        <w:instrText xml:space="preserve"> ADDIN EN.CITE &lt;EndNote&gt;&lt;Cite&gt;&lt;Author&gt;Gioia&lt;/Author&gt;&lt;Year&gt;2017&lt;/Year&gt;&lt;RecNum&gt;487&lt;/RecNum&gt;&lt;DisplayText&gt;[42]&lt;/DisplayText&gt;&lt;record&gt;&lt;rec-number&gt;487&lt;/rec-number&gt;&lt;foreign-keys&gt;&lt;key app="EN" db-id="wrvdepxeaes5szerfz2pptsxsd5w9rzzweet" timestamp="1708365406"&gt;487&lt;/key&gt;&lt;/foreign-keys&gt;&lt;ref-type name="Journal Article"&gt;17&lt;/ref-type&gt;&lt;contributors&gt;&lt;authors&gt;&lt;author&gt;Gioia, Dario&lt;/author&gt;&lt;author&gt;Bertazzo, Martina&lt;/author&gt;&lt;author&gt;Recanatini, Maurizio&lt;/author&gt;&lt;author&gt;Masetti, Matteo&lt;/author&gt;&lt;author&gt;Cavalli, Andrea %J Molecules&lt;/author&gt;&lt;/authors&gt;&lt;/contributors&gt;&lt;titles&gt;&lt;title&gt;Dynamic docking: a paradigm shift in computational drug discovery&lt;/title&gt;&lt;/titles&gt;&lt;pages&gt;2029&lt;/pages&gt;&lt;volume&gt;22&lt;/volume&gt;&lt;number&gt;11&lt;/number&gt;&lt;dates&gt;&lt;year&gt;2017&lt;/year&gt;&lt;/dates&gt;&lt;isbn&gt;1420-3049&lt;/isbn&gt;&lt;urls&gt;&lt;/urls&gt;&lt;/record&gt;&lt;/Cite&gt;&lt;/EndNote&gt;</w:instrText>
      </w:r>
      <w:r w:rsidRPr="0097532D">
        <w:rPr>
          <w:rFonts w:eastAsia="Times New Roman"/>
          <w:lang w:val="en-IN"/>
        </w:rPr>
        <w:fldChar w:fldCharType="separate"/>
      </w:r>
      <w:r w:rsidRPr="0097532D">
        <w:rPr>
          <w:rFonts w:eastAsia="Times New Roman"/>
          <w:lang w:val="en-IN"/>
        </w:rPr>
        <w:t>[42]</w:t>
      </w:r>
      <w:r w:rsidRPr="0097532D">
        <w:rPr>
          <w:rFonts w:eastAsia="Times New Roman"/>
          <w:lang w:val="en-IN"/>
        </w:rPr>
        <w:fldChar w:fldCharType="end"/>
      </w:r>
      <w:r w:rsidRPr="0097532D">
        <w:rPr>
          <w:rFonts w:eastAsia="Times New Roman"/>
          <w:lang w:val="en-IN"/>
        </w:rPr>
        <w:t>. </w:t>
      </w:r>
    </w:p>
    <w:p w14:paraId="10E8D70A" w14:textId="7EE1512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 xml:space="preserve">3.3 Molecular dynamic simulation of </w:t>
      </w:r>
      <w:r w:rsidR="0097532D" w:rsidRPr="0097532D">
        <w:rPr>
          <w:rFonts w:eastAsia="Times New Roman"/>
          <w:b/>
          <w:bCs/>
          <w:lang w:val="en-IN"/>
        </w:rPr>
        <w:t>F</w:t>
      </w:r>
      <w:r w:rsidRPr="0097532D">
        <w:rPr>
          <w:rFonts w:eastAsia="Times New Roman"/>
          <w:b/>
          <w:bCs/>
          <w:lang w:val="en-IN"/>
        </w:rPr>
        <w:t>erulic acid GSK-3β:</w:t>
      </w:r>
    </w:p>
    <w:p w14:paraId="4F8E5048" w14:textId="2A37B7B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MD simulation provides a detailed visualization of ligand-protein interactions on an atomic scale, considering a few physiological parameters such as pressure, temperature, pH, water, ions, and other molecules in the system. These parameters mimic the cellular environment by placing a solvation layer along with a force field around the target ligand protein. Thus, MD simulation approaches are used to assess the overall stability of ligand-protein complexes </w:t>
      </w:r>
      <w:r w:rsidRPr="0097532D">
        <w:rPr>
          <w:rFonts w:eastAsia="Times New Roman"/>
          <w:lang w:val="en-IN"/>
        </w:rPr>
        <w:fldChar w:fldCharType="begin">
          <w:fldData xml:space="preserve">PEVuZE5vdGU+PENpdGU+PEF1dGhvcj5Ib2xsaW5nc3dvcnRoPC9BdXRob3I+PFllYXI+MjAxODwv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PEVuZE5vdGU+PENpdGU+PEF1dGhvcj5Ib2xsaW5nc3dvcnRoPC9BdXRob3I+PFllYXI+MjAxODwv
WWVhcj48UmVjTnVtPjMxNjwvUmVjTnVtPjxEaXNwbGF5VGV4dD5bMjFdPC9EaXNwbGF5VGV4dD48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[21]</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US"/>
        </w:rPr>
        <w:instrText xml:space="preserve"> ADDIN EN.CITE &lt;EndNote&gt;&lt;Cite&gt;&lt;Author&gt;Santos&lt;/Author&gt;&lt;Year&gt;2019&lt;/Year&gt;&lt;RecNum&gt;320&lt;/RecNum&gt;&lt;DisplayText&gt;[22]&lt;/DisplayText&gt;&lt;record&gt;&lt;rec-number&gt;320&lt;/rec-number&gt;&lt;foreign-keys&gt;&lt;key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eastAsia="Times New Roman"/>
          <w:lang w:val="en-IN"/>
        </w:rPr>
        <w:fldChar w:fldCharType="separate"/>
      </w:r>
      <w:r w:rsidRPr="0097532D">
        <w:rPr>
          <w:rFonts w:eastAsia="Times New Roman"/>
          <w:lang w:val="en-US"/>
        </w:rPr>
        <w:t>[22]</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US"/>
        </w:rPr>
        <w:instrText xml:space="preserve"> ADDIN EN.CITE &lt;EndNote&gt;&lt;Cite&gt;&lt;Author&gt;Singh&lt;/Author&gt;&lt;Year&gt;2020&lt;/Year&gt;&lt;RecNum&gt;481&lt;/RecNum&gt;&lt;DisplayText&gt;[25]&lt;/DisplayText&gt;&lt;record&gt;&lt;rec-number&gt;481&lt;/rec-number&gt;&lt;foreign-keys&gt;&lt;key app="EN" db-id="wrvdepxeaes5szerfz2pptsxsd5w9rzzweet" timestamp="1708364653"&gt;481&lt;/key&gt;&lt;/foreign-keys&gt;&lt;ref-type name="Journal Article"&gt;17&lt;/ref-type&gt;&lt;contributors&gt;&lt;authors&gt;&lt;author&gt;Singh, Sakshi&lt;/author&gt;&lt;author&gt;Singh, Vinay Kumar %J Frontiers in protein structure, function,&lt;/author&gt;&lt;author&gt;dynamics&lt;/author&gt;&lt;/authors&gt;&lt;/contributors&gt;&lt;titles&gt;&lt;title&gt;Molecular dynamics simulation: methods and application&lt;/title&gt;&lt;/titles&gt;&lt;pages&gt;213-238&lt;/pages&gt;&lt;dates&gt;&lt;year&gt;2020&lt;/year&gt;&lt;/dates&gt;&lt;isbn&gt;981155529X&lt;/isbn&gt;&lt;urls&gt;&lt;/urls&gt;&lt;/record&gt;&lt;/Cite&gt;&lt;/EndNote&gt;</w:instrText>
      </w:r>
      <w:r w:rsidRPr="0097532D">
        <w:rPr>
          <w:rFonts w:eastAsia="Times New Roman"/>
          <w:lang w:val="en-IN"/>
        </w:rPr>
        <w:fldChar w:fldCharType="separate"/>
      </w:r>
      <w:r w:rsidRPr="0097532D">
        <w:rPr>
          <w:rFonts w:eastAsia="Times New Roman"/>
          <w:lang w:val="en-US"/>
        </w:rPr>
        <w:t>[25]</w:t>
      </w:r>
      <w:r w:rsidRPr="0097532D">
        <w:rPr>
          <w:rFonts w:eastAsia="Times New Roman"/>
          <w:lang w:val="en-IN"/>
        </w:rPr>
        <w:fldChar w:fldCharType="end"/>
      </w:r>
      <w:r w:rsidRPr="0097532D">
        <w:rPr>
          <w:rFonts w:eastAsia="Times New Roman"/>
          <w:lang w:val="en-IN"/>
        </w:rPr>
        <w:t xml:space="preserve">. Based on this, we conducted the MD simulation between ferulic acid and GSK-3β for 100 ns. The acceptable RMSD values for ligand-protein are usually between 0-3.0Å in a MD simulation with stable and normal conditions </w:t>
      </w:r>
      <w:r w:rsidRPr="0097532D">
        <w:rPr>
          <w:rFonts w:eastAsia="Times New Roman"/>
          <w:lang w:val="en-IN"/>
        </w:rPr>
        <w:fldChar w:fldCharType="begin"/>
      </w:r>
      <w:r w:rsidRPr="0097532D">
        <w:rPr>
          <w:rFonts w:eastAsia="Times New Roman"/>
          <w:lang w:val="en-US"/>
        </w:rPr>
        <w:instrText xml:space="preserve"> ADDIN EN.CITE &lt;EndNote&gt;&lt;Cite&gt;&lt;Author&gt;Sukanya&lt;/Author&gt;&lt;Year&gt;2022&lt;/Year&gt;&lt;RecNum&gt;482&lt;/RecNum&gt;&lt;DisplayText&gt;[26]&lt;/DisplayText&gt;&lt;record&gt;&lt;rec-number&gt;482&lt;/rec-number&gt;&lt;foreign-keys&gt;&lt;key app="EN" db-id="wrvdepxeaes5szerfz2pptsxsd5w9rzzweet" timestamp="1708364710"&gt;482&lt;/key&gt;&lt;/foreign-keys&gt;&lt;ref-type name="Journal Article"&gt;17&lt;/ref-type&gt;&lt;contributors&gt;&lt;authors&gt;&lt;author&gt;Sukanya, Sukanya&lt;/author&gt;&lt;author&gt;Choudhary, Bhanwar Singh&lt;/author&gt;&lt;author&gt;Mehta, Pakhuri&lt;/author&gt;&lt;author&gt;Filipek, Slawomir&lt;/author&gt;&lt;author&gt;Malik, Ruchi&lt;/author&gt;&lt;/authors&gt;&lt;/contributors&gt;&lt;titles&gt;&lt;title&gt;Structure-based virtual screening, biological assessment, and MD simulation studies of novel CNS compatible GSK-3β inhibitors as potential Alzheimer’s disease therapeutics&lt;/title&gt;&lt;/titles&gt;&lt;dates&gt;&lt;year&gt;2022&lt;/year&gt;&lt;/dates&gt;&lt;urls&gt;&lt;/urls&gt;&lt;/record&gt;&lt;/Cite&gt;&lt;/EndNote&gt;</w:instrText>
      </w:r>
      <w:r w:rsidRPr="0097532D">
        <w:rPr>
          <w:rFonts w:eastAsia="Times New Roman"/>
          <w:lang w:val="en-IN"/>
        </w:rPr>
        <w:fldChar w:fldCharType="separate"/>
      </w:r>
      <w:r w:rsidRPr="0097532D">
        <w:rPr>
          <w:rFonts w:eastAsia="Times New Roman"/>
          <w:lang w:val="en-US"/>
        </w:rPr>
        <w:t>[26]</w:t>
      </w:r>
      <w:r w:rsidRPr="0097532D">
        <w:rPr>
          <w:rFonts w:eastAsia="Times New Roman"/>
          <w:lang w:val="en-IN"/>
        </w:rPr>
        <w:fldChar w:fldCharType="end"/>
      </w:r>
      <w:r w:rsidRPr="0097532D">
        <w:rPr>
          <w:rFonts w:eastAsia="Times New Roman"/>
          <w:lang w:val="en-IN"/>
        </w:rPr>
        <w:t>. Based on this, our simulation report generated the RMSD (</w:t>
      </w:r>
      <w:r w:rsidRPr="00361DEA">
        <w:rPr>
          <w:rFonts w:eastAsia="Times New Roman"/>
          <w:lang w:val="en-IN"/>
        </w:rPr>
        <w:t>Fig</w:t>
      </w:r>
      <w:r w:rsidR="00884A1E">
        <w:rPr>
          <w:rFonts w:eastAsia="Times New Roman"/>
          <w:lang w:val="en-IN"/>
        </w:rPr>
        <w:t>.</w:t>
      </w:r>
      <w:r w:rsidRPr="00361DEA">
        <w:rPr>
          <w:rFonts w:eastAsia="Times New Roman"/>
          <w:lang w:val="en-IN"/>
        </w:rPr>
        <w:t xml:space="preserve"> 4a</w:t>
      </w:r>
      <w:r w:rsidRPr="0097532D">
        <w:rPr>
          <w:rFonts w:eastAsia="Times New Roman"/>
          <w:lang w:val="en-IN"/>
        </w:rPr>
        <w:t xml:space="preserve">) values between 1.5 Å and 2.1 Å for GSK-3β and ferulic acid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4b</w:t>
      </w:r>
      <w:r w:rsidRPr="0097532D">
        <w:rPr>
          <w:rFonts w:eastAsia="Times New Roman"/>
          <w:lang w:val="en-IN"/>
        </w:rPr>
        <w:t>). While the RMSF value denotes conformational changes in target protein chains during the simulation run, Our RMSF values were within the allowed range of 0.6 to 1.8 Å, thereby indicating a normal fluctuation in the RMSF range.</w:t>
      </w:r>
    </w:p>
    <w:p w14:paraId="21AAB618" w14:textId="1A832DFC"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timeline representation of ligand-protein interaction </w:t>
      </w:r>
      <w:r w:rsidRPr="00361DEA">
        <w:rPr>
          <w:rFonts w:eastAsia="Times New Roman"/>
          <w:lang w:val="en-IN"/>
        </w:rPr>
        <w:t>Fig</w:t>
      </w:r>
      <w:r w:rsidR="00884A1E">
        <w:rPr>
          <w:rFonts w:eastAsia="Times New Roman"/>
          <w:lang w:val="en-IN"/>
        </w:rPr>
        <w:t>.</w:t>
      </w:r>
      <w:r w:rsidRPr="00361DEA">
        <w:rPr>
          <w:rFonts w:eastAsia="Times New Roman"/>
          <w:lang w:val="en-IN"/>
        </w:rPr>
        <w:t xml:space="preserve"> 5a</w:t>
      </w:r>
      <w:r w:rsidRPr="0097532D">
        <w:rPr>
          <w:rFonts w:eastAsia="Times New Roman"/>
          <w:b/>
          <w:bCs/>
          <w:lang w:val="en-IN"/>
        </w:rPr>
        <w:t xml:space="preserve"> </w:t>
      </w:r>
      <w:r w:rsidRPr="0097532D">
        <w:rPr>
          <w:rFonts w:eastAsia="Times New Roman"/>
          <w:lang w:val="en-IN"/>
        </w:rPr>
        <w:t xml:space="preserve">has a top panel showing the total number of specific contacts GSK-3β residues make with OH and carboxylic groups of ferulic acid over the 100 ns simulation. The total points of contact fluctuate between 2 and 9, with an average of 5, thus pointing towards the fluid nature between GSK-3β and ferulic acid. The bottom panel of </w:t>
      </w:r>
      <w:r w:rsidRPr="00361DEA">
        <w:rPr>
          <w:rFonts w:eastAsia="Times New Roman"/>
          <w:lang w:val="en-IN"/>
        </w:rPr>
        <w:t>Fig</w:t>
      </w:r>
      <w:r w:rsidR="00884A1E">
        <w:rPr>
          <w:rFonts w:eastAsia="Times New Roman"/>
          <w:lang w:val="en-IN"/>
        </w:rPr>
        <w:t>.</w:t>
      </w:r>
      <w:r w:rsidRPr="00361DEA">
        <w:rPr>
          <w:rFonts w:eastAsia="Times New Roman"/>
          <w:lang w:val="en-IN"/>
        </w:rPr>
        <w:t xml:space="preserve"> 5a</w:t>
      </w:r>
      <w:r w:rsidRPr="0097532D">
        <w:rPr>
          <w:rFonts w:eastAsia="Times New Roman"/>
          <w:b/>
          <w:bCs/>
          <w:lang w:val="en-IN"/>
        </w:rPr>
        <w:t xml:space="preserve"> </w:t>
      </w:r>
      <w:r w:rsidRPr="0097532D">
        <w:rPr>
          <w:rFonts w:eastAsia="Times New Roman"/>
          <w:lang w:val="en-IN"/>
        </w:rPr>
        <w:t xml:space="preserve">displays which GSK-3β amino acid residues made contact with the OH and carboxylic groups of ferulic acid during the trajectory course. Moreover, the residues that have made more than one specific contact with ferulic acid are represented by </w:t>
      </w:r>
      <w:r w:rsidRPr="0097532D">
        <w:rPr>
          <w:rFonts w:eastAsia="Times New Roman"/>
          <w:lang w:val="en-IN"/>
        </w:rPr>
        <w:lastRenderedPageBreak/>
        <w:t xml:space="preserve">a dark orange hue. Our results demonstrate ferulic acid to have persistent interactions with Val135 and Asp200. The darker orange intensity emphasizes that Val135 had more interactions with ferulic acid (more than 90 ns) as compared to Asp200. </w:t>
      </w:r>
      <w:r w:rsidRPr="00361DEA">
        <w:rPr>
          <w:rFonts w:eastAsia="Times New Roman"/>
          <w:lang w:val="en-IN"/>
        </w:rPr>
        <w:t>Fig</w:t>
      </w:r>
      <w:r w:rsidR="00884A1E">
        <w:rPr>
          <w:rFonts w:eastAsia="Times New Roman"/>
          <w:lang w:val="en-IN"/>
        </w:rPr>
        <w:t>.</w:t>
      </w:r>
      <w:r w:rsidRPr="00361DEA">
        <w:rPr>
          <w:rFonts w:eastAsia="Times New Roman"/>
          <w:lang w:val="en-IN"/>
        </w:rPr>
        <w:t xml:space="preserve"> 5b</w:t>
      </w:r>
      <w:r w:rsidRPr="0097532D">
        <w:rPr>
          <w:rFonts w:eastAsia="Times New Roman"/>
          <w:b/>
          <w:bCs/>
          <w:lang w:val="en-IN"/>
        </w:rPr>
        <w:t xml:space="preserve"> </w:t>
      </w:r>
      <w:r w:rsidRPr="0097532D">
        <w:rPr>
          <w:rFonts w:eastAsia="Times New Roman"/>
          <w:lang w:val="en-IN"/>
        </w:rPr>
        <w:t xml:space="preserve">shows hydrogen bond (green bar) formation between Ferulic acid and GSK-3β residues during the interactions, along with the significant interaction fractions with residues Val135 and Asp200. The interaction fraction value above 1.0 was due to the multiple contacts made by GSK-3β residues made with ferulic acid. The percent interaction diagram demonstrates the interactions occurring more than 30.0% during the 100 ns simulation trajectory,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5c</w:t>
      </w:r>
      <w:r w:rsidRPr="0097532D">
        <w:rPr>
          <w:rFonts w:eastAsia="Times New Roman"/>
          <w:lang w:val="en-IN"/>
        </w:rPr>
        <w:t>.</w:t>
      </w:r>
      <w:r w:rsidRPr="0097532D">
        <w:rPr>
          <w:rFonts w:eastAsia="Times New Roman"/>
          <w:b/>
          <w:bCs/>
          <w:lang w:val="en-IN"/>
        </w:rPr>
        <w:t xml:space="preserve"> </w:t>
      </w:r>
      <w:r w:rsidRPr="0097532D">
        <w:rPr>
          <w:rFonts w:eastAsia="Times New Roman"/>
          <w:lang w:val="en-IN"/>
        </w:rPr>
        <w:t>Our findings display a constant interaction of 91% with the carboxylic group and 98% with the OH group of ferulic acid with the crucial GSK-3β residue Val135. Additionally, 76% of the interaction was observed with another crucial GSK-3β residue, Asp200, during the simulation course.</w:t>
      </w:r>
    </w:p>
    <w:p w14:paraId="2D188BB0"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It is known that the hinge motion in an enzyme structure provides flexibility and allows substrate binding during the reaction. In the case of GSK-3β, the hinge region is found between the β-strand domain and α-helical domain; thereby, obstruction in this region might inhibit the enzyme hinge motion </w:t>
      </w:r>
      <w:r w:rsidRPr="0097532D">
        <w:rPr>
          <w:rFonts w:eastAsia="Times New Roman"/>
          <w:lang w:val="en-IN"/>
        </w:rPr>
        <w:fldChar w:fldCharType="begin">
          <w:fldData xml:space="preserve">PEVuZE5vdGU+PENpdGU+PEF1dGhvcj5BcmZlZW48L0F1dGhvcj48WWVhcj4yMDE2PC9ZZWFyPjxS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PEVuZE5vdGU+PENpdGU+PEF1dGhvcj5BcmZlZW48L0F1dGhvcj48WWVhcj4yMDE2PC9ZZWFyPjxS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[43]</w:t>
      </w:r>
      <w:r w:rsidRPr="0097532D">
        <w:rPr>
          <w:rFonts w:eastAsia="Times New Roman"/>
          <w:lang w:val="en-IN"/>
        </w:rPr>
        <w:fldChar w:fldCharType="end"/>
      </w:r>
      <w:r w:rsidRPr="0097532D">
        <w:rPr>
          <w:rFonts w:eastAsia="Times New Roman"/>
          <w:lang w:val="en-IN"/>
        </w:rPr>
        <w:t xml:space="preserve">. While the activation loop in an enzyme restricts substrate access, it controls catalysis </w:t>
      </w:r>
      <w:r w:rsidRPr="0097532D">
        <w:rPr>
          <w:rFonts w:eastAsia="Times New Roman"/>
          <w:lang w:val="en-IN"/>
        </w:rPr>
        <w:fldChar w:fldCharType="begin"/>
      </w:r>
      <w:r w:rsidRPr="0097532D">
        <w:rPr>
          <w:rFonts w:eastAsia="Times New Roman"/>
          <w:lang w:val="en-IN"/>
        </w:rPr>
        <w:instrText xml:space="preserve"> ADDIN EN.CITE &lt;EndNote&gt;&lt;Cite&gt;&lt;Author&gt;Adams&lt;/Author&gt;&lt;Year&gt;2003&lt;/Year&gt;&lt;RecNum&gt;488&lt;/RecNum&gt;&lt;DisplayText&gt;[44]&lt;/DisplayText&gt;&lt;record&gt;&lt;rec-number&gt;488&lt;/rec-number&gt;&lt;foreign-keys&gt;&lt;key app="EN" db-id="wrvdepxeaes5szerfz2pptsxsd5w9rzzweet" timestamp="1708365538"&gt;488&lt;/key&gt;&lt;/foreign-keys&gt;&lt;ref-type name="Journal Article"&gt;17&lt;/ref-type&gt;&lt;contributors&gt;&lt;authors&gt;&lt;author&gt;Adams, Joseph A %J Biochemistry&lt;/author&gt;&lt;/authors&gt;&lt;/contributors&gt;&lt;titles&gt;&lt;title&gt;Activation loop phosphorylation and catalysis in protein kinases: is there functional evidence for the autoinhibitor model?&lt;/title&gt;&lt;/titles&gt;&lt;pages&gt;601-607&lt;/pages&gt;&lt;volume&gt;42&lt;/volume&gt;&lt;number&gt;3&lt;/number&gt;&lt;dates&gt;&lt;year&gt;2003&lt;/year&gt;&lt;/dates&gt;&lt;isbn&gt;0006-2960&lt;/isbn&gt;&lt;urls&gt;&lt;/urls&gt;&lt;/record&gt;&lt;/Cite&gt;&lt;/EndNote&gt;</w:instrText>
      </w:r>
      <w:r w:rsidRPr="0097532D">
        <w:rPr>
          <w:rFonts w:eastAsia="Times New Roman"/>
          <w:lang w:val="en-IN"/>
        </w:rPr>
        <w:fldChar w:fldCharType="separate"/>
      </w:r>
      <w:r w:rsidRPr="0097532D">
        <w:rPr>
          <w:rFonts w:eastAsia="Times New Roman"/>
          <w:lang w:val="en-IN"/>
        </w:rPr>
        <w:t>[44]</w:t>
      </w:r>
      <w:r w:rsidRPr="0097532D">
        <w:rPr>
          <w:rFonts w:eastAsia="Times New Roman"/>
          <w:lang w:val="en-IN"/>
        </w:rPr>
        <w:fldChar w:fldCharType="end"/>
      </w:r>
      <w:r w:rsidRPr="0097532D">
        <w:rPr>
          <w:rFonts w:eastAsia="Times New Roman"/>
          <w:lang w:val="en-IN"/>
        </w:rPr>
        <w:t>. Our 100 ns MD simulation results demonstrated interactions with Val135 (hinge region residue) and Asp200 (activation loop residue) with the OH and carboxylic groups of ferulic acid. Such an interaction might inhibit the hinge motion along with preventing substrate access and catalysis of GSK-3β. Additionally, our results display hydrogen bond formation for 90 ns with the aforementioned crucial GSK-3β residues. Overall, these actions are predicted to inhibit GSK-3β, according to the MD simulation results.</w:t>
      </w:r>
    </w:p>
    <w:p w14:paraId="21B3B808"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3.4. ADME/Tox Analysis of Ferulic Acid:</w:t>
      </w:r>
    </w:p>
    <w:p w14:paraId="06A7BD43"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Bioinformatics-based web services aid in the generation of drug-likeness, pharmacokinetics, and </w:t>
      </w:r>
      <w:r w:rsidRPr="0097532D">
        <w:rPr>
          <w:rFonts w:eastAsia="Times New Roman"/>
          <w:u w:val="single"/>
          <w:lang w:val="en-IN"/>
        </w:rPr>
        <w:t>A</w:t>
      </w:r>
      <w:r w:rsidRPr="0097532D">
        <w:rPr>
          <w:rFonts w:eastAsia="Times New Roman"/>
          <w:lang w:val="en-IN"/>
        </w:rPr>
        <w:t xml:space="preserve">bsorption, </w:t>
      </w:r>
      <w:r w:rsidRPr="0097532D">
        <w:rPr>
          <w:rFonts w:eastAsia="Times New Roman"/>
          <w:u w:val="single"/>
          <w:lang w:val="en-IN"/>
        </w:rPr>
        <w:t>D</w:t>
      </w:r>
      <w:r w:rsidRPr="0097532D">
        <w:rPr>
          <w:rFonts w:eastAsia="Times New Roman"/>
          <w:lang w:val="en-IN"/>
        </w:rPr>
        <w:t xml:space="preserve">istribution, </w:t>
      </w:r>
      <w:r w:rsidRPr="0097532D">
        <w:rPr>
          <w:rFonts w:eastAsia="Times New Roman"/>
          <w:u w:val="single"/>
          <w:lang w:val="en-IN"/>
        </w:rPr>
        <w:t>M</w:t>
      </w:r>
      <w:r w:rsidRPr="0097532D">
        <w:rPr>
          <w:rFonts w:eastAsia="Times New Roman"/>
          <w:lang w:val="en-IN"/>
        </w:rPr>
        <w:t xml:space="preserve">etabolism, </w:t>
      </w:r>
      <w:r w:rsidRPr="0097532D">
        <w:rPr>
          <w:rFonts w:eastAsia="Times New Roman"/>
          <w:u w:val="single"/>
          <w:lang w:val="en-IN"/>
        </w:rPr>
        <w:t>E</w:t>
      </w:r>
      <w:r w:rsidRPr="0097532D">
        <w:rPr>
          <w:rFonts w:eastAsia="Times New Roman"/>
          <w:lang w:val="en-IN"/>
        </w:rPr>
        <w:t xml:space="preserve">xcretion, and </w:t>
      </w:r>
      <w:r w:rsidRPr="0097532D">
        <w:rPr>
          <w:rFonts w:eastAsia="Times New Roman"/>
          <w:u w:val="single"/>
          <w:lang w:val="en-IN"/>
        </w:rPr>
        <w:t>Tox</w:t>
      </w:r>
      <w:r w:rsidRPr="0097532D">
        <w:rPr>
          <w:rFonts w:eastAsia="Times New Roman"/>
          <w:lang w:val="en-IN"/>
        </w:rPr>
        <w:t xml:space="preserve">icity (ADME/Tox) capability/profiles of any given compound. Such properties aid in drug discovery, drug development, and preventing drug rejection during </w:t>
      </w:r>
      <w:r w:rsidRPr="0097532D">
        <w:rPr>
          <w:rFonts w:eastAsia="Times New Roman"/>
          <w:i/>
          <w:iCs/>
          <w:lang w:val="en-IN"/>
        </w:rPr>
        <w:t xml:space="preserve">in vivo </w:t>
      </w:r>
      <w:r w:rsidRPr="0097532D">
        <w:rPr>
          <w:rFonts w:eastAsia="Times New Roman"/>
          <w:lang w:val="en-IN"/>
        </w:rPr>
        <w:t xml:space="preserve">studies </w:t>
      </w:r>
      <w:r w:rsidRPr="0097532D">
        <w:rPr>
          <w:rFonts w:eastAsia="Times New Roman"/>
          <w:lang w:val="en-IN"/>
        </w:rPr>
        <w:fldChar w:fldCharType="begin"/>
      </w:r>
      <w:r w:rsidRPr="0097532D">
        <w:rPr>
          <w:rFonts w:eastAsia="Times New Roman"/>
          <w:lang w:val="en-US"/>
        </w:rPr>
        <w:instrText xml:space="preserve"> ADDIN EN.CITE &lt;EndNote&gt;&lt;Cite&gt;&lt;Author&gt;van de Waterbeemd&lt;/Author&gt;&lt;Year&gt;2003&lt;/Year&gt;&lt;RecNum&gt;305&lt;/RecNum&gt;&lt;DisplayText&gt;[27]&lt;/DisplayText&gt;&lt;record&gt;&lt;rec-number&gt;305&lt;/rec-number&gt;&lt;foreign-keys&gt;&lt;key app="EN" db-id="wsdv0pte9vpfs7e9x5tpdwp1xaa59rxrzzwr" timestamp="1712495765"&gt;305&lt;/key&gt;&lt;key app="ENWeb" db-id=""&gt;0&lt;/key&gt;&lt;/foreign-keys&gt;&lt;ref-type name="Journal Article"&gt;17&lt;/ref-type&gt;&lt;contributors&gt;&lt;authors&gt;&lt;author&gt;van de Waterbeemd, H.&lt;/author&gt;&lt;author&gt;Gifford, E.&lt;/author&gt;&lt;/authors&gt;&lt;/contributors&gt;&lt;auth-address&gt;Pfizer Global Research &amp;amp; Development, PDM, Sandwich, Kent CT13 9NJ, UK. han_waterbeemd@sandwich.pfizer.com&lt;/auth-address&gt;&lt;titles&gt;&lt;title&gt;ADMET in silico modelling: towards prediction paradise?&lt;/title&gt;&lt;secondary-title&gt;Nat Rev Drug Discov&lt;/secondary-title&gt;&lt;/titles&gt;&lt;periodical&gt;&lt;full-title&gt;Nat Rev Drug Discov&lt;/full-title&gt;&lt;/periodical&gt;&lt;pages&gt;192-204&lt;/pages&gt;&lt;volume&gt;2&lt;/volume&gt;&lt;number&gt;3&lt;/number&gt;&lt;edition&gt;2003/03/04&lt;/edition&gt;&lt;keywords&gt;&lt;keyword&gt;Animals&lt;/keyword&gt;&lt;keyword&gt;Biological Availability&lt;/keyword&gt;&lt;keyword&gt;Blood-Brain Barrier&lt;/keyword&gt;&lt;keyword&gt;Chemical Phenomena&lt;/keyword&gt;&lt;keyword&gt;Chemistry, Physical&lt;/keyword&gt;&lt;keyword&gt;*Computer Simulation&lt;/keyword&gt;&lt;keyword&gt;*Drug Design&lt;/keyword&gt;&lt;keyword&gt;Drug-Related Side Effects and Adverse Reactions&lt;/keyword&gt;&lt;keyword&gt;Humans&lt;/keyword&gt;&lt;keyword&gt;Models, Biological&lt;/keyword&gt;&lt;keyword&gt;*Pharmacokinetics&lt;/keyword&gt;&lt;keyword&gt;Protein Binding&lt;/keyword&gt;&lt;keyword&gt;Quantitative Structure-Activity Relationship&lt;/keyword&gt;&lt;keyword&gt;Software&lt;/keyword&gt;&lt;keyword&gt;Tissue Distribution&lt;/keyword&gt;&lt;/keywords&gt;&lt;dates&gt;&lt;year&gt;2003&lt;/year&gt;&lt;pub-dates&gt;&lt;date&gt;Mar&lt;/date&gt;&lt;/pub-dates&gt;&lt;/dates&gt;&lt;isbn&gt;1474-1776 (Print)&amp;#xD;1474-1776 (Linking)&lt;/isbn&gt;&lt;accession-num&gt;12612645&lt;/accession-num&gt;&lt;urls&gt;&lt;related-urls&gt;&lt;url&gt;https://www.ncbi.nlm.nih.gov/pubmed/12612645&lt;/url&gt;&lt;/related-urls&gt;&lt;/urls&gt;&lt;electronic-resource-num&gt;10.1038/nrd1032&lt;/electronic-resource-num&gt;&lt;/record&gt;&lt;/Cite&gt;&lt;/EndNote&gt;</w:instrText>
      </w:r>
      <w:r w:rsidRPr="0097532D">
        <w:rPr>
          <w:rFonts w:eastAsia="Times New Roman"/>
          <w:lang w:val="en-IN"/>
        </w:rPr>
        <w:fldChar w:fldCharType="separate"/>
      </w:r>
      <w:r w:rsidRPr="0097532D">
        <w:rPr>
          <w:rFonts w:eastAsia="Times New Roman"/>
          <w:lang w:val="en-US"/>
        </w:rPr>
        <w:t>[27]</w:t>
      </w:r>
      <w:r w:rsidRPr="0097532D">
        <w:rPr>
          <w:rFonts w:eastAsia="Times New Roman"/>
          <w:lang w:val="en-IN"/>
        </w:rPr>
        <w:fldChar w:fldCharType="end"/>
      </w:r>
      <w:r w:rsidRPr="0097532D">
        <w:rPr>
          <w:rFonts w:eastAsia="Times New Roman"/>
          <w:lang w:val="en-IN"/>
        </w:rPr>
        <w:t xml:space="preserve"> Daina </w:t>
      </w:r>
      <w:r w:rsidRPr="0097532D">
        <w:rPr>
          <w:rFonts w:eastAsia="Times New Roman"/>
          <w:lang w:val="en-IN"/>
        </w:rPr>
        <w:fldChar w:fldCharType="begin"/>
      </w:r>
      <w:r w:rsidRPr="0097532D">
        <w:rPr>
          <w:rFonts w:eastAsia="Times New Roman"/>
          <w:lang w:val="en-US"/>
        </w:rPr>
        <w:instrText xml:space="preserve"> ADDIN EN.CITE &lt;EndNote&gt;&lt;Cite&gt;&lt;Author&gt;Daina&lt;/Author&gt;&lt;Year&gt;2017&lt;/Year&gt;&lt;RecNum&gt;251&lt;/RecNum&gt;&lt;DisplayText&gt;[14]&lt;/DisplayText&gt;&lt;record&gt;&lt;rec-number&gt;251&lt;/rec-number&gt;&lt;foreign-keys&gt;&lt;key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Pr="0097532D">
        <w:rPr>
          <w:rFonts w:eastAsia="Times New Roman"/>
          <w:lang w:val="en-IN"/>
        </w:rPr>
        <w:fldChar w:fldCharType="separate"/>
      </w:r>
      <w:r w:rsidRPr="0097532D">
        <w:rPr>
          <w:rFonts w:eastAsia="Times New Roman"/>
          <w:lang w:val="en-US"/>
        </w:rPr>
        <w:t>[14]</w:t>
      </w:r>
      <w:r w:rsidRPr="0097532D">
        <w:rPr>
          <w:rFonts w:eastAsia="Times New Roman"/>
          <w:lang w:val="en-IN"/>
        </w:rPr>
        <w:fldChar w:fldCharType="end"/>
      </w:r>
      <w:r w:rsidRPr="0097532D">
        <w:rPr>
          <w:rFonts w:eastAsia="Times New Roman"/>
          <w:lang w:val="en-IN"/>
        </w:rPr>
        <w:t xml:space="preserve">. In the </w:t>
      </w:r>
      <w:r w:rsidRPr="0097532D">
        <w:rPr>
          <w:rFonts w:eastAsia="Times New Roman"/>
          <w:lang w:val="en-IN"/>
        </w:rPr>
        <w:lastRenderedPageBreak/>
        <w:t xml:space="preserve">current study, we utilized </w:t>
      </w:r>
      <w:proofErr w:type="spellStart"/>
      <w:r w:rsidRPr="0097532D">
        <w:rPr>
          <w:rFonts w:eastAsia="Times New Roman"/>
          <w:lang w:val="en-IN"/>
        </w:rPr>
        <w:t>SwissADME</w:t>
      </w:r>
      <w:proofErr w:type="spellEnd"/>
      <w:r w:rsidRPr="0097532D">
        <w:rPr>
          <w:rFonts w:eastAsia="Times New Roman"/>
          <w:lang w:val="en-IN"/>
        </w:rPr>
        <w:t xml:space="preserve"> and </w:t>
      </w:r>
      <w:proofErr w:type="spellStart"/>
      <w:r w:rsidRPr="0097532D">
        <w:rPr>
          <w:rFonts w:eastAsia="Times New Roman"/>
          <w:lang w:val="en-IN"/>
        </w:rPr>
        <w:t>admetSAR</w:t>
      </w:r>
      <w:proofErr w:type="spellEnd"/>
      <w:r w:rsidRPr="0097532D">
        <w:rPr>
          <w:rFonts w:eastAsia="Times New Roman"/>
          <w:lang w:val="en-IN"/>
        </w:rPr>
        <w:t xml:space="preserve"> web-services that provide drug-likeness, compound physicochemical and medical chemistry properties of any given compound. Further, these web services were used to explore the above-mentioned drug properties of Ferulic acid. Based on this, we found that ferulic acid had a molecular weight of 194.19 g/mol. This compound also showed a bioavailability score of 0.85 and has BBB permeability, along with being highly permeable to the gastrointestinal (GI) tract. Except for the Pfizer 3/75 rule, this compound passed other drug-likeness properties such as Lipinski’s rule of 5, Ghose rule, Veber rule, Egan rule, and GSK 4/400 rule (</w:t>
      </w:r>
      <w:r w:rsidRPr="00361DEA">
        <w:rPr>
          <w:rFonts w:eastAsia="Times New Roman"/>
          <w:lang w:val="en-IN"/>
        </w:rPr>
        <w:t>Table 2</w:t>
      </w:r>
      <w:r w:rsidRPr="0097532D">
        <w:rPr>
          <w:rFonts w:eastAsia="Times New Roman"/>
          <w:lang w:val="en-IN"/>
        </w:rPr>
        <w:t>).</w:t>
      </w:r>
    </w:p>
    <w:p w14:paraId="6C146936" w14:textId="0CFF409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BOILED EGG model graphically represents TPSA and WLOGP (lipophilicity) values, along with BBB or GI,</w:t>
      </w:r>
      <w:r w:rsidRPr="0097532D">
        <w:rPr>
          <w:rFonts w:eastAsia="Times New Roman"/>
          <w:b/>
          <w:bCs/>
          <w:lang w:val="en-IN"/>
        </w:rPr>
        <w:t xml:space="preserve"> </w:t>
      </w:r>
      <w:r w:rsidRPr="0097532D">
        <w:rPr>
          <w:rFonts w:eastAsia="Times New Roman"/>
          <w:lang w:val="en-IN"/>
        </w:rPr>
        <w:t>and the</w:t>
      </w:r>
      <w:r w:rsidRPr="0097532D">
        <w:rPr>
          <w:rFonts w:eastAsia="Times New Roman"/>
          <w:b/>
          <w:bCs/>
          <w:lang w:val="en-IN"/>
        </w:rPr>
        <w:t xml:space="preserve"> </w:t>
      </w:r>
      <w:r w:rsidRPr="0097532D">
        <w:rPr>
          <w:rFonts w:eastAsia="Times New Roman"/>
          <w:lang w:val="en-IN"/>
        </w:rPr>
        <w:t>possibility of a compound being a P-glycoprotein (P-</w:t>
      </w:r>
      <w:proofErr w:type="spellStart"/>
      <w:r w:rsidRPr="0097532D">
        <w:rPr>
          <w:rFonts w:eastAsia="Times New Roman"/>
          <w:lang w:val="en-IN"/>
        </w:rPr>
        <w:t>gp</w:t>
      </w:r>
      <w:proofErr w:type="spellEnd"/>
      <w:r w:rsidRPr="0097532D">
        <w:rPr>
          <w:rFonts w:eastAsia="Times New Roman"/>
          <w:lang w:val="en-IN"/>
        </w:rPr>
        <w:t>) substrate. Additionally, in this model, the red dot indicates the compound to be a P-</w:t>
      </w:r>
      <w:proofErr w:type="spellStart"/>
      <w:r w:rsidRPr="0097532D">
        <w:rPr>
          <w:rFonts w:eastAsia="Times New Roman"/>
          <w:lang w:val="en-IN"/>
        </w:rPr>
        <w:t>gp</w:t>
      </w:r>
      <w:proofErr w:type="spellEnd"/>
      <w:r w:rsidRPr="0097532D">
        <w:rPr>
          <w:rFonts w:eastAsia="Times New Roman"/>
          <w:lang w:val="en-IN"/>
        </w:rPr>
        <w:t xml:space="preserve"> non-substrate, while the blue dot indicates the compound to be a P-</w:t>
      </w:r>
      <w:proofErr w:type="spellStart"/>
      <w:r w:rsidRPr="0097532D">
        <w:rPr>
          <w:rFonts w:eastAsia="Times New Roman"/>
          <w:lang w:val="en-IN"/>
        </w:rPr>
        <w:t>gp</w:t>
      </w:r>
      <w:proofErr w:type="spellEnd"/>
      <w:r w:rsidRPr="0097532D">
        <w:rPr>
          <w:rFonts w:eastAsia="Times New Roman"/>
          <w:lang w:val="en-IN"/>
        </w:rPr>
        <w:t xml:space="preserve"> substrate </w:t>
      </w:r>
      <w:r w:rsidRPr="0097532D">
        <w:rPr>
          <w:rFonts w:eastAsia="Times New Roman"/>
          <w:lang w:val="en-IN"/>
        </w:rPr>
        <w:fldChar w:fldCharType="begin">
          <w:fldData xml:space="preserve">PEVuZE5vdGU+PENpdGU+PEF1dGhvcj5EYWluYTwvQXV0aG9yPjxZZWFyPjIwMTY8L1llYXI+PFJl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PEVuZE5vdGU+PENpdGU+PEF1dGhvcj5EYWluYTwvQXV0aG9yPjxZZWFyPjIwMTY8L1llYXI+PFJl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==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[28]</w:t>
      </w:r>
      <w:r w:rsidRPr="0097532D">
        <w:rPr>
          <w:rFonts w:eastAsia="Times New Roman"/>
          <w:lang w:val="en-IN"/>
        </w:rPr>
        <w:fldChar w:fldCharType="end"/>
      </w:r>
      <w:r w:rsidRPr="0097532D">
        <w:rPr>
          <w:rFonts w:eastAsia="Times New Roman"/>
          <w:lang w:val="en-IN"/>
        </w:rPr>
        <w:t>. The BOILED EGG model of ferulic 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6a</w:t>
      </w:r>
      <w:r w:rsidRPr="0097532D">
        <w:rPr>
          <w:rFonts w:eastAsia="Times New Roman"/>
          <w:lang w:val="en-IN"/>
        </w:rPr>
        <w:t>) shows that this compound has a TPSA value of 66.76 Å² and a WLOGP value of 1.39. Additionally, the position of the red dot indicates the compound to be both BBB and GI tract permeable and a P-</w:t>
      </w:r>
      <w:proofErr w:type="spellStart"/>
      <w:r w:rsidRPr="0097532D">
        <w:rPr>
          <w:rFonts w:eastAsia="Times New Roman"/>
          <w:lang w:val="en-IN"/>
        </w:rPr>
        <w:t>gp</w:t>
      </w:r>
      <w:proofErr w:type="spellEnd"/>
      <w:r w:rsidRPr="0097532D">
        <w:rPr>
          <w:rFonts w:eastAsia="Times New Roman"/>
          <w:lang w:val="en-IN"/>
        </w:rPr>
        <w:t xml:space="preserve"> non-substrate.</w:t>
      </w:r>
    </w:p>
    <w:p w14:paraId="66152D75" w14:textId="5394AAFA"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bioavailability radar represents physicochemical and oral bioavailability properties such as flexibility (number of rotatable bonds), instauration (Fraction Csp3), insolubility (</w:t>
      </w:r>
      <w:proofErr w:type="spellStart"/>
      <w:r w:rsidRPr="0097532D">
        <w:rPr>
          <w:rFonts w:eastAsia="Times New Roman"/>
          <w:lang w:val="en-IN"/>
        </w:rPr>
        <w:t>LogS</w:t>
      </w:r>
      <w:proofErr w:type="spellEnd"/>
      <w:r w:rsidRPr="0097532D">
        <w:rPr>
          <w:rFonts w:eastAsia="Times New Roman"/>
          <w:lang w:val="en-IN"/>
        </w:rPr>
        <w:t xml:space="preserve"> [ESOL]), lipophilicity (XLOGP3), polarity (TPSA), and size (molecular weight) of compounds </w:t>
      </w:r>
      <w:r w:rsidRPr="0097532D">
        <w:rPr>
          <w:rFonts w:eastAsia="Times New Roman"/>
          <w:lang w:val="en-IN"/>
        </w:rPr>
        <w:fldChar w:fldCharType="begin"/>
      </w:r>
      <w:r w:rsidRPr="0097532D">
        <w:rPr>
          <w:rFonts w:eastAsia="Times New Roman"/>
          <w:lang w:val="en-US"/>
        </w:rPr>
        <w:instrText xml:space="preserve"> ADDIN EN.CITE &lt;EndNote&gt;&lt;Cite&gt;&lt;Author&gt;Ritchie&lt;/Author&gt;&lt;Year&gt;2011&lt;/Year&gt;&lt;RecNum&gt;301&lt;/RecNum&gt;&lt;DisplayText&gt;[29]&lt;/DisplayText&gt;&lt;record&gt;&lt;rec-number&gt;301&lt;/rec-number&gt;&lt;foreign-keys&gt;&lt;key app="EN" db-id="wsdv0pte9vpfs7e9x5tpdwp1xaa59rxrzzwr" timestamp="1712495738"&gt;301&lt;/key&gt;&lt;key app="ENWeb" db-id=""&gt;0&lt;/key&gt;&lt;/foreign-keys&gt;&lt;ref-type name="Journal Article"&gt;17&lt;/ref-type&gt;&lt;contributors&gt;&lt;authors&gt;&lt;author&gt;Ritchie, T. J.&lt;/author&gt;&lt;author&gt;Ertl, P.&lt;/author&gt;&lt;author&gt;Lewis, R.&lt;/author&gt;&lt;/authors&gt;&lt;/contributors&gt;&lt;auth-address&gt;TJR-Chem, Via Alberto 34C, 21020 Ranco (VA), Italy. tim.j.ritchie@gmail.com&lt;/auth-address&gt;&lt;titles&gt;&lt;title&gt;The graphical representation of ADME-related molecule properties for medicinal chemists&lt;/title&gt;&lt;secondary-title&gt;Drug Discov Today&lt;/secondary-title&gt;&lt;/titles&gt;&lt;periodical&gt;&lt;full-title&gt;Drug Discov Today&lt;/full-title&gt;&lt;/periodical&gt;&lt;pages&gt;65-72&lt;/pages&gt;&lt;volume&gt;16&lt;/volume&gt;&lt;number&gt;1-2&lt;/number&gt;&lt;edition&gt;2010/11/16&lt;/edition&gt;&lt;keywords&gt;&lt;keyword&gt;Administration, Oral&lt;/keyword&gt;&lt;keyword&gt;Chemistry, Pharmaceutical/*methods&lt;/keyword&gt;&lt;keyword&gt;*Computer Graphics&lt;/keyword&gt;&lt;keyword&gt;*Drug Design&lt;/keyword&gt;&lt;keyword&gt;Humans&lt;/keyword&gt;&lt;keyword&gt;Pharmaceutical Preparations/administration &amp;amp; dosage/*chemistry&lt;/keyword&gt;&lt;keyword&gt;Pharmacokinetics&lt;/keyword&gt;&lt;/keywords&gt;&lt;dates&gt;&lt;year&gt;2011&lt;/year&gt;&lt;pub-dates&gt;&lt;date&gt;Jan&lt;/date&gt;&lt;/pub-dates&gt;&lt;/dates&gt;&lt;isbn&gt;1878-5832 (Electronic)&amp;#xD;1359-6446 (Linking)&lt;/isbn&gt;&lt;accession-num&gt;21074634&lt;/accession-num&gt;&lt;urls&gt;&lt;related-urls&gt;&lt;url&gt;https://www.ncbi.nlm.nih.gov/pubmed/21074634&lt;/url&gt;&lt;/related-urls&gt;&lt;/urls&gt;&lt;electronic-resource-num&gt;10.1016/j.drudis.2010.11.002&lt;/electronic-resource-num&gt;&lt;/record&gt;&lt;/Cite&gt;&lt;/EndNote&gt;</w:instrText>
      </w:r>
      <w:r w:rsidRPr="0097532D">
        <w:rPr>
          <w:rFonts w:eastAsia="Times New Roman"/>
          <w:lang w:val="en-IN"/>
        </w:rPr>
        <w:fldChar w:fldCharType="separate"/>
      </w:r>
      <w:r w:rsidRPr="0097532D">
        <w:rPr>
          <w:rFonts w:eastAsia="Times New Roman"/>
          <w:lang w:val="en-US"/>
        </w:rPr>
        <w:t>[29]</w:t>
      </w:r>
      <w:r w:rsidRPr="0097532D">
        <w:rPr>
          <w:rFonts w:eastAsia="Times New Roman"/>
          <w:lang w:val="en-IN"/>
        </w:rPr>
        <w:fldChar w:fldCharType="end"/>
      </w:r>
      <w:r w:rsidRPr="0097532D">
        <w:rPr>
          <w:rFonts w:eastAsia="Times New Roman"/>
          <w:lang w:val="en-IN"/>
        </w:rPr>
        <w:t>. In the case of ferulic 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6b and Table 3</w:t>
      </w:r>
      <w:r w:rsidRPr="0097532D">
        <w:rPr>
          <w:rFonts w:eastAsia="Times New Roman"/>
          <w:lang w:val="en-IN"/>
        </w:rPr>
        <w:t xml:space="preserve">), the number of rotatable bonds was three: instauration of 0.10, </w:t>
      </w:r>
      <w:proofErr w:type="spellStart"/>
      <w:r w:rsidRPr="0097532D">
        <w:rPr>
          <w:rFonts w:eastAsia="Times New Roman"/>
          <w:lang w:val="en-IN"/>
        </w:rPr>
        <w:t>LogS</w:t>
      </w:r>
      <w:proofErr w:type="spellEnd"/>
      <w:r w:rsidRPr="0097532D">
        <w:rPr>
          <w:rFonts w:eastAsia="Times New Roman"/>
          <w:lang w:val="en-IN"/>
        </w:rPr>
        <w:t xml:space="preserve"> [ESOL] value of -2.11, TPSA value of 66.76 Å², and molecular weight of 194.18 g/mol.</w:t>
      </w:r>
    </w:p>
    <w:p w14:paraId="557DD09F" w14:textId="0E4C6E59"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toxicity assessment of ferulic acid revealed negative probabilities for the Ames mutagenesis test, biodegradation, carcinogenicity, hepatotoxicity, and nephrotoxicity. In addition, acute oral toxicity fell under class IV (non-toxic and non-irritant) </w:t>
      </w:r>
      <w:r w:rsidRPr="0097532D">
        <w:rPr>
          <w:rFonts w:eastAsia="Times New Roman"/>
          <w:lang w:val="en-IN"/>
        </w:rPr>
        <w:fldChar w:fldCharType="begin"/>
      </w:r>
      <w:r w:rsidRPr="0097532D">
        <w:rPr>
          <w:rFonts w:eastAsia="Times New Roman"/>
          <w:lang w:val="en-US"/>
        </w:rPr>
        <w:instrText xml:space="preserve"> ADDIN EN.CITE &lt;EndNote&gt;&lt;Cite&gt;&lt;Author&gt;Cronin&lt;/Author&gt;&lt;Year&gt;2013&lt;/Year&gt;&lt;RecNum&gt;483&lt;/RecNum&gt;&lt;DisplayText&gt;[30]&lt;/DisplayText&gt;&lt;record&gt;&lt;rec-number&gt;483&lt;/rec-number&gt;&lt;foreign-keys&gt;&lt;key app="EN" db-id="wrvdepxeaes5szerfz2pptsxsd5w9rzzweet" timestamp="1708364843"&gt;483&lt;/key&gt;&lt;/foreign-keys&gt;&lt;ref-type name="Book"&gt;6&lt;/ref-type&gt;&lt;contributors&gt;&lt;authors&gt;&lt;author&gt;Cronin, Mark TD&lt;/author&gt;&lt;author&gt;Madden, Judith&lt;/author&gt;&lt;author&gt;Enoch, Steven&lt;/author&gt;&lt;author&gt;Roberts, David&lt;/author&gt;&lt;/authors&gt;&lt;/contributors&gt;&lt;titles&gt;&lt;title&gt;Chemical toxicity prediction: category formation and read-across&lt;/title&gt;&lt;/titles&gt;&lt;volume&gt;17&lt;/volume&gt;&lt;dates&gt;&lt;year&gt;2013&lt;/year&gt;&lt;/dates&gt;&lt;publisher&gt;Royal Society of Chemistry&lt;/publisher&gt;&lt;isbn&gt;1849733848&lt;/isbn&gt;&lt;urls&gt;&lt;/urls&gt;&lt;/record&gt;&lt;/Cite&gt;&lt;/EndNote&gt;</w:instrText>
      </w:r>
      <w:r w:rsidRPr="0097532D">
        <w:rPr>
          <w:rFonts w:eastAsia="Times New Roman"/>
          <w:lang w:val="en-IN"/>
        </w:rPr>
        <w:fldChar w:fldCharType="separate"/>
      </w:r>
      <w:r w:rsidRPr="0097532D">
        <w:rPr>
          <w:rFonts w:eastAsia="Times New Roman"/>
          <w:lang w:val="en-US"/>
        </w:rPr>
        <w:t>[30]</w:t>
      </w:r>
      <w:r w:rsidRPr="0097532D">
        <w:rPr>
          <w:rFonts w:eastAsia="Times New Roman"/>
          <w:lang w:val="en-IN"/>
        </w:rPr>
        <w:fldChar w:fldCharType="end"/>
      </w:r>
      <w:r w:rsidRPr="0097532D">
        <w:rPr>
          <w:rFonts w:eastAsia="Times New Roman"/>
          <w:lang w:val="en-IN"/>
        </w:rPr>
        <w:t xml:space="preserve"> (</w:t>
      </w:r>
      <w:r w:rsidRPr="00361DEA">
        <w:rPr>
          <w:rFonts w:eastAsia="Times New Roman"/>
          <w:lang w:val="en-IN"/>
        </w:rPr>
        <w:t>Table 4</w:t>
      </w:r>
      <w:r w:rsidRPr="0097532D">
        <w:rPr>
          <w:rFonts w:eastAsia="Times New Roman"/>
          <w:lang w:val="en-IN"/>
        </w:rPr>
        <w:t>). Thus</w:t>
      </w:r>
      <w:r w:rsidR="00361DEA">
        <w:rPr>
          <w:rFonts w:eastAsia="Times New Roman"/>
          <w:lang w:val="en-IN"/>
        </w:rPr>
        <w:t>,</w:t>
      </w:r>
      <w:r w:rsidRPr="0097532D">
        <w:rPr>
          <w:rFonts w:eastAsia="Times New Roman"/>
          <w:lang w:val="en-IN"/>
        </w:rPr>
        <w:t xml:space="preserve"> justifying our </w:t>
      </w:r>
      <w:r w:rsidR="00531F55" w:rsidRPr="00531F55">
        <w:rPr>
          <w:rFonts w:eastAsia="Times New Roman"/>
          <w:i/>
          <w:iCs/>
          <w:lang w:val="en-IN"/>
        </w:rPr>
        <w:t>in silico</w:t>
      </w:r>
      <w:r w:rsidRPr="0097532D">
        <w:rPr>
          <w:rFonts w:eastAsia="Times New Roman"/>
          <w:i/>
          <w:iCs/>
          <w:lang w:val="en-IN"/>
        </w:rPr>
        <w:t xml:space="preserve"> </w:t>
      </w:r>
      <w:r w:rsidRPr="0097532D">
        <w:rPr>
          <w:rFonts w:eastAsia="Times New Roman"/>
          <w:lang w:val="en-IN"/>
        </w:rPr>
        <w:t>results of ferulic acid being a possible GSK-3β inhibitor.</w:t>
      </w:r>
    </w:p>
    <w:p w14:paraId="56B94BE9"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According to the ADME/Tox criterion, an ideal therapeutic drug must be able to cross the gastrointestinal and blood-brain barrier, apart from having a low polar surface area, reduced molecular flexibility, and passing other drug-likeness parameters </w:t>
      </w:r>
      <w:r w:rsidRPr="0097532D">
        <w:rPr>
          <w:rFonts w:eastAsia="Times New Roman"/>
          <w:lang w:val="en-IN"/>
        </w:rPr>
        <w:fldChar w:fldCharType="begin"/>
      </w:r>
      <w:r w:rsidRPr="0097532D">
        <w:rPr>
          <w:rFonts w:eastAsia="Times New Roman"/>
          <w:lang w:val="en-IN"/>
        </w:rPr>
        <w:instrText xml:space="preserve"> ADDIN EN.CITE &lt;EndNote&gt;&lt;Cite&gt;&lt;Author&gt;Ahsan&lt;/Author&gt;&lt;Year&gt;2011&lt;/Year&gt;&lt;RecNum&gt;443&lt;/RecNum&gt;&lt;DisplayText&gt;[45]&lt;/DisplayText&gt;&lt;record&gt;&lt;rec-number&gt;443&lt;/rec-number&gt;&lt;foreign-keys&gt;&lt;key app="EN" db-id="wsdv0pte9vpfs7e9x5tpdwp1xaa59rxrzzwr" timestamp="1712496697"&gt;443&lt;/key&gt;&lt;key app="ENWeb" db-id=""&gt;0&lt;/key&gt;&lt;/foreign-keys&gt;&lt;ref-type name="Journal Article"&gt;17&lt;/ref-type&gt;&lt;contributors&gt;&lt;authors&gt;&lt;author&gt;Ahsan, M. J.&lt;/author&gt;&lt;author&gt;Samy, J. G.&lt;/author&gt;&lt;author&gt;Khalilullah, H.&lt;/author&gt;&lt;author&gt;Nomani, M. S.&lt;/author&gt;&lt;author&gt;Saraswat, P.&lt;/author&gt;&lt;author&gt;Gaur, R.&lt;/author&gt;&lt;author&gt;Singh, A.&lt;/author&gt;&lt;/authors&gt;&lt;/contributors&gt;&lt;auth-address&gt;New Drug Discovery Research, Department of Medicinal Chemistry, Alwar Pharmacy College, Alwar, Rajasthan 301 030, India. jawedpharma@gmail.com&lt;/auth-address&gt;&lt;titles&gt;&lt;title&gt;Molecular properties prediction and synthesis of novel 1,3,4-oxadiazole analogues as potent antimicrobial and antitubercular agents&lt;/title&gt;&lt;secondary-title&gt;Bioorg Med Chem Lett&lt;/secondary-title&gt;&lt;/titles&gt;&lt;periodical&gt;&lt;full-title&gt;Bioorg Med Chem Lett&lt;/full-title&gt;&lt;/periodical&gt;&lt;pages&gt;7246-50&lt;/pages&gt;&lt;volume&gt;21&lt;/volume&gt;&lt;number&gt;24&lt;/number&gt;&lt;edition&gt;2011/11/11&lt;/edition&gt;&lt;keywords&gt;&lt;keyword&gt;Administration, Oral&lt;/keyword&gt;&lt;keyword&gt;Anti-Infective Agents/*chemical synthesis/chemistry/*pharmacology&lt;/keyword&gt;&lt;keyword&gt;Antitubercular Agents/*chemical synthesis/chemistry/*pharmacology&lt;/keyword&gt;&lt;keyword&gt;Bacteria/*drug effects&lt;/keyword&gt;&lt;keyword&gt;Microbial Sensitivity Tests&lt;/keyword&gt;&lt;keyword&gt;Mycobacterium tuberculosis/drug effects&lt;/keyword&gt;&lt;keyword&gt;Oxadiazoles/*chemical synthesis/chemistry/*pharmacology&lt;/keyword&gt;&lt;keyword&gt;Software&lt;/keyword&gt;&lt;keyword&gt;Structure-Activity Relationship&lt;/keyword&gt;&lt;/keywords&gt;&lt;dates&gt;&lt;year&gt;2011&lt;/year&gt;&lt;pub-dates&gt;&lt;date&gt;Dec 15&lt;/date&gt;&lt;/pub-dates&gt;&lt;/dates&gt;&lt;isbn&gt;1464-3405 (Electronic)&amp;#xD;0960-894X (Linking)&lt;/isbn&gt;&lt;accession-num&gt;22071303&lt;/accession-num&gt;&lt;urls&gt;&lt;related-urls&gt;&lt;url&gt;https://www.ncbi.nlm.nih.gov/pubmed/22071303&lt;/url&gt;&lt;/related-urls&gt;&lt;/urls&gt;&lt;electronic-resource-num&gt;10.1016/j.bmcl.2011.10.057&lt;/electronic-resource-num&gt;&lt;/record&gt;&lt;/Cite&gt;&lt;/EndNote&gt;</w:instrText>
      </w:r>
      <w:r w:rsidRPr="0097532D">
        <w:rPr>
          <w:rFonts w:eastAsia="Times New Roman"/>
          <w:lang w:val="en-IN"/>
        </w:rPr>
        <w:fldChar w:fldCharType="separate"/>
      </w:r>
      <w:r w:rsidRPr="0097532D">
        <w:rPr>
          <w:rFonts w:eastAsia="Times New Roman"/>
          <w:lang w:val="en-IN"/>
        </w:rPr>
        <w:t>[45]</w:t>
      </w:r>
      <w:r w:rsidRPr="0097532D">
        <w:rPr>
          <w:rFonts w:eastAsia="Times New Roman"/>
          <w:lang w:val="en-IN"/>
        </w:rPr>
        <w:fldChar w:fldCharType="end"/>
      </w:r>
      <w:r w:rsidRPr="0097532D">
        <w:rPr>
          <w:rFonts w:eastAsia="Times New Roman"/>
          <w:lang w:val="en-IN"/>
        </w:rPr>
        <w:t>. Our ADME/Tox analysis reveals that ferulic acid is able to pass these criteria. Thereby suggesting ferulic acid as a possible GSK-3β inhibitor.</w:t>
      </w:r>
    </w:p>
    <w:p w14:paraId="1DA215EB" w14:textId="77777777" w:rsidR="00B954AC" w:rsidRPr="0097532D" w:rsidRDefault="00257CE9">
      <w:pPr>
        <w:spacing w:before="240" w:after="240" w:line="480" w:lineRule="auto"/>
        <w:jc w:val="center"/>
        <w:rPr>
          <w:rFonts w:eastAsiaTheme="minorEastAsia"/>
          <w:b/>
          <w:lang w:val="en-US" w:eastAsia="zh-CN"/>
        </w:rPr>
      </w:pPr>
      <w:r w:rsidRPr="0097532D">
        <w:rPr>
          <w:rFonts w:eastAsiaTheme="minorEastAsia"/>
          <w:b/>
          <w:noProof/>
          <w:lang w:val="en-IN"/>
        </w:rPr>
        <w:drawing>
          <wp:inline distT="0" distB="0" distL="0" distR="0" wp14:anchorId="18B2A613" wp14:editId="1899DCA1">
            <wp:extent cx="2770505" cy="2825115"/>
            <wp:effectExtent l="9525" t="9525" r="24130" b="15240"/>
            <wp:docPr id="1" name="Picture 1" descr="G:\GSK\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GSK\Fig 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70505" cy="2825115"/>
                    </a:xfrm>
                    <a:prstGeom prst="rect">
                      <a:avLst/>
                    </a:prstGeom>
                    <a:noFill/>
                    <a:ln>
                      <a:solidFill>
                        <a:schemeClr val="bg1"/>
                      </a:solidFill>
                    </a:ln>
                  </pic:spPr>
                </pic:pic>
              </a:graphicData>
            </a:graphic>
          </wp:inline>
        </w:drawing>
      </w:r>
    </w:p>
    <w:p w14:paraId="6E2F9DE7" w14:textId="77777777" w:rsidR="00B954AC" w:rsidRPr="0097532D" w:rsidRDefault="00257CE9">
      <w:pPr>
        <w:spacing w:line="360" w:lineRule="auto"/>
        <w:jc w:val="both"/>
        <w:rPr>
          <w:lang w:val="en-US"/>
        </w:rPr>
      </w:pPr>
      <w:r w:rsidRPr="0097532D">
        <w:rPr>
          <w:b/>
          <w:bCs/>
          <w:lang w:val="en-US"/>
        </w:rPr>
        <w:t>Fig. 1:</w:t>
      </w:r>
      <w:r w:rsidRPr="0097532D">
        <w:rPr>
          <w:lang w:val="en-US"/>
        </w:rPr>
        <w:t xml:space="preserve"> </w:t>
      </w:r>
      <w:commentRangeStart w:id="8"/>
      <w:r w:rsidRPr="0097532D">
        <w:rPr>
          <w:lang w:val="en-US"/>
        </w:rPr>
        <w:t xml:space="preserve">An overview of GSK-3β affecting various cellular mechanisms of neurons in the cortex </w:t>
      </w:r>
      <w:commentRangeEnd w:id="8"/>
      <w:r w:rsidR="007C1F98">
        <w:rPr>
          <w:rStyle w:val="CommentReference"/>
        </w:rPr>
        <w:commentReference w:id="8"/>
      </w:r>
      <w:r w:rsidRPr="0097532D">
        <w:rPr>
          <w:lang w:val="en-US"/>
        </w:rPr>
        <w:t xml:space="preserve">and hippocampus brain regions of neurological disorders. </w:t>
      </w:r>
    </w:p>
    <w:p w14:paraId="33C99656" w14:textId="77777777" w:rsidR="00B954AC" w:rsidRPr="0097532D" w:rsidRDefault="00257CE9">
      <w:pPr>
        <w:spacing w:line="480" w:lineRule="auto"/>
        <w:jc w:val="center"/>
        <w:rPr>
          <w:lang w:val="en-US"/>
        </w:rPr>
      </w:pPr>
      <w:r w:rsidRPr="0097532D">
        <w:rPr>
          <w:noProof/>
          <w:lang w:val="en-US"/>
        </w:rPr>
        <w:drawing>
          <wp:inline distT="0" distB="0" distL="114300" distR="114300" wp14:anchorId="61B1C907" wp14:editId="7C7A08C0">
            <wp:extent cx="1866900" cy="1935480"/>
            <wp:effectExtent l="0" t="0" r="7620" b="0"/>
            <wp:docPr id="9" name="Picture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Fig 2"/>
                    <pic:cNvPicPr>
                      <a:picLocks noChangeAspect="1"/>
                    </pic:cNvPicPr>
                  </pic:nvPicPr>
                  <pic:blipFill>
                    <a:blip r:embed="rId20"/>
                    <a:stretch>
                      <a:fillRect/>
                    </a:stretch>
                  </pic:blipFill>
                  <pic:spPr>
                    <a:xfrm>
                      <a:off x="0" y="0"/>
                      <a:ext cx="1866900" cy="1935480"/>
                    </a:xfrm>
                    <a:prstGeom prst="rect">
                      <a:avLst/>
                    </a:prstGeom>
                    <a:noFill/>
                    <a:ln>
                      <a:noFill/>
                    </a:ln>
                  </pic:spPr>
                </pic:pic>
              </a:graphicData>
            </a:graphic>
          </wp:inline>
        </w:drawing>
      </w:r>
    </w:p>
    <w:p w14:paraId="57993EFA" w14:textId="77777777" w:rsidR="00B954AC" w:rsidRPr="0097532D" w:rsidRDefault="00257CE9">
      <w:pPr>
        <w:spacing w:line="360" w:lineRule="auto"/>
        <w:jc w:val="both"/>
        <w:rPr>
          <w:lang w:val="en-US"/>
        </w:rPr>
      </w:pPr>
      <w:r w:rsidRPr="0097532D">
        <w:rPr>
          <w:b/>
          <w:bCs/>
          <w:lang w:val="en-US"/>
        </w:rPr>
        <w:t xml:space="preserve">Fig. 2: </w:t>
      </w:r>
      <w:r w:rsidRPr="0097532D">
        <w:rPr>
          <w:lang w:val="en-US"/>
        </w:rPr>
        <w:t>Ferulic acid (2D chemical structure) has two exposed OH groups that allow hydrogen bond formation with the ‘R’ group of crucial GSK-3β amino acids.</w:t>
      </w:r>
    </w:p>
    <w:p w14:paraId="2D11DF94" w14:textId="77777777" w:rsidR="00B954AC" w:rsidRPr="0097532D" w:rsidRDefault="00257CE9">
      <w:pPr>
        <w:spacing w:line="480" w:lineRule="auto"/>
        <w:jc w:val="both"/>
        <w:rPr>
          <w:lang w:val="en-US"/>
        </w:rPr>
      </w:pPr>
      <w:r w:rsidRPr="0097532D">
        <w:rPr>
          <w:noProof/>
          <w:lang w:val="en-IN"/>
        </w:rPr>
        <w:lastRenderedPageBreak/>
        <w:drawing>
          <wp:inline distT="0" distB="0" distL="0" distR="0" wp14:anchorId="70AEAD93" wp14:editId="7845DC1B">
            <wp:extent cx="5733415" cy="3665220"/>
            <wp:effectExtent l="0" t="0" r="12065" b="7620"/>
            <wp:docPr id="3" name="Picture 3" descr="G:\GSK\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GSK\Fig 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33415" cy="3665319"/>
                    </a:xfrm>
                    <a:prstGeom prst="rect">
                      <a:avLst/>
                    </a:prstGeom>
                    <a:noFill/>
                    <a:ln>
                      <a:noFill/>
                    </a:ln>
                  </pic:spPr>
                </pic:pic>
              </a:graphicData>
            </a:graphic>
          </wp:inline>
        </w:drawing>
      </w:r>
    </w:p>
    <w:p w14:paraId="21BAF3AE" w14:textId="0A3DD93A" w:rsidR="00B954AC" w:rsidRPr="0097532D" w:rsidRDefault="00257CE9" w:rsidP="00257CE9">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Fig. 3: Comparative 2D and 3D Molecular docking results showing interaction along with the bond distances of Ferulic acid, positive control and negative control with GSK-3β: a.</w:t>
      </w:r>
      <w:r w:rsidRPr="0097532D">
        <w:rPr>
          <w:rFonts w:ascii="Arial" w:hAnsi="Arial" w:cs="Arial"/>
          <w:sz w:val="22"/>
          <w:szCs w:val="22"/>
        </w:rPr>
        <w:t xml:space="preserve"> </w:t>
      </w:r>
      <w:r w:rsidRPr="0097532D">
        <w:rPr>
          <w:rFonts w:ascii="Arial" w:eastAsia="Times New Roman" w:hAnsi="Arial" w:cs="Arial"/>
          <w:sz w:val="22"/>
          <w:szCs w:val="22"/>
          <w:lang w:val="en-IN" w:eastAsia="en-IN"/>
        </w:rPr>
        <w:t xml:space="preserve">The 2D interaction diagram shows two OH and carboxylic groups of ferulic acid forming hydrogen bonds (violet arrows) with crucial GSK-3β residues Lys85 and Val135. </w:t>
      </w:r>
      <w:r w:rsidRPr="0097532D">
        <w:rPr>
          <w:rFonts w:ascii="Arial" w:eastAsia="Times New Roman" w:hAnsi="Arial" w:cs="Arial"/>
          <w:b/>
          <w:bCs/>
          <w:sz w:val="22"/>
          <w:szCs w:val="22"/>
          <w:lang w:val="en-IN" w:eastAsia="en-IN"/>
        </w:rPr>
        <w:t xml:space="preserve">b. </w:t>
      </w:r>
      <w:r w:rsidRPr="0097532D">
        <w:rPr>
          <w:rFonts w:ascii="Arial" w:eastAsia="Times New Roman" w:hAnsi="Arial" w:cs="Arial"/>
          <w:sz w:val="22"/>
          <w:szCs w:val="22"/>
          <w:lang w:val="en-IN" w:eastAsia="en-IN"/>
        </w:rPr>
        <w:t xml:space="preserve">The bond distance between the OH and carboxylic groups of ferulic acid with crucial GSK-3β residues Lys85 (2.88Å) and Val135 (2.19Å and 2.15Å) signifies the strong binding affinity required for inhibition. </w:t>
      </w:r>
      <w:r w:rsidRPr="0097532D">
        <w:rPr>
          <w:rFonts w:ascii="Arial" w:eastAsia="Times New Roman" w:hAnsi="Arial" w:cs="Arial"/>
          <w:b/>
          <w:bCs/>
          <w:sz w:val="22"/>
          <w:szCs w:val="22"/>
          <w:lang w:val="en-IN" w:eastAsia="en-IN"/>
        </w:rPr>
        <w:t>c.</w:t>
      </w:r>
      <w:r w:rsidRPr="0097532D">
        <w:rPr>
          <w:rFonts w:ascii="Arial" w:eastAsia="Times New Roman" w:hAnsi="Arial" w:cs="Arial"/>
          <w:sz w:val="22"/>
          <w:szCs w:val="22"/>
          <w:lang w:val="en-IN" w:eastAsia="en-IN"/>
        </w:rPr>
        <w:t xml:space="preserve"> The positive control SAR502250 interacts with two non-crucial GSK-3β residues, Val 101 (-NH group) and Asp166 (-OH group). </w:t>
      </w:r>
      <w:r w:rsidRPr="0097532D">
        <w:rPr>
          <w:rFonts w:ascii="Arial" w:eastAsia="Times New Roman" w:hAnsi="Arial" w:cs="Arial"/>
          <w:b/>
          <w:bCs/>
          <w:sz w:val="22"/>
          <w:szCs w:val="22"/>
          <w:lang w:val="en-IN" w:eastAsia="en-IN"/>
        </w:rPr>
        <w:t xml:space="preserve">d. </w:t>
      </w:r>
      <w:r w:rsidRPr="0097532D">
        <w:rPr>
          <w:rFonts w:ascii="Arial" w:eastAsia="Times New Roman" w:hAnsi="Arial" w:cs="Arial"/>
          <w:sz w:val="22"/>
          <w:szCs w:val="22"/>
          <w:lang w:val="en-IN" w:eastAsia="en-IN"/>
        </w:rPr>
        <w:t>While the positive control SAR502250 and GSK-3β residues Val101 and Asp166 demonstrate a bond distance of 2.32Å and 4.60Å, respectively</w:t>
      </w:r>
      <w:r w:rsidRPr="0097532D">
        <w:rPr>
          <w:rFonts w:ascii="Arial" w:eastAsia="Times New Roman" w:hAnsi="Arial" w:cs="Arial"/>
          <w:b/>
          <w:bCs/>
          <w:sz w:val="22"/>
          <w:szCs w:val="22"/>
          <w:lang w:val="en-IN" w:eastAsia="en-IN"/>
        </w:rPr>
        <w:t xml:space="preserve"> e.</w:t>
      </w:r>
      <w:r w:rsidRPr="0097532D">
        <w:rPr>
          <w:rFonts w:ascii="Arial" w:eastAsia="Times New Roman" w:hAnsi="Arial" w:cs="Arial"/>
          <w:sz w:val="22"/>
          <w:szCs w:val="22"/>
          <w:lang w:val="en-IN" w:eastAsia="en-IN"/>
        </w:rPr>
        <w:t xml:space="preserve"> The negative control, Ferulic acid, interacts with the Asp73 (OH group) residue of hexokinase. These results indicate effective </w:t>
      </w:r>
      <w:r w:rsidR="00531F55" w:rsidRPr="00531F55">
        <w:rPr>
          <w:rFonts w:ascii="Arial" w:eastAsia="Times New Roman" w:hAnsi="Arial" w:cs="Arial"/>
          <w:i/>
          <w:iCs/>
          <w:sz w:val="22"/>
          <w:szCs w:val="22"/>
          <w:lang w:val="en-IN" w:eastAsia="en-IN"/>
        </w:rPr>
        <w:t>in silico</w:t>
      </w:r>
      <w:r w:rsidRPr="0097532D">
        <w:rPr>
          <w:rFonts w:ascii="Arial" w:eastAsia="Times New Roman" w:hAnsi="Arial" w:cs="Arial"/>
          <w:sz w:val="22"/>
          <w:szCs w:val="22"/>
          <w:lang w:val="en-IN" w:eastAsia="en-IN"/>
        </w:rPr>
        <w:t xml:space="preserve"> GSK-3β inhibition. </w:t>
      </w:r>
      <w:r w:rsidRPr="0097532D">
        <w:rPr>
          <w:rFonts w:ascii="Arial" w:eastAsia="Times New Roman" w:hAnsi="Arial" w:cs="Arial"/>
          <w:b/>
          <w:bCs/>
          <w:sz w:val="22"/>
          <w:szCs w:val="22"/>
          <w:lang w:val="en-IN" w:eastAsia="en-IN"/>
        </w:rPr>
        <w:t>f.</w:t>
      </w:r>
      <w:r w:rsidRPr="0097532D">
        <w:rPr>
          <w:rFonts w:ascii="Arial" w:eastAsia="Times New Roman" w:hAnsi="Arial" w:cs="Arial"/>
          <w:sz w:val="22"/>
          <w:szCs w:val="22"/>
          <w:lang w:val="en-IN" w:eastAsia="en-IN"/>
        </w:rPr>
        <w:t xml:space="preserve"> The negative control Ferulic acid and hexokinase residue Asp73 have a bond distance of 3.19Å. Altogether, the bond distance of ferulic acid with SAR502250 and hexokinase shows weak interactions with GSK-3β residues. As opposed to these results, our finding is that ferulic acid was able to form strong hydrogen bindings with crucial GSK-3β residues.</w:t>
      </w:r>
    </w:p>
    <w:p w14:paraId="1C23158F" w14:textId="77777777" w:rsidR="00B954AC" w:rsidRPr="0097532D" w:rsidRDefault="00257CE9">
      <w:pPr>
        <w:spacing w:line="480" w:lineRule="auto"/>
        <w:jc w:val="center"/>
        <w:rPr>
          <w:lang w:val="en-IN"/>
        </w:rPr>
      </w:pPr>
      <w:r w:rsidRPr="0097532D">
        <w:rPr>
          <w:noProof/>
          <w:lang w:val="en-IN"/>
        </w:rPr>
        <w:lastRenderedPageBreak/>
        <w:drawing>
          <wp:inline distT="0" distB="0" distL="0" distR="0" wp14:anchorId="2B19F3D1" wp14:editId="1DAB6415">
            <wp:extent cx="4053840" cy="4252595"/>
            <wp:effectExtent l="0" t="0" r="0" b="14605"/>
            <wp:docPr id="4" name="Picture 4" descr="G:\GSK\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GSK\Fig 4.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93703" cy="4294713"/>
                    </a:xfrm>
                    <a:prstGeom prst="rect">
                      <a:avLst/>
                    </a:prstGeom>
                    <a:noFill/>
                    <a:ln>
                      <a:noFill/>
                    </a:ln>
                  </pic:spPr>
                </pic:pic>
              </a:graphicData>
            </a:graphic>
          </wp:inline>
        </w:drawing>
      </w:r>
    </w:p>
    <w:p w14:paraId="08FEBD09" w14:textId="77777777"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4: </w:t>
      </w:r>
      <w:r w:rsidRPr="0097532D">
        <w:rPr>
          <w:rFonts w:ascii="Arial" w:eastAsia="Times New Roman" w:hAnsi="Arial" w:cs="Arial"/>
          <w:b/>
          <w:bCs/>
          <w:sz w:val="22"/>
          <w:szCs w:val="22"/>
          <w:lang w:val="en-IN" w:eastAsia="en-IN"/>
        </w:rPr>
        <w:t>RMSD and RMSF graphs denoting the similarity and fluctuations between Ferulic acid-GSK-3β coordinates in MD simulation:</w:t>
      </w:r>
      <w:r w:rsidRPr="0097532D">
        <w:rPr>
          <w:rFonts w:ascii="Arial" w:eastAsia="Times New Roman" w:hAnsi="Arial" w:cs="Arial"/>
          <w:sz w:val="22"/>
          <w:szCs w:val="22"/>
          <w:lang w:val="en-IN" w:eastAsia="en-IN"/>
        </w:rPr>
        <w:t xml:space="preserve">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RMSD graph represents the quantitative measure of ferulic acid and GSK-3β for 100 ns. This graph also demonstrates a difference of 1.5 Å to 2.1 Å between ferulic acid and GSK-3β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The RMSF plot represents the average deviation of ferulic acid and GSK-3β residues for 100 ns. The plot shows a fluctuation between ferulic acid and GSK-3β between 0.6 and 1.8 Å. </w:t>
      </w:r>
    </w:p>
    <w:p w14:paraId="2FA6AA95" w14:textId="77777777" w:rsidR="00B954AC" w:rsidRPr="0097532D" w:rsidRDefault="00257CE9">
      <w:pPr>
        <w:spacing w:line="480" w:lineRule="auto"/>
        <w:jc w:val="center"/>
        <w:rPr>
          <w:lang w:val="en-IN"/>
        </w:rPr>
      </w:pPr>
      <w:r w:rsidRPr="0097532D">
        <w:rPr>
          <w:noProof/>
          <w:lang w:val="en-IN"/>
        </w:rPr>
        <w:lastRenderedPageBreak/>
        <w:drawing>
          <wp:inline distT="0" distB="0" distL="0" distR="0" wp14:anchorId="532B3439" wp14:editId="3B7F4A32">
            <wp:extent cx="5499100" cy="3391535"/>
            <wp:effectExtent l="0" t="0" r="2540" b="6985"/>
            <wp:docPr id="5" name="Picture 5" descr="G:\GSK\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GSK\Fig 5.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37771" cy="3415304"/>
                    </a:xfrm>
                    <a:prstGeom prst="rect">
                      <a:avLst/>
                    </a:prstGeom>
                    <a:noFill/>
                    <a:ln>
                      <a:noFill/>
                    </a:ln>
                  </pic:spPr>
                </pic:pic>
              </a:graphicData>
            </a:graphic>
          </wp:inline>
        </w:drawing>
      </w:r>
    </w:p>
    <w:p w14:paraId="27EAE554" w14:textId="77777777" w:rsidR="00B954AC" w:rsidRPr="0097532D" w:rsidRDefault="00257CE9" w:rsidP="00F17206">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5: </w:t>
      </w:r>
      <w:r w:rsidRPr="0097532D">
        <w:rPr>
          <w:rFonts w:ascii="Arial" w:eastAsia="Times New Roman" w:hAnsi="Arial" w:cs="Arial"/>
          <w:b/>
          <w:bCs/>
          <w:sz w:val="22"/>
          <w:szCs w:val="22"/>
          <w:lang w:val="en-IN" w:eastAsia="en-IN"/>
        </w:rPr>
        <w:t>Detailed MD simulation representation of Ferulic acid interactive groups with crucial GSK-3β residues:</w:t>
      </w:r>
      <w:r w:rsidRPr="0097532D">
        <w:rPr>
          <w:rFonts w:ascii="Arial" w:eastAsia="Times New Roman" w:hAnsi="Arial" w:cs="Arial"/>
          <w:sz w:val="22"/>
          <w:szCs w:val="22"/>
          <w:lang w:val="en-IN" w:eastAsia="en-IN"/>
        </w:rPr>
        <w:t xml:space="preserve"> Additional MD simulation results further affirm the RMSD and RMSF results. </w:t>
      </w:r>
      <w:r w:rsidRPr="0097532D">
        <w:rPr>
          <w:rFonts w:ascii="Arial" w:eastAsia="Times New Roman" w:hAnsi="Arial" w:cs="Arial"/>
          <w:b/>
          <w:bCs/>
          <w:sz w:val="22"/>
          <w:szCs w:val="22"/>
          <w:lang w:val="en-IN" w:eastAsia="en-IN"/>
        </w:rPr>
        <w:t xml:space="preserve">a. </w:t>
      </w:r>
      <w:r w:rsidRPr="0097532D">
        <w:rPr>
          <w:rFonts w:ascii="Arial" w:eastAsia="Times New Roman" w:hAnsi="Arial" w:cs="Arial"/>
          <w:sz w:val="22"/>
          <w:szCs w:val="22"/>
          <w:lang w:val="en-IN" w:eastAsia="en-IN"/>
        </w:rPr>
        <w:t>The top panel of the diagram represents the points of contact for GSK-3β made with ferulic acid. The bottom panel shows residue interactions of GSK-3β with ferulic acid. GSK-3β residues Val135 (dark orange) and Asp200 (orange) bonded for 90 ns with ferulic acid during the 100 ns MD simulation.</w:t>
      </w:r>
      <w:r w:rsidRPr="0097532D">
        <w:rPr>
          <w:rFonts w:ascii="Arial" w:eastAsia="Times New Roman" w:hAnsi="Arial" w:cs="Arial"/>
          <w:b/>
          <w:bCs/>
          <w:sz w:val="22"/>
          <w:szCs w:val="22"/>
          <w:lang w:val="en-IN" w:eastAsia="en-IN"/>
        </w:rPr>
        <w:t xml:space="preserve"> b.</w:t>
      </w:r>
      <w:r w:rsidRPr="0097532D">
        <w:rPr>
          <w:rFonts w:ascii="Arial" w:eastAsia="Times New Roman" w:hAnsi="Arial" w:cs="Arial"/>
          <w:sz w:val="22"/>
          <w:szCs w:val="22"/>
          <w:lang w:val="en-IN" w:eastAsia="en-IN"/>
        </w:rPr>
        <w:t xml:space="preserve"> The interaction diagram shows Ferulic acid OH and carboxylic groups interaction fractions of above 1.0 with Val 135 and Asp200 (GSK-3β residues), respectively, during the 100 ns simulation. </w:t>
      </w:r>
      <w:r w:rsidRPr="0097532D">
        <w:rPr>
          <w:rFonts w:ascii="Arial" w:eastAsia="Times New Roman" w:hAnsi="Arial" w:cs="Arial"/>
          <w:b/>
          <w:bCs/>
          <w:sz w:val="22"/>
          <w:szCs w:val="22"/>
          <w:lang w:val="en-IN" w:eastAsia="en-IN"/>
        </w:rPr>
        <w:t xml:space="preserve">c. </w:t>
      </w:r>
      <w:r w:rsidRPr="0097532D">
        <w:rPr>
          <w:rFonts w:ascii="Arial" w:eastAsia="Times New Roman" w:hAnsi="Arial" w:cs="Arial"/>
          <w:sz w:val="22"/>
          <w:szCs w:val="22"/>
          <w:lang w:val="en-IN" w:eastAsia="en-IN"/>
        </w:rPr>
        <w:t>A detailed schematic diagram of ligand-atom interactions with the GSK-3β residues describes that the two OH and carboxylic groups of ferulic acid formed 91% and 98% of hydrogen bonds with Val135 and 76% with Asp200, respectively, during the 100 ns simulation run.</w:t>
      </w:r>
    </w:p>
    <w:p w14:paraId="796CA120" w14:textId="77777777" w:rsidR="00B954AC" w:rsidRPr="0097532D" w:rsidRDefault="00257CE9">
      <w:pPr>
        <w:spacing w:line="480" w:lineRule="auto"/>
        <w:jc w:val="center"/>
        <w:rPr>
          <w:lang w:val="en-US"/>
        </w:rPr>
      </w:pPr>
      <w:r w:rsidRPr="0097532D">
        <w:rPr>
          <w:noProof/>
          <w:lang w:val="en-IN"/>
        </w:rPr>
        <w:drawing>
          <wp:inline distT="0" distB="0" distL="0" distR="0" wp14:anchorId="1D4E31B0" wp14:editId="5BD4F864">
            <wp:extent cx="5750560" cy="2190115"/>
            <wp:effectExtent l="0" t="0" r="10160" b="4445"/>
            <wp:docPr id="6" name="Picture 6" descr="G:\GSK\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GSK\Fig 6.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05947" cy="2211284"/>
                    </a:xfrm>
                    <a:prstGeom prst="rect">
                      <a:avLst/>
                    </a:prstGeom>
                    <a:noFill/>
                    <a:ln>
                      <a:noFill/>
                    </a:ln>
                  </pic:spPr>
                </pic:pic>
              </a:graphicData>
            </a:graphic>
          </wp:inline>
        </w:drawing>
      </w:r>
    </w:p>
    <w:p w14:paraId="576E521E" w14:textId="77777777"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lastRenderedPageBreak/>
        <w:t xml:space="preserve">Fig. 6: </w:t>
      </w:r>
      <w:r w:rsidRPr="0097532D">
        <w:rPr>
          <w:rFonts w:ascii="Arial" w:eastAsia="Times New Roman" w:hAnsi="Arial" w:cs="Arial"/>
          <w:b/>
          <w:bCs/>
          <w:sz w:val="22"/>
          <w:szCs w:val="22"/>
          <w:lang w:val="en-IN" w:eastAsia="en-IN"/>
        </w:rPr>
        <w:t xml:space="preserve">Pharmacokinetic and drug-likeness profiles of ferulic acid: </w:t>
      </w:r>
      <w:r w:rsidRPr="0097532D">
        <w:rPr>
          <w:rFonts w:ascii="Arial" w:eastAsia="Times New Roman" w:hAnsi="Arial" w:cs="Arial"/>
          <w:sz w:val="22"/>
          <w:szCs w:val="22"/>
          <w:lang w:val="en-IN" w:eastAsia="en-IN"/>
        </w:rPr>
        <w:t xml:space="preserve">The ADME/Tox properties, drug-likeness, and medical chemistry of ferulic acid were checked using </w:t>
      </w:r>
      <w:proofErr w:type="spellStart"/>
      <w:r w:rsidRPr="0097532D">
        <w:rPr>
          <w:rFonts w:ascii="Arial" w:eastAsia="Times New Roman" w:hAnsi="Arial" w:cs="Arial"/>
          <w:sz w:val="22"/>
          <w:szCs w:val="22"/>
          <w:lang w:val="en-IN" w:eastAsia="en-IN"/>
        </w:rPr>
        <w:t>SwissADME</w:t>
      </w:r>
      <w:proofErr w:type="spellEnd"/>
      <w:r w:rsidRPr="0097532D">
        <w:rPr>
          <w:rFonts w:ascii="Arial" w:eastAsia="Times New Roman" w:hAnsi="Arial" w:cs="Arial"/>
          <w:sz w:val="22"/>
          <w:szCs w:val="22"/>
          <w:lang w:val="en-IN" w:eastAsia="en-IN"/>
        </w:rPr>
        <w:t xml:space="preserve"> and </w:t>
      </w:r>
      <w:proofErr w:type="spellStart"/>
      <w:r w:rsidRPr="0097532D">
        <w:rPr>
          <w:rFonts w:ascii="Arial" w:eastAsia="Times New Roman" w:hAnsi="Arial" w:cs="Arial"/>
          <w:sz w:val="22"/>
          <w:szCs w:val="22"/>
          <w:lang w:val="en-IN" w:eastAsia="en-IN"/>
        </w:rPr>
        <w:t>AdmeSAR</w:t>
      </w:r>
      <w:proofErr w:type="spellEnd"/>
      <w:r w:rsidRPr="0097532D">
        <w:rPr>
          <w:rFonts w:ascii="Arial" w:eastAsia="Times New Roman" w:hAnsi="Arial" w:cs="Arial"/>
          <w:sz w:val="22"/>
          <w:szCs w:val="22"/>
          <w:lang w:val="en-IN" w:eastAsia="en-IN"/>
        </w:rPr>
        <w:t xml:space="preserve"> web services before proceeding with molecular docking and MD simulation.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BOILED EGG model of ferulic acid (red dot) demonstrates that ferulic acid can cross the blood-brain barrier (yellow area) and is a potential non-P-GP substrate.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Similarly, the bioavailability radar of ferulic acid plots drug-likeness properties shows LIPO (lipophilicity), SIZE (molecular weight), POLAR (polarity), INSOLU (insolubility), INSATU (instauration), and FLEX (flexibility). It was observed that ferulic acid abides by all the bioavailability radar parameters, except instauration. Overall, these ADME/Tox properties qualify ferulic acid as a possible GSK-3β inhibitor. </w:t>
      </w:r>
    </w:p>
    <w:p w14:paraId="3E512EBA" w14:textId="77777777" w:rsidR="00B954AC" w:rsidRPr="0097532D" w:rsidRDefault="00257CE9">
      <w:pPr>
        <w:spacing w:line="480" w:lineRule="auto"/>
        <w:jc w:val="both"/>
        <w:rPr>
          <w:rFonts w:eastAsia="DengXian"/>
          <w:lang w:val="en-IN"/>
        </w:rPr>
      </w:pPr>
      <w:r w:rsidRPr="0097532D">
        <w:rPr>
          <w:b/>
          <w:bCs/>
        </w:rPr>
        <w:t xml:space="preserve">Table 1: </w:t>
      </w:r>
      <w:r w:rsidRPr="0097532D">
        <w:t xml:space="preserve">The top five binding affinity scores of phytocompounds after docking with GSK-3β (PDB ID: 2JLD) demonstrating Ferulic acid to have the highest binding affinity as compared to the other phytochemicals present in </w:t>
      </w:r>
      <w:r w:rsidRPr="0097532D">
        <w:rPr>
          <w:i/>
          <w:iCs/>
        </w:rPr>
        <w:t>Mangifera indica</w:t>
      </w:r>
      <w:r w:rsidRPr="0097532D">
        <w:t>.</w:t>
      </w:r>
    </w:p>
    <w:tbl>
      <w:tblPr>
        <w:tblStyle w:val="TableGrid"/>
        <w:tblW w:w="0" w:type="auto"/>
        <w:tblInd w:w="988" w:type="dxa"/>
        <w:tblLook w:val="04A0" w:firstRow="1" w:lastRow="0" w:firstColumn="1" w:lastColumn="0" w:noHBand="0" w:noVBand="1"/>
      </w:tblPr>
      <w:tblGrid>
        <w:gridCol w:w="3520"/>
        <w:gridCol w:w="3000"/>
      </w:tblGrid>
      <w:tr w:rsidR="0097532D" w:rsidRPr="0097532D" w14:paraId="7E5FB1BB" w14:textId="77777777">
        <w:tc>
          <w:tcPr>
            <w:tcW w:w="3520" w:type="dxa"/>
            <w:tcBorders>
              <w:top w:val="single" w:sz="4" w:space="0" w:color="auto"/>
              <w:left w:val="single" w:sz="4" w:space="0" w:color="auto"/>
              <w:bottom w:val="single" w:sz="4" w:space="0" w:color="auto"/>
              <w:right w:val="single" w:sz="4" w:space="0" w:color="auto"/>
            </w:tcBorders>
          </w:tcPr>
          <w:p w14:paraId="4B7A69A4" w14:textId="77777777" w:rsidR="00B954AC" w:rsidRPr="0097532D" w:rsidRDefault="00257CE9">
            <w:pPr>
              <w:spacing w:line="480" w:lineRule="auto"/>
              <w:jc w:val="both"/>
            </w:pPr>
            <w:r w:rsidRPr="0097532D">
              <w:t xml:space="preserve"> </w:t>
            </w:r>
            <w:r w:rsidRPr="0097532D">
              <w:rPr>
                <w:rFonts w:eastAsia="SimSun"/>
                <w:b/>
                <w:bCs/>
              </w:rPr>
              <w:t>Phytochemical</w:t>
            </w:r>
          </w:p>
        </w:tc>
        <w:tc>
          <w:tcPr>
            <w:tcW w:w="3000" w:type="dxa"/>
            <w:tcBorders>
              <w:top w:val="single" w:sz="4" w:space="0" w:color="auto"/>
              <w:left w:val="single" w:sz="4" w:space="0" w:color="auto"/>
              <w:bottom w:val="single" w:sz="4" w:space="0" w:color="auto"/>
              <w:right w:val="single" w:sz="4" w:space="0" w:color="auto"/>
            </w:tcBorders>
          </w:tcPr>
          <w:p w14:paraId="32338AC7" w14:textId="77777777" w:rsidR="00B954AC" w:rsidRPr="0097532D" w:rsidRDefault="00257CE9">
            <w:pPr>
              <w:spacing w:line="480" w:lineRule="auto"/>
              <w:jc w:val="both"/>
            </w:pPr>
            <w:r w:rsidRPr="0097532D">
              <w:rPr>
                <w:rFonts w:eastAsia="SimSun"/>
                <w:b/>
                <w:bCs/>
              </w:rPr>
              <w:t>Docking score (kcal/mol)</w:t>
            </w:r>
          </w:p>
        </w:tc>
      </w:tr>
      <w:tr w:rsidR="0097532D" w:rsidRPr="0097532D" w14:paraId="4324F549" w14:textId="77777777">
        <w:tc>
          <w:tcPr>
            <w:tcW w:w="3520" w:type="dxa"/>
            <w:tcBorders>
              <w:top w:val="single" w:sz="4" w:space="0" w:color="auto"/>
              <w:left w:val="single" w:sz="4" w:space="0" w:color="auto"/>
              <w:bottom w:val="single" w:sz="4" w:space="0" w:color="auto"/>
              <w:right w:val="single" w:sz="4" w:space="0" w:color="auto"/>
            </w:tcBorders>
          </w:tcPr>
          <w:p w14:paraId="3832510A" w14:textId="77777777" w:rsidR="00B954AC" w:rsidRPr="0097532D" w:rsidRDefault="00257CE9">
            <w:pPr>
              <w:spacing w:line="480" w:lineRule="auto"/>
              <w:jc w:val="both"/>
            </w:pPr>
            <w:r w:rsidRPr="0097532D">
              <w:rPr>
                <w:rFonts w:eastAsia="SimSun"/>
              </w:rPr>
              <w:t>Ferulic acid</w:t>
            </w:r>
          </w:p>
        </w:tc>
        <w:tc>
          <w:tcPr>
            <w:tcW w:w="3000" w:type="dxa"/>
            <w:tcBorders>
              <w:top w:val="single" w:sz="4" w:space="0" w:color="auto"/>
              <w:left w:val="single" w:sz="4" w:space="0" w:color="auto"/>
              <w:bottom w:val="single" w:sz="4" w:space="0" w:color="auto"/>
              <w:right w:val="single" w:sz="4" w:space="0" w:color="auto"/>
            </w:tcBorders>
          </w:tcPr>
          <w:p w14:paraId="7D5BBB14" w14:textId="77777777" w:rsidR="00B954AC" w:rsidRPr="0097532D" w:rsidRDefault="00257CE9">
            <w:pPr>
              <w:spacing w:line="480" w:lineRule="auto"/>
              <w:jc w:val="both"/>
            </w:pPr>
            <w:r w:rsidRPr="0097532D">
              <w:rPr>
                <w:rFonts w:eastAsia="SimSun"/>
              </w:rPr>
              <w:t>−7.22</w:t>
            </w:r>
          </w:p>
        </w:tc>
      </w:tr>
      <w:tr w:rsidR="0097532D" w:rsidRPr="0097532D" w14:paraId="35C8FA54" w14:textId="77777777">
        <w:tc>
          <w:tcPr>
            <w:tcW w:w="3520" w:type="dxa"/>
            <w:tcBorders>
              <w:top w:val="single" w:sz="4" w:space="0" w:color="auto"/>
              <w:left w:val="single" w:sz="4" w:space="0" w:color="auto"/>
              <w:bottom w:val="single" w:sz="4" w:space="0" w:color="auto"/>
              <w:right w:val="single" w:sz="4" w:space="0" w:color="auto"/>
            </w:tcBorders>
          </w:tcPr>
          <w:p w14:paraId="7BE2D7A5" w14:textId="77777777" w:rsidR="00B954AC" w:rsidRPr="0097532D" w:rsidRDefault="00257CE9">
            <w:pPr>
              <w:spacing w:line="480" w:lineRule="auto"/>
              <w:jc w:val="both"/>
            </w:pPr>
            <w:r w:rsidRPr="0097532D">
              <w:rPr>
                <w:rFonts w:eastAsia="SimSun"/>
              </w:rPr>
              <w:t>Benzoic acid</w:t>
            </w:r>
          </w:p>
        </w:tc>
        <w:tc>
          <w:tcPr>
            <w:tcW w:w="3000" w:type="dxa"/>
            <w:tcBorders>
              <w:top w:val="single" w:sz="4" w:space="0" w:color="auto"/>
              <w:left w:val="single" w:sz="4" w:space="0" w:color="auto"/>
              <w:bottom w:val="single" w:sz="4" w:space="0" w:color="auto"/>
              <w:right w:val="single" w:sz="4" w:space="0" w:color="auto"/>
            </w:tcBorders>
          </w:tcPr>
          <w:p w14:paraId="4877C4E2" w14:textId="77777777" w:rsidR="00B954AC" w:rsidRPr="0097532D" w:rsidRDefault="00257CE9">
            <w:pPr>
              <w:spacing w:line="480" w:lineRule="auto"/>
              <w:jc w:val="both"/>
            </w:pPr>
            <w:r w:rsidRPr="0097532D">
              <w:rPr>
                <w:rFonts w:eastAsia="SimSun"/>
              </w:rPr>
              <w:t>−6.79</w:t>
            </w:r>
          </w:p>
        </w:tc>
      </w:tr>
      <w:tr w:rsidR="0097532D" w:rsidRPr="0097532D" w14:paraId="184D4651" w14:textId="77777777">
        <w:tc>
          <w:tcPr>
            <w:tcW w:w="3520" w:type="dxa"/>
            <w:tcBorders>
              <w:top w:val="single" w:sz="4" w:space="0" w:color="auto"/>
              <w:left w:val="single" w:sz="4" w:space="0" w:color="auto"/>
              <w:bottom w:val="single" w:sz="4" w:space="0" w:color="auto"/>
              <w:right w:val="single" w:sz="4" w:space="0" w:color="auto"/>
            </w:tcBorders>
          </w:tcPr>
          <w:p w14:paraId="7A383564" w14:textId="77777777" w:rsidR="00B954AC" w:rsidRPr="0097532D" w:rsidRDefault="00257CE9">
            <w:pPr>
              <w:spacing w:line="480" w:lineRule="auto"/>
              <w:jc w:val="both"/>
            </w:pPr>
            <w:r w:rsidRPr="0097532D">
              <w:rPr>
                <w:rFonts w:eastAsia="SimSun"/>
              </w:rPr>
              <w:t>Carvacrol</w:t>
            </w:r>
          </w:p>
        </w:tc>
        <w:tc>
          <w:tcPr>
            <w:tcW w:w="3000" w:type="dxa"/>
            <w:tcBorders>
              <w:top w:val="single" w:sz="4" w:space="0" w:color="auto"/>
              <w:left w:val="single" w:sz="4" w:space="0" w:color="auto"/>
              <w:bottom w:val="single" w:sz="4" w:space="0" w:color="auto"/>
              <w:right w:val="single" w:sz="4" w:space="0" w:color="auto"/>
            </w:tcBorders>
          </w:tcPr>
          <w:p w14:paraId="5965251A" w14:textId="77777777" w:rsidR="00B954AC" w:rsidRPr="0097532D" w:rsidRDefault="00257CE9">
            <w:pPr>
              <w:spacing w:line="480" w:lineRule="auto"/>
              <w:jc w:val="both"/>
            </w:pPr>
            <w:r w:rsidRPr="0097532D">
              <w:rPr>
                <w:rFonts w:eastAsia="SimSun"/>
              </w:rPr>
              <w:t>−6.74</w:t>
            </w:r>
          </w:p>
        </w:tc>
      </w:tr>
      <w:tr w:rsidR="0097532D" w:rsidRPr="0097532D" w14:paraId="1F3750A4" w14:textId="77777777">
        <w:tc>
          <w:tcPr>
            <w:tcW w:w="3520" w:type="dxa"/>
            <w:tcBorders>
              <w:top w:val="single" w:sz="4" w:space="0" w:color="auto"/>
              <w:left w:val="single" w:sz="4" w:space="0" w:color="auto"/>
              <w:bottom w:val="single" w:sz="4" w:space="0" w:color="auto"/>
              <w:right w:val="single" w:sz="4" w:space="0" w:color="auto"/>
            </w:tcBorders>
          </w:tcPr>
          <w:p w14:paraId="678F4C2B" w14:textId="77777777" w:rsidR="00B954AC" w:rsidRPr="0097532D" w:rsidRDefault="00257CE9">
            <w:pPr>
              <w:spacing w:line="480" w:lineRule="auto"/>
              <w:jc w:val="both"/>
            </w:pPr>
            <w:r w:rsidRPr="0097532D">
              <w:rPr>
                <w:rFonts w:eastAsia="SimSun"/>
              </w:rPr>
              <w:t>Thymol</w:t>
            </w:r>
          </w:p>
        </w:tc>
        <w:tc>
          <w:tcPr>
            <w:tcW w:w="3000" w:type="dxa"/>
            <w:tcBorders>
              <w:top w:val="single" w:sz="4" w:space="0" w:color="auto"/>
              <w:left w:val="single" w:sz="4" w:space="0" w:color="auto"/>
              <w:bottom w:val="single" w:sz="4" w:space="0" w:color="auto"/>
              <w:right w:val="single" w:sz="4" w:space="0" w:color="auto"/>
            </w:tcBorders>
          </w:tcPr>
          <w:p w14:paraId="7F69F70B" w14:textId="77777777" w:rsidR="00B954AC" w:rsidRPr="0097532D" w:rsidRDefault="00257CE9">
            <w:pPr>
              <w:spacing w:line="480" w:lineRule="auto"/>
              <w:jc w:val="both"/>
            </w:pPr>
            <w:r w:rsidRPr="0097532D">
              <w:rPr>
                <w:rFonts w:eastAsia="SimSun"/>
              </w:rPr>
              <w:t>−5.98</w:t>
            </w:r>
          </w:p>
        </w:tc>
      </w:tr>
      <w:tr w:rsidR="0097532D" w:rsidRPr="0097532D" w14:paraId="3AE69091" w14:textId="77777777">
        <w:tc>
          <w:tcPr>
            <w:tcW w:w="3520" w:type="dxa"/>
            <w:tcBorders>
              <w:top w:val="single" w:sz="4" w:space="0" w:color="auto"/>
              <w:left w:val="single" w:sz="4" w:space="0" w:color="auto"/>
              <w:bottom w:val="single" w:sz="4" w:space="0" w:color="auto"/>
              <w:right w:val="single" w:sz="4" w:space="0" w:color="auto"/>
            </w:tcBorders>
          </w:tcPr>
          <w:p w14:paraId="281D6FEF" w14:textId="77777777" w:rsidR="00B954AC" w:rsidRPr="0097532D" w:rsidRDefault="00257CE9">
            <w:pPr>
              <w:spacing w:line="480" w:lineRule="auto"/>
              <w:jc w:val="both"/>
            </w:pPr>
            <w:r w:rsidRPr="0097532D">
              <w:rPr>
                <w:rFonts w:eastAsia="SimSun"/>
              </w:rPr>
              <w:t>(+)-delta-Cadinene</w:t>
            </w:r>
          </w:p>
        </w:tc>
        <w:tc>
          <w:tcPr>
            <w:tcW w:w="3000" w:type="dxa"/>
            <w:tcBorders>
              <w:top w:val="single" w:sz="4" w:space="0" w:color="auto"/>
              <w:left w:val="single" w:sz="4" w:space="0" w:color="auto"/>
              <w:bottom w:val="single" w:sz="4" w:space="0" w:color="auto"/>
              <w:right w:val="single" w:sz="4" w:space="0" w:color="auto"/>
            </w:tcBorders>
          </w:tcPr>
          <w:p w14:paraId="0C5BDAD3" w14:textId="77777777" w:rsidR="00B954AC" w:rsidRPr="0097532D" w:rsidRDefault="00257CE9">
            <w:pPr>
              <w:spacing w:line="480" w:lineRule="auto"/>
              <w:jc w:val="both"/>
            </w:pPr>
            <w:r w:rsidRPr="0097532D">
              <w:rPr>
                <w:rFonts w:eastAsia="SimSun"/>
              </w:rPr>
              <w:t>−5.43</w:t>
            </w:r>
          </w:p>
        </w:tc>
      </w:tr>
    </w:tbl>
    <w:p w14:paraId="3A44E231" w14:textId="77777777" w:rsidR="00B954AC" w:rsidRPr="0097532D" w:rsidRDefault="00257CE9">
      <w:pPr>
        <w:spacing w:line="480" w:lineRule="auto"/>
        <w:jc w:val="both"/>
        <w:rPr>
          <w:rFonts w:eastAsia="DengXian"/>
        </w:rPr>
      </w:pPr>
      <w:r w:rsidRPr="0097532D">
        <w:t xml:space="preserve"> </w:t>
      </w:r>
    </w:p>
    <w:p w14:paraId="7FA651A1" w14:textId="77777777" w:rsidR="00B954AC" w:rsidRPr="0097532D" w:rsidRDefault="00257CE9">
      <w:pPr>
        <w:spacing w:line="480" w:lineRule="auto"/>
        <w:jc w:val="both"/>
        <w:rPr>
          <w:rFonts w:eastAsia="DengXian"/>
          <w:lang w:val="en-IN"/>
        </w:rPr>
      </w:pPr>
      <w:r w:rsidRPr="0097532D">
        <w:rPr>
          <w:b/>
          <w:bCs/>
        </w:rPr>
        <w:t xml:space="preserve">Table 2: </w:t>
      </w:r>
      <w:r w:rsidRPr="0097532D">
        <w:t>Table shown different parameters of</w:t>
      </w:r>
      <w:r w:rsidRPr="0097532D">
        <w:rPr>
          <w:b/>
          <w:bCs/>
        </w:rPr>
        <w:t xml:space="preserve"> </w:t>
      </w:r>
      <w:r w:rsidRPr="0097532D">
        <w:t xml:space="preserve">Ferulic acid. ADME Profile and Drug-likeness Properties. </w:t>
      </w:r>
    </w:p>
    <w:tbl>
      <w:tblPr>
        <w:tblStyle w:val="TableGrid"/>
        <w:tblW w:w="0" w:type="auto"/>
        <w:tblInd w:w="988" w:type="dxa"/>
        <w:tblLook w:val="04A0" w:firstRow="1" w:lastRow="0" w:firstColumn="1" w:lastColumn="0" w:noHBand="0" w:noVBand="1"/>
      </w:tblPr>
      <w:tblGrid>
        <w:gridCol w:w="4508"/>
        <w:gridCol w:w="2008"/>
      </w:tblGrid>
      <w:tr w:rsidR="0097532D" w:rsidRPr="0097532D" w14:paraId="4F8FA5C4" w14:textId="77777777">
        <w:tc>
          <w:tcPr>
            <w:tcW w:w="4508" w:type="dxa"/>
            <w:tcBorders>
              <w:top w:val="single" w:sz="4" w:space="0" w:color="auto"/>
              <w:left w:val="single" w:sz="4" w:space="0" w:color="auto"/>
              <w:bottom w:val="single" w:sz="4" w:space="0" w:color="auto"/>
              <w:right w:val="single" w:sz="4" w:space="0" w:color="auto"/>
            </w:tcBorders>
          </w:tcPr>
          <w:p w14:paraId="2A9699E8" w14:textId="77777777" w:rsidR="00B954AC" w:rsidRPr="0097532D" w:rsidRDefault="00257CE9">
            <w:pPr>
              <w:spacing w:line="480" w:lineRule="auto"/>
              <w:jc w:val="both"/>
              <w:rPr>
                <w:b/>
                <w:bCs/>
              </w:rPr>
            </w:pPr>
            <w:r w:rsidRPr="0097532D">
              <w:t xml:space="preserve"> </w:t>
            </w:r>
            <w:r w:rsidRPr="0097532D">
              <w:rPr>
                <w:b/>
                <w:bCs/>
              </w:rPr>
              <w:t>Parameters of Ferulic acid</w:t>
            </w:r>
          </w:p>
        </w:tc>
        <w:tc>
          <w:tcPr>
            <w:tcW w:w="2008" w:type="dxa"/>
            <w:tcBorders>
              <w:top w:val="single" w:sz="4" w:space="0" w:color="auto"/>
              <w:left w:val="single" w:sz="4" w:space="0" w:color="auto"/>
              <w:bottom w:val="single" w:sz="4" w:space="0" w:color="auto"/>
              <w:right w:val="single" w:sz="4" w:space="0" w:color="auto"/>
            </w:tcBorders>
          </w:tcPr>
          <w:p w14:paraId="6E9B1C0A" w14:textId="77777777" w:rsidR="00B954AC" w:rsidRPr="0097532D" w:rsidRDefault="00257CE9">
            <w:pPr>
              <w:spacing w:line="480" w:lineRule="auto"/>
              <w:jc w:val="both"/>
              <w:rPr>
                <w:b/>
                <w:bCs/>
              </w:rPr>
            </w:pPr>
            <w:r w:rsidRPr="0097532D">
              <w:rPr>
                <w:b/>
                <w:bCs/>
              </w:rPr>
              <w:t>Score</w:t>
            </w:r>
          </w:p>
        </w:tc>
      </w:tr>
      <w:tr w:rsidR="0097532D" w:rsidRPr="0097532D" w14:paraId="1D043A24" w14:textId="77777777">
        <w:tc>
          <w:tcPr>
            <w:tcW w:w="4508" w:type="dxa"/>
            <w:tcBorders>
              <w:top w:val="single" w:sz="4" w:space="0" w:color="auto"/>
              <w:left w:val="single" w:sz="4" w:space="0" w:color="auto"/>
              <w:bottom w:val="single" w:sz="4" w:space="0" w:color="auto"/>
              <w:right w:val="single" w:sz="4" w:space="0" w:color="auto"/>
            </w:tcBorders>
          </w:tcPr>
          <w:p w14:paraId="54D72D0A" w14:textId="77777777" w:rsidR="00B954AC" w:rsidRPr="0097532D" w:rsidRDefault="00257CE9">
            <w:pPr>
              <w:spacing w:line="480" w:lineRule="auto"/>
              <w:jc w:val="both"/>
            </w:pPr>
            <w:r w:rsidRPr="0097532D">
              <w:t>Bioavailability score</w:t>
            </w:r>
          </w:p>
        </w:tc>
        <w:tc>
          <w:tcPr>
            <w:tcW w:w="2008" w:type="dxa"/>
            <w:tcBorders>
              <w:top w:val="single" w:sz="4" w:space="0" w:color="auto"/>
              <w:left w:val="single" w:sz="4" w:space="0" w:color="auto"/>
              <w:bottom w:val="single" w:sz="4" w:space="0" w:color="auto"/>
              <w:right w:val="single" w:sz="4" w:space="0" w:color="auto"/>
            </w:tcBorders>
          </w:tcPr>
          <w:p w14:paraId="5DE7B47E" w14:textId="77777777" w:rsidR="00B954AC" w:rsidRPr="0097532D" w:rsidRDefault="00257CE9">
            <w:pPr>
              <w:spacing w:line="480" w:lineRule="auto"/>
              <w:jc w:val="both"/>
            </w:pPr>
            <w:r w:rsidRPr="0097532D">
              <w:t>0.85</w:t>
            </w:r>
          </w:p>
        </w:tc>
      </w:tr>
      <w:tr w:rsidR="0097532D" w:rsidRPr="0097532D" w14:paraId="19E26973" w14:textId="77777777">
        <w:tc>
          <w:tcPr>
            <w:tcW w:w="4508" w:type="dxa"/>
            <w:tcBorders>
              <w:top w:val="single" w:sz="4" w:space="0" w:color="auto"/>
              <w:left w:val="single" w:sz="4" w:space="0" w:color="auto"/>
              <w:bottom w:val="single" w:sz="4" w:space="0" w:color="auto"/>
              <w:right w:val="single" w:sz="4" w:space="0" w:color="auto"/>
            </w:tcBorders>
          </w:tcPr>
          <w:p w14:paraId="46372DED" w14:textId="77777777" w:rsidR="00B954AC" w:rsidRPr="0097532D" w:rsidRDefault="00257CE9">
            <w:pPr>
              <w:spacing w:line="480" w:lineRule="auto"/>
              <w:jc w:val="both"/>
            </w:pPr>
            <w:r w:rsidRPr="0097532D">
              <w:t>Solubility class [ESOL]</w:t>
            </w:r>
          </w:p>
        </w:tc>
        <w:tc>
          <w:tcPr>
            <w:tcW w:w="2008" w:type="dxa"/>
            <w:tcBorders>
              <w:top w:val="single" w:sz="4" w:space="0" w:color="auto"/>
              <w:left w:val="single" w:sz="4" w:space="0" w:color="auto"/>
              <w:bottom w:val="single" w:sz="4" w:space="0" w:color="auto"/>
              <w:right w:val="single" w:sz="4" w:space="0" w:color="auto"/>
            </w:tcBorders>
          </w:tcPr>
          <w:p w14:paraId="4DE9B570" w14:textId="77777777" w:rsidR="00B954AC" w:rsidRPr="0097532D" w:rsidRDefault="00257CE9">
            <w:pPr>
              <w:spacing w:line="480" w:lineRule="auto"/>
              <w:jc w:val="both"/>
            </w:pPr>
            <w:r w:rsidRPr="0097532D">
              <w:t>Soluble</w:t>
            </w:r>
          </w:p>
        </w:tc>
      </w:tr>
      <w:tr w:rsidR="0097532D" w:rsidRPr="0097532D" w14:paraId="162C6542" w14:textId="77777777">
        <w:tc>
          <w:tcPr>
            <w:tcW w:w="4508" w:type="dxa"/>
            <w:tcBorders>
              <w:top w:val="single" w:sz="4" w:space="0" w:color="auto"/>
              <w:left w:val="single" w:sz="4" w:space="0" w:color="auto"/>
              <w:bottom w:val="single" w:sz="4" w:space="0" w:color="auto"/>
              <w:right w:val="single" w:sz="4" w:space="0" w:color="auto"/>
            </w:tcBorders>
          </w:tcPr>
          <w:p w14:paraId="1DF41980" w14:textId="77777777" w:rsidR="00B954AC" w:rsidRPr="0097532D" w:rsidRDefault="00257CE9">
            <w:pPr>
              <w:spacing w:line="480" w:lineRule="auto"/>
              <w:jc w:val="both"/>
            </w:pPr>
            <w:r w:rsidRPr="0097532D">
              <w:t>Solubility class [Silicos-IT]</w:t>
            </w:r>
          </w:p>
        </w:tc>
        <w:tc>
          <w:tcPr>
            <w:tcW w:w="2008" w:type="dxa"/>
            <w:tcBorders>
              <w:top w:val="single" w:sz="4" w:space="0" w:color="auto"/>
              <w:left w:val="single" w:sz="4" w:space="0" w:color="auto"/>
              <w:bottom w:val="single" w:sz="4" w:space="0" w:color="auto"/>
              <w:right w:val="single" w:sz="4" w:space="0" w:color="auto"/>
            </w:tcBorders>
          </w:tcPr>
          <w:p w14:paraId="38830A3C" w14:textId="77777777" w:rsidR="00B954AC" w:rsidRPr="0097532D" w:rsidRDefault="00257CE9">
            <w:pPr>
              <w:spacing w:line="480" w:lineRule="auto"/>
              <w:jc w:val="both"/>
            </w:pPr>
            <w:r w:rsidRPr="0097532D">
              <w:t>Soluble</w:t>
            </w:r>
          </w:p>
        </w:tc>
      </w:tr>
      <w:tr w:rsidR="0097532D" w:rsidRPr="0097532D" w14:paraId="6856BCA1" w14:textId="77777777">
        <w:tc>
          <w:tcPr>
            <w:tcW w:w="4508" w:type="dxa"/>
            <w:tcBorders>
              <w:top w:val="single" w:sz="4" w:space="0" w:color="auto"/>
              <w:left w:val="single" w:sz="4" w:space="0" w:color="auto"/>
              <w:bottom w:val="single" w:sz="4" w:space="0" w:color="auto"/>
              <w:right w:val="single" w:sz="4" w:space="0" w:color="auto"/>
            </w:tcBorders>
          </w:tcPr>
          <w:p w14:paraId="40355710" w14:textId="77777777" w:rsidR="00B954AC" w:rsidRPr="0097532D" w:rsidRDefault="00257CE9">
            <w:pPr>
              <w:spacing w:line="480" w:lineRule="auto"/>
              <w:jc w:val="both"/>
            </w:pPr>
            <w:r w:rsidRPr="0097532D">
              <w:t>Blood Blood-brain barrier permeation</w:t>
            </w:r>
          </w:p>
        </w:tc>
        <w:tc>
          <w:tcPr>
            <w:tcW w:w="2008" w:type="dxa"/>
            <w:tcBorders>
              <w:top w:val="single" w:sz="4" w:space="0" w:color="auto"/>
              <w:left w:val="single" w:sz="4" w:space="0" w:color="auto"/>
              <w:bottom w:val="single" w:sz="4" w:space="0" w:color="auto"/>
              <w:right w:val="single" w:sz="4" w:space="0" w:color="auto"/>
            </w:tcBorders>
          </w:tcPr>
          <w:p w14:paraId="5959E298" w14:textId="77777777" w:rsidR="00B954AC" w:rsidRPr="0097532D" w:rsidRDefault="00257CE9">
            <w:pPr>
              <w:spacing w:line="480" w:lineRule="auto"/>
              <w:jc w:val="both"/>
            </w:pPr>
            <w:r w:rsidRPr="0097532D">
              <w:t>Yes</w:t>
            </w:r>
          </w:p>
        </w:tc>
      </w:tr>
      <w:tr w:rsidR="0097532D" w:rsidRPr="0097532D" w14:paraId="48A22F27" w14:textId="77777777">
        <w:tc>
          <w:tcPr>
            <w:tcW w:w="4508" w:type="dxa"/>
            <w:tcBorders>
              <w:top w:val="single" w:sz="4" w:space="0" w:color="auto"/>
              <w:left w:val="single" w:sz="4" w:space="0" w:color="auto"/>
              <w:bottom w:val="single" w:sz="4" w:space="0" w:color="auto"/>
              <w:right w:val="single" w:sz="4" w:space="0" w:color="auto"/>
            </w:tcBorders>
          </w:tcPr>
          <w:p w14:paraId="628F5D67" w14:textId="77777777" w:rsidR="00B954AC" w:rsidRPr="0097532D" w:rsidRDefault="00257CE9">
            <w:pPr>
              <w:spacing w:line="480" w:lineRule="auto"/>
              <w:jc w:val="both"/>
            </w:pPr>
            <w:r w:rsidRPr="0097532D">
              <w:t>Gastrointestinal absorption</w:t>
            </w:r>
          </w:p>
        </w:tc>
        <w:tc>
          <w:tcPr>
            <w:tcW w:w="2008" w:type="dxa"/>
            <w:tcBorders>
              <w:top w:val="single" w:sz="4" w:space="0" w:color="auto"/>
              <w:left w:val="single" w:sz="4" w:space="0" w:color="auto"/>
              <w:bottom w:val="single" w:sz="4" w:space="0" w:color="auto"/>
              <w:right w:val="single" w:sz="4" w:space="0" w:color="auto"/>
            </w:tcBorders>
          </w:tcPr>
          <w:p w14:paraId="30FF2E5B" w14:textId="77777777" w:rsidR="00B954AC" w:rsidRPr="0097532D" w:rsidRDefault="00257CE9">
            <w:pPr>
              <w:spacing w:line="480" w:lineRule="auto"/>
              <w:jc w:val="both"/>
            </w:pPr>
            <w:r w:rsidRPr="0097532D">
              <w:t>High</w:t>
            </w:r>
          </w:p>
        </w:tc>
      </w:tr>
      <w:tr w:rsidR="0097532D" w:rsidRPr="0097532D" w14:paraId="0FC63FF5" w14:textId="77777777">
        <w:tc>
          <w:tcPr>
            <w:tcW w:w="4508" w:type="dxa"/>
            <w:tcBorders>
              <w:top w:val="single" w:sz="4" w:space="0" w:color="auto"/>
              <w:left w:val="single" w:sz="4" w:space="0" w:color="auto"/>
              <w:bottom w:val="single" w:sz="4" w:space="0" w:color="auto"/>
              <w:right w:val="single" w:sz="4" w:space="0" w:color="auto"/>
            </w:tcBorders>
          </w:tcPr>
          <w:p w14:paraId="10F7B9B2" w14:textId="77777777" w:rsidR="00B954AC" w:rsidRPr="0097532D" w:rsidRDefault="00257CE9">
            <w:pPr>
              <w:spacing w:line="480" w:lineRule="auto"/>
              <w:jc w:val="both"/>
            </w:pPr>
            <w:r w:rsidRPr="0097532D">
              <w:t>Log Kp (Skin permeation, cm/s)</w:t>
            </w:r>
          </w:p>
        </w:tc>
        <w:tc>
          <w:tcPr>
            <w:tcW w:w="2008" w:type="dxa"/>
            <w:tcBorders>
              <w:top w:val="single" w:sz="4" w:space="0" w:color="auto"/>
              <w:left w:val="single" w:sz="4" w:space="0" w:color="auto"/>
              <w:bottom w:val="single" w:sz="4" w:space="0" w:color="auto"/>
              <w:right w:val="single" w:sz="4" w:space="0" w:color="auto"/>
            </w:tcBorders>
          </w:tcPr>
          <w:p w14:paraId="0A9BA2EE" w14:textId="77777777" w:rsidR="00B954AC" w:rsidRPr="0097532D" w:rsidRDefault="00257CE9">
            <w:pPr>
              <w:spacing w:line="480" w:lineRule="auto"/>
              <w:jc w:val="both"/>
            </w:pPr>
            <w:r w:rsidRPr="0097532D">
              <w:t>-6.41</w:t>
            </w:r>
          </w:p>
        </w:tc>
      </w:tr>
      <w:tr w:rsidR="0097532D" w:rsidRPr="0097532D" w14:paraId="3C7558FC" w14:textId="77777777">
        <w:tc>
          <w:tcPr>
            <w:tcW w:w="4508" w:type="dxa"/>
            <w:tcBorders>
              <w:top w:val="single" w:sz="4" w:space="0" w:color="auto"/>
              <w:left w:val="single" w:sz="4" w:space="0" w:color="auto"/>
              <w:bottom w:val="single" w:sz="4" w:space="0" w:color="auto"/>
              <w:right w:val="single" w:sz="4" w:space="0" w:color="auto"/>
            </w:tcBorders>
          </w:tcPr>
          <w:p w14:paraId="43905606" w14:textId="77777777" w:rsidR="00B954AC" w:rsidRPr="0097532D" w:rsidRDefault="00257CE9">
            <w:pPr>
              <w:spacing w:line="480" w:lineRule="auto"/>
              <w:jc w:val="both"/>
            </w:pPr>
            <w:r w:rsidRPr="0097532D">
              <w:t>Number of PAINS structural alerts</w:t>
            </w:r>
          </w:p>
        </w:tc>
        <w:tc>
          <w:tcPr>
            <w:tcW w:w="2008" w:type="dxa"/>
            <w:tcBorders>
              <w:top w:val="single" w:sz="4" w:space="0" w:color="auto"/>
              <w:left w:val="single" w:sz="4" w:space="0" w:color="auto"/>
              <w:bottom w:val="single" w:sz="4" w:space="0" w:color="auto"/>
              <w:right w:val="single" w:sz="4" w:space="0" w:color="auto"/>
            </w:tcBorders>
          </w:tcPr>
          <w:p w14:paraId="1340EA9E" w14:textId="77777777" w:rsidR="00B954AC" w:rsidRPr="0097532D" w:rsidRDefault="00257CE9">
            <w:pPr>
              <w:spacing w:line="480" w:lineRule="auto"/>
              <w:jc w:val="both"/>
            </w:pPr>
            <w:r w:rsidRPr="0097532D">
              <w:t>0.0</w:t>
            </w:r>
          </w:p>
        </w:tc>
      </w:tr>
      <w:tr w:rsidR="0097532D" w:rsidRPr="0097532D" w14:paraId="04FDCF4A" w14:textId="77777777">
        <w:tc>
          <w:tcPr>
            <w:tcW w:w="4508" w:type="dxa"/>
            <w:tcBorders>
              <w:top w:val="single" w:sz="4" w:space="0" w:color="auto"/>
              <w:left w:val="single" w:sz="4" w:space="0" w:color="auto"/>
              <w:bottom w:val="single" w:sz="4" w:space="0" w:color="auto"/>
              <w:right w:val="single" w:sz="4" w:space="0" w:color="auto"/>
            </w:tcBorders>
          </w:tcPr>
          <w:p w14:paraId="7CE38E1D" w14:textId="77777777" w:rsidR="00B954AC" w:rsidRPr="0097532D" w:rsidRDefault="00257CE9">
            <w:pPr>
              <w:spacing w:line="480" w:lineRule="auto"/>
              <w:jc w:val="both"/>
            </w:pPr>
            <w:r w:rsidRPr="0097532D">
              <w:lastRenderedPageBreak/>
              <w:t>Number of Brenk structural alerts</w:t>
            </w:r>
          </w:p>
        </w:tc>
        <w:tc>
          <w:tcPr>
            <w:tcW w:w="2008" w:type="dxa"/>
            <w:tcBorders>
              <w:top w:val="single" w:sz="4" w:space="0" w:color="auto"/>
              <w:left w:val="single" w:sz="4" w:space="0" w:color="auto"/>
              <w:bottom w:val="single" w:sz="4" w:space="0" w:color="auto"/>
              <w:right w:val="single" w:sz="4" w:space="0" w:color="auto"/>
            </w:tcBorders>
          </w:tcPr>
          <w:p w14:paraId="40CFF52E" w14:textId="77777777" w:rsidR="00B954AC" w:rsidRPr="0097532D" w:rsidRDefault="00257CE9">
            <w:pPr>
              <w:spacing w:line="480" w:lineRule="auto"/>
              <w:jc w:val="both"/>
            </w:pPr>
            <w:r w:rsidRPr="0097532D">
              <w:t>1.0</w:t>
            </w:r>
          </w:p>
        </w:tc>
      </w:tr>
      <w:tr w:rsidR="0097532D" w:rsidRPr="0097532D" w14:paraId="5E98EBEF" w14:textId="77777777">
        <w:tc>
          <w:tcPr>
            <w:tcW w:w="4508" w:type="dxa"/>
            <w:tcBorders>
              <w:top w:val="single" w:sz="4" w:space="0" w:color="auto"/>
              <w:left w:val="single" w:sz="4" w:space="0" w:color="auto"/>
              <w:bottom w:val="single" w:sz="4" w:space="0" w:color="auto"/>
              <w:right w:val="single" w:sz="4" w:space="0" w:color="auto"/>
            </w:tcBorders>
          </w:tcPr>
          <w:p w14:paraId="1805FABD" w14:textId="77777777" w:rsidR="00B954AC" w:rsidRPr="0097532D" w:rsidRDefault="00257CE9">
            <w:pPr>
              <w:spacing w:line="480" w:lineRule="auto"/>
              <w:jc w:val="both"/>
            </w:pPr>
            <w:r w:rsidRPr="0097532D">
              <w:t>CYP1A2 inhibitor</w:t>
            </w:r>
          </w:p>
        </w:tc>
        <w:tc>
          <w:tcPr>
            <w:tcW w:w="2008" w:type="dxa"/>
            <w:tcBorders>
              <w:top w:val="single" w:sz="4" w:space="0" w:color="auto"/>
              <w:left w:val="single" w:sz="4" w:space="0" w:color="auto"/>
              <w:bottom w:val="single" w:sz="4" w:space="0" w:color="auto"/>
              <w:right w:val="single" w:sz="4" w:space="0" w:color="auto"/>
            </w:tcBorders>
          </w:tcPr>
          <w:p w14:paraId="3870E89F" w14:textId="77777777" w:rsidR="00B954AC" w:rsidRPr="0097532D" w:rsidRDefault="00257CE9">
            <w:pPr>
              <w:spacing w:line="480" w:lineRule="auto"/>
              <w:jc w:val="both"/>
            </w:pPr>
            <w:r w:rsidRPr="0097532D">
              <w:t>No</w:t>
            </w:r>
          </w:p>
        </w:tc>
      </w:tr>
      <w:tr w:rsidR="0097532D" w:rsidRPr="0097532D" w14:paraId="2B83ED74" w14:textId="77777777">
        <w:tc>
          <w:tcPr>
            <w:tcW w:w="4508" w:type="dxa"/>
            <w:tcBorders>
              <w:top w:val="single" w:sz="4" w:space="0" w:color="auto"/>
              <w:left w:val="single" w:sz="4" w:space="0" w:color="auto"/>
              <w:bottom w:val="single" w:sz="4" w:space="0" w:color="auto"/>
              <w:right w:val="single" w:sz="4" w:space="0" w:color="auto"/>
            </w:tcBorders>
          </w:tcPr>
          <w:p w14:paraId="2BA0174D" w14:textId="77777777" w:rsidR="00B954AC" w:rsidRPr="0097532D" w:rsidRDefault="00257CE9">
            <w:pPr>
              <w:spacing w:line="480" w:lineRule="auto"/>
              <w:jc w:val="both"/>
            </w:pPr>
            <w:r w:rsidRPr="0097532D">
              <w:t>CYP2C19 inhibitor</w:t>
            </w:r>
          </w:p>
        </w:tc>
        <w:tc>
          <w:tcPr>
            <w:tcW w:w="2008" w:type="dxa"/>
            <w:tcBorders>
              <w:top w:val="single" w:sz="4" w:space="0" w:color="auto"/>
              <w:left w:val="single" w:sz="4" w:space="0" w:color="auto"/>
              <w:bottom w:val="single" w:sz="4" w:space="0" w:color="auto"/>
              <w:right w:val="single" w:sz="4" w:space="0" w:color="auto"/>
            </w:tcBorders>
          </w:tcPr>
          <w:p w14:paraId="37AAB8E5" w14:textId="77777777" w:rsidR="00B954AC" w:rsidRPr="0097532D" w:rsidRDefault="00257CE9">
            <w:pPr>
              <w:spacing w:line="480" w:lineRule="auto"/>
              <w:jc w:val="both"/>
            </w:pPr>
            <w:r w:rsidRPr="0097532D">
              <w:t>No</w:t>
            </w:r>
          </w:p>
        </w:tc>
      </w:tr>
      <w:tr w:rsidR="0097532D" w:rsidRPr="0097532D" w14:paraId="7BDD506E" w14:textId="77777777">
        <w:tc>
          <w:tcPr>
            <w:tcW w:w="4508" w:type="dxa"/>
            <w:tcBorders>
              <w:top w:val="single" w:sz="4" w:space="0" w:color="auto"/>
              <w:left w:val="single" w:sz="4" w:space="0" w:color="auto"/>
              <w:bottom w:val="single" w:sz="4" w:space="0" w:color="auto"/>
              <w:right w:val="single" w:sz="4" w:space="0" w:color="auto"/>
            </w:tcBorders>
          </w:tcPr>
          <w:p w14:paraId="7F3940D2" w14:textId="77777777" w:rsidR="00B954AC" w:rsidRPr="0097532D" w:rsidRDefault="00257CE9">
            <w:pPr>
              <w:spacing w:line="480" w:lineRule="auto"/>
              <w:jc w:val="both"/>
            </w:pPr>
            <w:r w:rsidRPr="0097532D">
              <w:t>CYP2C9 inhibitor</w:t>
            </w:r>
          </w:p>
        </w:tc>
        <w:tc>
          <w:tcPr>
            <w:tcW w:w="2008" w:type="dxa"/>
            <w:tcBorders>
              <w:top w:val="single" w:sz="4" w:space="0" w:color="auto"/>
              <w:left w:val="single" w:sz="4" w:space="0" w:color="auto"/>
              <w:bottom w:val="single" w:sz="4" w:space="0" w:color="auto"/>
              <w:right w:val="single" w:sz="4" w:space="0" w:color="auto"/>
            </w:tcBorders>
          </w:tcPr>
          <w:p w14:paraId="5278B5A5" w14:textId="77777777" w:rsidR="00B954AC" w:rsidRPr="0097532D" w:rsidRDefault="00257CE9">
            <w:pPr>
              <w:spacing w:line="480" w:lineRule="auto"/>
              <w:jc w:val="both"/>
            </w:pPr>
            <w:r w:rsidRPr="0097532D">
              <w:t>No</w:t>
            </w:r>
          </w:p>
        </w:tc>
      </w:tr>
      <w:tr w:rsidR="0097532D" w:rsidRPr="0097532D" w14:paraId="2D49F7D3" w14:textId="77777777">
        <w:tc>
          <w:tcPr>
            <w:tcW w:w="4508" w:type="dxa"/>
            <w:tcBorders>
              <w:top w:val="single" w:sz="4" w:space="0" w:color="auto"/>
              <w:left w:val="single" w:sz="4" w:space="0" w:color="auto"/>
              <w:bottom w:val="single" w:sz="4" w:space="0" w:color="auto"/>
              <w:right w:val="single" w:sz="4" w:space="0" w:color="auto"/>
            </w:tcBorders>
          </w:tcPr>
          <w:p w14:paraId="746395D3" w14:textId="77777777" w:rsidR="00B954AC" w:rsidRPr="0097532D" w:rsidRDefault="00257CE9">
            <w:pPr>
              <w:spacing w:line="480" w:lineRule="auto"/>
              <w:jc w:val="both"/>
            </w:pPr>
            <w:r w:rsidRPr="0097532D">
              <w:t>CYP2D6 inhibitor</w:t>
            </w:r>
          </w:p>
        </w:tc>
        <w:tc>
          <w:tcPr>
            <w:tcW w:w="2008" w:type="dxa"/>
            <w:tcBorders>
              <w:top w:val="single" w:sz="4" w:space="0" w:color="auto"/>
              <w:left w:val="single" w:sz="4" w:space="0" w:color="auto"/>
              <w:bottom w:val="single" w:sz="4" w:space="0" w:color="auto"/>
              <w:right w:val="single" w:sz="4" w:space="0" w:color="auto"/>
            </w:tcBorders>
          </w:tcPr>
          <w:p w14:paraId="2B77C840" w14:textId="77777777" w:rsidR="00B954AC" w:rsidRPr="0097532D" w:rsidRDefault="00257CE9">
            <w:pPr>
              <w:spacing w:line="480" w:lineRule="auto"/>
              <w:jc w:val="both"/>
            </w:pPr>
            <w:r w:rsidRPr="0097532D">
              <w:t>No</w:t>
            </w:r>
          </w:p>
        </w:tc>
      </w:tr>
      <w:tr w:rsidR="0097532D" w:rsidRPr="0097532D" w14:paraId="25D39706" w14:textId="77777777">
        <w:tc>
          <w:tcPr>
            <w:tcW w:w="4508" w:type="dxa"/>
            <w:tcBorders>
              <w:top w:val="single" w:sz="4" w:space="0" w:color="auto"/>
              <w:left w:val="single" w:sz="4" w:space="0" w:color="auto"/>
              <w:bottom w:val="single" w:sz="4" w:space="0" w:color="auto"/>
              <w:right w:val="single" w:sz="4" w:space="0" w:color="auto"/>
            </w:tcBorders>
          </w:tcPr>
          <w:p w14:paraId="09B51274" w14:textId="77777777" w:rsidR="00B954AC" w:rsidRPr="0097532D" w:rsidRDefault="00257CE9">
            <w:pPr>
              <w:spacing w:line="480" w:lineRule="auto"/>
              <w:jc w:val="both"/>
            </w:pPr>
            <w:r w:rsidRPr="0097532D">
              <w:t>CYP3A4 inhibitor</w:t>
            </w:r>
          </w:p>
        </w:tc>
        <w:tc>
          <w:tcPr>
            <w:tcW w:w="2008" w:type="dxa"/>
            <w:tcBorders>
              <w:top w:val="single" w:sz="4" w:space="0" w:color="auto"/>
              <w:left w:val="single" w:sz="4" w:space="0" w:color="auto"/>
              <w:bottom w:val="single" w:sz="4" w:space="0" w:color="auto"/>
              <w:right w:val="single" w:sz="4" w:space="0" w:color="auto"/>
            </w:tcBorders>
          </w:tcPr>
          <w:p w14:paraId="0291937B" w14:textId="77777777" w:rsidR="00B954AC" w:rsidRPr="0097532D" w:rsidRDefault="00257CE9">
            <w:pPr>
              <w:spacing w:line="480" w:lineRule="auto"/>
              <w:jc w:val="both"/>
            </w:pPr>
            <w:r w:rsidRPr="0097532D">
              <w:t>No</w:t>
            </w:r>
          </w:p>
        </w:tc>
      </w:tr>
      <w:tr w:rsidR="0097532D" w:rsidRPr="0097532D" w14:paraId="34DA5F36" w14:textId="77777777">
        <w:tc>
          <w:tcPr>
            <w:tcW w:w="4508" w:type="dxa"/>
            <w:tcBorders>
              <w:top w:val="single" w:sz="4" w:space="0" w:color="auto"/>
              <w:left w:val="single" w:sz="4" w:space="0" w:color="auto"/>
              <w:bottom w:val="single" w:sz="4" w:space="0" w:color="auto"/>
              <w:right w:val="single" w:sz="4" w:space="0" w:color="auto"/>
            </w:tcBorders>
          </w:tcPr>
          <w:p w14:paraId="415583A5" w14:textId="77777777" w:rsidR="00B954AC" w:rsidRPr="0097532D" w:rsidRDefault="00257CE9">
            <w:pPr>
              <w:spacing w:line="480" w:lineRule="auto"/>
              <w:jc w:val="both"/>
            </w:pPr>
            <w:r w:rsidRPr="0097532D">
              <w:t>P-glycoprotein substrate</w:t>
            </w:r>
          </w:p>
        </w:tc>
        <w:tc>
          <w:tcPr>
            <w:tcW w:w="2008" w:type="dxa"/>
            <w:tcBorders>
              <w:top w:val="single" w:sz="4" w:space="0" w:color="auto"/>
              <w:left w:val="single" w:sz="4" w:space="0" w:color="auto"/>
              <w:bottom w:val="single" w:sz="4" w:space="0" w:color="auto"/>
              <w:right w:val="single" w:sz="4" w:space="0" w:color="auto"/>
            </w:tcBorders>
          </w:tcPr>
          <w:p w14:paraId="08A81FD8" w14:textId="77777777" w:rsidR="00B954AC" w:rsidRPr="0097532D" w:rsidRDefault="00257CE9">
            <w:pPr>
              <w:spacing w:line="480" w:lineRule="auto"/>
              <w:jc w:val="both"/>
            </w:pPr>
            <w:r w:rsidRPr="0097532D">
              <w:t>No</w:t>
            </w:r>
          </w:p>
        </w:tc>
      </w:tr>
      <w:tr w:rsidR="0097532D" w:rsidRPr="0097532D" w14:paraId="101AE01C" w14:textId="77777777">
        <w:tc>
          <w:tcPr>
            <w:tcW w:w="4508" w:type="dxa"/>
            <w:tcBorders>
              <w:top w:val="single" w:sz="4" w:space="0" w:color="auto"/>
              <w:left w:val="single" w:sz="4" w:space="0" w:color="auto"/>
              <w:bottom w:val="single" w:sz="4" w:space="0" w:color="auto"/>
              <w:right w:val="single" w:sz="4" w:space="0" w:color="auto"/>
            </w:tcBorders>
          </w:tcPr>
          <w:p w14:paraId="388367DE" w14:textId="77777777" w:rsidR="00B954AC" w:rsidRPr="0097532D" w:rsidRDefault="00257CE9">
            <w:pPr>
              <w:spacing w:line="480" w:lineRule="auto"/>
              <w:jc w:val="both"/>
            </w:pPr>
            <w:r w:rsidRPr="0097532D">
              <w:t>Number of Lipinski’s rule of 5 violations</w:t>
            </w:r>
          </w:p>
        </w:tc>
        <w:tc>
          <w:tcPr>
            <w:tcW w:w="2008" w:type="dxa"/>
            <w:tcBorders>
              <w:top w:val="single" w:sz="4" w:space="0" w:color="auto"/>
              <w:left w:val="single" w:sz="4" w:space="0" w:color="auto"/>
              <w:bottom w:val="single" w:sz="4" w:space="0" w:color="auto"/>
              <w:right w:val="single" w:sz="4" w:space="0" w:color="auto"/>
            </w:tcBorders>
          </w:tcPr>
          <w:p w14:paraId="243493E8" w14:textId="77777777" w:rsidR="00B954AC" w:rsidRPr="0097532D" w:rsidRDefault="00257CE9">
            <w:pPr>
              <w:spacing w:line="480" w:lineRule="auto"/>
              <w:jc w:val="both"/>
            </w:pPr>
            <w:r w:rsidRPr="0097532D">
              <w:t>0</w:t>
            </w:r>
          </w:p>
        </w:tc>
      </w:tr>
      <w:tr w:rsidR="0097532D" w:rsidRPr="0097532D" w14:paraId="11FEC91E" w14:textId="77777777">
        <w:tc>
          <w:tcPr>
            <w:tcW w:w="4508" w:type="dxa"/>
            <w:tcBorders>
              <w:top w:val="single" w:sz="4" w:space="0" w:color="auto"/>
              <w:left w:val="single" w:sz="4" w:space="0" w:color="auto"/>
              <w:bottom w:val="single" w:sz="4" w:space="0" w:color="auto"/>
              <w:right w:val="single" w:sz="4" w:space="0" w:color="auto"/>
            </w:tcBorders>
          </w:tcPr>
          <w:p w14:paraId="721447D1" w14:textId="77777777" w:rsidR="00B954AC" w:rsidRPr="0097532D" w:rsidRDefault="00257CE9">
            <w:pPr>
              <w:spacing w:line="480" w:lineRule="auto"/>
              <w:jc w:val="both"/>
            </w:pPr>
            <w:r w:rsidRPr="0097532D">
              <w:t>Lipinski’s rule of 5</w:t>
            </w:r>
          </w:p>
        </w:tc>
        <w:tc>
          <w:tcPr>
            <w:tcW w:w="2008" w:type="dxa"/>
            <w:tcBorders>
              <w:top w:val="single" w:sz="4" w:space="0" w:color="auto"/>
              <w:left w:val="single" w:sz="4" w:space="0" w:color="auto"/>
              <w:bottom w:val="single" w:sz="4" w:space="0" w:color="auto"/>
              <w:right w:val="single" w:sz="4" w:space="0" w:color="auto"/>
            </w:tcBorders>
          </w:tcPr>
          <w:p w14:paraId="0F141F3B" w14:textId="77777777" w:rsidR="00B954AC" w:rsidRPr="0097532D" w:rsidRDefault="00257CE9">
            <w:pPr>
              <w:spacing w:line="480" w:lineRule="auto"/>
              <w:jc w:val="both"/>
            </w:pPr>
            <w:r w:rsidRPr="0097532D">
              <w:t>Passed</w:t>
            </w:r>
          </w:p>
        </w:tc>
      </w:tr>
      <w:tr w:rsidR="0097532D" w:rsidRPr="0097532D" w14:paraId="10FC3C41" w14:textId="77777777">
        <w:tc>
          <w:tcPr>
            <w:tcW w:w="4508" w:type="dxa"/>
            <w:tcBorders>
              <w:top w:val="single" w:sz="4" w:space="0" w:color="auto"/>
              <w:left w:val="single" w:sz="4" w:space="0" w:color="auto"/>
              <w:bottom w:val="single" w:sz="4" w:space="0" w:color="auto"/>
              <w:right w:val="single" w:sz="4" w:space="0" w:color="auto"/>
            </w:tcBorders>
          </w:tcPr>
          <w:p w14:paraId="76763D97" w14:textId="77777777" w:rsidR="00B954AC" w:rsidRPr="0097532D" w:rsidRDefault="00257CE9">
            <w:pPr>
              <w:spacing w:line="480" w:lineRule="auto"/>
              <w:jc w:val="both"/>
            </w:pPr>
            <w:r w:rsidRPr="0097532D">
              <w:t>Number of Ghose rule violations</w:t>
            </w:r>
          </w:p>
        </w:tc>
        <w:tc>
          <w:tcPr>
            <w:tcW w:w="2008" w:type="dxa"/>
            <w:tcBorders>
              <w:top w:val="single" w:sz="4" w:space="0" w:color="auto"/>
              <w:left w:val="single" w:sz="4" w:space="0" w:color="auto"/>
              <w:bottom w:val="single" w:sz="4" w:space="0" w:color="auto"/>
              <w:right w:val="single" w:sz="4" w:space="0" w:color="auto"/>
            </w:tcBorders>
          </w:tcPr>
          <w:p w14:paraId="3125C4D0" w14:textId="77777777" w:rsidR="00B954AC" w:rsidRPr="0097532D" w:rsidRDefault="00257CE9">
            <w:pPr>
              <w:spacing w:line="480" w:lineRule="auto"/>
              <w:jc w:val="both"/>
            </w:pPr>
            <w:r w:rsidRPr="0097532D">
              <w:t>0</w:t>
            </w:r>
          </w:p>
        </w:tc>
      </w:tr>
      <w:tr w:rsidR="0097532D" w:rsidRPr="0097532D" w14:paraId="592BBA51" w14:textId="77777777">
        <w:tc>
          <w:tcPr>
            <w:tcW w:w="4508" w:type="dxa"/>
            <w:tcBorders>
              <w:top w:val="single" w:sz="4" w:space="0" w:color="auto"/>
              <w:left w:val="single" w:sz="4" w:space="0" w:color="auto"/>
              <w:bottom w:val="single" w:sz="4" w:space="0" w:color="auto"/>
              <w:right w:val="single" w:sz="4" w:space="0" w:color="auto"/>
            </w:tcBorders>
          </w:tcPr>
          <w:p w14:paraId="37A0312D" w14:textId="77777777" w:rsidR="00B954AC" w:rsidRPr="0097532D" w:rsidRDefault="00257CE9">
            <w:pPr>
              <w:spacing w:line="480" w:lineRule="auto"/>
              <w:jc w:val="both"/>
            </w:pPr>
            <w:r w:rsidRPr="0097532D">
              <w:t>Ghose rule</w:t>
            </w:r>
          </w:p>
        </w:tc>
        <w:tc>
          <w:tcPr>
            <w:tcW w:w="2008" w:type="dxa"/>
            <w:tcBorders>
              <w:top w:val="single" w:sz="4" w:space="0" w:color="auto"/>
              <w:left w:val="single" w:sz="4" w:space="0" w:color="auto"/>
              <w:bottom w:val="single" w:sz="4" w:space="0" w:color="auto"/>
              <w:right w:val="single" w:sz="4" w:space="0" w:color="auto"/>
            </w:tcBorders>
          </w:tcPr>
          <w:p w14:paraId="178B6198" w14:textId="77777777" w:rsidR="00B954AC" w:rsidRPr="0097532D" w:rsidRDefault="00257CE9">
            <w:pPr>
              <w:spacing w:line="480" w:lineRule="auto"/>
              <w:jc w:val="both"/>
            </w:pPr>
            <w:r w:rsidRPr="0097532D">
              <w:t>Passed</w:t>
            </w:r>
          </w:p>
        </w:tc>
      </w:tr>
      <w:tr w:rsidR="0097532D" w:rsidRPr="0097532D" w14:paraId="6EAFD92C" w14:textId="77777777">
        <w:tc>
          <w:tcPr>
            <w:tcW w:w="4508" w:type="dxa"/>
            <w:tcBorders>
              <w:top w:val="single" w:sz="4" w:space="0" w:color="auto"/>
              <w:left w:val="single" w:sz="4" w:space="0" w:color="auto"/>
              <w:bottom w:val="single" w:sz="4" w:space="0" w:color="auto"/>
              <w:right w:val="single" w:sz="4" w:space="0" w:color="auto"/>
            </w:tcBorders>
          </w:tcPr>
          <w:p w14:paraId="7D9794CE" w14:textId="77777777" w:rsidR="00B954AC" w:rsidRPr="0097532D" w:rsidRDefault="00257CE9">
            <w:pPr>
              <w:spacing w:line="480" w:lineRule="auto"/>
              <w:jc w:val="both"/>
            </w:pPr>
            <w:r w:rsidRPr="0097532D">
              <w:t>Veber rule</w:t>
            </w:r>
          </w:p>
        </w:tc>
        <w:tc>
          <w:tcPr>
            <w:tcW w:w="2008" w:type="dxa"/>
            <w:tcBorders>
              <w:top w:val="single" w:sz="4" w:space="0" w:color="auto"/>
              <w:left w:val="single" w:sz="4" w:space="0" w:color="auto"/>
              <w:bottom w:val="single" w:sz="4" w:space="0" w:color="auto"/>
              <w:right w:val="single" w:sz="4" w:space="0" w:color="auto"/>
            </w:tcBorders>
          </w:tcPr>
          <w:p w14:paraId="3B34ABCE" w14:textId="77777777" w:rsidR="00B954AC" w:rsidRPr="0097532D" w:rsidRDefault="00257CE9">
            <w:pPr>
              <w:spacing w:line="480" w:lineRule="auto"/>
              <w:jc w:val="both"/>
            </w:pPr>
            <w:r w:rsidRPr="0097532D">
              <w:t>Good</w:t>
            </w:r>
          </w:p>
        </w:tc>
      </w:tr>
      <w:tr w:rsidR="0097532D" w:rsidRPr="0097532D" w14:paraId="01AE9DDB" w14:textId="77777777">
        <w:tc>
          <w:tcPr>
            <w:tcW w:w="4508" w:type="dxa"/>
            <w:tcBorders>
              <w:top w:val="single" w:sz="4" w:space="0" w:color="auto"/>
              <w:left w:val="single" w:sz="4" w:space="0" w:color="auto"/>
              <w:bottom w:val="single" w:sz="4" w:space="0" w:color="auto"/>
              <w:right w:val="single" w:sz="4" w:space="0" w:color="auto"/>
            </w:tcBorders>
          </w:tcPr>
          <w:p w14:paraId="6B2B56EE" w14:textId="77777777" w:rsidR="00B954AC" w:rsidRPr="0097532D" w:rsidRDefault="00257CE9">
            <w:pPr>
              <w:spacing w:line="480" w:lineRule="auto"/>
              <w:jc w:val="both"/>
            </w:pPr>
            <w:r w:rsidRPr="0097532D">
              <w:t>Egan rule</w:t>
            </w:r>
          </w:p>
        </w:tc>
        <w:tc>
          <w:tcPr>
            <w:tcW w:w="2008" w:type="dxa"/>
            <w:tcBorders>
              <w:top w:val="single" w:sz="4" w:space="0" w:color="auto"/>
              <w:left w:val="single" w:sz="4" w:space="0" w:color="auto"/>
              <w:bottom w:val="single" w:sz="4" w:space="0" w:color="auto"/>
              <w:right w:val="single" w:sz="4" w:space="0" w:color="auto"/>
            </w:tcBorders>
          </w:tcPr>
          <w:p w14:paraId="78B2E2AA" w14:textId="77777777" w:rsidR="00B954AC" w:rsidRPr="0097532D" w:rsidRDefault="00257CE9">
            <w:pPr>
              <w:spacing w:line="480" w:lineRule="auto"/>
              <w:jc w:val="both"/>
            </w:pPr>
            <w:r w:rsidRPr="0097532D">
              <w:t>Good</w:t>
            </w:r>
          </w:p>
        </w:tc>
      </w:tr>
      <w:tr w:rsidR="0097532D" w:rsidRPr="0097532D" w14:paraId="5F902B10" w14:textId="77777777">
        <w:tc>
          <w:tcPr>
            <w:tcW w:w="4508" w:type="dxa"/>
            <w:tcBorders>
              <w:top w:val="single" w:sz="4" w:space="0" w:color="auto"/>
              <w:left w:val="single" w:sz="4" w:space="0" w:color="auto"/>
              <w:bottom w:val="single" w:sz="4" w:space="0" w:color="auto"/>
              <w:right w:val="single" w:sz="4" w:space="0" w:color="auto"/>
            </w:tcBorders>
          </w:tcPr>
          <w:p w14:paraId="22EA850C" w14:textId="77777777" w:rsidR="00B954AC" w:rsidRPr="0097532D" w:rsidRDefault="00257CE9">
            <w:pPr>
              <w:spacing w:line="480" w:lineRule="auto"/>
              <w:jc w:val="both"/>
            </w:pPr>
            <w:r w:rsidRPr="0097532D">
              <w:t>GSK 4/400 rule</w:t>
            </w:r>
          </w:p>
        </w:tc>
        <w:tc>
          <w:tcPr>
            <w:tcW w:w="2008" w:type="dxa"/>
            <w:tcBorders>
              <w:top w:val="single" w:sz="4" w:space="0" w:color="auto"/>
              <w:left w:val="single" w:sz="4" w:space="0" w:color="auto"/>
              <w:bottom w:val="single" w:sz="4" w:space="0" w:color="auto"/>
              <w:right w:val="single" w:sz="4" w:space="0" w:color="auto"/>
            </w:tcBorders>
          </w:tcPr>
          <w:p w14:paraId="19FED077" w14:textId="77777777" w:rsidR="00B954AC" w:rsidRPr="0097532D" w:rsidRDefault="00257CE9">
            <w:pPr>
              <w:spacing w:line="480" w:lineRule="auto"/>
              <w:jc w:val="both"/>
            </w:pPr>
            <w:r w:rsidRPr="0097532D">
              <w:t>Good</w:t>
            </w:r>
          </w:p>
        </w:tc>
      </w:tr>
      <w:tr w:rsidR="0097532D" w:rsidRPr="0097532D" w14:paraId="4882E0D0" w14:textId="77777777">
        <w:tc>
          <w:tcPr>
            <w:tcW w:w="4508" w:type="dxa"/>
            <w:tcBorders>
              <w:top w:val="single" w:sz="4" w:space="0" w:color="auto"/>
              <w:left w:val="single" w:sz="4" w:space="0" w:color="auto"/>
              <w:bottom w:val="single" w:sz="4" w:space="0" w:color="auto"/>
              <w:right w:val="single" w:sz="4" w:space="0" w:color="auto"/>
            </w:tcBorders>
          </w:tcPr>
          <w:p w14:paraId="38D0E9BE" w14:textId="77777777" w:rsidR="00B954AC" w:rsidRPr="0097532D" w:rsidRDefault="00257CE9">
            <w:pPr>
              <w:spacing w:line="480" w:lineRule="auto"/>
              <w:jc w:val="both"/>
            </w:pPr>
            <w:r w:rsidRPr="0097532D">
              <w:t>Pfizer 3/75 rule</w:t>
            </w:r>
          </w:p>
        </w:tc>
        <w:tc>
          <w:tcPr>
            <w:tcW w:w="2008" w:type="dxa"/>
            <w:tcBorders>
              <w:top w:val="single" w:sz="4" w:space="0" w:color="auto"/>
              <w:left w:val="single" w:sz="4" w:space="0" w:color="auto"/>
              <w:bottom w:val="single" w:sz="4" w:space="0" w:color="auto"/>
              <w:right w:val="single" w:sz="4" w:space="0" w:color="auto"/>
            </w:tcBorders>
          </w:tcPr>
          <w:p w14:paraId="41A3EB33" w14:textId="77777777" w:rsidR="00B954AC" w:rsidRPr="0097532D" w:rsidRDefault="00257CE9">
            <w:pPr>
              <w:spacing w:line="480" w:lineRule="auto"/>
              <w:jc w:val="both"/>
            </w:pPr>
            <w:r w:rsidRPr="0097532D">
              <w:t>Bad</w:t>
            </w:r>
          </w:p>
        </w:tc>
      </w:tr>
      <w:tr w:rsidR="0097532D" w:rsidRPr="0097532D" w14:paraId="71DD67C3" w14:textId="77777777">
        <w:tc>
          <w:tcPr>
            <w:tcW w:w="4508" w:type="dxa"/>
            <w:tcBorders>
              <w:top w:val="single" w:sz="4" w:space="0" w:color="auto"/>
              <w:left w:val="single" w:sz="4" w:space="0" w:color="auto"/>
              <w:bottom w:val="single" w:sz="4" w:space="0" w:color="auto"/>
              <w:right w:val="single" w:sz="4" w:space="0" w:color="auto"/>
            </w:tcBorders>
          </w:tcPr>
          <w:p w14:paraId="5FF76ADF" w14:textId="77777777" w:rsidR="00B954AC" w:rsidRPr="0097532D" w:rsidRDefault="00257CE9">
            <w:pPr>
              <w:spacing w:line="480" w:lineRule="auto"/>
              <w:jc w:val="both"/>
            </w:pPr>
            <w:r w:rsidRPr="0097532D">
              <w:t>Weighted quantitative estimate of drug-likeness (QEDw) score</w:t>
            </w:r>
          </w:p>
        </w:tc>
        <w:tc>
          <w:tcPr>
            <w:tcW w:w="2008" w:type="dxa"/>
            <w:tcBorders>
              <w:top w:val="single" w:sz="4" w:space="0" w:color="auto"/>
              <w:left w:val="single" w:sz="4" w:space="0" w:color="auto"/>
              <w:bottom w:val="single" w:sz="4" w:space="0" w:color="auto"/>
              <w:right w:val="single" w:sz="4" w:space="0" w:color="auto"/>
            </w:tcBorders>
          </w:tcPr>
          <w:p w14:paraId="31CBC8A6" w14:textId="77777777" w:rsidR="00B954AC" w:rsidRPr="0097532D" w:rsidRDefault="00257CE9">
            <w:pPr>
              <w:spacing w:line="480" w:lineRule="auto"/>
              <w:jc w:val="both"/>
            </w:pPr>
            <w:r w:rsidRPr="0097532D">
              <w:t>0.72</w:t>
            </w:r>
          </w:p>
        </w:tc>
      </w:tr>
      <w:tr w:rsidR="00B954AC" w:rsidRPr="0097532D" w14:paraId="1C0A6D67" w14:textId="77777777">
        <w:tc>
          <w:tcPr>
            <w:tcW w:w="4508" w:type="dxa"/>
            <w:tcBorders>
              <w:top w:val="single" w:sz="4" w:space="0" w:color="auto"/>
              <w:left w:val="single" w:sz="4" w:space="0" w:color="auto"/>
              <w:bottom w:val="single" w:sz="4" w:space="0" w:color="auto"/>
              <w:right w:val="single" w:sz="4" w:space="0" w:color="auto"/>
            </w:tcBorders>
          </w:tcPr>
          <w:p w14:paraId="55E28D6A" w14:textId="77777777" w:rsidR="00B954AC" w:rsidRPr="0097532D" w:rsidRDefault="00257CE9">
            <w:pPr>
              <w:spacing w:line="480" w:lineRule="auto"/>
              <w:jc w:val="both"/>
            </w:pPr>
            <w:r w:rsidRPr="0097532D">
              <w:t>Molecular weight (g/mol)</w:t>
            </w:r>
          </w:p>
        </w:tc>
        <w:tc>
          <w:tcPr>
            <w:tcW w:w="2008" w:type="dxa"/>
            <w:tcBorders>
              <w:top w:val="single" w:sz="4" w:space="0" w:color="auto"/>
              <w:left w:val="single" w:sz="4" w:space="0" w:color="auto"/>
              <w:bottom w:val="single" w:sz="4" w:space="0" w:color="auto"/>
              <w:right w:val="single" w:sz="4" w:space="0" w:color="auto"/>
            </w:tcBorders>
          </w:tcPr>
          <w:p w14:paraId="6F57F2CC" w14:textId="77777777" w:rsidR="00B954AC" w:rsidRPr="0097532D" w:rsidRDefault="00257CE9">
            <w:pPr>
              <w:spacing w:line="480" w:lineRule="auto"/>
              <w:jc w:val="both"/>
            </w:pPr>
            <w:r w:rsidRPr="0097532D">
              <w:t>194.19</w:t>
            </w:r>
          </w:p>
        </w:tc>
      </w:tr>
    </w:tbl>
    <w:p w14:paraId="5713D478" w14:textId="77777777" w:rsidR="00B954AC" w:rsidRPr="0097532D" w:rsidRDefault="00B954AC">
      <w:pPr>
        <w:spacing w:line="480" w:lineRule="auto"/>
        <w:jc w:val="both"/>
        <w:rPr>
          <w:lang w:val="en-IN"/>
        </w:rPr>
      </w:pPr>
    </w:p>
    <w:p w14:paraId="2ECAE772" w14:textId="77777777" w:rsidR="00B954AC" w:rsidRPr="0097532D" w:rsidRDefault="00257CE9">
      <w:pPr>
        <w:spacing w:line="480" w:lineRule="auto"/>
        <w:jc w:val="both"/>
        <w:rPr>
          <w:rFonts w:eastAsia="DengXian"/>
          <w:lang w:val="en-IN"/>
        </w:rPr>
      </w:pPr>
      <w:r w:rsidRPr="0097532D">
        <w:rPr>
          <w:b/>
          <w:bCs/>
        </w:rPr>
        <w:t xml:space="preserve">Table 3: </w:t>
      </w:r>
      <w:r w:rsidRPr="0097532D">
        <w:t>Bioavailability radar showing lipophilicity (XLOGP3), size (MW: molecular weight), polarity (TPSA), insolubility (LogS [ESOL]), insaturation (Fraction Csp3) and flexibility (Number of rotatable bonds) the respective value range and values occurring in Ferulic acid.</w:t>
      </w:r>
    </w:p>
    <w:tbl>
      <w:tblPr>
        <w:tblStyle w:val="TableGrid"/>
        <w:tblW w:w="7919" w:type="dxa"/>
        <w:jc w:val="center"/>
        <w:tblLook w:val="04A0" w:firstRow="1" w:lastRow="0" w:firstColumn="1" w:lastColumn="0" w:noHBand="0" w:noVBand="1"/>
      </w:tblPr>
      <w:tblGrid>
        <w:gridCol w:w="2029"/>
        <w:gridCol w:w="3712"/>
        <w:gridCol w:w="2178"/>
      </w:tblGrid>
      <w:tr w:rsidR="0097532D" w:rsidRPr="0097532D" w14:paraId="1648CD53"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391DD0D0" w14:textId="77777777" w:rsidR="00B954AC" w:rsidRPr="0097532D" w:rsidRDefault="00257CE9">
            <w:pPr>
              <w:spacing w:line="480" w:lineRule="auto"/>
              <w:jc w:val="center"/>
              <w:rPr>
                <w:rFonts w:eastAsia="SimSun"/>
              </w:rPr>
            </w:pPr>
            <w:r w:rsidRPr="0097532D">
              <w:rPr>
                <w:rFonts w:eastAsia="SimSun"/>
              </w:rPr>
              <w:t>Parameter</w:t>
            </w:r>
          </w:p>
        </w:tc>
        <w:tc>
          <w:tcPr>
            <w:tcW w:w="3712" w:type="dxa"/>
            <w:tcBorders>
              <w:top w:val="single" w:sz="4" w:space="0" w:color="auto"/>
              <w:left w:val="single" w:sz="4" w:space="0" w:color="auto"/>
              <w:bottom w:val="single" w:sz="4" w:space="0" w:color="auto"/>
              <w:right w:val="single" w:sz="4" w:space="0" w:color="auto"/>
            </w:tcBorders>
          </w:tcPr>
          <w:p w14:paraId="47E09194" w14:textId="77777777" w:rsidR="00B954AC" w:rsidRPr="0097532D" w:rsidRDefault="00257CE9">
            <w:pPr>
              <w:spacing w:line="480" w:lineRule="auto"/>
              <w:jc w:val="center"/>
              <w:rPr>
                <w:rFonts w:eastAsia="SimSun"/>
              </w:rPr>
            </w:pPr>
            <w:r w:rsidRPr="0097532D">
              <w:rPr>
                <w:rFonts w:eastAsia="SimSun"/>
              </w:rPr>
              <w:t>Value range</w:t>
            </w:r>
          </w:p>
        </w:tc>
        <w:tc>
          <w:tcPr>
            <w:tcW w:w="2178" w:type="dxa"/>
            <w:tcBorders>
              <w:top w:val="single" w:sz="4" w:space="0" w:color="auto"/>
              <w:left w:val="single" w:sz="4" w:space="0" w:color="auto"/>
              <w:bottom w:val="single" w:sz="4" w:space="0" w:color="auto"/>
              <w:right w:val="single" w:sz="4" w:space="0" w:color="auto"/>
            </w:tcBorders>
          </w:tcPr>
          <w:p w14:paraId="0D3DC8B0" w14:textId="77777777" w:rsidR="00B954AC" w:rsidRPr="0097532D" w:rsidRDefault="00257CE9">
            <w:pPr>
              <w:spacing w:line="480" w:lineRule="auto"/>
              <w:jc w:val="center"/>
              <w:rPr>
                <w:rFonts w:eastAsia="SimSun"/>
              </w:rPr>
            </w:pPr>
            <w:r w:rsidRPr="0097532D">
              <w:rPr>
                <w:rFonts w:eastAsia="SimSun"/>
              </w:rPr>
              <w:t>Score</w:t>
            </w:r>
          </w:p>
        </w:tc>
      </w:tr>
      <w:tr w:rsidR="0097532D" w:rsidRPr="0097532D" w14:paraId="57861E6E"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01F9A446" w14:textId="77777777" w:rsidR="00B954AC" w:rsidRPr="0097532D" w:rsidRDefault="00257CE9">
            <w:pPr>
              <w:spacing w:line="480" w:lineRule="auto"/>
              <w:jc w:val="center"/>
              <w:rPr>
                <w:rFonts w:eastAsia="SimSun"/>
              </w:rPr>
            </w:pPr>
            <w:r w:rsidRPr="0097532D">
              <w:rPr>
                <w:rFonts w:eastAsia="SimSun"/>
              </w:rPr>
              <w:t>Lipophilicity</w:t>
            </w:r>
          </w:p>
        </w:tc>
        <w:tc>
          <w:tcPr>
            <w:tcW w:w="3712" w:type="dxa"/>
            <w:tcBorders>
              <w:top w:val="single" w:sz="4" w:space="0" w:color="auto"/>
              <w:left w:val="single" w:sz="4" w:space="0" w:color="auto"/>
              <w:bottom w:val="single" w:sz="4" w:space="0" w:color="auto"/>
              <w:right w:val="single" w:sz="4" w:space="0" w:color="auto"/>
            </w:tcBorders>
          </w:tcPr>
          <w:p w14:paraId="611FD0F8" w14:textId="77777777" w:rsidR="00B954AC" w:rsidRPr="0097532D" w:rsidRDefault="00257CE9">
            <w:pPr>
              <w:spacing w:line="480" w:lineRule="auto"/>
              <w:jc w:val="center"/>
              <w:rPr>
                <w:rFonts w:eastAsia="SimSun"/>
              </w:rPr>
            </w:pPr>
            <w:r w:rsidRPr="0097532D">
              <w:rPr>
                <w:rFonts w:eastAsia="SimSun"/>
              </w:rPr>
              <w:t>-0.7&lt; XLOGP3&lt; +5.0</w:t>
            </w:r>
          </w:p>
        </w:tc>
        <w:tc>
          <w:tcPr>
            <w:tcW w:w="2178" w:type="dxa"/>
            <w:tcBorders>
              <w:top w:val="single" w:sz="4" w:space="0" w:color="auto"/>
              <w:left w:val="single" w:sz="4" w:space="0" w:color="auto"/>
              <w:bottom w:val="single" w:sz="4" w:space="0" w:color="auto"/>
              <w:right w:val="single" w:sz="4" w:space="0" w:color="auto"/>
            </w:tcBorders>
          </w:tcPr>
          <w:p w14:paraId="1CA09523" w14:textId="77777777" w:rsidR="00B954AC" w:rsidRPr="0097532D" w:rsidRDefault="00257CE9">
            <w:pPr>
              <w:spacing w:line="480" w:lineRule="auto"/>
              <w:jc w:val="center"/>
              <w:rPr>
                <w:rFonts w:eastAsia="SimSun"/>
              </w:rPr>
            </w:pPr>
            <w:r w:rsidRPr="0097532D">
              <w:rPr>
                <w:rFonts w:eastAsia="SimSun"/>
              </w:rPr>
              <w:t>1.51</w:t>
            </w:r>
          </w:p>
        </w:tc>
      </w:tr>
      <w:tr w:rsidR="0097532D" w:rsidRPr="0097532D" w14:paraId="7F60E233" w14:textId="77777777">
        <w:trPr>
          <w:trHeight w:val="421"/>
          <w:jc w:val="center"/>
        </w:trPr>
        <w:tc>
          <w:tcPr>
            <w:tcW w:w="2029" w:type="dxa"/>
            <w:tcBorders>
              <w:top w:val="single" w:sz="4" w:space="0" w:color="auto"/>
              <w:left w:val="single" w:sz="4" w:space="0" w:color="auto"/>
              <w:bottom w:val="single" w:sz="4" w:space="0" w:color="auto"/>
              <w:right w:val="single" w:sz="4" w:space="0" w:color="auto"/>
            </w:tcBorders>
          </w:tcPr>
          <w:p w14:paraId="4F4A3D13" w14:textId="77777777" w:rsidR="00B954AC" w:rsidRPr="0097532D" w:rsidRDefault="00257CE9">
            <w:pPr>
              <w:spacing w:line="480" w:lineRule="auto"/>
              <w:jc w:val="center"/>
              <w:rPr>
                <w:rFonts w:eastAsia="SimSun"/>
              </w:rPr>
            </w:pPr>
            <w:r w:rsidRPr="0097532D">
              <w:rPr>
                <w:rFonts w:eastAsia="SimSun"/>
              </w:rPr>
              <w:t>Size</w:t>
            </w:r>
          </w:p>
        </w:tc>
        <w:tc>
          <w:tcPr>
            <w:tcW w:w="3712" w:type="dxa"/>
            <w:tcBorders>
              <w:top w:val="single" w:sz="4" w:space="0" w:color="auto"/>
              <w:left w:val="single" w:sz="4" w:space="0" w:color="auto"/>
              <w:bottom w:val="single" w:sz="4" w:space="0" w:color="auto"/>
              <w:right w:val="single" w:sz="4" w:space="0" w:color="auto"/>
            </w:tcBorders>
          </w:tcPr>
          <w:p w14:paraId="6E15D6F2" w14:textId="77777777" w:rsidR="00B954AC" w:rsidRPr="0097532D" w:rsidRDefault="00257CE9">
            <w:pPr>
              <w:spacing w:line="480" w:lineRule="auto"/>
              <w:jc w:val="center"/>
              <w:rPr>
                <w:rFonts w:eastAsia="SimSun"/>
              </w:rPr>
            </w:pPr>
            <w:r w:rsidRPr="0097532D">
              <w:rPr>
                <w:rFonts w:eastAsia="SimSun"/>
              </w:rPr>
              <w:t>150g/mol&lt; MW&lt; 500 g/mol</w:t>
            </w:r>
          </w:p>
        </w:tc>
        <w:tc>
          <w:tcPr>
            <w:tcW w:w="2178" w:type="dxa"/>
            <w:tcBorders>
              <w:top w:val="single" w:sz="4" w:space="0" w:color="auto"/>
              <w:left w:val="single" w:sz="4" w:space="0" w:color="auto"/>
              <w:bottom w:val="single" w:sz="4" w:space="0" w:color="auto"/>
              <w:right w:val="single" w:sz="4" w:space="0" w:color="auto"/>
            </w:tcBorders>
          </w:tcPr>
          <w:p w14:paraId="56E3E1F9" w14:textId="77777777" w:rsidR="00B954AC" w:rsidRPr="0097532D" w:rsidRDefault="00257CE9">
            <w:pPr>
              <w:spacing w:line="480" w:lineRule="auto"/>
              <w:jc w:val="center"/>
              <w:rPr>
                <w:rFonts w:eastAsia="SimSun"/>
              </w:rPr>
            </w:pPr>
            <w:r w:rsidRPr="0097532D">
              <w:rPr>
                <w:rFonts w:eastAsia="SimSun"/>
              </w:rPr>
              <w:t>194.18 g/mol</w:t>
            </w:r>
          </w:p>
        </w:tc>
      </w:tr>
      <w:tr w:rsidR="0097532D" w:rsidRPr="0097532D" w14:paraId="64D4566F" w14:textId="77777777">
        <w:trPr>
          <w:trHeight w:val="257"/>
          <w:jc w:val="center"/>
        </w:trPr>
        <w:tc>
          <w:tcPr>
            <w:tcW w:w="2029" w:type="dxa"/>
            <w:tcBorders>
              <w:top w:val="single" w:sz="4" w:space="0" w:color="auto"/>
              <w:left w:val="single" w:sz="4" w:space="0" w:color="auto"/>
              <w:bottom w:val="single" w:sz="4" w:space="0" w:color="auto"/>
              <w:right w:val="single" w:sz="4" w:space="0" w:color="auto"/>
            </w:tcBorders>
          </w:tcPr>
          <w:p w14:paraId="42D2A913" w14:textId="77777777" w:rsidR="00B954AC" w:rsidRPr="0097532D" w:rsidRDefault="00257CE9">
            <w:pPr>
              <w:spacing w:line="480" w:lineRule="auto"/>
              <w:jc w:val="center"/>
              <w:rPr>
                <w:rFonts w:eastAsia="SimSun"/>
              </w:rPr>
            </w:pPr>
            <w:r w:rsidRPr="0097532D">
              <w:rPr>
                <w:rFonts w:eastAsia="SimSun"/>
              </w:rPr>
              <w:t>Polar</w:t>
            </w:r>
          </w:p>
        </w:tc>
        <w:tc>
          <w:tcPr>
            <w:tcW w:w="3712" w:type="dxa"/>
            <w:tcBorders>
              <w:top w:val="single" w:sz="4" w:space="0" w:color="auto"/>
              <w:left w:val="single" w:sz="4" w:space="0" w:color="auto"/>
              <w:bottom w:val="single" w:sz="4" w:space="0" w:color="auto"/>
              <w:right w:val="single" w:sz="4" w:space="0" w:color="auto"/>
            </w:tcBorders>
          </w:tcPr>
          <w:p w14:paraId="26AD2322" w14:textId="77777777" w:rsidR="00B954AC" w:rsidRPr="0097532D" w:rsidRDefault="00257CE9">
            <w:pPr>
              <w:spacing w:line="480" w:lineRule="auto"/>
              <w:jc w:val="center"/>
              <w:rPr>
                <w:rFonts w:eastAsia="SimSun"/>
              </w:rPr>
            </w:pPr>
            <w:r w:rsidRPr="0097532D">
              <w:rPr>
                <w:rFonts w:eastAsia="SimSun"/>
              </w:rPr>
              <w:t>20Å2&lt; TPSA&lt; 130Å2</w:t>
            </w:r>
          </w:p>
        </w:tc>
        <w:tc>
          <w:tcPr>
            <w:tcW w:w="2178" w:type="dxa"/>
            <w:tcBorders>
              <w:top w:val="single" w:sz="4" w:space="0" w:color="auto"/>
              <w:left w:val="single" w:sz="4" w:space="0" w:color="auto"/>
              <w:bottom w:val="single" w:sz="4" w:space="0" w:color="auto"/>
              <w:right w:val="single" w:sz="4" w:space="0" w:color="auto"/>
            </w:tcBorders>
          </w:tcPr>
          <w:p w14:paraId="5B299209" w14:textId="77777777" w:rsidR="00B954AC" w:rsidRPr="0097532D" w:rsidRDefault="00257CE9">
            <w:pPr>
              <w:spacing w:line="480" w:lineRule="auto"/>
              <w:jc w:val="center"/>
              <w:rPr>
                <w:rFonts w:eastAsia="SimSun"/>
              </w:rPr>
            </w:pPr>
            <w:r w:rsidRPr="0097532D">
              <w:rPr>
                <w:rFonts w:eastAsia="SimSun"/>
              </w:rPr>
              <w:t>66.76 Å²</w:t>
            </w:r>
          </w:p>
        </w:tc>
      </w:tr>
      <w:tr w:rsidR="0097532D" w:rsidRPr="0097532D" w14:paraId="680CD16D" w14:textId="77777777">
        <w:trPr>
          <w:trHeight w:val="262"/>
          <w:jc w:val="center"/>
        </w:trPr>
        <w:tc>
          <w:tcPr>
            <w:tcW w:w="2029" w:type="dxa"/>
            <w:tcBorders>
              <w:top w:val="single" w:sz="4" w:space="0" w:color="auto"/>
              <w:left w:val="single" w:sz="4" w:space="0" w:color="auto"/>
              <w:bottom w:val="single" w:sz="4" w:space="0" w:color="auto"/>
              <w:right w:val="single" w:sz="4" w:space="0" w:color="auto"/>
            </w:tcBorders>
          </w:tcPr>
          <w:p w14:paraId="4104C122" w14:textId="77777777" w:rsidR="00B954AC" w:rsidRPr="0097532D" w:rsidRDefault="00257CE9">
            <w:pPr>
              <w:spacing w:line="480" w:lineRule="auto"/>
              <w:jc w:val="center"/>
              <w:rPr>
                <w:rFonts w:eastAsia="SimSun"/>
              </w:rPr>
            </w:pPr>
            <w:r w:rsidRPr="0097532D">
              <w:rPr>
                <w:rFonts w:eastAsia="SimSun"/>
              </w:rPr>
              <w:t>Insolubility</w:t>
            </w:r>
          </w:p>
        </w:tc>
        <w:tc>
          <w:tcPr>
            <w:tcW w:w="3712" w:type="dxa"/>
            <w:tcBorders>
              <w:top w:val="single" w:sz="4" w:space="0" w:color="auto"/>
              <w:left w:val="single" w:sz="4" w:space="0" w:color="auto"/>
              <w:bottom w:val="single" w:sz="4" w:space="0" w:color="auto"/>
              <w:right w:val="single" w:sz="4" w:space="0" w:color="auto"/>
            </w:tcBorders>
          </w:tcPr>
          <w:p w14:paraId="6E7202E6" w14:textId="77777777" w:rsidR="00B954AC" w:rsidRPr="0097532D" w:rsidRDefault="00257CE9">
            <w:pPr>
              <w:spacing w:line="480" w:lineRule="auto"/>
              <w:jc w:val="center"/>
              <w:rPr>
                <w:rFonts w:eastAsia="SimSun"/>
              </w:rPr>
            </w:pPr>
            <w:r w:rsidRPr="0097532D">
              <w:rPr>
                <w:rFonts w:eastAsia="SimSun"/>
              </w:rPr>
              <w:t>-6&lt; Log S[ESOL]&lt; 0</w:t>
            </w:r>
          </w:p>
        </w:tc>
        <w:tc>
          <w:tcPr>
            <w:tcW w:w="2178" w:type="dxa"/>
            <w:tcBorders>
              <w:top w:val="single" w:sz="4" w:space="0" w:color="auto"/>
              <w:left w:val="single" w:sz="4" w:space="0" w:color="auto"/>
              <w:bottom w:val="single" w:sz="4" w:space="0" w:color="auto"/>
              <w:right w:val="single" w:sz="4" w:space="0" w:color="auto"/>
            </w:tcBorders>
          </w:tcPr>
          <w:p w14:paraId="26E631AF" w14:textId="77777777" w:rsidR="00B954AC" w:rsidRPr="0097532D" w:rsidRDefault="00257CE9">
            <w:pPr>
              <w:spacing w:line="480" w:lineRule="auto"/>
              <w:jc w:val="center"/>
              <w:rPr>
                <w:rFonts w:eastAsia="SimSun"/>
              </w:rPr>
            </w:pPr>
            <w:r w:rsidRPr="0097532D">
              <w:rPr>
                <w:rFonts w:eastAsia="SimSun"/>
              </w:rPr>
              <w:t>-2.11</w:t>
            </w:r>
          </w:p>
        </w:tc>
      </w:tr>
      <w:tr w:rsidR="0097532D" w:rsidRPr="0097532D" w14:paraId="45B9E970" w14:textId="77777777">
        <w:trPr>
          <w:trHeight w:val="469"/>
          <w:jc w:val="center"/>
        </w:trPr>
        <w:tc>
          <w:tcPr>
            <w:tcW w:w="2029" w:type="dxa"/>
            <w:tcBorders>
              <w:top w:val="single" w:sz="4" w:space="0" w:color="auto"/>
              <w:left w:val="single" w:sz="4" w:space="0" w:color="auto"/>
              <w:bottom w:val="single" w:sz="4" w:space="0" w:color="auto"/>
              <w:right w:val="single" w:sz="4" w:space="0" w:color="auto"/>
            </w:tcBorders>
          </w:tcPr>
          <w:p w14:paraId="4ECB2E0B" w14:textId="77777777" w:rsidR="00B954AC" w:rsidRPr="0097532D" w:rsidRDefault="00257CE9">
            <w:pPr>
              <w:spacing w:line="480" w:lineRule="auto"/>
              <w:jc w:val="center"/>
              <w:rPr>
                <w:rFonts w:eastAsia="SimSun"/>
              </w:rPr>
            </w:pPr>
            <w:r w:rsidRPr="0097532D">
              <w:rPr>
                <w:rFonts w:eastAsia="SimSun"/>
              </w:rPr>
              <w:t>Insaturation</w:t>
            </w:r>
          </w:p>
        </w:tc>
        <w:tc>
          <w:tcPr>
            <w:tcW w:w="3712" w:type="dxa"/>
            <w:tcBorders>
              <w:top w:val="single" w:sz="4" w:space="0" w:color="auto"/>
              <w:left w:val="single" w:sz="4" w:space="0" w:color="auto"/>
              <w:bottom w:val="single" w:sz="4" w:space="0" w:color="auto"/>
              <w:right w:val="single" w:sz="4" w:space="0" w:color="auto"/>
            </w:tcBorders>
          </w:tcPr>
          <w:p w14:paraId="63B247F7" w14:textId="77777777" w:rsidR="00B954AC" w:rsidRPr="0097532D" w:rsidRDefault="00257CE9">
            <w:pPr>
              <w:spacing w:line="480" w:lineRule="auto"/>
              <w:jc w:val="center"/>
              <w:rPr>
                <w:rFonts w:eastAsia="SimSun"/>
              </w:rPr>
            </w:pPr>
            <w:r w:rsidRPr="0097532D">
              <w:rPr>
                <w:rFonts w:eastAsia="SimSun"/>
              </w:rPr>
              <w:t>0.25&lt; Fraction Csp3&lt; 1</w:t>
            </w:r>
          </w:p>
        </w:tc>
        <w:tc>
          <w:tcPr>
            <w:tcW w:w="2178" w:type="dxa"/>
            <w:tcBorders>
              <w:top w:val="single" w:sz="4" w:space="0" w:color="auto"/>
              <w:left w:val="single" w:sz="4" w:space="0" w:color="auto"/>
              <w:bottom w:val="single" w:sz="4" w:space="0" w:color="auto"/>
              <w:right w:val="single" w:sz="4" w:space="0" w:color="auto"/>
            </w:tcBorders>
          </w:tcPr>
          <w:p w14:paraId="497FC51E" w14:textId="77777777" w:rsidR="00B954AC" w:rsidRPr="0097532D" w:rsidRDefault="00257CE9">
            <w:pPr>
              <w:spacing w:line="480" w:lineRule="auto"/>
              <w:jc w:val="center"/>
              <w:rPr>
                <w:rFonts w:eastAsia="SimSun"/>
              </w:rPr>
            </w:pPr>
            <w:r w:rsidRPr="0097532D">
              <w:rPr>
                <w:rFonts w:eastAsia="SimSun"/>
              </w:rPr>
              <w:t>0.10</w:t>
            </w:r>
          </w:p>
        </w:tc>
      </w:tr>
      <w:tr w:rsidR="00B954AC" w:rsidRPr="0097532D" w14:paraId="0DC3CF87" w14:textId="77777777">
        <w:trPr>
          <w:trHeight w:val="416"/>
          <w:jc w:val="center"/>
        </w:trPr>
        <w:tc>
          <w:tcPr>
            <w:tcW w:w="2029" w:type="dxa"/>
            <w:tcBorders>
              <w:top w:val="single" w:sz="4" w:space="0" w:color="auto"/>
              <w:left w:val="single" w:sz="4" w:space="0" w:color="auto"/>
              <w:bottom w:val="single" w:sz="4" w:space="0" w:color="auto"/>
              <w:right w:val="single" w:sz="4" w:space="0" w:color="auto"/>
            </w:tcBorders>
          </w:tcPr>
          <w:p w14:paraId="083D49DA" w14:textId="77777777" w:rsidR="00B954AC" w:rsidRPr="0097532D" w:rsidRDefault="00257CE9">
            <w:pPr>
              <w:spacing w:line="480" w:lineRule="auto"/>
              <w:jc w:val="center"/>
              <w:rPr>
                <w:rFonts w:eastAsia="SimSun"/>
              </w:rPr>
            </w:pPr>
            <w:r w:rsidRPr="0097532D">
              <w:rPr>
                <w:rFonts w:eastAsia="SimSun"/>
              </w:rPr>
              <w:lastRenderedPageBreak/>
              <w:t>Flexibility</w:t>
            </w:r>
          </w:p>
        </w:tc>
        <w:tc>
          <w:tcPr>
            <w:tcW w:w="3712" w:type="dxa"/>
            <w:tcBorders>
              <w:top w:val="single" w:sz="4" w:space="0" w:color="auto"/>
              <w:left w:val="single" w:sz="4" w:space="0" w:color="auto"/>
              <w:bottom w:val="single" w:sz="4" w:space="0" w:color="auto"/>
              <w:right w:val="single" w:sz="4" w:space="0" w:color="auto"/>
            </w:tcBorders>
          </w:tcPr>
          <w:p w14:paraId="3246F3B5" w14:textId="77777777" w:rsidR="00B954AC" w:rsidRPr="0097532D" w:rsidRDefault="00257CE9">
            <w:pPr>
              <w:spacing w:line="480" w:lineRule="auto"/>
              <w:jc w:val="center"/>
              <w:rPr>
                <w:rFonts w:eastAsia="SimSun"/>
              </w:rPr>
            </w:pPr>
            <w:r w:rsidRPr="0097532D">
              <w:rPr>
                <w:rFonts w:eastAsia="SimSun"/>
              </w:rPr>
              <w:t>0&lt; Number of rotatable bonds&lt; 9</w:t>
            </w:r>
          </w:p>
        </w:tc>
        <w:tc>
          <w:tcPr>
            <w:tcW w:w="2178" w:type="dxa"/>
            <w:tcBorders>
              <w:top w:val="single" w:sz="4" w:space="0" w:color="auto"/>
              <w:left w:val="single" w:sz="4" w:space="0" w:color="auto"/>
              <w:bottom w:val="single" w:sz="4" w:space="0" w:color="auto"/>
              <w:right w:val="single" w:sz="4" w:space="0" w:color="auto"/>
            </w:tcBorders>
          </w:tcPr>
          <w:p w14:paraId="6700337A" w14:textId="77777777" w:rsidR="00B954AC" w:rsidRPr="0097532D" w:rsidRDefault="00257CE9">
            <w:pPr>
              <w:spacing w:line="480" w:lineRule="auto"/>
              <w:jc w:val="center"/>
              <w:rPr>
                <w:rFonts w:eastAsia="SimSun"/>
              </w:rPr>
            </w:pPr>
            <w:r w:rsidRPr="0097532D">
              <w:rPr>
                <w:rFonts w:eastAsia="SimSun"/>
              </w:rPr>
              <w:t>3</w:t>
            </w:r>
          </w:p>
        </w:tc>
      </w:tr>
    </w:tbl>
    <w:p w14:paraId="2BFD195A" w14:textId="77777777" w:rsidR="00B954AC" w:rsidRPr="0097532D" w:rsidRDefault="00B954AC">
      <w:pPr>
        <w:spacing w:line="480" w:lineRule="auto"/>
        <w:jc w:val="both"/>
        <w:rPr>
          <w:lang w:val="en-IN"/>
        </w:rPr>
      </w:pPr>
    </w:p>
    <w:p w14:paraId="27C26B16" w14:textId="77777777" w:rsidR="00B954AC" w:rsidRPr="0097532D" w:rsidRDefault="00257CE9">
      <w:pPr>
        <w:spacing w:line="480" w:lineRule="auto"/>
        <w:jc w:val="both"/>
        <w:rPr>
          <w:rFonts w:eastAsia="DengXian"/>
          <w:lang w:val="en-IN"/>
        </w:rPr>
      </w:pPr>
      <w:r w:rsidRPr="0097532D">
        <w:rPr>
          <w:b/>
          <w:bCs/>
        </w:rPr>
        <w:t xml:space="preserve">Table 4: </w:t>
      </w:r>
      <w:r w:rsidRPr="0097532D">
        <w:t>A Few Toxicity properties such as Ames mutagenesis, acute oral toxicity, biodegradation, carcinogenicity, hepatotoxicity and nephrotoxicity of Ferulic acid.</w:t>
      </w:r>
    </w:p>
    <w:tbl>
      <w:tblPr>
        <w:tblStyle w:val="TableGrid"/>
        <w:tblW w:w="4207" w:type="dxa"/>
        <w:jc w:val="center"/>
        <w:tblLook w:val="04A0" w:firstRow="1" w:lastRow="0" w:firstColumn="1" w:lastColumn="0" w:noHBand="0" w:noVBand="1"/>
      </w:tblPr>
      <w:tblGrid>
        <w:gridCol w:w="2527"/>
        <w:gridCol w:w="1680"/>
      </w:tblGrid>
      <w:tr w:rsidR="0097532D" w:rsidRPr="0097532D" w14:paraId="7B1D7C0E"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vAlign w:val="center"/>
          </w:tcPr>
          <w:p w14:paraId="6892F937" w14:textId="77777777" w:rsidR="00B954AC" w:rsidRPr="0097532D" w:rsidRDefault="00257CE9">
            <w:pPr>
              <w:spacing w:line="480" w:lineRule="auto"/>
              <w:jc w:val="both"/>
            </w:pPr>
            <w:r w:rsidRPr="0097532D">
              <w:t xml:space="preserve"> </w:t>
            </w:r>
            <w:r w:rsidRPr="0097532D">
              <w:rPr>
                <w:b/>
                <w:bCs/>
              </w:rPr>
              <w:t>Property</w:t>
            </w:r>
          </w:p>
        </w:tc>
        <w:tc>
          <w:tcPr>
            <w:tcW w:w="2178" w:type="dxa"/>
            <w:tcBorders>
              <w:top w:val="single" w:sz="4" w:space="0" w:color="auto"/>
              <w:left w:val="single" w:sz="4" w:space="0" w:color="auto"/>
              <w:bottom w:val="single" w:sz="4" w:space="0" w:color="auto"/>
              <w:right w:val="single" w:sz="4" w:space="0" w:color="auto"/>
            </w:tcBorders>
            <w:vAlign w:val="center"/>
          </w:tcPr>
          <w:p w14:paraId="696FA518" w14:textId="77777777" w:rsidR="00B954AC" w:rsidRPr="0097532D" w:rsidRDefault="00257CE9">
            <w:pPr>
              <w:spacing w:line="480" w:lineRule="auto"/>
            </w:pPr>
            <w:r w:rsidRPr="0097532D">
              <w:rPr>
                <w:b/>
                <w:bCs/>
              </w:rPr>
              <w:t>Ferulic acid</w:t>
            </w:r>
          </w:p>
        </w:tc>
      </w:tr>
      <w:tr w:rsidR="0097532D" w:rsidRPr="0097532D" w14:paraId="2CE23792"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vAlign w:val="center"/>
          </w:tcPr>
          <w:p w14:paraId="352D2C55" w14:textId="77777777" w:rsidR="00B954AC" w:rsidRPr="0097532D" w:rsidRDefault="00257CE9">
            <w:pPr>
              <w:spacing w:line="480" w:lineRule="auto"/>
            </w:pPr>
            <w:r w:rsidRPr="0097532D">
              <w:t>Ames mutagenesis</w:t>
            </w:r>
          </w:p>
        </w:tc>
        <w:tc>
          <w:tcPr>
            <w:tcW w:w="2178" w:type="dxa"/>
            <w:tcBorders>
              <w:top w:val="single" w:sz="4" w:space="0" w:color="auto"/>
              <w:left w:val="single" w:sz="4" w:space="0" w:color="auto"/>
              <w:bottom w:val="single" w:sz="4" w:space="0" w:color="auto"/>
              <w:right w:val="single" w:sz="4" w:space="0" w:color="auto"/>
            </w:tcBorders>
            <w:vAlign w:val="center"/>
          </w:tcPr>
          <w:p w14:paraId="210A8D7A" w14:textId="77777777" w:rsidR="00B954AC" w:rsidRPr="0097532D" w:rsidRDefault="00257CE9">
            <w:pPr>
              <w:spacing w:line="480" w:lineRule="auto"/>
              <w:jc w:val="center"/>
            </w:pPr>
            <w:r w:rsidRPr="0097532D">
              <w:t>–</w:t>
            </w:r>
          </w:p>
        </w:tc>
      </w:tr>
      <w:tr w:rsidR="0097532D" w:rsidRPr="0097532D" w14:paraId="7E033B3C" w14:textId="77777777">
        <w:trPr>
          <w:trHeight w:val="421"/>
          <w:jc w:val="center"/>
        </w:trPr>
        <w:tc>
          <w:tcPr>
            <w:tcW w:w="2029" w:type="dxa"/>
            <w:tcBorders>
              <w:top w:val="single" w:sz="4" w:space="0" w:color="auto"/>
              <w:left w:val="single" w:sz="4" w:space="0" w:color="auto"/>
              <w:bottom w:val="single" w:sz="4" w:space="0" w:color="auto"/>
              <w:right w:val="single" w:sz="4" w:space="0" w:color="auto"/>
            </w:tcBorders>
            <w:vAlign w:val="center"/>
          </w:tcPr>
          <w:p w14:paraId="7D7AA2FE" w14:textId="77777777" w:rsidR="00B954AC" w:rsidRPr="0097532D" w:rsidRDefault="00257CE9">
            <w:pPr>
              <w:spacing w:line="480" w:lineRule="auto"/>
            </w:pPr>
            <w:r w:rsidRPr="0097532D">
              <w:t>Acute oral Toxicity (c)</w:t>
            </w:r>
          </w:p>
        </w:tc>
        <w:tc>
          <w:tcPr>
            <w:tcW w:w="2178" w:type="dxa"/>
            <w:tcBorders>
              <w:top w:val="single" w:sz="4" w:space="0" w:color="auto"/>
              <w:left w:val="single" w:sz="4" w:space="0" w:color="auto"/>
              <w:bottom w:val="single" w:sz="4" w:space="0" w:color="auto"/>
              <w:right w:val="single" w:sz="4" w:space="0" w:color="auto"/>
            </w:tcBorders>
            <w:vAlign w:val="center"/>
          </w:tcPr>
          <w:p w14:paraId="64CBEB00" w14:textId="77777777" w:rsidR="00B954AC" w:rsidRPr="0097532D" w:rsidRDefault="00257CE9">
            <w:pPr>
              <w:spacing w:line="480" w:lineRule="auto"/>
              <w:jc w:val="center"/>
            </w:pPr>
            <w:r w:rsidRPr="0097532D">
              <w:t>Class IV</w:t>
            </w:r>
          </w:p>
        </w:tc>
      </w:tr>
      <w:tr w:rsidR="0097532D" w:rsidRPr="0097532D" w14:paraId="276A1608" w14:textId="77777777">
        <w:trPr>
          <w:trHeight w:val="257"/>
          <w:jc w:val="center"/>
        </w:trPr>
        <w:tc>
          <w:tcPr>
            <w:tcW w:w="2029" w:type="dxa"/>
            <w:tcBorders>
              <w:top w:val="single" w:sz="4" w:space="0" w:color="auto"/>
              <w:left w:val="single" w:sz="4" w:space="0" w:color="auto"/>
              <w:bottom w:val="single" w:sz="4" w:space="0" w:color="auto"/>
              <w:right w:val="single" w:sz="4" w:space="0" w:color="auto"/>
            </w:tcBorders>
            <w:vAlign w:val="center"/>
          </w:tcPr>
          <w:p w14:paraId="5D045DA3" w14:textId="77777777" w:rsidR="00B954AC" w:rsidRPr="0097532D" w:rsidRDefault="00257CE9">
            <w:pPr>
              <w:spacing w:line="480" w:lineRule="auto"/>
            </w:pPr>
            <w:r w:rsidRPr="0097532D">
              <w:t>Biodegradation</w:t>
            </w:r>
          </w:p>
        </w:tc>
        <w:tc>
          <w:tcPr>
            <w:tcW w:w="2178" w:type="dxa"/>
            <w:tcBorders>
              <w:top w:val="single" w:sz="4" w:space="0" w:color="auto"/>
              <w:left w:val="single" w:sz="4" w:space="0" w:color="auto"/>
              <w:bottom w:val="single" w:sz="4" w:space="0" w:color="auto"/>
              <w:right w:val="single" w:sz="4" w:space="0" w:color="auto"/>
            </w:tcBorders>
            <w:vAlign w:val="center"/>
          </w:tcPr>
          <w:p w14:paraId="0B892556" w14:textId="77777777" w:rsidR="00B954AC" w:rsidRPr="0097532D" w:rsidRDefault="00257CE9">
            <w:pPr>
              <w:spacing w:line="480" w:lineRule="auto"/>
              <w:jc w:val="center"/>
            </w:pPr>
            <w:r w:rsidRPr="0097532D">
              <w:t>–</w:t>
            </w:r>
          </w:p>
        </w:tc>
      </w:tr>
      <w:tr w:rsidR="0097532D" w:rsidRPr="0097532D" w14:paraId="63DEF8EC" w14:textId="77777777">
        <w:trPr>
          <w:trHeight w:val="262"/>
          <w:jc w:val="center"/>
        </w:trPr>
        <w:tc>
          <w:tcPr>
            <w:tcW w:w="2029" w:type="dxa"/>
            <w:tcBorders>
              <w:top w:val="single" w:sz="4" w:space="0" w:color="auto"/>
              <w:left w:val="single" w:sz="4" w:space="0" w:color="auto"/>
              <w:bottom w:val="single" w:sz="4" w:space="0" w:color="auto"/>
              <w:right w:val="single" w:sz="4" w:space="0" w:color="auto"/>
            </w:tcBorders>
            <w:vAlign w:val="center"/>
          </w:tcPr>
          <w:p w14:paraId="2BDBF6D1" w14:textId="77777777" w:rsidR="00B954AC" w:rsidRPr="0097532D" w:rsidRDefault="00257CE9">
            <w:pPr>
              <w:spacing w:line="480" w:lineRule="auto"/>
            </w:pPr>
            <w:r w:rsidRPr="0097532D">
              <w:t>Carcinogenicity (binary)</w:t>
            </w:r>
          </w:p>
        </w:tc>
        <w:tc>
          <w:tcPr>
            <w:tcW w:w="2178" w:type="dxa"/>
            <w:tcBorders>
              <w:top w:val="single" w:sz="4" w:space="0" w:color="auto"/>
              <w:left w:val="single" w:sz="4" w:space="0" w:color="auto"/>
              <w:bottom w:val="single" w:sz="4" w:space="0" w:color="auto"/>
              <w:right w:val="single" w:sz="4" w:space="0" w:color="auto"/>
            </w:tcBorders>
            <w:vAlign w:val="center"/>
          </w:tcPr>
          <w:p w14:paraId="30987576" w14:textId="77777777" w:rsidR="00B954AC" w:rsidRPr="0097532D" w:rsidRDefault="00257CE9">
            <w:pPr>
              <w:spacing w:line="480" w:lineRule="auto"/>
              <w:jc w:val="center"/>
            </w:pPr>
            <w:r w:rsidRPr="0097532D">
              <w:t>–</w:t>
            </w:r>
          </w:p>
        </w:tc>
      </w:tr>
      <w:tr w:rsidR="0097532D" w:rsidRPr="0097532D" w14:paraId="2286A6CB" w14:textId="77777777">
        <w:trPr>
          <w:trHeight w:val="469"/>
          <w:jc w:val="center"/>
        </w:trPr>
        <w:tc>
          <w:tcPr>
            <w:tcW w:w="2029" w:type="dxa"/>
            <w:tcBorders>
              <w:top w:val="single" w:sz="4" w:space="0" w:color="auto"/>
              <w:left w:val="single" w:sz="4" w:space="0" w:color="auto"/>
              <w:bottom w:val="single" w:sz="4" w:space="0" w:color="auto"/>
              <w:right w:val="single" w:sz="4" w:space="0" w:color="auto"/>
            </w:tcBorders>
          </w:tcPr>
          <w:p w14:paraId="7C005364" w14:textId="77777777" w:rsidR="00B954AC" w:rsidRPr="0097532D" w:rsidRDefault="00257CE9">
            <w:pPr>
              <w:spacing w:line="480" w:lineRule="auto"/>
            </w:pPr>
            <w:r w:rsidRPr="0097532D">
              <w:t>Insaturation</w:t>
            </w:r>
          </w:p>
        </w:tc>
        <w:tc>
          <w:tcPr>
            <w:tcW w:w="2178" w:type="dxa"/>
            <w:tcBorders>
              <w:top w:val="single" w:sz="4" w:space="0" w:color="auto"/>
              <w:left w:val="single" w:sz="4" w:space="0" w:color="auto"/>
              <w:bottom w:val="single" w:sz="4" w:space="0" w:color="auto"/>
              <w:right w:val="single" w:sz="4" w:space="0" w:color="auto"/>
            </w:tcBorders>
            <w:vAlign w:val="center"/>
          </w:tcPr>
          <w:p w14:paraId="338C257B" w14:textId="77777777" w:rsidR="00B954AC" w:rsidRPr="0097532D" w:rsidRDefault="00257CE9">
            <w:pPr>
              <w:spacing w:line="480" w:lineRule="auto"/>
              <w:jc w:val="center"/>
            </w:pPr>
            <w:r w:rsidRPr="0097532D">
              <w:t>–</w:t>
            </w:r>
          </w:p>
        </w:tc>
      </w:tr>
      <w:tr w:rsidR="0097532D" w:rsidRPr="0097532D" w14:paraId="3CAB3887" w14:textId="77777777">
        <w:trPr>
          <w:trHeight w:val="416"/>
          <w:jc w:val="center"/>
        </w:trPr>
        <w:tc>
          <w:tcPr>
            <w:tcW w:w="2029" w:type="dxa"/>
            <w:tcBorders>
              <w:top w:val="single" w:sz="4" w:space="0" w:color="auto"/>
              <w:left w:val="single" w:sz="4" w:space="0" w:color="auto"/>
              <w:bottom w:val="single" w:sz="4" w:space="0" w:color="auto"/>
              <w:right w:val="single" w:sz="4" w:space="0" w:color="auto"/>
            </w:tcBorders>
          </w:tcPr>
          <w:p w14:paraId="22B97BAF" w14:textId="77777777" w:rsidR="00B954AC" w:rsidRPr="0097532D" w:rsidRDefault="00257CE9">
            <w:pPr>
              <w:spacing w:line="480" w:lineRule="auto"/>
            </w:pPr>
            <w:r w:rsidRPr="0097532D">
              <w:t>Flexibility</w:t>
            </w:r>
          </w:p>
        </w:tc>
        <w:tc>
          <w:tcPr>
            <w:tcW w:w="2178" w:type="dxa"/>
            <w:tcBorders>
              <w:top w:val="single" w:sz="4" w:space="0" w:color="auto"/>
              <w:left w:val="single" w:sz="4" w:space="0" w:color="auto"/>
              <w:bottom w:val="single" w:sz="4" w:space="0" w:color="auto"/>
              <w:right w:val="single" w:sz="4" w:space="0" w:color="auto"/>
            </w:tcBorders>
            <w:vAlign w:val="center"/>
          </w:tcPr>
          <w:p w14:paraId="40CABC6B" w14:textId="77777777" w:rsidR="00B954AC" w:rsidRPr="0097532D" w:rsidRDefault="00257CE9">
            <w:pPr>
              <w:spacing w:line="480" w:lineRule="auto"/>
              <w:jc w:val="center"/>
            </w:pPr>
            <w:r w:rsidRPr="0097532D">
              <w:t>–</w:t>
            </w:r>
          </w:p>
        </w:tc>
      </w:tr>
    </w:tbl>
    <w:p w14:paraId="0FA45CDA" w14:textId="77777777" w:rsidR="00B954AC" w:rsidRPr="0097532D" w:rsidRDefault="00257CE9">
      <w:pPr>
        <w:spacing w:before="240" w:after="240" w:line="480" w:lineRule="auto"/>
        <w:jc w:val="both"/>
        <w:rPr>
          <w:rFonts w:eastAsiaTheme="minorEastAsia"/>
          <w:b/>
          <w:lang w:val="en-US" w:eastAsia="zh-CN"/>
        </w:rPr>
      </w:pPr>
      <w:r w:rsidRPr="0097532D">
        <w:rPr>
          <w:rFonts w:eastAsia="Times New Roman"/>
          <w:b/>
          <w:lang w:val="en-US"/>
        </w:rPr>
        <w:t>CONCLUSION</w:t>
      </w:r>
    </w:p>
    <w:p w14:paraId="2F8AC773"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progression of neurological disorders is the most prevalent non-communicable disease, with the highest burden among all diseases. Several studies convincingly proved that GSK-3β has an emerging potential for targeting neurological disorders. Our study revealed that ferulic acid phytochemicals from </w:t>
      </w:r>
      <w:r w:rsidRPr="0097532D">
        <w:rPr>
          <w:rFonts w:eastAsia="Times New Roman"/>
          <w:i/>
          <w:iCs/>
          <w:lang w:val="en-IN"/>
        </w:rPr>
        <w:t xml:space="preserve">Mangifera indica </w:t>
      </w:r>
      <w:r w:rsidRPr="0097532D">
        <w:rPr>
          <w:rFonts w:eastAsia="Times New Roman"/>
          <w:lang w:val="en-IN"/>
        </w:rPr>
        <w:t>have numerous potentials for inhibiting GSK-3β as a potential inhibitor, which highlighted their therapeutic efficacy. The virtual screening and molecular docking revealed that ferulic acid has strong binding interactions and inhibitory potential for GSK-3β, forming strong hydrogen bond interactions with GSK-3β residues Lys85 and Val135. Further, the MD simulation displayed a strong association of ferulic acid with GSK-3β residues Val135 and Asp200 for more than 90 and 70 ns simulation time, respectively. The MD simulation, ADME/Tox profile, and binding affinity predict that ferulic acid has better efficacy than the other compounds. These findings provide compelling evidence that the interaction between the phytocompound Ferulic acid and GSK-3β can be inhibitory to the enzymatic activity of GSK-3β. This study paved the way for harnessing the potential of the natural derivative ferulic acid for further experimental validation and exploration as a drug candidate for therapeutic intervention in neurological disorders. </w:t>
      </w:r>
    </w:p>
    <w:p w14:paraId="7A125FB7" w14:textId="77777777" w:rsidR="00B954AC" w:rsidRPr="0097532D" w:rsidRDefault="00257CE9">
      <w:pPr>
        <w:spacing w:before="240" w:after="240" w:line="360" w:lineRule="auto"/>
        <w:jc w:val="both"/>
        <w:rPr>
          <w:rFonts w:eastAsia="Times New Roman"/>
          <w:b/>
          <w:lang w:val="en-IN"/>
        </w:rPr>
      </w:pPr>
      <w:r w:rsidRPr="0097532D">
        <w:rPr>
          <w:rFonts w:eastAsia="Times New Roman"/>
          <w:b/>
          <w:lang w:val="en-IN"/>
        </w:rPr>
        <w:lastRenderedPageBreak/>
        <w:t>DISCLAIMER (ARTIFICIAL INTELLIGENCE)</w:t>
      </w:r>
    </w:p>
    <w:p w14:paraId="2DEEE0A0" w14:textId="75AEDA4F" w:rsidR="00B954AC" w:rsidRPr="0097532D" w:rsidRDefault="0097532D">
      <w:pPr>
        <w:spacing w:before="240" w:after="240" w:line="360" w:lineRule="auto"/>
        <w:jc w:val="both"/>
        <w:rPr>
          <w:rFonts w:eastAsia="Times New Roman"/>
          <w:bCs/>
          <w:lang w:val="en-IN"/>
        </w:rPr>
      </w:pPr>
      <w:r>
        <w:rPr>
          <w:rFonts w:eastAsia="Times New Roman"/>
          <w:bCs/>
          <w:lang w:val="en-IN"/>
        </w:rPr>
        <w:t>We</w:t>
      </w:r>
      <w:r w:rsidR="00257CE9" w:rsidRPr="0097532D">
        <w:rPr>
          <w:rFonts w:eastAsia="Times New Roman"/>
          <w:bCs/>
          <w:lang w:val="en-IN"/>
        </w:rPr>
        <w:t xml:space="preserve"> hereby </w:t>
      </w:r>
      <w:r w:rsidR="00C33BCB" w:rsidRPr="0097532D">
        <w:rPr>
          <w:rFonts w:eastAsia="Times New Roman"/>
          <w:bCs/>
          <w:lang w:val="en-IN"/>
        </w:rPr>
        <w:t>declare</w:t>
      </w:r>
      <w:r w:rsidR="00257CE9" w:rsidRPr="0097532D">
        <w:rPr>
          <w:rFonts w:eastAsia="Times New Roman"/>
          <w:bCs/>
          <w:lang w:val="en-IN"/>
        </w:rPr>
        <w:t xml:space="preserve"> that</w:t>
      </w:r>
      <w:r w:rsidR="00C33BCB">
        <w:rPr>
          <w:rFonts w:eastAsia="Times New Roman"/>
          <w:bCs/>
          <w:lang w:val="en-IN"/>
        </w:rPr>
        <w:t>,</w:t>
      </w:r>
      <w:r w:rsidR="00257CE9" w:rsidRPr="0097532D">
        <w:rPr>
          <w:rFonts w:eastAsia="Times New Roman"/>
          <w:bCs/>
          <w:lang w:val="en-IN"/>
        </w:rPr>
        <w:t xml:space="preserve"> N</w:t>
      </w:r>
      <w:r w:rsidR="00C33BCB">
        <w:rPr>
          <w:rFonts w:eastAsia="Times New Roman"/>
          <w:bCs/>
          <w:lang w:val="en-IN"/>
        </w:rPr>
        <w:t>o</w:t>
      </w:r>
      <w:r w:rsidR="00257CE9" w:rsidRPr="0097532D">
        <w:rPr>
          <w:rFonts w:eastAsia="Times New Roman"/>
          <w:bCs/>
          <w:lang w:val="en-IN"/>
        </w:rPr>
        <w:t xml:space="preserve"> generative AI technologies such as Large Language Models (ChatGPT, COPILOT, etc) and text-to-image generators have been used during writing or editing of manuscripts.</w:t>
      </w:r>
    </w:p>
    <w:p w14:paraId="402C1864" w14:textId="77777777" w:rsidR="00B954AC" w:rsidRPr="0097532D" w:rsidRDefault="00257CE9">
      <w:pPr>
        <w:spacing w:before="240" w:after="240" w:line="360" w:lineRule="auto"/>
        <w:jc w:val="both"/>
        <w:rPr>
          <w:rFonts w:eastAsia="Times New Roman"/>
          <w:b/>
          <w:lang w:val="en-IN"/>
        </w:rPr>
      </w:pPr>
      <w:r w:rsidRPr="0097532D">
        <w:rPr>
          <w:rFonts w:eastAsia="Times New Roman"/>
          <w:b/>
          <w:lang w:val="en-IN"/>
        </w:rPr>
        <w:t>FUTURE PERSPECTIVE</w:t>
      </w:r>
    </w:p>
    <w:p w14:paraId="76B08BFE" w14:textId="3C1B83A8" w:rsidR="00B954AC" w:rsidRPr="0097532D" w:rsidRDefault="00257CE9">
      <w:pPr>
        <w:spacing w:before="240" w:after="240" w:line="360" w:lineRule="auto"/>
        <w:jc w:val="both"/>
        <w:rPr>
          <w:rFonts w:eastAsia="Times New Roman"/>
          <w:lang w:val="en-IN"/>
        </w:rPr>
      </w:pPr>
      <w:r w:rsidRPr="0097532D">
        <w:rPr>
          <w:rFonts w:eastAsia="Times New Roman"/>
          <w:lang w:val="en-IN"/>
        </w:rPr>
        <w:t xml:space="preserve">These </w:t>
      </w:r>
      <w:r w:rsidR="00531F55" w:rsidRPr="00531F55">
        <w:rPr>
          <w:rFonts w:eastAsia="Times New Roman"/>
          <w:i/>
          <w:iCs/>
          <w:lang w:val="en-IN"/>
        </w:rPr>
        <w:t>in silico</w:t>
      </w:r>
      <w:r w:rsidRPr="0097532D">
        <w:rPr>
          <w:rFonts w:eastAsia="Times New Roman"/>
          <w:lang w:val="en-IN"/>
        </w:rPr>
        <w:t xml:space="preserve"> results can be further validated through in vitro and in vivo experiments, to assess the GSK-3</w:t>
      </w:r>
      <w:r w:rsidRPr="0097532D">
        <w:rPr>
          <w:rFonts w:eastAsia="Times New Roman"/>
        </w:rPr>
        <w:t>β</w:t>
      </w:r>
      <w:r w:rsidRPr="0097532D">
        <w:rPr>
          <w:rFonts w:eastAsia="Times New Roman"/>
          <w:lang w:val="en-IN"/>
        </w:rPr>
        <w:t xml:space="preserve"> inhibition potential of Ferulic acid.</w:t>
      </w:r>
    </w:p>
    <w:p w14:paraId="2DF07078" w14:textId="77777777" w:rsidR="00B954AC" w:rsidRPr="0097532D" w:rsidRDefault="00257CE9">
      <w:pPr>
        <w:spacing w:line="480" w:lineRule="auto"/>
        <w:jc w:val="both"/>
        <w:rPr>
          <w:rFonts w:eastAsia="Times New Roman"/>
          <w:b/>
          <w:lang w:val="en-IN"/>
        </w:rPr>
      </w:pPr>
      <w:commentRangeStart w:id="9"/>
      <w:r w:rsidRPr="0097532D">
        <w:rPr>
          <w:rFonts w:eastAsia="Times New Roman"/>
          <w:b/>
          <w:lang w:val="en-IN"/>
        </w:rPr>
        <w:t>References:</w:t>
      </w:r>
      <w:commentRangeEnd w:id="9"/>
      <w:r w:rsidR="00E62608">
        <w:rPr>
          <w:rStyle w:val="CommentReference"/>
        </w:rPr>
        <w:commentReference w:id="9"/>
      </w:r>
    </w:p>
    <w:p w14:paraId="7C176AD4" w14:textId="77777777" w:rsidR="00B954AC" w:rsidRPr="0097532D" w:rsidRDefault="00257CE9">
      <w:pPr>
        <w:pStyle w:val="EndNoteBibliography"/>
        <w:ind w:left="720" w:hanging="720"/>
      </w:pPr>
      <w:r w:rsidRPr="0097532D">
        <w:rPr>
          <w:rFonts w:eastAsia="Times New Roman"/>
        </w:rPr>
        <w:fldChar w:fldCharType="begin"/>
      </w:r>
      <w:r w:rsidRPr="0097532D">
        <w:rPr>
          <w:rFonts w:eastAsia="Times New Roman"/>
        </w:rPr>
        <w:instrText xml:space="preserve"> ADDIN EN.REFLIST </w:instrText>
      </w:r>
      <w:r w:rsidRPr="0097532D">
        <w:rPr>
          <w:rFonts w:eastAsia="Times New Roman"/>
        </w:rPr>
        <w:fldChar w:fldCharType="separate"/>
      </w:r>
      <w:r w:rsidRPr="0097532D">
        <w:t>1.</w:t>
      </w:r>
      <w:r w:rsidRPr="0097532D">
        <w:tab/>
        <w:t xml:space="preserve">Hagen, T., et al., </w:t>
      </w:r>
      <w:r w:rsidRPr="0097532D">
        <w:rPr>
          <w:i/>
        </w:rPr>
        <w:t>Expression and characterization of GSK-3 mutants and their effect on beta-catenin phosphorylation in intact cells.</w:t>
      </w:r>
      <w:r w:rsidRPr="0097532D">
        <w:t xml:space="preserve"> J Biol Chem, 2002. </w:t>
      </w:r>
      <w:r w:rsidRPr="0097532D">
        <w:rPr>
          <w:b/>
        </w:rPr>
        <w:t>277</w:t>
      </w:r>
      <w:r w:rsidRPr="0097532D">
        <w:t>(26): p. 23330-5.</w:t>
      </w:r>
    </w:p>
    <w:p w14:paraId="296A52E9" w14:textId="77777777" w:rsidR="00B954AC" w:rsidRPr="0097532D" w:rsidRDefault="00257CE9">
      <w:pPr>
        <w:pStyle w:val="EndNoteBibliography"/>
        <w:ind w:left="720" w:hanging="720"/>
      </w:pPr>
      <w:r w:rsidRPr="0097532D">
        <w:t>2.</w:t>
      </w:r>
      <w:r w:rsidRPr="0097532D">
        <w:tab/>
        <w:t xml:space="preserve">Horgusluoglu, E., et al., </w:t>
      </w:r>
      <w:r w:rsidRPr="0097532D">
        <w:rPr>
          <w:i/>
        </w:rPr>
        <w:t>Adult neurogenesis and neurodegenerative diseases: a systems biology perspective.</w:t>
      </w:r>
      <w:r w:rsidRPr="0097532D">
        <w:t xml:space="preserve"> 2017. </w:t>
      </w:r>
      <w:r w:rsidRPr="0097532D">
        <w:rPr>
          <w:b/>
        </w:rPr>
        <w:t>174</w:t>
      </w:r>
      <w:r w:rsidRPr="0097532D">
        <w:t>(1): p. 93-112.</w:t>
      </w:r>
    </w:p>
    <w:p w14:paraId="6EFB6CEA" w14:textId="77777777" w:rsidR="00B954AC" w:rsidRPr="0097532D" w:rsidRDefault="00257CE9">
      <w:pPr>
        <w:pStyle w:val="EndNoteBibliography"/>
        <w:ind w:left="720" w:hanging="720"/>
      </w:pPr>
      <w:r w:rsidRPr="0097532D">
        <w:t>3.</w:t>
      </w:r>
      <w:r w:rsidRPr="0097532D">
        <w:tab/>
        <w:t xml:space="preserve">Eldar-Finkelman, H. and A. Martinez, </w:t>
      </w:r>
      <w:r w:rsidRPr="0097532D">
        <w:rPr>
          <w:i/>
        </w:rPr>
        <w:t>GSK-3 Inhibitors: Preclinical and Clinical Focus on CNS.</w:t>
      </w:r>
      <w:r w:rsidRPr="0097532D">
        <w:t xml:space="preserve"> Front Mol Neurosci, 2011. </w:t>
      </w:r>
      <w:r w:rsidRPr="0097532D">
        <w:rPr>
          <w:b/>
        </w:rPr>
        <w:t>4</w:t>
      </w:r>
      <w:r w:rsidRPr="0097532D">
        <w:t>: p. 32.</w:t>
      </w:r>
    </w:p>
    <w:p w14:paraId="3E8E36A8" w14:textId="77777777" w:rsidR="00B954AC" w:rsidRPr="0097532D" w:rsidRDefault="00257CE9">
      <w:pPr>
        <w:pStyle w:val="EndNoteBibliography"/>
        <w:ind w:left="720" w:hanging="720"/>
      </w:pPr>
      <w:r w:rsidRPr="0097532D">
        <w:t>4.</w:t>
      </w:r>
      <w:r w:rsidRPr="0097532D">
        <w:tab/>
        <w:t xml:space="preserve">Iqbal, K., et al., </w:t>
      </w:r>
      <w:r w:rsidRPr="0097532D">
        <w:rPr>
          <w:i/>
        </w:rPr>
        <w:t>Tau in Alzheimer disease and related tauopathies.</w:t>
      </w:r>
      <w:r w:rsidRPr="0097532D">
        <w:t xml:space="preserve"> 2010. </w:t>
      </w:r>
      <w:r w:rsidRPr="0097532D">
        <w:rPr>
          <w:b/>
        </w:rPr>
        <w:t>7</w:t>
      </w:r>
      <w:r w:rsidRPr="0097532D">
        <w:t>(8): p. 656-664.</w:t>
      </w:r>
    </w:p>
    <w:p w14:paraId="70D3A95D" w14:textId="77777777" w:rsidR="00B954AC" w:rsidRPr="0097532D" w:rsidRDefault="00257CE9">
      <w:pPr>
        <w:pStyle w:val="EndNoteBibliography"/>
        <w:ind w:left="720" w:hanging="720"/>
      </w:pPr>
      <w:r w:rsidRPr="0097532D">
        <w:t>5.</w:t>
      </w:r>
      <w:r w:rsidRPr="0097532D">
        <w:tab/>
        <w:t xml:space="preserve">Jaworski, T., E. Banach-Kasper, and K. Gralec, </w:t>
      </w:r>
      <w:r w:rsidRPr="0097532D">
        <w:rPr>
          <w:i/>
        </w:rPr>
        <w:t>GSK-3β at the Intersection of Neuronal Plasticity and Neurodegeneration.</w:t>
      </w:r>
      <w:r w:rsidRPr="0097532D">
        <w:t xml:space="preserve"> Neural Plast, 2019. </w:t>
      </w:r>
      <w:r w:rsidRPr="0097532D">
        <w:rPr>
          <w:b/>
        </w:rPr>
        <w:t>2019</w:t>
      </w:r>
      <w:r w:rsidRPr="0097532D">
        <w:t>: p. 4209475.</w:t>
      </w:r>
    </w:p>
    <w:p w14:paraId="031548EE" w14:textId="77777777" w:rsidR="00B954AC" w:rsidRPr="0097532D" w:rsidRDefault="00257CE9">
      <w:pPr>
        <w:pStyle w:val="EndNoteBibliography"/>
        <w:ind w:left="720" w:hanging="720"/>
      </w:pPr>
      <w:r w:rsidRPr="0097532D">
        <w:t>6.</w:t>
      </w:r>
      <w:r w:rsidRPr="0097532D">
        <w:tab/>
        <w:t xml:space="preserve">Yu, H., M. Xiong, and Z.J.F.i.M.N. Zhang, </w:t>
      </w:r>
      <w:r w:rsidRPr="0097532D">
        <w:rPr>
          <w:i/>
        </w:rPr>
        <w:t>The role of glycogen synthase kinase 3 beta in neurodegenerative diseases.</w:t>
      </w:r>
      <w:r w:rsidRPr="0097532D">
        <w:t xml:space="preserve"> 2023. </w:t>
      </w:r>
      <w:r w:rsidRPr="0097532D">
        <w:rPr>
          <w:b/>
        </w:rPr>
        <w:t>16</w:t>
      </w:r>
      <w:r w:rsidRPr="0097532D">
        <w:t>.</w:t>
      </w:r>
    </w:p>
    <w:p w14:paraId="629B748D" w14:textId="77777777" w:rsidR="00B954AC" w:rsidRPr="0097532D" w:rsidRDefault="00257CE9">
      <w:pPr>
        <w:pStyle w:val="EndNoteBibliography"/>
        <w:ind w:left="720" w:hanging="720"/>
      </w:pPr>
      <w:r w:rsidRPr="0097532D">
        <w:t>7.</w:t>
      </w:r>
      <w:r w:rsidRPr="0097532D">
        <w:tab/>
        <w:t xml:space="preserve">Eskandarzadeh, M., et al., </w:t>
      </w:r>
      <w:r w:rsidRPr="0097532D">
        <w:rPr>
          <w:i/>
        </w:rPr>
        <w:t>Inhibition of GSK_3beta by Iridoid Glycosides of Snowberry (Symphoricarpos albus) Effective in the Treatment of Alzheimer's Disease Using Computational Drug Design Methods.</w:t>
      </w:r>
      <w:r w:rsidRPr="0097532D">
        <w:t xml:space="preserve"> Front Chem, 2021. </w:t>
      </w:r>
      <w:r w:rsidRPr="0097532D">
        <w:rPr>
          <w:b/>
        </w:rPr>
        <w:t>9</w:t>
      </w:r>
      <w:r w:rsidRPr="0097532D">
        <w:t>: p. 709932.</w:t>
      </w:r>
    </w:p>
    <w:p w14:paraId="00D337DF" w14:textId="5C33312D" w:rsidR="00B954AC" w:rsidRPr="0097532D" w:rsidRDefault="00257CE9">
      <w:pPr>
        <w:pStyle w:val="EndNoteBibliography"/>
        <w:ind w:left="720" w:hanging="720"/>
      </w:pPr>
      <w:r w:rsidRPr="0097532D">
        <w:t>8.</w:t>
      </w:r>
      <w:r w:rsidRPr="0097532D">
        <w:tab/>
        <w:t xml:space="preserve">Emmerich, T.D. and J.M. Hayes, </w:t>
      </w:r>
      <w:r w:rsidR="00531F55" w:rsidRPr="00531F55">
        <w:rPr>
          <w:i/>
          <w:iCs/>
        </w:rPr>
        <w:t>In silico</w:t>
      </w:r>
      <w:r w:rsidRPr="0097532D">
        <w:rPr>
          <w:i/>
        </w:rPr>
        <w:t>-Motivated Discovery of Novel Potent Glycogen Synthase-3 Inhibitors: 1-(Alkyl/arylamino)-3H-naphtho[1,2,3-de]quinoline-2,7-dione Identified as a Scaffold for Kinase Inhibitor Development.</w:t>
      </w:r>
      <w:r w:rsidRPr="0097532D">
        <w:t xml:space="preserve"> Pharmaceuticals (Basel), 2023. </w:t>
      </w:r>
      <w:r w:rsidRPr="0097532D">
        <w:rPr>
          <w:b/>
        </w:rPr>
        <w:t>16</w:t>
      </w:r>
      <w:r w:rsidRPr="0097532D">
        <w:t>(5).</w:t>
      </w:r>
    </w:p>
    <w:p w14:paraId="421306AE" w14:textId="77777777" w:rsidR="00B954AC" w:rsidRPr="0097532D" w:rsidRDefault="00257CE9">
      <w:pPr>
        <w:pStyle w:val="EndNoteBibliography"/>
        <w:ind w:left="720" w:hanging="720"/>
      </w:pPr>
      <w:r w:rsidRPr="0097532D">
        <w:t>9.</w:t>
      </w:r>
      <w:r w:rsidRPr="0097532D">
        <w:tab/>
        <w:t xml:space="preserve">Balasubramaniam, M., et al., </w:t>
      </w:r>
      <w:r w:rsidRPr="0097532D">
        <w:rPr>
          <w:i/>
        </w:rPr>
        <w:t>Structural modeling of GSK3beta implicates the inactive (DFG-out) conformation as the target bound by TDZD analogs.</w:t>
      </w:r>
      <w:r w:rsidRPr="0097532D">
        <w:t xml:space="preserve"> Sci Rep, 2020. </w:t>
      </w:r>
      <w:r w:rsidRPr="0097532D">
        <w:rPr>
          <w:b/>
        </w:rPr>
        <w:t>10</w:t>
      </w:r>
      <w:r w:rsidRPr="0097532D">
        <w:t>(1): p. 18326.</w:t>
      </w:r>
    </w:p>
    <w:p w14:paraId="6EF4228B" w14:textId="77777777" w:rsidR="00B954AC" w:rsidRPr="0097532D" w:rsidRDefault="00257CE9">
      <w:pPr>
        <w:pStyle w:val="EndNoteBibliography"/>
        <w:ind w:left="720" w:hanging="720"/>
      </w:pPr>
      <w:r w:rsidRPr="0097532D">
        <w:t>10.</w:t>
      </w:r>
      <w:r w:rsidRPr="0097532D">
        <w:tab/>
        <w:t xml:space="preserve">ter Haar, E., et al., </w:t>
      </w:r>
      <w:r w:rsidRPr="0097532D">
        <w:rPr>
          <w:i/>
        </w:rPr>
        <w:t>Structure of GSK3β reveals a primed phosphorylation mechanism.</w:t>
      </w:r>
      <w:r w:rsidRPr="0097532D">
        <w:t xml:space="preserve"> 2001. </w:t>
      </w:r>
      <w:r w:rsidRPr="0097532D">
        <w:rPr>
          <w:b/>
        </w:rPr>
        <w:t>8</w:t>
      </w:r>
      <w:r w:rsidRPr="0097532D">
        <w:t>(7): p. 593-596.</w:t>
      </w:r>
    </w:p>
    <w:p w14:paraId="26DE11EE" w14:textId="77777777" w:rsidR="00B954AC" w:rsidRPr="0097532D" w:rsidRDefault="00257CE9">
      <w:pPr>
        <w:pStyle w:val="EndNoteBibliography"/>
        <w:ind w:left="720" w:hanging="720"/>
      </w:pPr>
      <w:r w:rsidRPr="0097532D">
        <w:t>11.</w:t>
      </w:r>
      <w:r w:rsidRPr="0097532D">
        <w:tab/>
        <w:t xml:space="preserve">Sun, H., et al., </w:t>
      </w:r>
      <w:r w:rsidRPr="0097532D">
        <w:rPr>
          <w:i/>
        </w:rPr>
        <w:t>Effect of mutation K85R on GSK-3beta: Molecular dynamics simulation.</w:t>
      </w:r>
      <w:r w:rsidRPr="0097532D">
        <w:t xml:space="preserve"> Biochem Biophys Res Commun, 2008. </w:t>
      </w:r>
      <w:r w:rsidRPr="0097532D">
        <w:rPr>
          <w:b/>
        </w:rPr>
        <w:t>377</w:t>
      </w:r>
      <w:r w:rsidRPr="0097532D">
        <w:t>(3): p. 962-5.</w:t>
      </w:r>
    </w:p>
    <w:p w14:paraId="30628C70" w14:textId="77777777" w:rsidR="00B954AC" w:rsidRPr="0097532D" w:rsidRDefault="00257CE9">
      <w:pPr>
        <w:pStyle w:val="EndNoteBibliography"/>
        <w:ind w:left="720" w:hanging="720"/>
      </w:pPr>
      <w:r w:rsidRPr="0097532D">
        <w:t>12.</w:t>
      </w:r>
      <w:r w:rsidRPr="0097532D">
        <w:tab/>
        <w:t xml:space="preserve">Mohanraj, K., et al., </w:t>
      </w:r>
      <w:r w:rsidRPr="0097532D">
        <w:rPr>
          <w:i/>
        </w:rPr>
        <w:t>IMPPAT: A curated database of Indian Medicinal Plants, Phytochemistry And Therapeutics.</w:t>
      </w:r>
      <w:r w:rsidRPr="0097532D">
        <w:t xml:space="preserve"> Sci Rep, 2018. </w:t>
      </w:r>
      <w:r w:rsidRPr="0097532D">
        <w:rPr>
          <w:b/>
        </w:rPr>
        <w:t>8</w:t>
      </w:r>
      <w:r w:rsidRPr="0097532D">
        <w:t>(1): p. 4329.</w:t>
      </w:r>
    </w:p>
    <w:p w14:paraId="4FB26846" w14:textId="77777777" w:rsidR="00B954AC" w:rsidRPr="0097532D" w:rsidRDefault="00257CE9">
      <w:pPr>
        <w:pStyle w:val="EndNoteBibliography"/>
        <w:ind w:left="720" w:hanging="720"/>
        <w:rPr>
          <w:i/>
        </w:rPr>
      </w:pPr>
      <w:r w:rsidRPr="0097532D">
        <w:t>13.</w:t>
      </w:r>
      <w:r w:rsidRPr="0097532D">
        <w:tab/>
        <w:t xml:space="preserve">Rajagopal, B., </w:t>
      </w:r>
      <w:r w:rsidRPr="0097532D">
        <w:rPr>
          <w:i/>
        </w:rPr>
        <w:t>Pdtdb an integrative structural database and prediction server for plant metabolites and therapeutic drug targets.</w:t>
      </w:r>
    </w:p>
    <w:p w14:paraId="0A571921" w14:textId="77777777" w:rsidR="00B954AC" w:rsidRPr="0097532D" w:rsidRDefault="00257CE9">
      <w:pPr>
        <w:pStyle w:val="EndNoteBibliography"/>
        <w:ind w:left="720" w:hanging="720"/>
      </w:pPr>
      <w:r w:rsidRPr="0097532D">
        <w:t>14.</w:t>
      </w:r>
      <w:r w:rsidRPr="0097532D">
        <w:tab/>
        <w:t xml:space="preserve">Daina, A., O. Michielin, and V. Zoete, </w:t>
      </w:r>
      <w:r w:rsidRPr="0097532D">
        <w:rPr>
          <w:i/>
        </w:rPr>
        <w:t>SwissADME: a free web tool to evaluate pharmacokinetics, drug-likeness and medicinal chemistry friendliness of small molecules.</w:t>
      </w:r>
      <w:r w:rsidRPr="0097532D">
        <w:t xml:space="preserve"> Sci Rep, 2017. </w:t>
      </w:r>
      <w:r w:rsidRPr="0097532D">
        <w:rPr>
          <w:b/>
        </w:rPr>
        <w:t>7</w:t>
      </w:r>
      <w:r w:rsidRPr="0097532D">
        <w:t>: p. 42717.</w:t>
      </w:r>
    </w:p>
    <w:p w14:paraId="4A6BB658" w14:textId="77777777" w:rsidR="00B954AC" w:rsidRPr="0097532D" w:rsidRDefault="00257CE9">
      <w:pPr>
        <w:pStyle w:val="EndNoteBibliography"/>
        <w:ind w:left="720" w:hanging="720"/>
      </w:pPr>
      <w:r w:rsidRPr="0097532D">
        <w:t>15.</w:t>
      </w:r>
      <w:r w:rsidRPr="0097532D">
        <w:tab/>
        <w:t xml:space="preserve">Rose, P.W., et al., </w:t>
      </w:r>
      <w:r w:rsidRPr="0097532D">
        <w:rPr>
          <w:i/>
        </w:rPr>
        <w:t>The RCSB Protein Data Bank: new resources for research and education.</w:t>
      </w:r>
      <w:r w:rsidRPr="0097532D">
        <w:t xml:space="preserve"> Nucleic Acids Res, 2013. </w:t>
      </w:r>
      <w:r w:rsidRPr="0097532D">
        <w:rPr>
          <w:b/>
        </w:rPr>
        <w:t>41</w:t>
      </w:r>
      <w:r w:rsidRPr="0097532D">
        <w:t>(Database issue): p. D475-82.</w:t>
      </w:r>
    </w:p>
    <w:p w14:paraId="213F2004" w14:textId="1DBD6969" w:rsidR="00B954AC" w:rsidRPr="0097532D" w:rsidRDefault="00257CE9">
      <w:pPr>
        <w:pStyle w:val="EndNoteBibliography"/>
        <w:ind w:left="720" w:hanging="720"/>
      </w:pPr>
      <w:r w:rsidRPr="0097532D">
        <w:t>16.</w:t>
      </w:r>
      <w:r w:rsidRPr="0097532D">
        <w:tab/>
        <w:t xml:space="preserve">Iwaloye, O., et al., </w:t>
      </w:r>
      <w:r w:rsidRPr="0097532D">
        <w:rPr>
          <w:i/>
        </w:rPr>
        <w:t xml:space="preserve">Insight into glycogen synthase kinase-3beta inhibitory activity of phyto-constituents from Melissa officinalis: </w:t>
      </w:r>
      <w:r w:rsidR="00531F55" w:rsidRPr="00531F55">
        <w:rPr>
          <w:i/>
          <w:iCs/>
        </w:rPr>
        <w:t>in silico</w:t>
      </w:r>
      <w:r w:rsidRPr="0097532D">
        <w:rPr>
          <w:i/>
        </w:rPr>
        <w:t xml:space="preserve"> studies.</w:t>
      </w:r>
      <w:r w:rsidRPr="0097532D">
        <w:t xml:space="preserve"> </w:t>
      </w:r>
      <w:r w:rsidR="00531F55" w:rsidRPr="00531F55">
        <w:rPr>
          <w:i/>
          <w:iCs/>
        </w:rPr>
        <w:t>In silico</w:t>
      </w:r>
      <w:r w:rsidRPr="0097532D">
        <w:t xml:space="preserve"> Pharmacol, 2020. </w:t>
      </w:r>
      <w:r w:rsidRPr="0097532D">
        <w:rPr>
          <w:b/>
        </w:rPr>
        <w:t>8</w:t>
      </w:r>
      <w:r w:rsidRPr="0097532D">
        <w:t>(1): p. 2.</w:t>
      </w:r>
    </w:p>
    <w:p w14:paraId="0DBC0F53" w14:textId="77777777" w:rsidR="00B954AC" w:rsidRPr="0097532D" w:rsidRDefault="00257CE9">
      <w:pPr>
        <w:pStyle w:val="EndNoteBibliography"/>
        <w:ind w:left="720" w:hanging="720"/>
      </w:pPr>
      <w:r w:rsidRPr="0097532D">
        <w:lastRenderedPageBreak/>
        <w:t>17.</w:t>
      </w:r>
      <w:r w:rsidRPr="0097532D">
        <w:tab/>
        <w:t xml:space="preserve">Khare, N., et al., </w:t>
      </w:r>
      <w:r w:rsidRPr="0097532D">
        <w:rPr>
          <w:i/>
        </w:rPr>
        <w:t>Homology Modelling, Molecular Docking and Molecular Dynamics Simulation Studies of CALMH1 against Secondary Metabolites of Bauhinia variegata to Treat Alzheimer's Disease.</w:t>
      </w:r>
      <w:r w:rsidRPr="0097532D">
        <w:t xml:space="preserve"> Brain Sci, 2022. </w:t>
      </w:r>
      <w:r w:rsidRPr="0097532D">
        <w:rPr>
          <w:b/>
        </w:rPr>
        <w:t>12</w:t>
      </w:r>
      <w:r w:rsidRPr="0097532D">
        <w:t>(6).</w:t>
      </w:r>
    </w:p>
    <w:p w14:paraId="02A49CC7" w14:textId="77777777" w:rsidR="00B954AC" w:rsidRPr="0097532D" w:rsidRDefault="00257CE9">
      <w:pPr>
        <w:pStyle w:val="EndNoteBibliography"/>
        <w:ind w:left="720" w:hanging="720"/>
      </w:pPr>
      <w:r w:rsidRPr="0097532D">
        <w:t>18.</w:t>
      </w:r>
      <w:r w:rsidRPr="0097532D">
        <w:tab/>
        <w:t xml:space="preserve">Friesner, R.A., et al., </w:t>
      </w:r>
      <w:r w:rsidRPr="0097532D">
        <w:rPr>
          <w:i/>
        </w:rPr>
        <w:t>Glide: a new approach for rapid, accurate docking and scoring. 1. Method and assessment of docking accuracy.</w:t>
      </w:r>
      <w:r w:rsidRPr="0097532D">
        <w:t xml:space="preserve"> 2004. </w:t>
      </w:r>
      <w:r w:rsidRPr="0097532D">
        <w:rPr>
          <w:b/>
        </w:rPr>
        <w:t>47</w:t>
      </w:r>
      <w:r w:rsidRPr="0097532D">
        <w:t>(7): p. 1739-1749.</w:t>
      </w:r>
    </w:p>
    <w:p w14:paraId="001F258F" w14:textId="77777777" w:rsidR="00B954AC" w:rsidRPr="0097532D" w:rsidRDefault="00257CE9">
      <w:pPr>
        <w:pStyle w:val="EndNoteBibliography"/>
        <w:ind w:left="720" w:hanging="720"/>
      </w:pPr>
      <w:r w:rsidRPr="0097532D">
        <w:t>19.</w:t>
      </w:r>
      <w:r w:rsidRPr="0097532D">
        <w:tab/>
        <w:t xml:space="preserve">Mishra, V. and C.J.I.j.o.b.m. Pathak, </w:t>
      </w:r>
      <w:r w:rsidRPr="0097532D">
        <w:rPr>
          <w:i/>
        </w:rPr>
        <w:t>Human Toll-Like Receptor 4 (hTLR4): Structural and functional dynamics in cancer.</w:t>
      </w:r>
      <w:r w:rsidRPr="0097532D">
        <w:t xml:space="preserve"> 2019. </w:t>
      </w:r>
      <w:r w:rsidRPr="0097532D">
        <w:rPr>
          <w:b/>
        </w:rPr>
        <w:t>122</w:t>
      </w:r>
      <w:r w:rsidRPr="0097532D">
        <w:t>: p. 425-451.</w:t>
      </w:r>
    </w:p>
    <w:p w14:paraId="45F09952" w14:textId="77777777" w:rsidR="00B954AC" w:rsidRPr="0097532D" w:rsidRDefault="00257CE9">
      <w:pPr>
        <w:pStyle w:val="EndNoteBibliography"/>
        <w:ind w:left="720" w:hanging="720"/>
      </w:pPr>
      <w:r w:rsidRPr="0097532D">
        <w:t>20.</w:t>
      </w:r>
      <w:r w:rsidRPr="0097532D">
        <w:tab/>
        <w:t xml:space="preserve">Singh, A. and A. Mishra, </w:t>
      </w:r>
      <w:r w:rsidRPr="0097532D">
        <w:rPr>
          <w:i/>
        </w:rPr>
        <w:t>Leucoefdin a potential inhibitor against SARS CoV-2 Mpro.</w:t>
      </w:r>
      <w:r w:rsidRPr="0097532D">
        <w:t xml:space="preserve"> Journal of Biomolecular Structure and Dynamics, 2021. </w:t>
      </w:r>
      <w:r w:rsidRPr="0097532D">
        <w:rPr>
          <w:b/>
        </w:rPr>
        <w:t>39</w:t>
      </w:r>
      <w:r w:rsidRPr="0097532D">
        <w:t>(12): p. 4427-4432.</w:t>
      </w:r>
    </w:p>
    <w:p w14:paraId="3A36BC5F" w14:textId="77777777" w:rsidR="00B954AC" w:rsidRPr="0097532D" w:rsidRDefault="00257CE9">
      <w:pPr>
        <w:pStyle w:val="EndNoteBibliography"/>
        <w:ind w:left="720" w:hanging="720"/>
      </w:pPr>
      <w:r w:rsidRPr="0097532D">
        <w:t>21.</w:t>
      </w:r>
      <w:r w:rsidRPr="0097532D">
        <w:tab/>
        <w:t xml:space="preserve">Hollingsworth, S.A. and R.O. Dror, </w:t>
      </w:r>
      <w:r w:rsidRPr="0097532D">
        <w:rPr>
          <w:i/>
        </w:rPr>
        <w:t>Molecular Dynamics Simulation for All.</w:t>
      </w:r>
      <w:r w:rsidRPr="0097532D">
        <w:t xml:space="preserve"> Neuron, 2018. </w:t>
      </w:r>
      <w:r w:rsidRPr="0097532D">
        <w:rPr>
          <w:b/>
        </w:rPr>
        <w:t>99</w:t>
      </w:r>
      <w:r w:rsidRPr="0097532D">
        <w:t>(6): p. 1129-1143.</w:t>
      </w:r>
    </w:p>
    <w:p w14:paraId="60E54D12" w14:textId="77777777" w:rsidR="00B954AC" w:rsidRPr="0097532D" w:rsidRDefault="00257CE9">
      <w:pPr>
        <w:pStyle w:val="EndNoteBibliography"/>
        <w:ind w:left="720" w:hanging="720"/>
      </w:pPr>
      <w:r w:rsidRPr="0097532D">
        <w:t>22.</w:t>
      </w:r>
      <w:r w:rsidRPr="0097532D">
        <w:tab/>
        <w:t xml:space="preserve">Santos, L.H.S., R.S. Ferreira, and E.R. Caffarena, </w:t>
      </w:r>
      <w:r w:rsidRPr="0097532D">
        <w:rPr>
          <w:i/>
        </w:rPr>
        <w:t>Integrating Molecular Docking and Molecular Dynamics Simulations.</w:t>
      </w:r>
      <w:r w:rsidRPr="0097532D">
        <w:t xml:space="preserve"> Methods Mol Biol, 2019. </w:t>
      </w:r>
      <w:r w:rsidRPr="0097532D">
        <w:rPr>
          <w:b/>
        </w:rPr>
        <w:t>2053</w:t>
      </w:r>
      <w:r w:rsidRPr="0097532D">
        <w:t>: p. 13-34.</w:t>
      </w:r>
    </w:p>
    <w:p w14:paraId="57CA8D18" w14:textId="77777777" w:rsidR="00B954AC" w:rsidRPr="0097532D" w:rsidRDefault="00257CE9">
      <w:pPr>
        <w:pStyle w:val="EndNoteBibliography"/>
        <w:ind w:left="720" w:hanging="720"/>
      </w:pPr>
      <w:r w:rsidRPr="0097532D">
        <w:t>23.</w:t>
      </w:r>
      <w:r w:rsidRPr="0097532D">
        <w:tab/>
        <w:t xml:space="preserve">Griebel, G., et al., </w:t>
      </w:r>
      <w:r w:rsidRPr="0097532D">
        <w:rPr>
          <w:i/>
        </w:rPr>
        <w:t>The selective GSK3 inhibitor, SAR502250, displays neuroprotective activity and attenuates behavioral impairments in models of neuropsychiatric symptoms of Alzheimer's disease in rodents.</w:t>
      </w:r>
      <w:r w:rsidRPr="0097532D">
        <w:t xml:space="preserve"> Sci Rep, 2019. </w:t>
      </w:r>
      <w:r w:rsidRPr="0097532D">
        <w:rPr>
          <w:b/>
        </w:rPr>
        <w:t>9</w:t>
      </w:r>
      <w:r w:rsidRPr="0097532D">
        <w:t>(1): p. 18045.</w:t>
      </w:r>
    </w:p>
    <w:p w14:paraId="1093BE98" w14:textId="77777777" w:rsidR="00B954AC" w:rsidRPr="0097532D" w:rsidRDefault="00257CE9">
      <w:pPr>
        <w:pStyle w:val="EndNoteBibliography"/>
        <w:ind w:left="720" w:hanging="720"/>
      </w:pPr>
      <w:r w:rsidRPr="0097532D">
        <w:t>24.</w:t>
      </w:r>
      <w:r w:rsidRPr="0097532D">
        <w:tab/>
        <w:t xml:space="preserve">Zheng, M., et al., </w:t>
      </w:r>
      <w:r w:rsidRPr="0097532D">
        <w:rPr>
          <w:i/>
        </w:rPr>
        <w:t>Novel selective hexokinase 2 inhibitor Benitrobenrazide blocks cancer cells growth by targeting glycolysis.</w:t>
      </w:r>
      <w:r w:rsidRPr="0097532D">
        <w:t xml:space="preserve"> 2021. </w:t>
      </w:r>
      <w:r w:rsidRPr="0097532D">
        <w:rPr>
          <w:b/>
        </w:rPr>
        <w:t>164</w:t>
      </w:r>
      <w:r w:rsidRPr="0097532D">
        <w:t>: p. 105367.</w:t>
      </w:r>
    </w:p>
    <w:p w14:paraId="0F037DC7" w14:textId="77777777" w:rsidR="00B954AC" w:rsidRPr="0097532D" w:rsidRDefault="00257CE9">
      <w:pPr>
        <w:pStyle w:val="EndNoteBibliography"/>
        <w:ind w:left="720" w:hanging="720"/>
      </w:pPr>
      <w:r w:rsidRPr="0097532D">
        <w:t>25.</w:t>
      </w:r>
      <w:r w:rsidRPr="0097532D">
        <w:tab/>
        <w:t xml:space="preserve">Singh, S., V.K.J.F.i.p.s. Singh, function,, and dynamics, </w:t>
      </w:r>
      <w:r w:rsidRPr="0097532D">
        <w:rPr>
          <w:i/>
        </w:rPr>
        <w:t>Molecular dynamics simulation: methods and application.</w:t>
      </w:r>
      <w:r w:rsidRPr="0097532D">
        <w:t xml:space="preserve"> 2020: p. 213-238.</w:t>
      </w:r>
    </w:p>
    <w:p w14:paraId="13FCE362" w14:textId="77777777" w:rsidR="00B954AC" w:rsidRPr="0097532D" w:rsidRDefault="00257CE9">
      <w:pPr>
        <w:pStyle w:val="EndNoteBibliography"/>
        <w:ind w:left="720" w:hanging="720"/>
      </w:pPr>
      <w:r w:rsidRPr="0097532D">
        <w:t>26.</w:t>
      </w:r>
      <w:r w:rsidRPr="0097532D">
        <w:tab/>
        <w:t xml:space="preserve">Sukanya, S., et al., </w:t>
      </w:r>
      <w:r w:rsidRPr="0097532D">
        <w:rPr>
          <w:i/>
        </w:rPr>
        <w:t>Structure-based virtual screening, biological assessment, and MD simulation studies of novel CNS compatible GSK-3β inhibitors as potential Alzheimer’s disease therapeutics.</w:t>
      </w:r>
      <w:r w:rsidRPr="0097532D">
        <w:t xml:space="preserve"> 2022.</w:t>
      </w:r>
    </w:p>
    <w:p w14:paraId="67ABE0E5" w14:textId="37DE3F04" w:rsidR="00B954AC" w:rsidRPr="0097532D" w:rsidRDefault="00257CE9">
      <w:pPr>
        <w:pStyle w:val="EndNoteBibliography"/>
        <w:ind w:left="720" w:hanging="720"/>
      </w:pPr>
      <w:r w:rsidRPr="0097532D">
        <w:t>27.</w:t>
      </w:r>
      <w:r w:rsidRPr="0097532D">
        <w:tab/>
        <w:t xml:space="preserve">van de Waterbeemd, H. and E. Gifford, </w:t>
      </w:r>
      <w:r w:rsidRPr="0097532D">
        <w:rPr>
          <w:i/>
        </w:rPr>
        <w:t xml:space="preserve">ADMET </w:t>
      </w:r>
      <w:r w:rsidR="00531F55" w:rsidRPr="00531F55">
        <w:rPr>
          <w:i/>
          <w:iCs/>
        </w:rPr>
        <w:t>in silico</w:t>
      </w:r>
      <w:r w:rsidRPr="0097532D">
        <w:rPr>
          <w:i/>
        </w:rPr>
        <w:t xml:space="preserve"> modelling: towards prediction paradise?</w:t>
      </w:r>
      <w:r w:rsidRPr="0097532D">
        <w:t xml:space="preserve"> Nat Rev Drug Discov, 2003. </w:t>
      </w:r>
      <w:r w:rsidRPr="0097532D">
        <w:rPr>
          <w:b/>
        </w:rPr>
        <w:t>2</w:t>
      </w:r>
      <w:r w:rsidRPr="0097532D">
        <w:t>(3): p. 192-204.</w:t>
      </w:r>
    </w:p>
    <w:p w14:paraId="47DF972B" w14:textId="77777777" w:rsidR="00B954AC" w:rsidRPr="0097532D" w:rsidRDefault="00257CE9">
      <w:pPr>
        <w:pStyle w:val="EndNoteBibliography"/>
        <w:ind w:left="720" w:hanging="720"/>
      </w:pPr>
      <w:r w:rsidRPr="0097532D">
        <w:t>28.</w:t>
      </w:r>
      <w:r w:rsidRPr="0097532D">
        <w:tab/>
        <w:t xml:space="preserve">Daina, A. and V. Zoete, </w:t>
      </w:r>
      <w:r w:rsidRPr="0097532D">
        <w:rPr>
          <w:i/>
        </w:rPr>
        <w:t>A BOILED-Egg To Predict Gastrointestinal Absorption and Brain Penetration of Small Molecules.</w:t>
      </w:r>
      <w:r w:rsidRPr="0097532D">
        <w:t xml:space="preserve"> ChemMedChem, 2016. </w:t>
      </w:r>
      <w:r w:rsidRPr="0097532D">
        <w:rPr>
          <w:b/>
        </w:rPr>
        <w:t>11</w:t>
      </w:r>
      <w:r w:rsidRPr="0097532D">
        <w:t>(11): p. 1117-21.</w:t>
      </w:r>
    </w:p>
    <w:p w14:paraId="67B72EA0" w14:textId="77777777" w:rsidR="00B954AC" w:rsidRPr="0097532D" w:rsidRDefault="00257CE9">
      <w:pPr>
        <w:pStyle w:val="EndNoteBibliography"/>
        <w:ind w:left="720" w:hanging="720"/>
      </w:pPr>
      <w:r w:rsidRPr="0097532D">
        <w:t>29.</w:t>
      </w:r>
      <w:r w:rsidRPr="0097532D">
        <w:tab/>
        <w:t xml:space="preserve">Ritchie, T.J., P. Ertl, and R. Lewis, </w:t>
      </w:r>
      <w:r w:rsidRPr="0097532D">
        <w:rPr>
          <w:i/>
        </w:rPr>
        <w:t>The graphical representation of ADME-related molecule properties for medicinal chemists.</w:t>
      </w:r>
      <w:r w:rsidRPr="0097532D">
        <w:t xml:space="preserve"> Drug Discov Today, 2011. </w:t>
      </w:r>
      <w:r w:rsidRPr="0097532D">
        <w:rPr>
          <w:b/>
        </w:rPr>
        <w:t>16</w:t>
      </w:r>
      <w:r w:rsidRPr="0097532D">
        <w:t>(1-2): p. 65-72.</w:t>
      </w:r>
    </w:p>
    <w:p w14:paraId="7984A070" w14:textId="77777777" w:rsidR="00B954AC" w:rsidRPr="0097532D" w:rsidRDefault="00257CE9">
      <w:pPr>
        <w:pStyle w:val="EndNoteBibliography"/>
        <w:ind w:left="720" w:hanging="720"/>
      </w:pPr>
      <w:r w:rsidRPr="0097532D">
        <w:t>30.</w:t>
      </w:r>
      <w:r w:rsidRPr="0097532D">
        <w:tab/>
        <w:t xml:space="preserve">Cronin, M.T., et al., </w:t>
      </w:r>
      <w:r w:rsidRPr="0097532D">
        <w:rPr>
          <w:i/>
        </w:rPr>
        <w:t>Chemical toxicity prediction: category formation and read-across</w:t>
      </w:r>
      <w:r w:rsidRPr="0097532D">
        <w:t>. Vol. 17. 2013: Royal Society of Chemistry.</w:t>
      </w:r>
    </w:p>
    <w:p w14:paraId="700BF39A" w14:textId="77777777" w:rsidR="00B954AC" w:rsidRPr="0097532D" w:rsidRDefault="00257CE9">
      <w:pPr>
        <w:pStyle w:val="EndNoteBibliography"/>
        <w:ind w:left="720" w:hanging="720"/>
      </w:pPr>
      <w:r w:rsidRPr="0097532D">
        <w:t>31.</w:t>
      </w:r>
      <w:r w:rsidRPr="0097532D">
        <w:tab/>
        <w:t xml:space="preserve">Arciniegas Ruiz, S.M. and H. Eldar-Finkelman, </w:t>
      </w:r>
      <w:r w:rsidRPr="0097532D">
        <w:rPr>
          <w:i/>
        </w:rPr>
        <w:t>Glycogen Synthase Kinase-3 Inhibitors: Preclinical and Clinical Focus on CNS-A Decade Onward.</w:t>
      </w:r>
      <w:r w:rsidRPr="0097532D">
        <w:t xml:space="preserve"> Front Mol Neurosci, 2021. </w:t>
      </w:r>
      <w:r w:rsidRPr="0097532D">
        <w:rPr>
          <w:b/>
        </w:rPr>
        <w:t>14</w:t>
      </w:r>
      <w:r w:rsidRPr="0097532D">
        <w:t>: p. 792364.</w:t>
      </w:r>
    </w:p>
    <w:p w14:paraId="158D5229" w14:textId="77777777" w:rsidR="00B954AC" w:rsidRPr="0097532D" w:rsidRDefault="00257CE9">
      <w:pPr>
        <w:pStyle w:val="EndNoteBibliography"/>
        <w:ind w:left="720" w:hanging="720"/>
      </w:pPr>
      <w:r w:rsidRPr="0097532D">
        <w:t>32.</w:t>
      </w:r>
      <w:r w:rsidRPr="0097532D">
        <w:tab/>
        <w:t xml:space="preserve">Priyadarshi, K., et al., </w:t>
      </w:r>
      <w:r w:rsidRPr="0097532D">
        <w:rPr>
          <w:i/>
        </w:rPr>
        <w:t>Surface modified PAMAM dendrimers with gallic acid inhibit, cell proliferation, cell migration and inflammatory response to augment apoptotic cell death in human colon carcinoma cells.</w:t>
      </w:r>
      <w:r w:rsidRPr="0097532D">
        <w:t xml:space="preserve"> 2021. </w:t>
      </w:r>
      <w:r w:rsidRPr="0097532D">
        <w:rPr>
          <w:b/>
        </w:rPr>
        <w:t>39</w:t>
      </w:r>
      <w:r w:rsidRPr="0097532D">
        <w:t>(18): p. 6853-6869.</w:t>
      </w:r>
    </w:p>
    <w:p w14:paraId="6995A211" w14:textId="77777777" w:rsidR="00B954AC" w:rsidRPr="0097532D" w:rsidRDefault="00257CE9">
      <w:pPr>
        <w:pStyle w:val="EndNoteBibliography"/>
        <w:ind w:left="720" w:hanging="720"/>
      </w:pPr>
      <w:r w:rsidRPr="0097532D">
        <w:t>33.</w:t>
      </w:r>
      <w:r w:rsidRPr="0097532D">
        <w:tab/>
        <w:t xml:space="preserve">Ayaz, M., et al., </w:t>
      </w:r>
      <w:r w:rsidRPr="0097532D">
        <w:rPr>
          <w:i/>
        </w:rPr>
        <w:t>Editorial: Natural Products-Based Drugs: Potential Therapeutics Against Alzheimer's Disease and Other Neurological Disorders.</w:t>
      </w:r>
      <w:r w:rsidRPr="0097532D">
        <w:t xml:space="preserve"> Front Pharmacol, 2019. </w:t>
      </w:r>
      <w:r w:rsidRPr="0097532D">
        <w:rPr>
          <w:b/>
        </w:rPr>
        <w:t>10</w:t>
      </w:r>
      <w:r w:rsidRPr="0097532D">
        <w:t>: p. 1417.</w:t>
      </w:r>
    </w:p>
    <w:p w14:paraId="2C7768B4" w14:textId="77777777" w:rsidR="00B954AC" w:rsidRPr="0097532D" w:rsidRDefault="00257CE9">
      <w:pPr>
        <w:pStyle w:val="EndNoteBibliography"/>
        <w:ind w:left="720" w:hanging="720"/>
      </w:pPr>
      <w:r w:rsidRPr="0097532D">
        <w:t>34.</w:t>
      </w:r>
      <w:r w:rsidRPr="0097532D">
        <w:tab/>
        <w:t xml:space="preserve">El-Sayyad, S.M., et al., </w:t>
      </w:r>
      <w:r w:rsidRPr="0097532D">
        <w:rPr>
          <w:i/>
        </w:rPr>
        <w:t xml:space="preserve">Mangiferin protects against intestinal ischemia/reperfusion-induced liver injury: </w:t>
      </w:r>
      <w:r w:rsidRPr="0097532D">
        <w:rPr>
          <w:i/>
        </w:rPr>
        <w:t>‬</w:t>
      </w:r>
      <w:r w:rsidRPr="0097532D">
        <w:rPr>
          <w:i/>
        </w:rPr>
        <w:t>‬Involvement of PPAR-gamma, GSK-3beta and Wnt/beta-catenin pathway</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t xml:space="preserve"> Eur J Pharmacol, 2017. </w:t>
      </w:r>
      <w:r w:rsidRPr="0097532D">
        <w:rPr>
          <w:b/>
        </w:rPr>
        <w:t>809</w:t>
      </w:r>
      <w:r w:rsidRPr="0097532D">
        <w:t>: p. 80-86.</w:t>
      </w:r>
      <w:r w:rsidRPr="0097532D">
        <w:t>‬</w:t>
      </w:r>
      <w:r w:rsidRPr="0097532D">
        <w:t>‬</w:t>
      </w:r>
      <w:r w:rsidRPr="0097532D">
        <w:t>‬</w:t>
      </w:r>
      <w:r w:rsidRPr="0097532D">
        <w:t>‬</w:t>
      </w:r>
      <w:r w:rsidRPr="0097532D">
        <w:t>‬</w:t>
      </w:r>
      <w:r w:rsidRPr="0097532D">
        <w:t>‬</w:t>
      </w:r>
      <w:r w:rsidRPr="0097532D">
        <w:t>‬</w:t>
      </w:r>
      <w:r w:rsidRPr="0097532D">
        <w:t>‬</w:t>
      </w:r>
      <w:r w:rsidRPr="0097532D">
        <w:t>‬</w:t>
      </w:r>
      <w:r w:rsidRPr="0097532D">
        <w:t>‬</w:t>
      </w:r>
      <w:r w:rsidRPr="0097532D">
        <w:t>‬</w:t>
      </w:r>
      <w:r w:rsidRPr="0097532D">
        <w:t>‬</w:t>
      </w:r>
    </w:p>
    <w:p w14:paraId="7BF884E6" w14:textId="77777777" w:rsidR="00B954AC" w:rsidRPr="0097532D" w:rsidRDefault="00257CE9">
      <w:pPr>
        <w:pStyle w:val="EndNoteBibliography"/>
        <w:ind w:left="720" w:hanging="720"/>
      </w:pPr>
      <w:r w:rsidRPr="0097532D">
        <w:t>35.</w:t>
      </w:r>
      <w:r w:rsidRPr="0097532D">
        <w:tab/>
        <w:t xml:space="preserve">Al Omairi, N.E., et al., </w:t>
      </w:r>
      <w:r w:rsidRPr="0097532D">
        <w:rPr>
          <w:i/>
        </w:rPr>
        <w:t>Neuroprotective efficiency of Mangifera indica leaves extract on cadmium-induced cortical damage in rats.</w:t>
      </w:r>
      <w:r w:rsidRPr="0097532D">
        <w:t xml:space="preserve"> Metab Brain Dis, 2018. </w:t>
      </w:r>
      <w:r w:rsidRPr="0097532D">
        <w:rPr>
          <w:b/>
        </w:rPr>
        <w:t>33</w:t>
      </w:r>
      <w:r w:rsidRPr="0097532D">
        <w:t>(4): p. 1121-1130.</w:t>
      </w:r>
    </w:p>
    <w:p w14:paraId="080F5EA6" w14:textId="77777777" w:rsidR="00B954AC" w:rsidRPr="0097532D" w:rsidRDefault="00257CE9">
      <w:pPr>
        <w:pStyle w:val="EndNoteBibliography"/>
        <w:ind w:left="720" w:hanging="720"/>
      </w:pPr>
      <w:r w:rsidRPr="0097532D">
        <w:t>36.</w:t>
      </w:r>
      <w:r w:rsidRPr="0097532D">
        <w:tab/>
        <w:t xml:space="preserve">Samanta, S., et al., </w:t>
      </w:r>
      <w:r w:rsidRPr="0097532D">
        <w:rPr>
          <w:i/>
        </w:rPr>
        <w:t>Anti-diabetic activity of mango (Mangifera indica): a review.</w:t>
      </w:r>
      <w:r w:rsidRPr="0097532D">
        <w:t xml:space="preserve"> 2019. </w:t>
      </w:r>
      <w:r w:rsidRPr="0097532D">
        <w:rPr>
          <w:b/>
        </w:rPr>
        <w:t>6</w:t>
      </w:r>
      <w:r w:rsidRPr="0097532D">
        <w:t>(2): p. 23-26.</w:t>
      </w:r>
    </w:p>
    <w:p w14:paraId="50AEB9C8" w14:textId="77777777" w:rsidR="00B954AC" w:rsidRPr="0097532D" w:rsidRDefault="00257CE9">
      <w:pPr>
        <w:pStyle w:val="EndNoteBibliography"/>
        <w:ind w:left="720" w:hanging="720"/>
      </w:pPr>
      <w:r w:rsidRPr="0097532D">
        <w:t>37.</w:t>
      </w:r>
      <w:r w:rsidRPr="0097532D">
        <w:tab/>
        <w:t xml:space="preserve">Lopez-Rios, L., et al., </w:t>
      </w:r>
      <w:r w:rsidRPr="0097532D">
        <w:rPr>
          <w:i/>
        </w:rPr>
        <w:t>Central nervous system activities of extract Mangifera indica L.</w:t>
      </w:r>
      <w:r w:rsidRPr="0097532D">
        <w:t xml:space="preserve"> J Ethnopharmacol, 2020. </w:t>
      </w:r>
      <w:r w:rsidRPr="0097532D">
        <w:rPr>
          <w:b/>
        </w:rPr>
        <w:t>260</w:t>
      </w:r>
      <w:r w:rsidRPr="0097532D">
        <w:t>: p. 112996.</w:t>
      </w:r>
    </w:p>
    <w:p w14:paraId="5A19FF54" w14:textId="77777777" w:rsidR="00B954AC" w:rsidRPr="0097532D" w:rsidRDefault="00257CE9">
      <w:pPr>
        <w:pStyle w:val="EndNoteBibliography"/>
        <w:ind w:left="720" w:hanging="720"/>
      </w:pPr>
      <w:r w:rsidRPr="0097532D">
        <w:t>38.</w:t>
      </w:r>
      <w:r w:rsidRPr="0097532D">
        <w:tab/>
        <w:t xml:space="preserve">Yap, K.M., et al., </w:t>
      </w:r>
      <w:r w:rsidRPr="0097532D">
        <w:rPr>
          <w:i/>
        </w:rPr>
        <w:t>Mangifera indica (Mango): A Promising Medicinal Plant for Breast Cancer Therapy and Understanding Its Potential Mechanisms of Action.</w:t>
      </w:r>
      <w:r w:rsidRPr="0097532D">
        <w:t xml:space="preserve"> Breast Cancer (Dove Med Press), 2021. </w:t>
      </w:r>
      <w:r w:rsidRPr="0097532D">
        <w:rPr>
          <w:b/>
        </w:rPr>
        <w:t>13</w:t>
      </w:r>
      <w:r w:rsidRPr="0097532D">
        <w:t>: p. 471-503.</w:t>
      </w:r>
    </w:p>
    <w:p w14:paraId="326512E8" w14:textId="5FA51D36" w:rsidR="00B954AC" w:rsidRPr="0097532D" w:rsidRDefault="00257CE9">
      <w:pPr>
        <w:pStyle w:val="EndNoteBibliography"/>
        <w:ind w:left="720" w:hanging="720"/>
      </w:pPr>
      <w:r w:rsidRPr="0097532D">
        <w:t>39.</w:t>
      </w:r>
      <w:r w:rsidRPr="0097532D">
        <w:tab/>
        <w:t xml:space="preserve">Subbukutti, V., et al., </w:t>
      </w:r>
      <w:r w:rsidRPr="0097532D">
        <w:rPr>
          <w:i/>
        </w:rPr>
        <w:t xml:space="preserve">Evaluation of wound healing active principles in the transdermal patch formulated with crude bio wastes and plant extracts against GSK-3 beta-an </w:t>
      </w:r>
      <w:r w:rsidR="00531F55" w:rsidRPr="00531F55">
        <w:rPr>
          <w:i/>
          <w:iCs/>
        </w:rPr>
        <w:t>in silico</w:t>
      </w:r>
      <w:r w:rsidRPr="0097532D">
        <w:rPr>
          <w:i/>
        </w:rPr>
        <w:t xml:space="preserve"> study.</w:t>
      </w:r>
      <w:r w:rsidRPr="0097532D">
        <w:t xml:space="preserve"> 2023: p. 1-12.</w:t>
      </w:r>
    </w:p>
    <w:p w14:paraId="6A931C81" w14:textId="77777777" w:rsidR="00B954AC" w:rsidRPr="0097532D" w:rsidRDefault="00257CE9">
      <w:pPr>
        <w:pStyle w:val="EndNoteBibliography"/>
        <w:ind w:left="720" w:hanging="720"/>
      </w:pPr>
      <w:r w:rsidRPr="0097532D">
        <w:lastRenderedPageBreak/>
        <w:t>40.</w:t>
      </w:r>
      <w:r w:rsidRPr="0097532D">
        <w:tab/>
        <w:t xml:space="preserve">Panigrahi, S.K. and G.R. Desiraju, </w:t>
      </w:r>
      <w:r w:rsidRPr="0097532D">
        <w:rPr>
          <w:i/>
        </w:rPr>
        <w:t>Strong and weak hydrogen bonds in the protein-ligand interface.</w:t>
      </w:r>
      <w:r w:rsidRPr="0097532D">
        <w:t xml:space="preserve"> Proteins, 2007. </w:t>
      </w:r>
      <w:r w:rsidRPr="0097532D">
        <w:rPr>
          <w:b/>
        </w:rPr>
        <w:t>67</w:t>
      </w:r>
      <w:r w:rsidRPr="0097532D">
        <w:t>(1): p. 128-141.</w:t>
      </w:r>
    </w:p>
    <w:p w14:paraId="28B972FB" w14:textId="77777777" w:rsidR="00B954AC" w:rsidRPr="0097532D" w:rsidRDefault="00257CE9">
      <w:pPr>
        <w:pStyle w:val="EndNoteBibliography"/>
        <w:ind w:left="720" w:hanging="720"/>
      </w:pPr>
      <w:r w:rsidRPr="0097532D">
        <w:t>41.</w:t>
      </w:r>
      <w:r w:rsidRPr="0097532D">
        <w:tab/>
        <w:t xml:space="preserve">Huang, B.J.I.o.L.B.S. and P.-P.I. Area, </w:t>
      </w:r>
      <w:r w:rsidRPr="0097532D">
        <w:rPr>
          <w:i/>
        </w:rPr>
        <w:t>Identification of pockets on protein surface to predict protein–ligand binding sites.</w:t>
      </w:r>
      <w:r w:rsidRPr="0097532D">
        <w:t xml:space="preserve"> 2013: p. 25-39.</w:t>
      </w:r>
    </w:p>
    <w:p w14:paraId="6D7CD329" w14:textId="77777777" w:rsidR="00B954AC" w:rsidRPr="0097532D" w:rsidRDefault="00257CE9">
      <w:pPr>
        <w:pStyle w:val="EndNoteBibliography"/>
        <w:ind w:left="720" w:hanging="720"/>
      </w:pPr>
      <w:r w:rsidRPr="0097532D">
        <w:t>42.</w:t>
      </w:r>
      <w:r w:rsidRPr="0097532D">
        <w:tab/>
        <w:t xml:space="preserve">Gioia, D., et al., </w:t>
      </w:r>
      <w:r w:rsidRPr="0097532D">
        <w:rPr>
          <w:i/>
        </w:rPr>
        <w:t>Dynamic docking: a paradigm shift in computational drug discovery.</w:t>
      </w:r>
      <w:r w:rsidRPr="0097532D">
        <w:t xml:space="preserve"> 2017. </w:t>
      </w:r>
      <w:r w:rsidRPr="0097532D">
        <w:rPr>
          <w:b/>
        </w:rPr>
        <w:t>22</w:t>
      </w:r>
      <w:r w:rsidRPr="0097532D">
        <w:t>(11): p. 2029.</w:t>
      </w:r>
    </w:p>
    <w:p w14:paraId="68BDACC6" w14:textId="77777777" w:rsidR="00B954AC" w:rsidRPr="0097532D" w:rsidRDefault="00257CE9">
      <w:pPr>
        <w:pStyle w:val="EndNoteBibliography"/>
        <w:ind w:left="720" w:hanging="720"/>
      </w:pPr>
      <w:r w:rsidRPr="0097532D">
        <w:t>43.</w:t>
      </w:r>
      <w:r w:rsidRPr="0097532D">
        <w:tab/>
        <w:t xml:space="preserve">Arfeen, M., et al., </w:t>
      </w:r>
      <w:r w:rsidRPr="0097532D">
        <w:rPr>
          <w:i/>
        </w:rPr>
        <w:t>Design, synthesis and biological evaluation of 5-benzylidene-2-iminothiazolidin-4-ones as selective GSK-3beta inhibitors.</w:t>
      </w:r>
      <w:r w:rsidRPr="0097532D">
        <w:t xml:space="preserve"> Eur J Med Chem, 2016. </w:t>
      </w:r>
      <w:r w:rsidRPr="0097532D">
        <w:rPr>
          <w:b/>
        </w:rPr>
        <w:t>121</w:t>
      </w:r>
      <w:r w:rsidRPr="0097532D">
        <w:t>: p. 727-736.</w:t>
      </w:r>
    </w:p>
    <w:p w14:paraId="4F9A22E3" w14:textId="77777777" w:rsidR="00B954AC" w:rsidRPr="0097532D" w:rsidRDefault="00257CE9">
      <w:pPr>
        <w:pStyle w:val="EndNoteBibliography"/>
        <w:ind w:left="720" w:hanging="720"/>
      </w:pPr>
      <w:r w:rsidRPr="0097532D">
        <w:t>44.</w:t>
      </w:r>
      <w:r w:rsidRPr="0097532D">
        <w:tab/>
        <w:t xml:space="preserve">Adams, J.A.J.B., </w:t>
      </w:r>
      <w:r w:rsidRPr="0097532D">
        <w:rPr>
          <w:i/>
        </w:rPr>
        <w:t>Activation loop phosphorylation and catalysis in protein kinases: is there functional evidence for the autoinhibitor model?</w:t>
      </w:r>
      <w:r w:rsidRPr="0097532D">
        <w:t xml:space="preserve"> 2003. </w:t>
      </w:r>
      <w:r w:rsidRPr="0097532D">
        <w:rPr>
          <w:b/>
        </w:rPr>
        <w:t>42</w:t>
      </w:r>
      <w:r w:rsidRPr="0097532D">
        <w:t>(3): p. 601-607.</w:t>
      </w:r>
    </w:p>
    <w:p w14:paraId="67393B13" w14:textId="77777777" w:rsidR="00B954AC" w:rsidRPr="0097532D" w:rsidRDefault="00257CE9">
      <w:pPr>
        <w:pStyle w:val="EndNoteBibliography"/>
        <w:ind w:left="720" w:hanging="720"/>
      </w:pPr>
      <w:r w:rsidRPr="0097532D">
        <w:t>45.</w:t>
      </w:r>
      <w:r w:rsidRPr="0097532D">
        <w:tab/>
        <w:t xml:space="preserve">Ahsan, M.J., et al., </w:t>
      </w:r>
      <w:r w:rsidRPr="0097532D">
        <w:rPr>
          <w:i/>
        </w:rPr>
        <w:t>Molecular properties prediction and synthesis of novel 1,3,4-oxadiazole analogues as potent antimicrobial and antitubercular agents.</w:t>
      </w:r>
      <w:r w:rsidRPr="0097532D">
        <w:t xml:space="preserve"> Bioorg Med Chem Lett, 2011. </w:t>
      </w:r>
      <w:r w:rsidRPr="0097532D">
        <w:rPr>
          <w:b/>
        </w:rPr>
        <w:t>21</w:t>
      </w:r>
      <w:r w:rsidRPr="0097532D">
        <w:t>(24): p. 7246-50.</w:t>
      </w:r>
    </w:p>
    <w:p w14:paraId="199C353A" w14:textId="4CC3D8EF" w:rsidR="00B954AC" w:rsidRPr="0097532D" w:rsidRDefault="00257CE9">
      <w:pPr>
        <w:spacing w:line="480" w:lineRule="auto"/>
        <w:jc w:val="both"/>
        <w:rPr>
          <w:rFonts w:eastAsia="Times New Roman"/>
          <w:lang w:val="en-IN"/>
        </w:rPr>
      </w:pPr>
      <w:r w:rsidRPr="0097532D">
        <w:rPr>
          <w:rFonts w:eastAsia="Times New Roman"/>
          <w:lang w:val="en-IN"/>
        </w:rPr>
        <w:fldChar w:fldCharType="end"/>
      </w:r>
    </w:p>
    <w:sectPr w:rsidR="00B954AC" w:rsidRPr="0097532D">
      <w:headerReference w:type="even" r:id="rId25"/>
      <w:headerReference w:type="default" r:id="rId26"/>
      <w:footerReference w:type="even" r:id="rId27"/>
      <w:footerReference w:type="default" r:id="rId28"/>
      <w:headerReference w:type="first" r:id="rId29"/>
      <w:footerReference w:type="first" r:id="rId30"/>
      <w:pgSz w:w="11909" w:h="16834"/>
      <w:pgMar w:top="1440" w:right="1440" w:bottom="874"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ka Aggarwal" w:date="2025-02-06T19:24:00Z" w:initials="AA">
    <w:p w14:paraId="254DE242" w14:textId="79F30494" w:rsidR="006E5C3B" w:rsidRPr="006E5C3B" w:rsidRDefault="006E5C3B">
      <w:pPr>
        <w:pStyle w:val="CommentText"/>
        <w:rPr>
          <w:lang w:val="en-US"/>
        </w:rPr>
      </w:pPr>
      <w:r>
        <w:rPr>
          <w:rStyle w:val="CommentReference"/>
        </w:rPr>
        <w:annotationRef/>
      </w:r>
      <w:r>
        <w:rPr>
          <w:lang w:val="en-US"/>
        </w:rPr>
        <w:t>Full form of ADME/Tox</w:t>
      </w:r>
    </w:p>
  </w:comment>
  <w:comment w:id="1" w:author="Alka Aggarwal" w:date="2025-02-06T19:25:00Z" w:initials="AA">
    <w:p w14:paraId="7B03AAA8" w14:textId="6ED9118F" w:rsidR="006E5C3B" w:rsidRPr="006E5C3B" w:rsidRDefault="006E5C3B">
      <w:pPr>
        <w:pStyle w:val="CommentText"/>
        <w:rPr>
          <w:lang w:val="en-US"/>
        </w:rPr>
      </w:pPr>
      <w:r>
        <w:rPr>
          <w:rStyle w:val="CommentReference"/>
        </w:rPr>
        <w:annotationRef/>
      </w:r>
      <w:r>
        <w:rPr>
          <w:lang w:val="en-US"/>
        </w:rPr>
        <w:t xml:space="preserve">Not use those words in Keywords which are used in Heading of manuscript.  </w:t>
      </w:r>
    </w:p>
  </w:comment>
  <w:comment w:id="2" w:author="Alka Aggarwal" w:date="2025-02-06T20:07:00Z" w:initials="AA">
    <w:p w14:paraId="237AAA12" w14:textId="1FFDED8A" w:rsidR="0090249C" w:rsidRPr="0090249C" w:rsidRDefault="0090249C">
      <w:pPr>
        <w:pStyle w:val="CommentText"/>
        <w:rPr>
          <w:lang w:val="en-US"/>
        </w:rPr>
      </w:pPr>
      <w:r>
        <w:rPr>
          <w:rStyle w:val="CommentReference"/>
        </w:rPr>
        <w:annotationRef/>
      </w:r>
      <w:r>
        <w:rPr>
          <w:lang w:val="en-US"/>
        </w:rPr>
        <w:t>This prevention of hyperphosphorylation</w:t>
      </w:r>
    </w:p>
  </w:comment>
  <w:comment w:id="3" w:author="Alka Aggarwal" w:date="2025-02-06T19:32:00Z" w:initials="AA">
    <w:p w14:paraId="1883904A" w14:textId="4631BB3D" w:rsidR="006E5C3B" w:rsidRPr="006E5C3B" w:rsidRDefault="006E5C3B">
      <w:pPr>
        <w:pStyle w:val="CommentText"/>
        <w:rPr>
          <w:lang w:val="en-US"/>
        </w:rPr>
      </w:pPr>
      <w:r>
        <w:rPr>
          <w:rStyle w:val="CommentReference"/>
        </w:rPr>
        <w:annotationRef/>
      </w:r>
      <w:r>
        <w:rPr>
          <w:lang w:val="en-US"/>
        </w:rPr>
        <w:t>Remove 25 to</w:t>
      </w:r>
    </w:p>
  </w:comment>
  <w:comment w:id="4" w:author="Alka Aggarwal" w:date="2025-02-06T19:37:00Z" w:initials="AA">
    <w:p w14:paraId="43CC07D0" w14:textId="1B5522CB" w:rsidR="00206375" w:rsidRPr="00206375" w:rsidRDefault="00206375">
      <w:pPr>
        <w:pStyle w:val="CommentText"/>
        <w:rPr>
          <w:lang w:val="en-US"/>
        </w:rPr>
      </w:pPr>
      <w:r>
        <w:rPr>
          <w:rStyle w:val="CommentReference"/>
        </w:rPr>
        <w:annotationRef/>
      </w:r>
      <w:r>
        <w:rPr>
          <w:lang w:val="en-US"/>
        </w:rPr>
        <w:t xml:space="preserve">Please write Full form of ADME/Toc  </w:t>
      </w:r>
      <w:proofErr w:type="spellStart"/>
      <w:r>
        <w:rPr>
          <w:lang w:val="en-US"/>
        </w:rPr>
        <w:t>ie</w:t>
      </w:r>
      <w:proofErr w:type="spellEnd"/>
      <w:r>
        <w:rPr>
          <w:lang w:val="en-US"/>
        </w:rPr>
        <w:t xml:space="preserve"> absorption, distribution, Metabolism, Excretion and Toxicity followed by initials in bracket. </w:t>
      </w:r>
    </w:p>
  </w:comment>
  <w:comment w:id="5" w:author="Alka Aggarwal" w:date="2025-02-06T20:18:00Z" w:initials="AA">
    <w:p w14:paraId="3D2B2807" w14:textId="02744D43" w:rsidR="00C279DC" w:rsidRPr="00C279DC" w:rsidRDefault="00C279DC" w:rsidP="00C279DC">
      <w:pPr>
        <w:pStyle w:val="CommentText"/>
        <w:rPr>
          <w:lang w:val="en-US"/>
        </w:rPr>
      </w:pPr>
      <w:r>
        <w:rPr>
          <w:lang w:val="en-US"/>
        </w:rPr>
        <w:t>l</w:t>
      </w:r>
    </w:p>
  </w:comment>
  <w:comment w:id="6" w:author="Alka Aggarwal" w:date="2025-02-06T20:21:00Z" w:initials="AA">
    <w:p w14:paraId="42C4A25C" w14:textId="45BD63A6" w:rsidR="00C279DC" w:rsidRPr="00C279DC" w:rsidRDefault="00C279DC">
      <w:pPr>
        <w:pStyle w:val="CommentText"/>
        <w:rPr>
          <w:lang w:val="en-US"/>
        </w:rPr>
      </w:pPr>
      <w:r>
        <w:rPr>
          <w:rStyle w:val="CommentReference"/>
        </w:rPr>
        <w:annotationRef/>
      </w:r>
      <w:r>
        <w:rPr>
          <w:rStyle w:val="CommentReference"/>
          <w:lang w:val="en-US"/>
        </w:rPr>
        <w:t>write full form first followed by initials/abbreviations</w:t>
      </w:r>
    </w:p>
  </w:comment>
  <w:comment w:id="7" w:author="Alka Aggarwal" w:date="2025-02-06T20:21:00Z" w:initials="AA">
    <w:p w14:paraId="0DA4C42E" w14:textId="698EEA2E" w:rsidR="00C279DC" w:rsidRPr="00C279DC" w:rsidRDefault="00C279DC">
      <w:pPr>
        <w:pStyle w:val="CommentText"/>
        <w:rPr>
          <w:lang w:val="en-US"/>
        </w:rPr>
      </w:pPr>
      <w:r>
        <w:rPr>
          <w:rStyle w:val="CommentReference"/>
        </w:rPr>
        <w:annotationRef/>
      </w:r>
      <w:r>
        <w:rPr>
          <w:lang w:val="en-US"/>
        </w:rPr>
        <w:t>write full form first followed by initials/abbreviations.</w:t>
      </w:r>
    </w:p>
  </w:comment>
  <w:comment w:id="8" w:author="Alka Aggarwal" w:date="2025-02-07T20:53:00Z" w:initials="AA">
    <w:p w14:paraId="3ACC7DAA" w14:textId="6148992F" w:rsidR="007C1F98" w:rsidRPr="007C1F98" w:rsidRDefault="007C1F98">
      <w:pPr>
        <w:pStyle w:val="CommentText"/>
        <w:rPr>
          <w:lang w:val="en-US"/>
        </w:rPr>
      </w:pPr>
      <w:r>
        <w:rPr>
          <w:rStyle w:val="CommentReference"/>
        </w:rPr>
        <w:annotationRef/>
      </w:r>
      <w:r>
        <w:rPr>
          <w:lang w:val="en-US"/>
        </w:rPr>
        <w:t xml:space="preserve">Please put figure and table just near to related theoretical part in the manuscript. </w:t>
      </w:r>
    </w:p>
  </w:comment>
  <w:comment w:id="9" w:author="Alka Aggarwal" w:date="2025-02-07T20:48:00Z" w:initials="AA">
    <w:p w14:paraId="512F1B75" w14:textId="7BDF3B60" w:rsidR="00E62608" w:rsidRPr="00E62608" w:rsidRDefault="00E62608">
      <w:pPr>
        <w:pStyle w:val="CommentText"/>
        <w:rPr>
          <w:lang w:val="en-US"/>
        </w:rPr>
      </w:pPr>
      <w:r>
        <w:rPr>
          <w:rStyle w:val="CommentReference"/>
        </w:rPr>
        <w:annotationRef/>
      </w:r>
      <w:r>
        <w:rPr>
          <w:lang w:val="en-US"/>
        </w:rPr>
        <w:t xml:space="preserve">Please modify the references according to Vancouver system. Use et al after the name of six authors. Otherwise give name of all six author.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4DE242" w15:done="0"/>
  <w15:commentEx w15:paraId="7B03AAA8" w15:done="0"/>
  <w15:commentEx w15:paraId="237AAA12" w15:done="0"/>
  <w15:commentEx w15:paraId="1883904A" w15:done="0"/>
  <w15:commentEx w15:paraId="43CC07D0" w15:done="0"/>
  <w15:commentEx w15:paraId="3D2B2807" w15:paraIdParent="43CC07D0" w15:done="0"/>
  <w15:commentEx w15:paraId="42C4A25C" w15:done="0"/>
  <w15:commentEx w15:paraId="0DA4C42E" w15:done="0"/>
  <w15:commentEx w15:paraId="3ACC7DAA" w15:done="0"/>
  <w15:commentEx w15:paraId="512F1B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C69C44" w16cex:dateUtc="2025-02-06T13:54:00Z"/>
  <w16cex:commentExtensible w16cex:durableId="7A406A9B" w16cex:dateUtc="2025-02-06T13:55:00Z"/>
  <w16cex:commentExtensible w16cex:durableId="5BAA1CF7" w16cex:dateUtc="2025-02-06T14:37:00Z"/>
  <w16cex:commentExtensible w16cex:durableId="0BFB85D1" w16cex:dateUtc="2025-02-06T14:02:00Z"/>
  <w16cex:commentExtensible w16cex:durableId="43E28B40" w16cex:dateUtc="2025-02-06T14:07:00Z"/>
  <w16cex:commentExtensible w16cex:durableId="5A3E1B96" w16cex:dateUtc="2025-02-06T14:48:00Z"/>
  <w16cex:commentExtensible w16cex:durableId="031BA83C" w16cex:dateUtc="2025-02-06T14:51:00Z"/>
  <w16cex:commentExtensible w16cex:durableId="12C4A1DC" w16cex:dateUtc="2025-02-06T14:51:00Z"/>
  <w16cex:commentExtensible w16cex:durableId="439DD013" w16cex:dateUtc="2025-02-07T15:23:00Z"/>
  <w16cex:commentExtensible w16cex:durableId="11C8B92F" w16cex:dateUtc="2025-02-07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4DE242" w16cid:durableId="73C69C44"/>
  <w16cid:commentId w16cid:paraId="7B03AAA8" w16cid:durableId="7A406A9B"/>
  <w16cid:commentId w16cid:paraId="237AAA12" w16cid:durableId="5BAA1CF7"/>
  <w16cid:commentId w16cid:paraId="1883904A" w16cid:durableId="0BFB85D1"/>
  <w16cid:commentId w16cid:paraId="43CC07D0" w16cid:durableId="43E28B40"/>
  <w16cid:commentId w16cid:paraId="3D2B2807" w16cid:durableId="5A3E1B96"/>
  <w16cid:commentId w16cid:paraId="42C4A25C" w16cid:durableId="031BA83C"/>
  <w16cid:commentId w16cid:paraId="0DA4C42E" w16cid:durableId="12C4A1DC"/>
  <w16cid:commentId w16cid:paraId="3ACC7DAA" w16cid:durableId="439DD013"/>
  <w16cid:commentId w16cid:paraId="512F1B75" w16cid:durableId="11C8B9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90E47" w14:textId="77777777" w:rsidR="00493989" w:rsidRDefault="00493989">
      <w:pPr>
        <w:spacing w:line="240" w:lineRule="auto"/>
      </w:pPr>
      <w:r>
        <w:separator/>
      </w:r>
    </w:p>
  </w:endnote>
  <w:endnote w:type="continuationSeparator" w:id="0">
    <w:p w14:paraId="0D7D19DA" w14:textId="77777777" w:rsidR="00493989" w:rsidRDefault="00493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F81A" w14:textId="77777777" w:rsidR="00D14212" w:rsidRDefault="00D14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9581" w14:textId="77777777" w:rsidR="00B954AC" w:rsidRDefault="00257CE9">
    <w:pPr>
      <w:pStyle w:val="Footer"/>
    </w:pPr>
    <w:r>
      <w:rPr>
        <w:noProof/>
      </w:rPr>
      <mc:AlternateContent>
        <mc:Choice Requires="wps">
          <w:drawing>
            <wp:anchor distT="0" distB="0" distL="114300" distR="114300" simplePos="0" relativeHeight="251659264" behindDoc="0" locked="0" layoutInCell="1" allowOverlap="1" wp14:anchorId="0F0291E5" wp14:editId="70A3B590">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93811" w14:textId="77777777" w:rsidR="00B954AC" w:rsidRDefault="00257CE9">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0291E5" id="_x0000_t202" coordsize="21600,21600" o:spt="202" path="m,l,21600r21600,l21600,xe">
              <v:stroke joinstyle="miter"/>
              <v:path gradientshapeok="t" o:connecttype="rect"/>
            </v:shapetype>
            <v:shape id="Text Box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3793811" w14:textId="77777777" w:rsidR="00B954AC" w:rsidRDefault="00257CE9">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B754" w14:textId="77777777" w:rsidR="00D14212" w:rsidRDefault="00D14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7E446" w14:textId="77777777" w:rsidR="00493989" w:rsidRDefault="00493989">
      <w:r>
        <w:separator/>
      </w:r>
    </w:p>
  </w:footnote>
  <w:footnote w:type="continuationSeparator" w:id="0">
    <w:p w14:paraId="41568CF9" w14:textId="77777777" w:rsidR="00493989" w:rsidRDefault="00493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B5FA" w14:textId="6BAA8A0D" w:rsidR="00D14212" w:rsidRDefault="00000000">
    <w:pPr>
      <w:pStyle w:val="Header"/>
    </w:pPr>
    <w:r>
      <w:rPr>
        <w:noProof/>
      </w:rPr>
      <w:pict w14:anchorId="0E303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6" o:spid="_x0000_s1026"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E621" w14:textId="13AFFC28" w:rsidR="00D14212" w:rsidRDefault="00000000">
    <w:pPr>
      <w:pStyle w:val="Header"/>
    </w:pPr>
    <w:r>
      <w:rPr>
        <w:noProof/>
      </w:rPr>
      <w:pict w14:anchorId="4FE1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7" o:spid="_x0000_s1027" type="#_x0000_t136" style="position:absolute;margin-left:0;margin-top:0;width:572.8pt;height:63.6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8946" w14:textId="72191C8E" w:rsidR="00D14212" w:rsidRDefault="00000000">
    <w:pPr>
      <w:pStyle w:val="Header"/>
    </w:pPr>
    <w:r>
      <w:rPr>
        <w:noProof/>
      </w:rPr>
      <w:pict w14:anchorId="12661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5" o:spid="_x0000_s1025"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BA06690"/>
    <w:lvl w:ilvl="0">
      <w:start w:val="1"/>
      <w:numFmt w:val="bullet"/>
      <w:lvlText w:val=""/>
      <w:lvlJc w:val="left"/>
      <w:pPr>
        <w:tabs>
          <w:tab w:val="num" w:pos="360"/>
        </w:tabs>
        <w:ind w:left="360" w:hanging="360"/>
      </w:pPr>
      <w:rPr>
        <w:rFonts w:ascii="Symbol" w:hAnsi="Symbol" w:hint="default"/>
      </w:rPr>
    </w:lvl>
  </w:abstractNum>
  <w:num w:numId="1" w16cid:durableId="2649209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ka Aggarwal">
    <w15:presenceInfo w15:providerId="Windows Live" w15:userId="a63137dc78e68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dv0pte9vpfs7e9x5tpdwp1xaa59rxrzzwr&quot;&gt;EndNote Library 07042024&lt;record-ids&gt;&lt;item&gt;77&lt;/item&gt;&lt;item&gt;88&lt;/item&gt;&lt;item&gt;159&lt;/item&gt;&lt;item&gt;185&lt;/item&gt;&lt;item&gt;196&lt;/item&gt;&lt;item&gt;212&lt;/item&gt;&lt;item&gt;217&lt;/item&gt;&lt;item&gt;251&lt;/item&gt;&lt;item&gt;301&lt;/item&gt;&lt;item&gt;305&lt;/item&gt;&lt;item&gt;316&lt;/item&gt;&lt;item&gt;320&lt;/item&gt;&lt;item&gt;353&lt;/item&gt;&lt;item&gt;392&lt;/item&gt;&lt;item&gt;405&lt;/item&gt;&lt;item&gt;407&lt;/item&gt;&lt;item&gt;415&lt;/item&gt;&lt;item&gt;416&lt;/item&gt;&lt;item&gt;418&lt;/item&gt;&lt;item&gt;424&lt;/item&gt;&lt;item&gt;426&lt;/item&gt;&lt;item&gt;427&lt;/item&gt;&lt;item&gt;430&lt;/item&gt;&lt;item&gt;442&lt;/item&gt;&lt;item&gt;443&lt;/item&gt;&lt;item&gt;448&lt;/item&gt;&lt;/record-ids&gt;&lt;/item&gt;&lt;/Libraries&gt;"/>
  </w:docVars>
  <w:rsids>
    <w:rsidRoot w:val="00BD65E9"/>
    <w:rsid w:val="0001112C"/>
    <w:rsid w:val="0001412C"/>
    <w:rsid w:val="00016CCE"/>
    <w:rsid w:val="000427D1"/>
    <w:rsid w:val="00044243"/>
    <w:rsid w:val="00055834"/>
    <w:rsid w:val="00062D29"/>
    <w:rsid w:val="00071168"/>
    <w:rsid w:val="00080B88"/>
    <w:rsid w:val="00081BC9"/>
    <w:rsid w:val="000973CC"/>
    <w:rsid w:val="000A1A50"/>
    <w:rsid w:val="000A67BB"/>
    <w:rsid w:val="000B6FF3"/>
    <w:rsid w:val="000D0334"/>
    <w:rsid w:val="000F0F5A"/>
    <w:rsid w:val="000F19C5"/>
    <w:rsid w:val="000F74BF"/>
    <w:rsid w:val="00111CD4"/>
    <w:rsid w:val="00130109"/>
    <w:rsid w:val="001431C4"/>
    <w:rsid w:val="0014466D"/>
    <w:rsid w:val="00155C72"/>
    <w:rsid w:val="00185638"/>
    <w:rsid w:val="001A58F4"/>
    <w:rsid w:val="001B2305"/>
    <w:rsid w:val="00206375"/>
    <w:rsid w:val="00211962"/>
    <w:rsid w:val="00211A97"/>
    <w:rsid w:val="002315B6"/>
    <w:rsid w:val="00237993"/>
    <w:rsid w:val="00250A94"/>
    <w:rsid w:val="00257CE9"/>
    <w:rsid w:val="002746E7"/>
    <w:rsid w:val="002A5E34"/>
    <w:rsid w:val="002A61B1"/>
    <w:rsid w:val="002C2597"/>
    <w:rsid w:val="002D25EA"/>
    <w:rsid w:val="002D5C51"/>
    <w:rsid w:val="002D6898"/>
    <w:rsid w:val="002E6B69"/>
    <w:rsid w:val="00330861"/>
    <w:rsid w:val="00355B6F"/>
    <w:rsid w:val="00361DEA"/>
    <w:rsid w:val="003772DE"/>
    <w:rsid w:val="00385AE2"/>
    <w:rsid w:val="003B0014"/>
    <w:rsid w:val="003B2E22"/>
    <w:rsid w:val="003E3B84"/>
    <w:rsid w:val="003E63F3"/>
    <w:rsid w:val="00437262"/>
    <w:rsid w:val="00446CBE"/>
    <w:rsid w:val="00463F1A"/>
    <w:rsid w:val="00493989"/>
    <w:rsid w:val="004A66F1"/>
    <w:rsid w:val="004C5AD7"/>
    <w:rsid w:val="004E02BB"/>
    <w:rsid w:val="004E582A"/>
    <w:rsid w:val="004F299E"/>
    <w:rsid w:val="004F3354"/>
    <w:rsid w:val="00510DDB"/>
    <w:rsid w:val="00531CC7"/>
    <w:rsid w:val="00531F55"/>
    <w:rsid w:val="005424AD"/>
    <w:rsid w:val="00557BB8"/>
    <w:rsid w:val="00564560"/>
    <w:rsid w:val="0056489F"/>
    <w:rsid w:val="00574381"/>
    <w:rsid w:val="0058003B"/>
    <w:rsid w:val="005A51C4"/>
    <w:rsid w:val="005C3958"/>
    <w:rsid w:val="005D7498"/>
    <w:rsid w:val="00606E8A"/>
    <w:rsid w:val="0061516A"/>
    <w:rsid w:val="00631860"/>
    <w:rsid w:val="00666C39"/>
    <w:rsid w:val="00681CD1"/>
    <w:rsid w:val="006C2167"/>
    <w:rsid w:val="006E5C3B"/>
    <w:rsid w:val="0071545A"/>
    <w:rsid w:val="00720D27"/>
    <w:rsid w:val="00725539"/>
    <w:rsid w:val="00737ACD"/>
    <w:rsid w:val="0074349C"/>
    <w:rsid w:val="007668C8"/>
    <w:rsid w:val="00780771"/>
    <w:rsid w:val="007920C4"/>
    <w:rsid w:val="00795EA9"/>
    <w:rsid w:val="0079714D"/>
    <w:rsid w:val="007A0E22"/>
    <w:rsid w:val="007B7A8C"/>
    <w:rsid w:val="007C1F98"/>
    <w:rsid w:val="007C55F1"/>
    <w:rsid w:val="007D3941"/>
    <w:rsid w:val="007E5DB7"/>
    <w:rsid w:val="007F4AAC"/>
    <w:rsid w:val="00802DC4"/>
    <w:rsid w:val="00823975"/>
    <w:rsid w:val="00831FD6"/>
    <w:rsid w:val="00844DD2"/>
    <w:rsid w:val="008659AE"/>
    <w:rsid w:val="00884A1E"/>
    <w:rsid w:val="008B24DB"/>
    <w:rsid w:val="008B48E0"/>
    <w:rsid w:val="008B4A9F"/>
    <w:rsid w:val="008D1CE1"/>
    <w:rsid w:val="0090249C"/>
    <w:rsid w:val="00917329"/>
    <w:rsid w:val="00926B66"/>
    <w:rsid w:val="00932451"/>
    <w:rsid w:val="00936859"/>
    <w:rsid w:val="009520E6"/>
    <w:rsid w:val="0095728D"/>
    <w:rsid w:val="009662AF"/>
    <w:rsid w:val="0097532D"/>
    <w:rsid w:val="00985235"/>
    <w:rsid w:val="00996137"/>
    <w:rsid w:val="009C4432"/>
    <w:rsid w:val="009E0F52"/>
    <w:rsid w:val="00A0132A"/>
    <w:rsid w:val="00A14351"/>
    <w:rsid w:val="00A37510"/>
    <w:rsid w:val="00A37E0D"/>
    <w:rsid w:val="00A43879"/>
    <w:rsid w:val="00A54D34"/>
    <w:rsid w:val="00A750ED"/>
    <w:rsid w:val="00A8466F"/>
    <w:rsid w:val="00A90D94"/>
    <w:rsid w:val="00AC718C"/>
    <w:rsid w:val="00AE1DF6"/>
    <w:rsid w:val="00AE6532"/>
    <w:rsid w:val="00AE757D"/>
    <w:rsid w:val="00B05A58"/>
    <w:rsid w:val="00B130D3"/>
    <w:rsid w:val="00B164A4"/>
    <w:rsid w:val="00B31B13"/>
    <w:rsid w:val="00B354D2"/>
    <w:rsid w:val="00B41FAF"/>
    <w:rsid w:val="00B678A2"/>
    <w:rsid w:val="00B8386F"/>
    <w:rsid w:val="00B94744"/>
    <w:rsid w:val="00B954AC"/>
    <w:rsid w:val="00BB48FF"/>
    <w:rsid w:val="00BB56AB"/>
    <w:rsid w:val="00BD65E9"/>
    <w:rsid w:val="00BE1C61"/>
    <w:rsid w:val="00BE3D2D"/>
    <w:rsid w:val="00BE5289"/>
    <w:rsid w:val="00BF70F6"/>
    <w:rsid w:val="00C15E68"/>
    <w:rsid w:val="00C26BBD"/>
    <w:rsid w:val="00C279DC"/>
    <w:rsid w:val="00C332F8"/>
    <w:rsid w:val="00C33BCB"/>
    <w:rsid w:val="00C34E80"/>
    <w:rsid w:val="00C50A56"/>
    <w:rsid w:val="00C80DEC"/>
    <w:rsid w:val="00CF429B"/>
    <w:rsid w:val="00D14212"/>
    <w:rsid w:val="00D46848"/>
    <w:rsid w:val="00D568B6"/>
    <w:rsid w:val="00D60F47"/>
    <w:rsid w:val="00DB076A"/>
    <w:rsid w:val="00DB35ED"/>
    <w:rsid w:val="00DC0586"/>
    <w:rsid w:val="00DD4E64"/>
    <w:rsid w:val="00DD5278"/>
    <w:rsid w:val="00DD6355"/>
    <w:rsid w:val="00DE038D"/>
    <w:rsid w:val="00E00965"/>
    <w:rsid w:val="00E01ACF"/>
    <w:rsid w:val="00E032D5"/>
    <w:rsid w:val="00E10A83"/>
    <w:rsid w:val="00E253ED"/>
    <w:rsid w:val="00E37E12"/>
    <w:rsid w:val="00E62608"/>
    <w:rsid w:val="00E62B48"/>
    <w:rsid w:val="00E80E00"/>
    <w:rsid w:val="00EA06CB"/>
    <w:rsid w:val="00EB15DF"/>
    <w:rsid w:val="00EC73C2"/>
    <w:rsid w:val="00ED4063"/>
    <w:rsid w:val="00EE5C9E"/>
    <w:rsid w:val="00F028AB"/>
    <w:rsid w:val="00F10898"/>
    <w:rsid w:val="00F15BD3"/>
    <w:rsid w:val="00F17206"/>
    <w:rsid w:val="00F17E43"/>
    <w:rsid w:val="00F4348B"/>
    <w:rsid w:val="00F44063"/>
    <w:rsid w:val="00F528C1"/>
    <w:rsid w:val="00F52A54"/>
    <w:rsid w:val="00F55EA8"/>
    <w:rsid w:val="00F668B2"/>
    <w:rsid w:val="00F706DA"/>
    <w:rsid w:val="00F80277"/>
    <w:rsid w:val="00F931BF"/>
    <w:rsid w:val="00FE14F0"/>
    <w:rsid w:val="014903A9"/>
    <w:rsid w:val="01F218F6"/>
    <w:rsid w:val="02672D80"/>
    <w:rsid w:val="03144DDE"/>
    <w:rsid w:val="05193D43"/>
    <w:rsid w:val="0665277B"/>
    <w:rsid w:val="06AB2CA9"/>
    <w:rsid w:val="07E8187C"/>
    <w:rsid w:val="083C54A6"/>
    <w:rsid w:val="09B329F7"/>
    <w:rsid w:val="09D57FED"/>
    <w:rsid w:val="09DC2418"/>
    <w:rsid w:val="09DF1191"/>
    <w:rsid w:val="0AB83079"/>
    <w:rsid w:val="0AC850E8"/>
    <w:rsid w:val="0B904305"/>
    <w:rsid w:val="0B9C34F4"/>
    <w:rsid w:val="0C736F6D"/>
    <w:rsid w:val="0C7843D8"/>
    <w:rsid w:val="0EB130ED"/>
    <w:rsid w:val="0F225220"/>
    <w:rsid w:val="109B62DE"/>
    <w:rsid w:val="10E127DA"/>
    <w:rsid w:val="11E56954"/>
    <w:rsid w:val="11F67770"/>
    <w:rsid w:val="12705C37"/>
    <w:rsid w:val="12CE6D72"/>
    <w:rsid w:val="12E35F23"/>
    <w:rsid w:val="137E05E2"/>
    <w:rsid w:val="13F007CA"/>
    <w:rsid w:val="14514FE4"/>
    <w:rsid w:val="148445E6"/>
    <w:rsid w:val="156C76B7"/>
    <w:rsid w:val="15E92771"/>
    <w:rsid w:val="19500CB4"/>
    <w:rsid w:val="1986206E"/>
    <w:rsid w:val="1AB52B8F"/>
    <w:rsid w:val="1BAD5313"/>
    <w:rsid w:val="1BB117E3"/>
    <w:rsid w:val="1CB65729"/>
    <w:rsid w:val="1D6023F2"/>
    <w:rsid w:val="1DFD64E3"/>
    <w:rsid w:val="1FD20629"/>
    <w:rsid w:val="20FC3F80"/>
    <w:rsid w:val="23604207"/>
    <w:rsid w:val="246918CD"/>
    <w:rsid w:val="256C105F"/>
    <w:rsid w:val="26584BBF"/>
    <w:rsid w:val="26A95C00"/>
    <w:rsid w:val="270E79A0"/>
    <w:rsid w:val="287B557A"/>
    <w:rsid w:val="28956BDF"/>
    <w:rsid w:val="28F758A6"/>
    <w:rsid w:val="29885DC1"/>
    <w:rsid w:val="29A7688E"/>
    <w:rsid w:val="2B510F85"/>
    <w:rsid w:val="2E002959"/>
    <w:rsid w:val="2E547BA9"/>
    <w:rsid w:val="2E755845"/>
    <w:rsid w:val="2F3432A1"/>
    <w:rsid w:val="2F836C61"/>
    <w:rsid w:val="2FAB1EEC"/>
    <w:rsid w:val="2FAB5FAD"/>
    <w:rsid w:val="2FB82F9F"/>
    <w:rsid w:val="312740CE"/>
    <w:rsid w:val="31E92528"/>
    <w:rsid w:val="32067C9F"/>
    <w:rsid w:val="32663EE1"/>
    <w:rsid w:val="32DD5521"/>
    <w:rsid w:val="3308554F"/>
    <w:rsid w:val="33235F3F"/>
    <w:rsid w:val="34754D20"/>
    <w:rsid w:val="34FB4A36"/>
    <w:rsid w:val="36232DC2"/>
    <w:rsid w:val="36DA3F66"/>
    <w:rsid w:val="3776081D"/>
    <w:rsid w:val="385B6824"/>
    <w:rsid w:val="3AA11EE8"/>
    <w:rsid w:val="3B194FC7"/>
    <w:rsid w:val="3B744119"/>
    <w:rsid w:val="3D6313C6"/>
    <w:rsid w:val="3D9A0D25"/>
    <w:rsid w:val="3FE768D1"/>
    <w:rsid w:val="4139520E"/>
    <w:rsid w:val="41B50C94"/>
    <w:rsid w:val="41E20E1E"/>
    <w:rsid w:val="43BD16AC"/>
    <w:rsid w:val="440A76A9"/>
    <w:rsid w:val="44307645"/>
    <w:rsid w:val="44E53A87"/>
    <w:rsid w:val="451E6974"/>
    <w:rsid w:val="46BC1C67"/>
    <w:rsid w:val="46C334C1"/>
    <w:rsid w:val="46F6107E"/>
    <w:rsid w:val="48674EF4"/>
    <w:rsid w:val="4AE10568"/>
    <w:rsid w:val="4B017F2B"/>
    <w:rsid w:val="4B5510EB"/>
    <w:rsid w:val="4BF722AF"/>
    <w:rsid w:val="4BFE7762"/>
    <w:rsid w:val="4C3843DE"/>
    <w:rsid w:val="4C5B4D28"/>
    <w:rsid w:val="4D3764BE"/>
    <w:rsid w:val="4DF8457F"/>
    <w:rsid w:val="4EDD0B37"/>
    <w:rsid w:val="4F87180E"/>
    <w:rsid w:val="4FD40940"/>
    <w:rsid w:val="50801C21"/>
    <w:rsid w:val="50AE0C53"/>
    <w:rsid w:val="52787600"/>
    <w:rsid w:val="52D21649"/>
    <w:rsid w:val="539B202B"/>
    <w:rsid w:val="55B72CB0"/>
    <w:rsid w:val="55CF0356"/>
    <w:rsid w:val="55DD5AFE"/>
    <w:rsid w:val="562E614B"/>
    <w:rsid w:val="568672D1"/>
    <w:rsid w:val="577828C0"/>
    <w:rsid w:val="5BB00D7C"/>
    <w:rsid w:val="5C3C4F10"/>
    <w:rsid w:val="5D5E49E3"/>
    <w:rsid w:val="5DDB76EF"/>
    <w:rsid w:val="5E465887"/>
    <w:rsid w:val="5F4213C2"/>
    <w:rsid w:val="5F9A70E8"/>
    <w:rsid w:val="5F9C3ACB"/>
    <w:rsid w:val="5FF52A4D"/>
    <w:rsid w:val="60226A95"/>
    <w:rsid w:val="609F34ED"/>
    <w:rsid w:val="614C34D0"/>
    <w:rsid w:val="61FB139F"/>
    <w:rsid w:val="639F1128"/>
    <w:rsid w:val="64CE386A"/>
    <w:rsid w:val="655C5458"/>
    <w:rsid w:val="65A93AEA"/>
    <w:rsid w:val="661C274E"/>
    <w:rsid w:val="666A6D0E"/>
    <w:rsid w:val="6686536D"/>
    <w:rsid w:val="68014F2E"/>
    <w:rsid w:val="68AC2E48"/>
    <w:rsid w:val="69954DFA"/>
    <w:rsid w:val="6B052057"/>
    <w:rsid w:val="6B147FC7"/>
    <w:rsid w:val="6B2A44E1"/>
    <w:rsid w:val="6BF04046"/>
    <w:rsid w:val="6C7043C3"/>
    <w:rsid w:val="6D543B83"/>
    <w:rsid w:val="6DE416C0"/>
    <w:rsid w:val="6DF76C4A"/>
    <w:rsid w:val="6DFF5CD6"/>
    <w:rsid w:val="6E2C3483"/>
    <w:rsid w:val="6FC203E7"/>
    <w:rsid w:val="7063448F"/>
    <w:rsid w:val="72280D97"/>
    <w:rsid w:val="73000638"/>
    <w:rsid w:val="73171B5F"/>
    <w:rsid w:val="75183697"/>
    <w:rsid w:val="75656DAA"/>
    <w:rsid w:val="75E64D79"/>
    <w:rsid w:val="7642380A"/>
    <w:rsid w:val="76F45E0A"/>
    <w:rsid w:val="775F490D"/>
    <w:rsid w:val="77B02F55"/>
    <w:rsid w:val="77EB1B74"/>
    <w:rsid w:val="798776EC"/>
    <w:rsid w:val="79A76852"/>
    <w:rsid w:val="79C42CBC"/>
    <w:rsid w:val="7A80073F"/>
    <w:rsid w:val="7B007431"/>
    <w:rsid w:val="7C046A39"/>
    <w:rsid w:val="7C1E3CB4"/>
    <w:rsid w:val="7C446D8F"/>
    <w:rsid w:val="7CB24B6F"/>
    <w:rsid w:val="7E8A6888"/>
    <w:rsid w:val="7E9A4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EFB98"/>
  <w15:docId w15:val="{FA245A12-B14A-4C12-80CA-C0EE2ADE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5" w:qFormat="1"/>
    <w:lsdException w:name="index 6" w:qFormat="1"/>
    <w:lsdException w:name="toc 8" w:qFormat="1"/>
    <w:lsdException w:name="footnote text" w:qFormat="1"/>
    <w:lsdException w:name="annotation text" w:qFormat="1"/>
    <w:lsdException w:name="header" w:qFormat="1"/>
    <w:lsdException w:name="caption" w:semiHidden="1" w:unhideWhenUsed="1" w:qFormat="1"/>
    <w:lsdException w:name="envelope address" w:qFormat="1"/>
    <w:lsdException w:name="annotation reference" w:qFormat="1"/>
    <w:lsdException w:name="line number" w:qFormat="1"/>
    <w:lsdException w:name="endnote text" w:qFormat="1"/>
    <w:lsdException w:name="List" w:qFormat="1"/>
    <w:lsdException w:name="List Bullet" w:qFormat="1"/>
    <w:lsdException w:name="List 2" w:qFormat="1"/>
    <w:lsdException w:name="List 3" w:qFormat="1"/>
    <w:lsdException w:name="List 4" w:qFormat="1"/>
    <w:lsdException w:name="Title" w:qFormat="1"/>
    <w:lsdException w:name="Default Paragraph Font" w:semiHidden="1" w:uiPriority="1" w:unhideWhenUsed="1"/>
    <w:lsdException w:name="Body Text" w:qFormat="1"/>
    <w:lsdException w:name="Subtitle" w:qFormat="1"/>
    <w:lsdException w:name="Body Text First Indent" w:qFormat="1"/>
    <w:lsdException w:name="Body Text 2" w:qFormat="1"/>
    <w:lsdException w:name="Body Tex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Keyboard"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lang w:val="zh-C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themeColor="hyperlink"/>
      <w:u w:val="single"/>
    </w:r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after="320"/>
    </w:pPr>
    <w:rPr>
      <w:color w:val="666666"/>
      <w:sz w:val="30"/>
      <w:szCs w:val="30"/>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paragraph" w:customStyle="1" w:styleId="Revision1">
    <w:name w:val="Revision1"/>
    <w:hidden/>
    <w:uiPriority w:val="99"/>
    <w:unhideWhenUsed/>
    <w:qFormat/>
    <w:rPr>
      <w:rFonts w:ascii="Arial" w:eastAsia="Arial" w:hAnsi="Arial" w:cs="Arial"/>
      <w:sz w:val="22"/>
      <w:szCs w:val="22"/>
      <w:lang w:val="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qFormat/>
    <w:rPr>
      <w:rFonts w:ascii="Arial" w:eastAsia="Arial" w:hAnsi="Arial" w:cs="Arial"/>
      <w:lang w:val="zh-CN"/>
    </w:rPr>
  </w:style>
  <w:style w:type="character" w:customStyle="1" w:styleId="CommentSubjectChar">
    <w:name w:val="Comment Subject Char"/>
    <w:basedOn w:val="CommentTextChar"/>
    <w:link w:val="CommentSubject"/>
    <w:qFormat/>
    <w:rPr>
      <w:rFonts w:ascii="Arial" w:eastAsia="Arial" w:hAnsi="Arial" w:cs="Arial"/>
      <w:b/>
      <w:bCs/>
      <w:lang w:val="zh-CN"/>
    </w:rPr>
  </w:style>
  <w:style w:type="paragraph" w:customStyle="1" w:styleId="EndNoteBibliographyTitle">
    <w:name w:val="EndNote Bibliography Title"/>
    <w:basedOn w:val="Normal"/>
    <w:link w:val="EndNoteBibliographyTitleChar"/>
    <w:qFormat/>
    <w:pPr>
      <w:jc w:val="center"/>
    </w:pPr>
    <w:rPr>
      <w:lang w:val="en-IN" w:eastAsia="zh-CN"/>
    </w:rPr>
  </w:style>
  <w:style w:type="character" w:customStyle="1" w:styleId="EndNoteBibliographyTitleChar">
    <w:name w:val="EndNote Bibliography Title Char"/>
    <w:basedOn w:val="DefaultParagraphFont"/>
    <w:link w:val="EndNoteBibliographyTitle"/>
    <w:qFormat/>
    <w:rPr>
      <w:rFonts w:ascii="Arial" w:eastAsia="Arial" w:hAnsi="Arial" w:cs="Arial"/>
      <w:sz w:val="22"/>
      <w:szCs w:val="22"/>
      <w:lang w:eastAsia="zh-CN"/>
    </w:rPr>
  </w:style>
  <w:style w:type="paragraph" w:customStyle="1" w:styleId="EndNoteBibliography">
    <w:name w:val="EndNote Bibliography"/>
    <w:basedOn w:val="Normal"/>
    <w:link w:val="EndNoteBibliographyChar"/>
    <w:qFormat/>
    <w:pPr>
      <w:spacing w:line="240" w:lineRule="auto"/>
      <w:jc w:val="both"/>
    </w:pPr>
    <w:rPr>
      <w:lang w:val="en-IN" w:eastAsia="zh-CN"/>
    </w:rPr>
  </w:style>
  <w:style w:type="character" w:customStyle="1" w:styleId="EndNoteBibliographyChar">
    <w:name w:val="EndNote Bibliography Char"/>
    <w:basedOn w:val="DefaultParagraphFont"/>
    <w:link w:val="EndNoteBibliography"/>
    <w:qFormat/>
    <w:rPr>
      <w:rFonts w:ascii="Arial" w:eastAsia="Arial" w:hAnsi="Arial" w:cs="Arial"/>
      <w:sz w:val="22"/>
      <w:szCs w:val="22"/>
      <w:lang w:eastAsia="zh-CN"/>
    </w:rPr>
  </w:style>
  <w:style w:type="character" w:styleId="UnresolvedMention">
    <w:name w:val="Unresolved Mention"/>
    <w:basedOn w:val="DefaultParagraphFont"/>
    <w:uiPriority w:val="99"/>
    <w:semiHidden/>
    <w:unhideWhenUsed/>
    <w:rsid w:val="00C34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b.imsc.res.in/imppat/home" TargetMode="External"/><Relationship Id="rId18" Type="http://schemas.openxmlformats.org/officeDocument/2006/relationships/hyperlink" Target="https://www.uniprot.org/help/uniprotkb"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3.tiff"/><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www.rcsb.org/"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mmd.ecust.edu.cn/admetsar2/" TargetMode="Externa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6.tiff"/><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swissadme.ch/" TargetMode="External"/><Relationship Id="rId23" Type="http://schemas.openxmlformats.org/officeDocument/2006/relationships/image" Target="media/image5.tiff"/><Relationship Id="rId28"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1.tif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pdt.biogem.org/search.php" TargetMode="External"/><Relationship Id="rId22" Type="http://schemas.openxmlformats.org/officeDocument/2006/relationships/image" Target="media/image4.tiff"/><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FBDE28B-3FBB-482C-9529-A05587579F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11687</Words>
  <Characters>68955</Characters>
  <Application>Microsoft Office Word</Application>
  <DocSecurity>0</DocSecurity>
  <Lines>1209</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Suyash</dc:creator>
  <cp:lastModifiedBy>Alka Aggarwal</cp:lastModifiedBy>
  <cp:revision>4</cp:revision>
  <dcterms:created xsi:type="dcterms:W3CDTF">2025-02-06T16:17:00Z</dcterms:created>
  <dcterms:modified xsi:type="dcterms:W3CDTF">2025-02-07T15:24:00Z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3EF8886947534AD899A221B934A5C82F_12</vt:lpwstr>
  </property>
  <property fmtid="{D5CDD505-2E9C-101B-9397-08002B2CF9AE}" pid="4" name="GrammarlyDocumentId">
    <vt:lpwstr>c622d1fb7ea2ab39d80fe193e0c4bf7c95763444128d2b3ef3df4b616169cea1</vt:lpwstr>
  </property>
</Properties>
</file>