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0424E" w14:textId="46606910" w:rsidR="00A15F0C" w:rsidRDefault="001761AB" w:rsidP="00890465">
      <w:pPr>
        <w:spacing w:line="360" w:lineRule="auto"/>
        <w:rPr>
          <w:rFonts w:ascii="Palatino Linotype" w:eastAsia="Times New Roman" w:hAnsi="Palatino Linotype" w:cs="Times"/>
          <w:b/>
          <w:sz w:val="20"/>
          <w:szCs w:val="20"/>
        </w:rPr>
      </w:pPr>
      <w:r w:rsidRPr="001761AB">
        <w:rPr>
          <w:rFonts w:ascii="Palatino Linotype" w:eastAsia="Times New Roman" w:hAnsi="Palatino Linotype" w:cs="Times"/>
          <w:b/>
          <w:sz w:val="20"/>
          <w:szCs w:val="20"/>
        </w:rPr>
        <w:t>Histopathological Effects of Treated and Untreated Industrial Effluents on Lung Tissues of Wistar Rats</w:t>
      </w:r>
    </w:p>
    <w:p w14:paraId="11C8BC12" w14:textId="42C45920" w:rsidR="00890465" w:rsidRDefault="00890465" w:rsidP="00890465">
      <w:pPr>
        <w:spacing w:line="360" w:lineRule="auto"/>
        <w:rPr>
          <w:rFonts w:ascii="Palatino Linotype" w:eastAsia="Times New Roman" w:hAnsi="Palatino Linotype" w:cs="Times"/>
          <w:b/>
          <w:sz w:val="20"/>
          <w:szCs w:val="20"/>
        </w:rPr>
      </w:pPr>
      <w:bookmarkStart w:id="0" w:name="_Hlk190635116"/>
    </w:p>
    <w:p w14:paraId="019BEE1B" w14:textId="77777777" w:rsidR="002106A4" w:rsidRDefault="002106A4" w:rsidP="00890465">
      <w:pPr>
        <w:spacing w:line="360" w:lineRule="auto"/>
        <w:rPr>
          <w:rFonts w:ascii="Palatino Linotype" w:eastAsia="Times New Roman" w:hAnsi="Palatino Linotype" w:cs="Times"/>
          <w:b/>
          <w:sz w:val="20"/>
          <w:szCs w:val="20"/>
        </w:rPr>
      </w:pPr>
    </w:p>
    <w:p w14:paraId="59E15735" w14:textId="36165507" w:rsidR="00D80170" w:rsidRPr="00D80170" w:rsidRDefault="00D80170" w:rsidP="00890465">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bookmarkEnd w:id="0"/>
    <w:p w14:paraId="5006B752" w14:textId="6C31A13C" w:rsidR="000F6A57" w:rsidRPr="000F6A57" w:rsidRDefault="000F6A57" w:rsidP="000F6A57">
      <w:pPr>
        <w:rPr>
          <w:rFonts w:ascii="Palatino Linotype" w:hAnsi="Palatino Linotype" w:cs="Times"/>
          <w:sz w:val="20"/>
          <w:szCs w:val="20"/>
        </w:rPr>
      </w:pPr>
      <w:r w:rsidRPr="000F6A57">
        <w:rPr>
          <w:rFonts w:ascii="Palatino Linotype" w:hAnsi="Palatino Linotype" w:cs="Times"/>
          <w:b/>
          <w:bCs/>
          <w:sz w:val="20"/>
          <w:szCs w:val="20"/>
        </w:rPr>
        <w:t>Background</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Environmental pollution from industrial effluent discharge poses a significant health risk, particularly through inhalation and ingestion. This study aimed to evaluate the histological effects of treated and untreated effluents from </w:t>
      </w:r>
      <w:r w:rsidR="00890465">
        <w:rPr>
          <w:rFonts w:ascii="Palatino Linotype" w:hAnsi="Palatino Linotype" w:cs="Times"/>
          <w:sz w:val="20"/>
          <w:szCs w:val="20"/>
        </w:rPr>
        <w:t xml:space="preserve">selected chemical and </w:t>
      </w:r>
      <w:r w:rsidR="00890465" w:rsidRPr="000F6A57">
        <w:rPr>
          <w:rFonts w:ascii="Palatino Linotype" w:hAnsi="Palatino Linotype" w:cs="Times"/>
          <w:sz w:val="20"/>
          <w:szCs w:val="20"/>
        </w:rPr>
        <w:t xml:space="preserve">petrochemical industry </w:t>
      </w:r>
      <w:r w:rsidR="00890465">
        <w:rPr>
          <w:rFonts w:ascii="Palatino Linotype" w:hAnsi="Palatino Linotype" w:cs="Times"/>
          <w:sz w:val="20"/>
          <w:szCs w:val="20"/>
        </w:rPr>
        <w:t xml:space="preserve">in Rivers State, Nigeria </w:t>
      </w:r>
      <w:r w:rsidRPr="000F6A57">
        <w:rPr>
          <w:rFonts w:ascii="Palatino Linotype" w:hAnsi="Palatino Linotype" w:cs="Times"/>
          <w:sz w:val="20"/>
          <w:szCs w:val="20"/>
        </w:rPr>
        <w:t xml:space="preserve">on the lung tissues of Wistar rats. </w:t>
      </w:r>
      <w:r w:rsidRPr="000F6A57">
        <w:rPr>
          <w:rFonts w:ascii="Palatino Linotype" w:hAnsi="Palatino Linotype" w:cs="Times"/>
          <w:b/>
          <w:bCs/>
          <w:sz w:val="20"/>
          <w:szCs w:val="20"/>
        </w:rPr>
        <w:t>Methods</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A total of 40 adult male Wistar rats were randomly assigned into five groups (n=8 per group). Group 1 served as the control, while Groups 2–5 were administered 100% effluent samples (10 mL/kg body weight) of untreated refinery effluent, treated refinery effluent, 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and untreated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respectively, via oral gavage for 28 days. Animals were sacrificed on days 3 and 28 to assess acute and chronic effects. Lung tissues were extracted, fixed in 10% buffered formal saline, and processed for histological examination using hematoxylin and eosin (H&amp;E) staining.</w:t>
      </w:r>
      <w:r>
        <w:rPr>
          <w:rFonts w:ascii="Palatino Linotype" w:hAnsi="Palatino Linotype" w:cs="Times"/>
          <w:sz w:val="20"/>
          <w:szCs w:val="20"/>
        </w:rPr>
        <w:t xml:space="preserve"> </w:t>
      </w:r>
      <w:r w:rsidRPr="000F6A57">
        <w:rPr>
          <w:rFonts w:ascii="Palatino Linotype" w:hAnsi="Palatino Linotype" w:cs="Times"/>
          <w:b/>
          <w:bCs/>
          <w:sz w:val="20"/>
          <w:szCs w:val="20"/>
        </w:rPr>
        <w:t>Results</w:t>
      </w:r>
      <w:r>
        <w:rPr>
          <w:rFonts w:ascii="Palatino Linotype" w:hAnsi="Palatino Linotype" w:cs="Times"/>
          <w:b/>
          <w:bCs/>
          <w:sz w:val="20"/>
          <w:szCs w:val="20"/>
        </w:rPr>
        <w:t>:</w:t>
      </w:r>
      <w:r>
        <w:rPr>
          <w:rFonts w:ascii="Palatino Linotype" w:hAnsi="Palatino Linotype" w:cs="Times"/>
          <w:sz w:val="20"/>
          <w:szCs w:val="20"/>
        </w:rPr>
        <w:t xml:space="preserve"> </w:t>
      </w:r>
      <w:r w:rsidRPr="000F6A57">
        <w:rPr>
          <w:rFonts w:ascii="Palatino Linotype" w:hAnsi="Palatino Linotype" w:cs="Times"/>
          <w:sz w:val="20"/>
          <w:szCs w:val="20"/>
        </w:rPr>
        <w:t>Histological examination revealed significant inflammatory responses in treated groups. Day 3 samples showed inflammatory cell infiltration, alveolar congestion, and mild epithelial distortions. Day 28 samples demonstrated severe inflammatory cell infiltration, alveolar rupture, congestion, and bronchial epithelial distortion, with more pronounced effects in the untreated effluent groups.</w:t>
      </w:r>
      <w:r>
        <w:rPr>
          <w:rFonts w:ascii="Palatino Linotype" w:hAnsi="Palatino Linotype" w:cs="Times"/>
          <w:sz w:val="20"/>
          <w:szCs w:val="20"/>
        </w:rPr>
        <w:t xml:space="preserve"> </w:t>
      </w:r>
      <w:r w:rsidRPr="000F6A57">
        <w:rPr>
          <w:rFonts w:ascii="Palatino Linotype" w:hAnsi="Palatino Linotype" w:cs="Times"/>
          <w:b/>
          <w:bCs/>
          <w:sz w:val="20"/>
          <w:szCs w:val="20"/>
        </w:rPr>
        <w:t>Conclusion</w:t>
      </w:r>
      <w:r>
        <w:rPr>
          <w:rFonts w:ascii="Palatino Linotype" w:hAnsi="Palatino Linotype" w:cs="Times"/>
          <w:sz w:val="20"/>
          <w:szCs w:val="20"/>
        </w:rPr>
        <w:t xml:space="preserve">: </w:t>
      </w:r>
      <w:r w:rsidRPr="000F6A57">
        <w:rPr>
          <w:rFonts w:ascii="Palatino Linotype" w:hAnsi="Palatino Linotype" w:cs="Times"/>
          <w:sz w:val="20"/>
          <w:szCs w:val="20"/>
        </w:rPr>
        <w:t>Findings indicate that exposure to industrial effluents, particularly untreated samples, induces severe lung tissue damage over time. This study underscores the health risks of industrial effluent pollution and the need for stringent effluent treatment and regulatory enforcement to mitigate environmental and public health hazards.</w:t>
      </w:r>
    </w:p>
    <w:p w14:paraId="5C8E4B08" w14:textId="77777777" w:rsidR="00D80170" w:rsidRPr="00D80170" w:rsidRDefault="00D80170">
      <w:pPr>
        <w:rPr>
          <w:rFonts w:ascii="Palatino Linotype" w:hAnsi="Palatino Linotype" w:cs="Times"/>
          <w:sz w:val="20"/>
          <w:szCs w:val="20"/>
        </w:rPr>
      </w:pPr>
    </w:p>
    <w:p w14:paraId="410759CD" w14:textId="6B66333A" w:rsidR="00D80170" w:rsidRPr="00D80170" w:rsidRDefault="00D80170" w:rsidP="00D80170">
      <w:pPr>
        <w:spacing w:line="480" w:lineRule="auto"/>
        <w:rPr>
          <w:rFonts w:ascii="Palatino Linotype" w:eastAsia="Times New Roman" w:hAnsi="Palatino Linotype" w:cs="Times"/>
          <w:b/>
          <w:sz w:val="20"/>
          <w:szCs w:val="20"/>
        </w:rPr>
      </w:pPr>
      <w:r>
        <w:rPr>
          <w:rFonts w:ascii="Palatino Linotype" w:eastAsia="Times New Roman" w:hAnsi="Palatino Linotype" w:cs="Times"/>
          <w:b/>
          <w:sz w:val="20"/>
          <w:szCs w:val="20"/>
        </w:rPr>
        <w:t>INTRODUCTION</w:t>
      </w:r>
    </w:p>
    <w:p w14:paraId="43888084" w14:textId="45675FFA"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Industrial effluents are liquid waste products generated from various industrial processes, often containing a complex mixture of organic and inorganic pollutants, heavy metals, and other hazardous substances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Ite</w:t>
      </w:r>
      <w:r w:rsidR="00E0353C">
        <w:rPr>
          <w:rFonts w:ascii="Palatino Linotype" w:eastAsia="Times New Roman" w:hAnsi="Palatino Linotype" w:cs="Times"/>
          <w:bCs/>
          <w:sz w:val="20"/>
          <w:szCs w:val="20"/>
        </w:rPr>
        <w:t xml:space="preserve"> et al., 2013)</w:t>
      </w:r>
      <w:r w:rsidRPr="00A03055">
        <w:rPr>
          <w:rFonts w:ascii="Palatino Linotype" w:eastAsia="Times New Roman" w:hAnsi="Palatino Linotype" w:cs="Times"/>
          <w:bCs/>
          <w:sz w:val="20"/>
          <w:szCs w:val="20"/>
        </w:rPr>
        <w:t>. These effluents are a byproduct of industrialization, which has significantly increased over the past century. While industrialization has contributed to economic development, it has also led to severe environmental pollution due to the indiscriminate discharge of untreated or inadequately treated effluents into ecosystems. According to the World Health Organization (WHO), approximately 80% of wastewater globally is discharged untreated into the environment, contributing to water, soil, and air contamination and posing significant risks to both ecosystems and human health</w:t>
      </w:r>
      <w:r>
        <w:rPr>
          <w:rFonts w:ascii="Palatino Linotype" w:eastAsia="Times New Roman" w:hAnsi="Palatino Linotype" w:cs="Times"/>
          <w:bCs/>
          <w:sz w:val="20"/>
          <w:szCs w:val="20"/>
        </w:rPr>
        <w:t xml:space="preserve"> (Okafor et al., 2021;</w:t>
      </w:r>
      <w:r w:rsidRPr="00A03055">
        <w:t xml:space="preserve"> </w:t>
      </w:r>
      <w:r w:rsidRPr="00A03055">
        <w:rPr>
          <w:rFonts w:ascii="Palatino Linotype" w:eastAsia="Times New Roman" w:hAnsi="Palatino Linotype" w:cs="Times"/>
          <w:bCs/>
          <w:sz w:val="20"/>
          <w:szCs w:val="20"/>
        </w:rPr>
        <w:t>El-</w:t>
      </w:r>
      <w:proofErr w:type="spellStart"/>
      <w:r w:rsidRPr="00A03055">
        <w:rPr>
          <w:rFonts w:ascii="Palatino Linotype" w:eastAsia="Times New Roman" w:hAnsi="Palatino Linotype" w:cs="Times"/>
          <w:bCs/>
          <w:sz w:val="20"/>
          <w:szCs w:val="20"/>
        </w:rPr>
        <w:t>Shafey</w:t>
      </w:r>
      <w:proofErr w:type="spellEnd"/>
      <w:r>
        <w:rPr>
          <w:rFonts w:ascii="Palatino Linotype" w:eastAsia="Times New Roman" w:hAnsi="Palatino Linotype" w:cs="Times"/>
          <w:bCs/>
          <w:sz w:val="20"/>
          <w:szCs w:val="20"/>
        </w:rPr>
        <w:t xml:space="preserve"> et al., 2024).</w:t>
      </w:r>
    </w:p>
    <w:p w14:paraId="66B716B3" w14:textId="51F776AB"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Exposure to toxic substances in industrial effluents has been linked to numerous health conditions. These pollutants can enter the human body through inhalation, ingestion, or dermal contact, leading to systemic toxicity. Studies have shown that exposure to pollutants such as heavy metals, hydrocarbons, and volatile organic compounds (VOCs) in effluents is associated with respiratory diseases, cardiovascular issues, and even cancer</w:t>
      </w:r>
      <w:r>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 Ajibola et al., 2024)</w:t>
      </w:r>
      <w:r w:rsidRPr="00A03055">
        <w:rPr>
          <w:rFonts w:ascii="Palatino Linotype" w:eastAsia="Times New Roman" w:hAnsi="Palatino Linotype" w:cs="Times"/>
          <w:bCs/>
          <w:sz w:val="20"/>
          <w:szCs w:val="20"/>
        </w:rPr>
        <w:t>. The lungs are particularly vulnerable as airborne pollutants can be inhaled directly. Chronic exposure to these toxins can result in oxidative stress, inflammation, and histopathological changes in lung tissues</w:t>
      </w:r>
      <w:r>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Nissenbaum </w:t>
      </w:r>
      <w:r w:rsidR="00E0353C">
        <w:rPr>
          <w:rFonts w:ascii="Palatino Linotype" w:eastAsia="Times New Roman" w:hAnsi="Palatino Linotype" w:cs="Times"/>
          <w:bCs/>
          <w:sz w:val="20"/>
          <w:szCs w:val="20"/>
        </w:rPr>
        <w:t xml:space="preserve">et al., 2023;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w:t>
      </w:r>
      <w:r w:rsidR="00E0353C">
        <w:rPr>
          <w:rFonts w:ascii="Palatino Linotype" w:eastAsia="Times New Roman" w:hAnsi="Palatino Linotype" w:cs="Times"/>
          <w:bCs/>
          <w:sz w:val="20"/>
          <w:szCs w:val="20"/>
        </w:rPr>
        <w:t>).</w:t>
      </w:r>
    </w:p>
    <w:p w14:paraId="18EECD90" w14:textId="3485BF02"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petroleum industry is one of the most significant contributors to industrial effluent generation. Petroleum refineries produce large volumes of wastewater containing hydrocarbons, heavy metals like lead and cadmium, and other hazardous chemicals. In Nigeria, particularly in Rivers State—a region heavily impacted by oil exploration activities—petroleum companies frequently discharge both treated and untreated effluents into the environment without adequate regulatory oversight. This practice exacerbates environmental degradation and poses severe risks to public health. Research indicates that communities in Rivers State experience high levels of air and water pollution due to these activities, with respiratory illnesses being among the most reported health issues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Abbas </w:t>
      </w:r>
      <w:r w:rsidR="00E0353C">
        <w:rPr>
          <w:rFonts w:ascii="Palatino Linotype" w:eastAsia="Times New Roman" w:hAnsi="Palatino Linotype" w:cs="Times"/>
          <w:bCs/>
          <w:sz w:val="20"/>
          <w:szCs w:val="20"/>
        </w:rPr>
        <w:t>et al., 2023; Jung et al., 2024)</w:t>
      </w:r>
      <w:r w:rsidRPr="00A03055">
        <w:rPr>
          <w:rFonts w:ascii="Palatino Linotype" w:eastAsia="Times New Roman" w:hAnsi="Palatino Linotype" w:cs="Times"/>
          <w:bCs/>
          <w:sz w:val="20"/>
          <w:szCs w:val="20"/>
        </w:rPr>
        <w:t>.</w:t>
      </w:r>
    </w:p>
    <w:p w14:paraId="1C50BC72" w14:textId="558CE92E"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impact of these effluents on human health is particularly concerning due to their potential to cause chronic respiratory conditions. Pollutants such as polycyclic aromatic hydrocarbons (PAHs) and VOCs present in petroleum effluents have been shown to impair lung function over time. Long-term exposure has been associated with chronic obstructive pulmonary disease (COPD), asthma, fibrosis, and even lung cancer</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Rafiq </w:t>
      </w:r>
      <w:r w:rsidR="00E0353C">
        <w:rPr>
          <w:rFonts w:ascii="Palatino Linotype" w:eastAsia="Times New Roman" w:hAnsi="Palatino Linotype" w:cs="Times"/>
          <w:bCs/>
          <w:sz w:val="20"/>
          <w:szCs w:val="20"/>
        </w:rPr>
        <w:t xml:space="preserve">et al., 2022; </w:t>
      </w:r>
      <w:r w:rsidR="00E0353C" w:rsidRPr="00E0353C">
        <w:rPr>
          <w:rFonts w:ascii="Palatino Linotype" w:eastAsia="Times New Roman" w:hAnsi="Palatino Linotype" w:cs="Times"/>
          <w:bCs/>
          <w:sz w:val="20"/>
          <w:szCs w:val="20"/>
        </w:rPr>
        <w:t xml:space="preserve">Faouzi </w:t>
      </w:r>
      <w:r w:rsidR="00E0353C">
        <w:rPr>
          <w:rFonts w:ascii="Palatino Linotype" w:eastAsia="Times New Roman" w:hAnsi="Palatino Linotype" w:cs="Times"/>
          <w:bCs/>
          <w:sz w:val="20"/>
          <w:szCs w:val="20"/>
        </w:rPr>
        <w:t>et al., 2023)</w:t>
      </w:r>
      <w:r w:rsidRPr="00A03055">
        <w:rPr>
          <w:rFonts w:ascii="Palatino Linotype" w:eastAsia="Times New Roman" w:hAnsi="Palatino Linotype" w:cs="Times"/>
          <w:bCs/>
          <w:sz w:val="20"/>
          <w:szCs w:val="20"/>
        </w:rPr>
        <w:t>. Despite these alarming trends, there is limited research exploring the direct histopathological effects of treated and untreated industrial effluents on lung tissues using animal models.</w:t>
      </w:r>
    </w:p>
    <w:p w14:paraId="7C530FD0" w14:textId="4CEA478F"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Animal models provide a controlled environment for studying the biological impact of toxic substances at cellular and tissue levels. However, there is a paucity of studies examining both short-term and long-term effects of industrial effluent exposure on lung tissues. This gap limits our understanding of how these pollutants contribute to respiratory diseases.</w:t>
      </w:r>
      <w:r w:rsidR="00D46137">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 xml:space="preserve">This study aims to bridge this knowledge gap by investigating the histopathological effects of treated and untreated industrial effluents on lung tissues using Wistar rats as a model organism. </w:t>
      </w:r>
      <w:r w:rsidR="00D46137" w:rsidRPr="00D46137">
        <w:rPr>
          <w:rFonts w:ascii="Palatino Linotype" w:eastAsia="Times New Roman" w:hAnsi="Palatino Linotype" w:cs="Times"/>
          <w:bCs/>
          <w:sz w:val="20"/>
          <w:szCs w:val="20"/>
        </w:rPr>
        <w:t>By providing empirical evidence on the extent of lung damage caused by these pollutants, this research emphasizes the urgent need for stricter regulations on industrial waste management while contributing valuable insights into environmental toxicology</w:t>
      </w:r>
      <w:r w:rsidRPr="00A03055">
        <w:rPr>
          <w:rFonts w:ascii="Palatino Linotype" w:eastAsia="Times New Roman" w:hAnsi="Palatino Linotype" w:cs="Times"/>
          <w:bCs/>
          <w:sz w:val="20"/>
          <w:szCs w:val="20"/>
        </w:rPr>
        <w:t>.</w:t>
      </w:r>
    </w:p>
    <w:p w14:paraId="2031FA9A" w14:textId="3C0E676F" w:rsidR="00C725F2" w:rsidRDefault="00D80170" w:rsidP="00C725F2">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MATERIALS AND METHODS</w:t>
      </w:r>
    </w:p>
    <w:p w14:paraId="4AF81BD4" w14:textId="2B506B62" w:rsidR="001318E0" w:rsidRDefault="001318E0" w:rsidP="001318E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0C5FC1AF" w14:textId="25B88F5D" w:rsidR="001318E0" w:rsidRPr="001318E0" w:rsidRDefault="001318E0" w:rsidP="001318E0">
      <w:pPr>
        <w:spacing w:before="240" w:after="240" w:line="480" w:lineRule="auto"/>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005A5579" w:rsidRPr="005A5579">
        <w:rPr>
          <w:rFonts w:ascii="Palatino Linotype" w:hAnsi="Palatino Linotype" w:cs="Times"/>
          <w:sz w:val="20"/>
          <w:szCs w:val="20"/>
        </w:rPr>
        <w:t>Obire</w:t>
      </w:r>
      <w:proofErr w:type="spellEnd"/>
      <w:r w:rsidR="005A5579">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005A5579">
        <w:rPr>
          <w:rFonts w:ascii="Palatino Linotype" w:hAnsi="Palatino Linotype" w:cs="Times"/>
          <w:sz w:val="20"/>
          <w:szCs w:val="20"/>
        </w:rPr>
        <w:t>)</w:t>
      </w:r>
      <w:r w:rsidRPr="001318E0">
        <w:rPr>
          <w:rFonts w:ascii="Palatino Linotype" w:hAnsi="Palatino Linotype" w:cs="Times"/>
          <w:sz w:val="20"/>
          <w:szCs w:val="20"/>
        </w:rPr>
        <w:t xml:space="preserve">. The presence of heavy metals, oil, and grease 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42CB2C6F" w14:textId="76BB3275" w:rsidR="001318E0" w:rsidRPr="001318E0" w:rsidRDefault="001318E0" w:rsidP="00C725F2">
      <w:pPr>
        <w:spacing w:before="240" w:after="240" w:line="480" w:lineRule="auto"/>
        <w:rPr>
          <w:rFonts w:ascii="Palatino Linotype" w:hAnsi="Palatino Linotype" w:cs="Times"/>
          <w:sz w:val="20"/>
          <w:szCs w:val="20"/>
        </w:rPr>
      </w:pPr>
      <w:r w:rsidRPr="001318E0">
        <w:rPr>
          <w:rFonts w:ascii="Palatino Linotype" w:hAnsi="Palatino Linotype" w:cs="Times"/>
          <w:sz w:val="20"/>
          <w:szCs w:val="20"/>
        </w:rPr>
        <w:lastRenderedPageBreak/>
        <w:t>The Port Harcourt Refinery and Petrochemical Company Limited (PHRC) is a key player in Nigeria’s oil and gas sector. Established in 1962, the refinery is operated by the Nigerian National Petroleum Corporation (NNPC) and consists of two refining plants with a combined processing capacity of approximately 210,000 barrels per day. PHRC is responsible for refining crude oil into various petroleum products such as gasoline, diesel, kerosene, lubricants, and petrochemical feedstocks.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sidR="005A5579">
        <w:rPr>
          <w:rFonts w:ascii="Palatino Linotype" w:hAnsi="Palatino Linotype" w:cs="Times"/>
          <w:sz w:val="20"/>
          <w:szCs w:val="20"/>
        </w:rPr>
        <w:t>health effect on the lungs, to provide evidence of the harm constituted by these effluents to humans.</w:t>
      </w:r>
    </w:p>
    <w:p w14:paraId="4C27AD2A" w14:textId="157EF6B5" w:rsidR="00C725F2" w:rsidRDefault="00C725F2" w:rsidP="00C725F2">
      <w:pPr>
        <w:spacing w:before="240" w:after="240" w:line="480" w:lineRule="auto"/>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05D58A39" w14:textId="474515ED" w:rsidR="00C725F2" w:rsidRDefault="00C725F2" w:rsidP="00BE2676">
      <w:pPr>
        <w:spacing w:before="240" w:after="240" w:line="480" w:lineRule="auto"/>
        <w:rPr>
          <w:rFonts w:ascii="Palatino Linotype" w:eastAsia="Times New Roman" w:hAnsi="Palatino Linotype" w:cs="Times"/>
          <w:b/>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A total of </w:t>
      </w:r>
      <w:r>
        <w:rPr>
          <w:rFonts w:ascii="Palatino Linotype" w:hAnsi="Palatino Linotype" w:cs="Times"/>
          <w:sz w:val="20"/>
          <w:szCs w:val="20"/>
        </w:rPr>
        <w:t>4</w:t>
      </w:r>
      <w:r w:rsidRPr="006447C6">
        <w:rPr>
          <w:rFonts w:ascii="Palatino Linotype" w:hAnsi="Palatino Linotype" w:cs="Times"/>
          <w:sz w:val="20"/>
          <w:szCs w:val="20"/>
        </w:rPr>
        <w:t>0 male Wistar rats (</w:t>
      </w:r>
      <w:r w:rsidRPr="006447C6">
        <w:rPr>
          <w:rFonts w:ascii="Palatino Linotype" w:hAnsi="Palatino Linotype" w:cs="Times"/>
          <w:i/>
          <w:iCs/>
          <w:sz w:val="20"/>
          <w:szCs w:val="20"/>
        </w:rPr>
        <w:t xml:space="preserve">Mus </w:t>
      </w:r>
      <w:proofErr w:type="spellStart"/>
      <w:r w:rsidRPr="006447C6">
        <w:rPr>
          <w:rFonts w:ascii="Palatino Linotype" w:hAnsi="Palatino Linotype" w:cs="Times"/>
          <w:i/>
          <w:iCs/>
          <w:sz w:val="20"/>
          <w:szCs w:val="20"/>
        </w:rPr>
        <w:t>musculs</w:t>
      </w:r>
      <w:proofErr w:type="spellEnd"/>
      <w:r w:rsidRPr="006447C6">
        <w:rPr>
          <w:rFonts w:ascii="Palatino Linotype" w:hAnsi="Palatino Linotype" w:cs="Times"/>
          <w:sz w:val="20"/>
          <w:szCs w:val="20"/>
        </w:rPr>
        <w:t xml:space="preserve">) were used. The age of animals were 4-6 months, and they weighed </w:t>
      </w:r>
      <w:commentRangeStart w:id="1"/>
      <w:r w:rsidRPr="006447C6">
        <w:rPr>
          <w:rFonts w:ascii="Palatino Linotype" w:hAnsi="Palatino Linotype" w:cs="Times"/>
          <w:sz w:val="20"/>
          <w:szCs w:val="20"/>
        </w:rPr>
        <w:t>154 grams</w:t>
      </w:r>
      <w:commentRangeEnd w:id="1"/>
      <w:r w:rsidR="005E5C4B">
        <w:rPr>
          <w:rStyle w:val="CommentReference"/>
        </w:rPr>
        <w:commentReference w:id="1"/>
      </w:r>
      <w:r w:rsidRPr="006447C6">
        <w:rPr>
          <w:rFonts w:ascii="Palatino Linotype" w:hAnsi="Palatino Linotype" w:cs="Times"/>
          <w:sz w:val="20"/>
          <w:szCs w:val="20"/>
        </w:rPr>
        <w:t>.</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They were divided into groups, and each group was housed in separate transparent plastic cages with stainless steel cover lids. </w:t>
      </w:r>
      <w:commentRangeStart w:id="2"/>
      <w:r w:rsidRPr="006447C6">
        <w:rPr>
          <w:rFonts w:ascii="Palatino Linotype" w:hAnsi="Palatino Linotype" w:cs="Times"/>
          <w:sz w:val="20"/>
          <w:szCs w:val="20"/>
        </w:rPr>
        <w:t>The animals were maintained at a temperature of 20-25°C, and they had free excess to food (standard pellets</w:t>
      </w:r>
      <w:r w:rsidR="00BE2676">
        <w:rPr>
          <w:rFonts w:ascii="Palatino Linotype" w:hAnsi="Palatino Linotype" w:cs="Times"/>
          <w:sz w:val="20"/>
          <w:szCs w:val="20"/>
        </w:rPr>
        <w:t xml:space="preserve"> by </w:t>
      </w:r>
      <w:r w:rsidR="00BE2676" w:rsidRPr="00D80170">
        <w:rPr>
          <w:rFonts w:ascii="Palatino Linotype" w:eastAsia="Times New Roman" w:hAnsi="Palatino Linotype" w:cs="Times"/>
          <w:color w:val="1F1F1F"/>
          <w:sz w:val="20"/>
          <w:szCs w:val="20"/>
        </w:rPr>
        <w:t>Eastern Premier Mills, Calabar</w:t>
      </w:r>
      <w:r w:rsidRPr="006447C6">
        <w:rPr>
          <w:rFonts w:ascii="Palatino Linotype" w:hAnsi="Palatino Linotype" w:cs="Times"/>
          <w:sz w:val="20"/>
          <w:szCs w:val="20"/>
        </w:rPr>
        <w:t>) and water throughout the experimental work</w:t>
      </w:r>
      <w:commentRangeEnd w:id="2"/>
      <w:r w:rsidR="005E5C4B">
        <w:rPr>
          <w:rStyle w:val="CommentReference"/>
        </w:rPr>
        <w:commentReference w:id="2"/>
      </w:r>
      <w:r w:rsidRPr="006447C6">
        <w:rPr>
          <w:rFonts w:ascii="Palatino Linotype" w:hAnsi="Palatino Linotype" w:cs="Times"/>
          <w:sz w:val="20"/>
          <w:szCs w:val="20"/>
        </w:rPr>
        <w:t>.</w:t>
      </w:r>
    </w:p>
    <w:p w14:paraId="2F08E698" w14:textId="5A7F8A45" w:rsidR="00D80170" w:rsidRPr="00D80170" w:rsidRDefault="00BE2676" w:rsidP="00D80170">
      <w:pPr>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6A85086E" w14:textId="77777777" w:rsidR="00BE2676" w:rsidRDefault="00BE2676" w:rsidP="00D80170">
      <w:pPr>
        <w:shd w:val="clear" w:color="auto" w:fill="FFFFFF"/>
        <w:spacing w:line="480" w:lineRule="auto"/>
        <w:rPr>
          <w:rFonts w:ascii="Palatino Linotype" w:eastAsia="Times New Roman" w:hAnsi="Palatino Linotype" w:cs="Times"/>
          <w:sz w:val="20"/>
          <w:szCs w:val="20"/>
        </w:rPr>
      </w:pPr>
      <w:r w:rsidRPr="00BE2676">
        <w:rPr>
          <w:rFonts w:ascii="Palatino Linotype" w:eastAsia="Times New Roman" w:hAnsi="Palatino Linotype" w:cs="Times"/>
          <w:sz w:val="20"/>
          <w:szCs w:val="20"/>
        </w:rPr>
        <w:lastRenderedPageBreak/>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ED00E79" w14:textId="62F1E48D" w:rsidR="00544729" w:rsidRPr="00544729" w:rsidRDefault="00544729" w:rsidP="00D80170">
      <w:pPr>
        <w:shd w:val="clear" w:color="auto" w:fill="FFFFFF"/>
        <w:spacing w:line="480" w:lineRule="auto"/>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7393E06D" w14:textId="77777777" w:rsidR="00544729" w:rsidRDefault="00544729" w:rsidP="00D80170">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Experimental animals were administered 100% effluent samples, with each animal receiving </w:t>
      </w:r>
      <w:commentRangeStart w:id="3"/>
      <w:r w:rsidRPr="00544729">
        <w:rPr>
          <w:rFonts w:ascii="Palatino Linotype" w:eastAsia="Times New Roman" w:hAnsi="Palatino Linotype" w:cs="Times"/>
          <w:color w:val="1F1F1F"/>
          <w:sz w:val="20"/>
          <w:szCs w:val="20"/>
        </w:rPr>
        <w:t>10 mL per kg of body weight (2 mL) of either treated or untreated effluent via oral gavage daily for the duration of the study</w:t>
      </w:r>
      <w:commentRangeEnd w:id="3"/>
      <w:r w:rsidR="005E5C4B">
        <w:rPr>
          <w:rStyle w:val="CommentReference"/>
        </w:rPr>
        <w:commentReference w:id="3"/>
      </w:r>
      <w:r w:rsidRPr="00544729">
        <w:rPr>
          <w:rFonts w:ascii="Palatino Linotype" w:eastAsia="Times New Roman" w:hAnsi="Palatino Linotype" w:cs="Times"/>
          <w:color w:val="1F1F1F"/>
          <w:sz w:val="20"/>
          <w:szCs w:val="20"/>
        </w:rPr>
        <w:t>. 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4B169A22" w14:textId="58775696" w:rsidR="00D80170" w:rsidRDefault="00355FBE" w:rsidP="00D80170">
      <w:pPr>
        <w:shd w:val="clear" w:color="auto" w:fill="FFFFFF"/>
        <w:spacing w:line="480" w:lineRule="auto"/>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1B9E93F0" w14:textId="233A864D" w:rsidR="00544729" w:rsidRPr="00544729" w:rsidRDefault="00544729" w:rsidP="00544729">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The </w:t>
      </w:r>
      <w:commentRangeStart w:id="4"/>
      <w:proofErr w:type="gramStart"/>
      <w:r w:rsidRPr="00544729">
        <w:rPr>
          <w:rFonts w:ascii="Palatino Linotype" w:eastAsia="Times New Roman" w:hAnsi="Palatino Linotype" w:cs="Times"/>
          <w:color w:val="1F1F1F"/>
          <w:sz w:val="20"/>
          <w:szCs w:val="20"/>
        </w:rPr>
        <w:t>40 adult</w:t>
      </w:r>
      <w:proofErr w:type="gramEnd"/>
      <w:r w:rsidRPr="00544729">
        <w:rPr>
          <w:rFonts w:ascii="Palatino Linotype" w:eastAsia="Times New Roman" w:hAnsi="Palatino Linotype" w:cs="Times"/>
          <w:color w:val="1F1F1F"/>
          <w:sz w:val="20"/>
          <w:szCs w:val="20"/>
        </w:rPr>
        <w:t xml:space="preserve"> male </w:t>
      </w:r>
      <w:commentRangeEnd w:id="4"/>
      <w:r w:rsidR="0045628A">
        <w:rPr>
          <w:rStyle w:val="CommentReference"/>
        </w:rPr>
        <w:commentReference w:id="4"/>
      </w:r>
      <w:r w:rsidRPr="00544729">
        <w:rPr>
          <w:rFonts w:ascii="Palatino Linotype" w:eastAsia="Times New Roman" w:hAnsi="Palatino Linotype" w:cs="Times"/>
          <w:color w:val="1F1F1F"/>
          <w:sz w:val="20"/>
          <w:szCs w:val="20"/>
        </w:rPr>
        <w:t>Wistar rats were randomly assigned into five groups, with eight animals per group, as shown in the table below;</w:t>
      </w:r>
    </w:p>
    <w:p w14:paraId="659EB825" w14:textId="008C1390" w:rsidR="00544729" w:rsidRPr="00544729" w:rsidRDefault="00544729" w:rsidP="00544729">
      <w:pPr>
        <w:shd w:val="clear" w:color="auto" w:fill="FFFFFF"/>
        <w:spacing w:line="48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544729" w:rsidRPr="00544729" w14:paraId="24660112" w14:textId="77777777" w:rsidTr="00544729">
        <w:tc>
          <w:tcPr>
            <w:tcW w:w="1129" w:type="dxa"/>
            <w:vAlign w:val="center"/>
            <w:hideMark/>
          </w:tcPr>
          <w:p w14:paraId="2D9E267F"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2737947B"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A47EAF5" w14:textId="654DC658"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540D7C4A"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544729" w:rsidRPr="00544729" w14:paraId="098E5AE4" w14:textId="77777777" w:rsidTr="0045628A">
        <w:trPr>
          <w:trHeight w:val="487"/>
        </w:trPr>
        <w:tc>
          <w:tcPr>
            <w:tcW w:w="1129" w:type="dxa"/>
            <w:vAlign w:val="center"/>
            <w:hideMark/>
          </w:tcPr>
          <w:p w14:paraId="7843CF60"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1</w:t>
            </w:r>
          </w:p>
        </w:tc>
        <w:tc>
          <w:tcPr>
            <w:tcW w:w="2226" w:type="dxa"/>
            <w:vAlign w:val="center"/>
            <w:hideMark/>
          </w:tcPr>
          <w:p w14:paraId="5C778CC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7160DF0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2C59BC0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544729" w:rsidRPr="00544729" w14:paraId="23B1EAE2" w14:textId="77777777" w:rsidTr="00544729">
        <w:tc>
          <w:tcPr>
            <w:tcW w:w="1129" w:type="dxa"/>
            <w:vAlign w:val="center"/>
            <w:hideMark/>
          </w:tcPr>
          <w:p w14:paraId="35419F3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3185D846"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76C6C05B"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1CE557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544729" w:rsidRPr="00544729" w14:paraId="7F32BA29" w14:textId="77777777" w:rsidTr="00544729">
        <w:tc>
          <w:tcPr>
            <w:tcW w:w="1129" w:type="dxa"/>
            <w:vAlign w:val="center"/>
            <w:hideMark/>
          </w:tcPr>
          <w:p w14:paraId="7B8CB77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6067487D"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7554D1C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5200AE7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544729" w:rsidRPr="00544729" w14:paraId="5DAA28FD" w14:textId="77777777" w:rsidTr="00544729">
        <w:tc>
          <w:tcPr>
            <w:tcW w:w="1129" w:type="dxa"/>
            <w:vAlign w:val="center"/>
            <w:hideMark/>
          </w:tcPr>
          <w:p w14:paraId="581CC568"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62CE1333"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16C3855D"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5E0019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544729" w:rsidRPr="00544729" w14:paraId="7464EE47" w14:textId="77777777" w:rsidTr="00544729">
        <w:tc>
          <w:tcPr>
            <w:tcW w:w="1129" w:type="dxa"/>
            <w:vAlign w:val="center"/>
            <w:hideMark/>
          </w:tcPr>
          <w:p w14:paraId="63F36D04"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5</w:t>
            </w:r>
          </w:p>
        </w:tc>
        <w:tc>
          <w:tcPr>
            <w:tcW w:w="2226" w:type="dxa"/>
            <w:vAlign w:val="center"/>
            <w:hideMark/>
          </w:tcPr>
          <w:p w14:paraId="0CAA1D01"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5276E13"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B6D06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27DEB2CD" w14:textId="77777777" w:rsidR="00544729" w:rsidRPr="00D80170" w:rsidRDefault="00544729" w:rsidP="00D80170">
      <w:pPr>
        <w:shd w:val="clear" w:color="auto" w:fill="FFFFFF"/>
        <w:spacing w:line="480" w:lineRule="auto"/>
        <w:rPr>
          <w:rFonts w:ascii="Palatino Linotype" w:eastAsia="Times New Roman" w:hAnsi="Palatino Linotype" w:cs="Times"/>
          <w:b/>
          <w:color w:val="1F1F1F"/>
          <w:sz w:val="20"/>
          <w:szCs w:val="20"/>
        </w:rPr>
      </w:pPr>
    </w:p>
    <w:p w14:paraId="25646AE4" w14:textId="588FA095" w:rsidR="00D80170" w:rsidRPr="00D80170" w:rsidRDefault="00355FBE" w:rsidP="00D80170">
      <w:pPr>
        <w:shd w:val="clear" w:color="auto" w:fill="FFFFFF"/>
        <w:spacing w:line="480" w:lineRule="auto"/>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t xml:space="preserve">Sample Collection </w:t>
      </w:r>
    </w:p>
    <w:p w14:paraId="1A783918" w14:textId="2CFB628B" w:rsidR="00544729" w:rsidRPr="00544729" w:rsidRDefault="00544729" w:rsidP="00C725F2">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sacrificed on days 3 and 28 following effluent administration to assess both acute (short-term) and chronic (long-term) effects of the effluents. The rats were anesthetized using diethyl ether before sacrifice, and their lungs were carefully extracted. The lungs were then fixed in 10% buffered formal saline at room temperature for histological examination.</w:t>
      </w:r>
    </w:p>
    <w:p w14:paraId="7429427C" w14:textId="48A8DD1D" w:rsidR="00C725F2" w:rsidRDefault="00355FBE"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6470D4A7" w14:textId="77777777"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 xml:space="preserve">The </w:t>
      </w:r>
      <w:r>
        <w:rPr>
          <w:rFonts w:ascii="Palatino Linotype" w:hAnsi="Palatino Linotype" w:cs="Times"/>
          <w:sz w:val="20"/>
          <w:szCs w:val="20"/>
        </w:rPr>
        <w:t xml:space="preserve">lung </w:t>
      </w:r>
      <w:r w:rsidRPr="006447C6">
        <w:rPr>
          <w:rFonts w:ascii="Palatino Linotype" w:hAnsi="Palatino Linotype" w:cs="Times"/>
          <w:sz w:val="20"/>
          <w:szCs w:val="20"/>
        </w:rPr>
        <w:t xml:space="preserve">tissues were trimmed to a thickness of 2–4 mm to facilitate optimal penetration of the fixative. Standard histological processing methods, as described by Baker (1945) and </w:t>
      </w:r>
      <w:proofErr w:type="spellStart"/>
      <w:r w:rsidRPr="006447C6">
        <w:rPr>
          <w:rFonts w:ascii="Palatino Linotype" w:hAnsi="Palatino Linotype" w:cs="Times"/>
          <w:sz w:val="20"/>
          <w:szCs w:val="20"/>
        </w:rPr>
        <w:t>Isirima</w:t>
      </w:r>
      <w:proofErr w:type="spellEnd"/>
      <w:r w:rsidRPr="006447C6">
        <w:rPr>
          <w:rFonts w:ascii="Palatino Linotype" w:hAnsi="Palatino Linotype" w:cs="Times"/>
          <w:sz w:val="20"/>
          <w:szCs w:val="20"/>
        </w:rPr>
        <w:t xml:space="preserve"> and </w:t>
      </w:r>
      <w:proofErr w:type="spellStart"/>
      <w:r w:rsidRPr="006447C6">
        <w:rPr>
          <w:rFonts w:ascii="Palatino Linotype" w:hAnsi="Palatino Linotype" w:cs="Times"/>
          <w:sz w:val="20"/>
          <w:szCs w:val="20"/>
        </w:rPr>
        <w:t>Uahomo</w:t>
      </w:r>
      <w:proofErr w:type="spellEnd"/>
      <w:r w:rsidRPr="006447C6">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w:t>
      </w:r>
      <w:bookmarkStart w:id="5" w:name="_cgaibbsju37q" w:colFirst="0" w:colLast="0"/>
      <w:bookmarkStart w:id="6" w:name="_u4wwf4skkc8o" w:colFirst="0" w:colLast="0"/>
      <w:bookmarkEnd w:id="5"/>
      <w:bookmarkEnd w:id="6"/>
      <w:r>
        <w:rPr>
          <w:rFonts w:ascii="Palatino Linotype" w:hAnsi="Palatino Linotype" w:cs="Times"/>
          <w:sz w:val="20"/>
          <w:szCs w:val="20"/>
        </w:rPr>
        <w:t xml:space="preserve"> </w:t>
      </w:r>
      <w:r w:rsidR="00D80170" w:rsidRPr="00D80170">
        <w:rPr>
          <w:rFonts w:ascii="Palatino Linotype" w:eastAsia="Times New Roman" w:hAnsi="Palatino Linotype" w:cs="Times"/>
          <w:color w:val="1F1F1F"/>
          <w:sz w:val="20"/>
          <w:szCs w:val="20"/>
        </w:rPr>
        <w:t>Sections were observed under a digital brightfield microscope (OMAX 40x-200X 3MP Digital microscope USA) and photomicrographs were taken at 100X and 400X magnification.</w:t>
      </w:r>
    </w:p>
    <w:p w14:paraId="7C04D55A" w14:textId="77777777" w:rsidR="00355FBE" w:rsidRPr="00355FBE" w:rsidRDefault="00355FBE" w:rsidP="00355FBE">
      <w:pPr>
        <w:shd w:val="clear" w:color="auto" w:fill="FFFFFF"/>
        <w:spacing w:line="480" w:lineRule="auto"/>
        <w:rPr>
          <w:rFonts w:ascii="Palatino Linotype" w:hAnsi="Palatino Linotype" w:cs="Times"/>
          <w:b/>
          <w:bCs/>
          <w:sz w:val="20"/>
          <w:szCs w:val="20"/>
        </w:rPr>
      </w:pPr>
      <w:r w:rsidRPr="00355FBE">
        <w:rPr>
          <w:rFonts w:ascii="Palatino Linotype" w:hAnsi="Palatino Linotype" w:cs="Times"/>
          <w:b/>
          <w:bCs/>
          <w:sz w:val="20"/>
          <w:szCs w:val="20"/>
        </w:rPr>
        <w:t>Method of Data Analysis</w:t>
      </w:r>
    </w:p>
    <w:p w14:paraId="6079E444" w14:textId="77777777" w:rsidR="00355FBE" w:rsidRPr="00355FBE" w:rsidRDefault="00355FBE" w:rsidP="00355FBE">
      <w:pPr>
        <w:shd w:val="clear" w:color="auto" w:fill="FFFFFF"/>
        <w:spacing w:line="480" w:lineRule="auto"/>
        <w:rPr>
          <w:rFonts w:ascii="Palatino Linotype" w:hAnsi="Palatino Linotype" w:cs="Times"/>
          <w:sz w:val="20"/>
          <w:szCs w:val="20"/>
        </w:rPr>
      </w:pPr>
      <w:r w:rsidRPr="00355FBE">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p w14:paraId="69E6F5C3" w14:textId="675C4D01"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Ethics Approval</w:t>
      </w:r>
    </w:p>
    <w:p w14:paraId="66F515D3" w14:textId="068B9DBB" w:rsidR="00890465"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5D7D8C78" w14:textId="77777777" w:rsidR="005A5579" w:rsidRPr="005A5579" w:rsidRDefault="005A5579" w:rsidP="00C725F2">
      <w:pPr>
        <w:shd w:val="clear" w:color="auto" w:fill="FFFFFF"/>
        <w:spacing w:line="480" w:lineRule="auto"/>
        <w:rPr>
          <w:rFonts w:ascii="Palatino Linotype" w:eastAsia="Times New Roman" w:hAnsi="Palatino Linotype" w:cs="Times"/>
          <w:color w:val="1F1F1F"/>
          <w:sz w:val="20"/>
          <w:szCs w:val="20"/>
        </w:rPr>
      </w:pPr>
    </w:p>
    <w:p w14:paraId="1ECC2B8C" w14:textId="5A556E55" w:rsidR="000D1969" w:rsidRDefault="00D80170" w:rsidP="00C725F2">
      <w:pPr>
        <w:shd w:val="clear" w:color="auto" w:fill="FFFFFF"/>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lastRenderedPageBreak/>
        <w:t>RESULTS</w:t>
      </w:r>
    </w:p>
    <w:p w14:paraId="5C53EF3E" w14:textId="7BA25840" w:rsidR="004E335E" w:rsidRDefault="004E335E" w:rsidP="00C725F2">
      <w:pPr>
        <w:shd w:val="clear" w:color="auto" w:fill="FFFFFF"/>
        <w:spacing w:line="480" w:lineRule="auto"/>
        <w:rPr>
          <w:rFonts w:ascii="Palatino Linotype" w:eastAsia="Times New Roman" w:hAnsi="Palatino Linotype" w:cs="Times"/>
          <w:b/>
          <w:sz w:val="20"/>
          <w:szCs w:val="20"/>
        </w:rPr>
      </w:pPr>
      <w:r w:rsidRPr="004E335E">
        <w:rPr>
          <w:rFonts w:ascii="Palatino Linotype" w:eastAsia="Times New Roman" w:hAnsi="Palatino Linotype" w:cs="Times"/>
          <w:b/>
          <w:sz w:val="20"/>
          <w:szCs w:val="20"/>
        </w:rPr>
        <w:t>Histopathological Findings of Lung Tissue</w:t>
      </w:r>
    </w:p>
    <w:p w14:paraId="3DC05F6F" w14:textId="77777777" w:rsidR="004E335E" w:rsidRPr="004E335E" w:rsidRDefault="004E335E" w:rsidP="004E335E">
      <w:pPr>
        <w:shd w:val="clear" w:color="auto" w:fill="FFFFFF"/>
        <w:spacing w:line="480" w:lineRule="auto"/>
        <w:rPr>
          <w:rFonts w:ascii="Palatino Linotype" w:eastAsia="Times New Roman" w:hAnsi="Palatino Linotype" w:cs="Times"/>
          <w:bCs/>
          <w:sz w:val="20"/>
          <w:szCs w:val="20"/>
        </w:rPr>
      </w:pPr>
      <w:r w:rsidRPr="004E335E">
        <w:rPr>
          <w:rFonts w:ascii="Palatino Linotype" w:eastAsia="Times New Roman" w:hAnsi="Palatino Linotype" w:cs="Times"/>
          <w:bCs/>
          <w:sz w:val="20"/>
          <w:szCs w:val="20"/>
        </w:rPr>
        <w:t xml:space="preserve">Histological analysis of lung tissues on day 3 revealed normal microstructure in the control group, while groups exposed to treated and untreated industrial effluents exhibited varying degrees of inflammatory cell infiltration, alveolar congestion, and epithelial distortion. The most severe distortions were observed in animals administered untreated refinery and </w:t>
      </w:r>
      <w:proofErr w:type="spellStart"/>
      <w:r w:rsidRPr="004E335E">
        <w:rPr>
          <w:rFonts w:ascii="Palatino Linotype" w:eastAsia="Times New Roman" w:hAnsi="Palatino Linotype" w:cs="Times"/>
          <w:bCs/>
          <w:sz w:val="20"/>
          <w:szCs w:val="20"/>
        </w:rPr>
        <w:t>Notore</w:t>
      </w:r>
      <w:proofErr w:type="spellEnd"/>
      <w:r w:rsidRPr="004E335E">
        <w:rPr>
          <w:rFonts w:ascii="Palatino Linotype" w:eastAsia="Times New Roman" w:hAnsi="Palatino Linotype" w:cs="Times"/>
          <w:bCs/>
          <w:sz w:val="20"/>
          <w:szCs w:val="20"/>
        </w:rPr>
        <w:t xml:space="preserve"> effluents, characterized by spreading inflammatory cells, alveolar sac distortion, and bronchial epithelial damage. By day 28, progressive deterioration was evident, with the untreated effluent groups displaying very severe inflammatory infiltration, coagulated/congested alveoli, and epithelial degeneration. The treated effluent groups also showed significant alveolar disruption and cellular degeneration, though less severe than their untreated counterparts. These findings indicate that both treated and untreated industrial effluents induce lung tissue damage, with untreated effluents causing more pronounced structural distortions over time.</w:t>
      </w:r>
    </w:p>
    <w:p w14:paraId="0D9F043D" w14:textId="77777777" w:rsidR="004E335E" w:rsidRPr="004E335E" w:rsidRDefault="004E335E" w:rsidP="00C725F2">
      <w:pPr>
        <w:shd w:val="clear" w:color="auto" w:fill="FFFFFF"/>
        <w:spacing w:line="480" w:lineRule="auto"/>
        <w:rPr>
          <w:rFonts w:ascii="Palatino Linotype" w:eastAsia="Times New Roman" w:hAnsi="Palatino Linotype" w:cs="Times"/>
          <w:bCs/>
          <w:sz w:val="20"/>
          <w:szCs w:val="20"/>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6"/>
      </w:tblGrid>
      <w:tr w:rsidR="000D1969" w14:paraId="10459ED9" w14:textId="77777777" w:rsidTr="000D1969">
        <w:tc>
          <w:tcPr>
            <w:tcW w:w="4866" w:type="dxa"/>
          </w:tcPr>
          <w:p w14:paraId="7324623B"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6DB46AB" wp14:editId="4532E231">
                  <wp:extent cx="2908300" cy="2228850"/>
                  <wp:effectExtent l="19050" t="19050" r="25400" b="19050"/>
                  <wp:docPr id="102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rcRect/>
                          <a:stretch/>
                        </pic:blipFill>
                        <pic:spPr>
                          <a:xfrm>
                            <a:off x="0" y="0"/>
                            <a:ext cx="2908507" cy="2229009"/>
                          </a:xfrm>
                          <a:prstGeom prst="rect">
                            <a:avLst/>
                          </a:prstGeom>
                          <a:ln w="9525" cap="flat" cmpd="sng">
                            <a:solidFill>
                              <a:srgbClr val="000000"/>
                            </a:solidFill>
                            <a:prstDash val="solid"/>
                            <a:round/>
                            <a:headEnd/>
                            <a:tailEnd/>
                          </a:ln>
                        </pic:spPr>
                      </pic:pic>
                    </a:graphicData>
                  </a:graphic>
                </wp:inline>
              </w:drawing>
            </w:r>
          </w:p>
        </w:tc>
        <w:tc>
          <w:tcPr>
            <w:tcW w:w="4746" w:type="dxa"/>
          </w:tcPr>
          <w:p w14:paraId="55D966B2"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4C1C43FF" wp14:editId="73697170">
                  <wp:extent cx="2844800" cy="2228850"/>
                  <wp:effectExtent l="19050" t="19050" r="12700" b="19050"/>
                  <wp:docPr id="1029"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12" cstate="print"/>
                          <a:srcRect/>
                          <a:stretch/>
                        </pic:blipFill>
                        <pic:spPr>
                          <a:xfrm>
                            <a:off x="0" y="0"/>
                            <a:ext cx="2846758" cy="2230384"/>
                          </a:xfrm>
                          <a:prstGeom prst="rect">
                            <a:avLst/>
                          </a:prstGeom>
                          <a:ln w="9525" cap="flat" cmpd="sng">
                            <a:solidFill>
                              <a:srgbClr val="000000"/>
                            </a:solidFill>
                            <a:prstDash val="solid"/>
                            <a:round/>
                            <a:headEnd/>
                            <a:tailEnd/>
                          </a:ln>
                        </pic:spPr>
                      </pic:pic>
                    </a:graphicData>
                  </a:graphic>
                </wp:inline>
              </w:drawing>
            </w:r>
          </w:p>
        </w:tc>
      </w:tr>
      <w:tr w:rsidR="000D1969" w14:paraId="3D04261A" w14:textId="77777777" w:rsidTr="000D1969">
        <w:tc>
          <w:tcPr>
            <w:tcW w:w="4866" w:type="dxa"/>
          </w:tcPr>
          <w:p w14:paraId="59EB98B0" w14:textId="42C5626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w:t>
            </w:r>
            <w:r w:rsidR="001E1FBD">
              <w:rPr>
                <w:rFonts w:ascii="Palatino Linotype" w:eastAsia="Times New Roman" w:hAnsi="Palatino Linotype" w:cs="Times"/>
                <w:b/>
                <w:sz w:val="20"/>
                <w:szCs w:val="20"/>
              </w:rPr>
              <w:t>A</w:t>
            </w:r>
          </w:p>
        </w:tc>
        <w:tc>
          <w:tcPr>
            <w:tcW w:w="4746" w:type="dxa"/>
          </w:tcPr>
          <w:p w14:paraId="3E4D7812" w14:textId="295C888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w:t>
            </w:r>
            <w:r w:rsidR="001E1FBD">
              <w:rPr>
                <w:rFonts w:ascii="Palatino Linotype" w:eastAsia="Times New Roman" w:hAnsi="Palatino Linotype" w:cs="Times"/>
                <w:b/>
                <w:sz w:val="20"/>
                <w:szCs w:val="20"/>
              </w:rPr>
              <w:t>A</w:t>
            </w:r>
            <w:r>
              <w:rPr>
                <w:rFonts w:ascii="Palatino Linotype" w:eastAsia="Times New Roman" w:hAnsi="Palatino Linotype" w:cs="Times"/>
                <w:b/>
                <w:sz w:val="20"/>
                <w:szCs w:val="20"/>
              </w:rPr>
              <w:t xml:space="preserve">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0D1969" w14:paraId="177BEE29" w14:textId="77777777" w:rsidTr="000D1969">
        <w:tc>
          <w:tcPr>
            <w:tcW w:w="4866" w:type="dxa"/>
          </w:tcPr>
          <w:p w14:paraId="63368BEF"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lastRenderedPageBreak/>
              <w:drawing>
                <wp:inline distT="0" distB="0" distL="0" distR="0" wp14:anchorId="2F31D3CB" wp14:editId="2596E133">
                  <wp:extent cx="2908300" cy="1936750"/>
                  <wp:effectExtent l="19050" t="19050" r="25400" b="25400"/>
                  <wp:docPr id="103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rcRect/>
                          <a:stretch/>
                        </pic:blipFill>
                        <pic:spPr>
                          <a:xfrm>
                            <a:off x="0" y="0"/>
                            <a:ext cx="2908536" cy="1936907"/>
                          </a:xfrm>
                          <a:prstGeom prst="rect">
                            <a:avLst/>
                          </a:prstGeom>
                          <a:ln w="9525" cap="flat" cmpd="sng">
                            <a:solidFill>
                              <a:srgbClr val="000000"/>
                            </a:solidFill>
                            <a:prstDash val="solid"/>
                            <a:round/>
                            <a:headEnd/>
                            <a:tailEnd/>
                          </a:ln>
                        </pic:spPr>
                      </pic:pic>
                    </a:graphicData>
                  </a:graphic>
                </wp:inline>
              </w:drawing>
            </w:r>
          </w:p>
        </w:tc>
        <w:tc>
          <w:tcPr>
            <w:tcW w:w="4746" w:type="dxa"/>
          </w:tcPr>
          <w:p w14:paraId="3EA33D85"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84A1BD3" wp14:editId="3E1A2D44">
                  <wp:extent cx="2844800" cy="1936750"/>
                  <wp:effectExtent l="19050" t="19050" r="12700" b="25400"/>
                  <wp:docPr id="1031"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4" cstate="print"/>
                          <a:srcRect/>
                          <a:stretch/>
                        </pic:blipFill>
                        <pic:spPr>
                          <a:xfrm>
                            <a:off x="0" y="0"/>
                            <a:ext cx="2847018" cy="1938260"/>
                          </a:xfrm>
                          <a:prstGeom prst="rect">
                            <a:avLst/>
                          </a:prstGeom>
                          <a:ln w="9525" cap="flat" cmpd="sng">
                            <a:solidFill>
                              <a:srgbClr val="000000"/>
                            </a:solidFill>
                            <a:prstDash val="solid"/>
                            <a:round/>
                            <a:headEnd/>
                            <a:tailEnd/>
                          </a:ln>
                        </pic:spPr>
                      </pic:pic>
                    </a:graphicData>
                  </a:graphic>
                </wp:inline>
              </w:drawing>
            </w:r>
          </w:p>
        </w:tc>
      </w:tr>
      <w:tr w:rsidR="000D1969" w14:paraId="400BA945" w14:textId="77777777" w:rsidTr="000D1969">
        <w:tc>
          <w:tcPr>
            <w:tcW w:w="4866" w:type="dxa"/>
          </w:tcPr>
          <w:p w14:paraId="086C6261" w14:textId="03EFD658"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746" w:type="dxa"/>
          </w:tcPr>
          <w:p w14:paraId="4106E1A7" w14:textId="1CABDEA5"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0D1969" w14:paraId="616922C7" w14:textId="77777777" w:rsidTr="000D1969">
        <w:tc>
          <w:tcPr>
            <w:tcW w:w="9612" w:type="dxa"/>
            <w:gridSpan w:val="2"/>
          </w:tcPr>
          <w:p w14:paraId="1A69A199" w14:textId="77777777" w:rsidR="000D1969" w:rsidRPr="00D80170" w:rsidRDefault="000D1969"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rPr>
              <w:drawing>
                <wp:inline distT="0" distB="0" distL="0" distR="0" wp14:anchorId="0D476BB6" wp14:editId="07FBEF13">
                  <wp:extent cx="3187700" cy="2222500"/>
                  <wp:effectExtent l="19050" t="19050" r="12700" b="25400"/>
                  <wp:docPr id="103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5" cstate="print"/>
                          <a:srcRect/>
                          <a:stretch/>
                        </pic:blipFill>
                        <pic:spPr>
                          <a:xfrm>
                            <a:off x="0" y="0"/>
                            <a:ext cx="3278315" cy="2285678"/>
                          </a:xfrm>
                          <a:prstGeom prst="rect">
                            <a:avLst/>
                          </a:prstGeom>
                          <a:ln w="9525" cap="flat" cmpd="sng">
                            <a:solidFill>
                              <a:srgbClr val="000000"/>
                            </a:solidFill>
                            <a:prstDash val="solid"/>
                            <a:round/>
                            <a:headEnd/>
                            <a:tailEnd/>
                          </a:ln>
                        </pic:spPr>
                      </pic:pic>
                    </a:graphicData>
                  </a:graphic>
                </wp:inline>
              </w:drawing>
            </w:r>
          </w:p>
        </w:tc>
      </w:tr>
      <w:tr w:rsidR="000D1969" w14:paraId="481348C3" w14:textId="77777777" w:rsidTr="000D1969">
        <w:tc>
          <w:tcPr>
            <w:tcW w:w="9612" w:type="dxa"/>
            <w:gridSpan w:val="2"/>
          </w:tcPr>
          <w:p w14:paraId="19680EFA" w14:textId="08892DF2"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w:t>
            </w:r>
            <w:r w:rsidR="001E1FBD" w:rsidRP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4EFDC5B9" w14:textId="77777777" w:rsidR="004E335E" w:rsidRDefault="004E335E" w:rsidP="000D1969">
      <w:pPr>
        <w:spacing w:line="240" w:lineRule="auto"/>
        <w:rPr>
          <w:rFonts w:ascii="Palatino Linotype" w:eastAsia="Times New Roman" w:hAnsi="Palatino Linotype" w:cs="Times"/>
          <w:b/>
          <w:bCs/>
          <w:sz w:val="20"/>
          <w:szCs w:val="20"/>
        </w:rPr>
      </w:pPr>
    </w:p>
    <w:p w14:paraId="76AFDD6C" w14:textId="34C39A28" w:rsidR="000D1969" w:rsidRPr="001E1FBD" w:rsidRDefault="000D1969" w:rsidP="000D1969">
      <w:pPr>
        <w:spacing w:line="240" w:lineRule="auto"/>
        <w:rPr>
          <w:rFonts w:ascii="Palatino Linotype" w:eastAsia="Times New Roman" w:hAnsi="Palatino Linotype" w:cs="Times"/>
          <w:i/>
          <w:iCs/>
          <w:color w:val="1F1F1F"/>
          <w:sz w:val="20"/>
          <w:szCs w:val="20"/>
        </w:rPr>
      </w:pPr>
      <w:r w:rsidRPr="00B41AAC">
        <w:rPr>
          <w:rFonts w:ascii="Palatino Linotype" w:eastAsia="Times New Roman" w:hAnsi="Palatino Linotype" w:cs="Times"/>
          <w:b/>
          <w:bCs/>
          <w:sz w:val="20"/>
          <w:szCs w:val="20"/>
        </w:rPr>
        <w:t xml:space="preserve">Figure 1. Photomicrograph of </w:t>
      </w:r>
      <w:r w:rsidR="001E1FBD" w:rsidRPr="00B41AAC">
        <w:rPr>
          <w:rFonts w:ascii="Palatino Linotype" w:eastAsia="Times New Roman" w:hAnsi="Palatino Linotype" w:cs="Times"/>
          <w:b/>
          <w:bCs/>
          <w:sz w:val="20"/>
          <w:szCs w:val="20"/>
        </w:rPr>
        <w:t xml:space="preserve">Lung Tissue </w:t>
      </w:r>
      <w:r w:rsidRPr="00B41AAC">
        <w:rPr>
          <w:rFonts w:ascii="Palatino Linotype" w:eastAsia="Times New Roman" w:hAnsi="Palatino Linotype" w:cs="Times"/>
          <w:b/>
          <w:bCs/>
          <w:sz w:val="20"/>
          <w:szCs w:val="20"/>
        </w:rPr>
        <w:t>of experimental animals</w:t>
      </w:r>
      <w:r w:rsidR="001E1FBD">
        <w:rPr>
          <w:rFonts w:ascii="Palatino Linotype" w:eastAsia="Times New Roman" w:hAnsi="Palatino Linotype" w:cs="Times"/>
          <w:b/>
          <w:bCs/>
          <w:sz w:val="20"/>
          <w:szCs w:val="20"/>
        </w:rPr>
        <w:t xml:space="preserve"> on day 3</w:t>
      </w:r>
      <w:r w:rsidRPr="00B41AAC">
        <w:rPr>
          <w:rFonts w:ascii="Palatino Linotype" w:eastAsia="Times New Roman" w:hAnsi="Palatino Linotype" w:cs="Times"/>
          <w:b/>
          <w:bCs/>
          <w:sz w:val="20"/>
          <w:szCs w:val="20"/>
        </w:rPr>
        <w:t>.</w:t>
      </w:r>
      <w:r>
        <w:rPr>
          <w:rFonts w:ascii="Palatino Linotype" w:eastAsia="Times New Roman" w:hAnsi="Palatino Linotype" w:cs="Times"/>
          <w:sz w:val="20"/>
          <w:szCs w:val="20"/>
        </w:rPr>
        <w:t xml:space="preserve"> Group 1</w:t>
      </w:r>
      <w:r w:rsidR="00562F88">
        <w:rPr>
          <w:rFonts w:ascii="Palatino Linotype" w:eastAsia="Times New Roman" w:hAnsi="Palatino Linotype" w:cs="Times"/>
          <w:sz w:val="20"/>
          <w:szCs w:val="20"/>
        </w:rPr>
        <w:t>A</w:t>
      </w:r>
      <w:r w:rsidRPr="00D80170">
        <w:rPr>
          <w:rFonts w:ascii="Palatino Linotype" w:eastAsia="Times New Roman" w:hAnsi="Palatino Linotype" w:cs="Times"/>
          <w:sz w:val="20"/>
          <w:szCs w:val="20"/>
        </w:rPr>
        <w:t xml:space="preserve"> </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control</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 xml:space="preserve"> showing alveolar sac, alveoli and pulmonary blood vessels. Tissue shows normal microstructure.  </w:t>
      </w:r>
      <w:r>
        <w:rPr>
          <w:rFonts w:ascii="Palatino Linotype" w:eastAsia="Times New Roman" w:hAnsi="Palatino Linotype" w:cs="Times"/>
          <w:sz w:val="20"/>
          <w:szCs w:val="20"/>
        </w:rPr>
        <w:t>Group 2</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treated refinery effluent </w:t>
      </w:r>
      <w:r w:rsidRPr="00D80170">
        <w:rPr>
          <w:rFonts w:ascii="Palatino Linotype" w:eastAsia="Times New Roman" w:hAnsi="Palatino Linotype" w:cs="Times"/>
          <w:sz w:val="20"/>
          <w:szCs w:val="20"/>
        </w:rPr>
        <w:t xml:space="preserve">showing alveolar sac, inflammatory cells around congested alveoli and pulmonary blood vessels. The </w:t>
      </w:r>
      <w:commentRangeStart w:id="7"/>
      <w:r w:rsidRPr="00D80170">
        <w:rPr>
          <w:rFonts w:ascii="Palatino Linotype" w:eastAsia="Times New Roman" w:hAnsi="Palatino Linotype" w:cs="Times"/>
          <w:sz w:val="20"/>
          <w:szCs w:val="20"/>
        </w:rPr>
        <w:t>terminal alveoli show distorted inner epithelial lining</w:t>
      </w:r>
      <w:commentRangeEnd w:id="7"/>
      <w:r w:rsidR="00FA3706">
        <w:rPr>
          <w:rStyle w:val="CommentReference"/>
        </w:rPr>
        <w:commentReference w:id="7"/>
      </w:r>
      <w:r w:rsidRPr="00D80170">
        <w:rPr>
          <w:rFonts w:ascii="Palatino Linotype" w:eastAsia="Times New Roman" w:hAnsi="Palatino Linotype" w:cs="Times"/>
          <w:sz w:val="20"/>
          <w:szCs w:val="20"/>
        </w:rPr>
        <w:t xml:space="preserve">. Distortion of tissue microstructure is indicated.  </w:t>
      </w:r>
      <w:r>
        <w:rPr>
          <w:rFonts w:ascii="Palatino Linotype" w:eastAsia="Times New Roman" w:hAnsi="Palatino Linotype" w:cs="Times"/>
          <w:sz w:val="20"/>
          <w:szCs w:val="20"/>
        </w:rPr>
        <w:t>Group 3</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untreated refinery effluent </w:t>
      </w:r>
      <w:r w:rsidRPr="00D80170">
        <w:rPr>
          <w:rFonts w:ascii="Palatino Linotype" w:eastAsia="Times New Roman" w:hAnsi="Palatino Linotype" w:cs="Times"/>
          <w:sz w:val="20"/>
          <w:szCs w:val="20"/>
        </w:rPr>
        <w:t>showing spreading inflammatory cells around congested alveoli. Severe distortion of tissue microstructure is indicated.</w:t>
      </w:r>
      <w:r>
        <w:rPr>
          <w:rFonts w:ascii="Palatino Linotype" w:eastAsia="Times New Roman" w:hAnsi="Palatino Linotype" w:cs="Times"/>
          <w:sz w:val="20"/>
          <w:szCs w:val="20"/>
        </w:rPr>
        <w:t xml:space="preserve">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4</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treated </w:t>
      </w:r>
      <w:proofErr w:type="spellStart"/>
      <w:r>
        <w:rPr>
          <w:rFonts w:ascii="Palatino Linotype" w:eastAsia="Times New Roman" w:hAnsi="Palatino Linotype" w:cs="Times"/>
          <w:color w:val="1F1F1F"/>
          <w:sz w:val="20"/>
          <w:szCs w:val="20"/>
        </w:rPr>
        <w:t>Notore</w:t>
      </w:r>
      <w:proofErr w:type="spellEnd"/>
      <w:r>
        <w:rPr>
          <w:rFonts w:ascii="Palatino Linotype" w:eastAsia="Times New Roman" w:hAnsi="Palatino Linotype" w:cs="Times"/>
          <w:color w:val="1F1F1F"/>
          <w:sz w:val="20"/>
          <w:szCs w:val="20"/>
        </w:rPr>
        <w:t xml:space="preserve"> effluent</w:t>
      </w:r>
      <w:r w:rsidRPr="00D80170">
        <w:rPr>
          <w:rFonts w:ascii="Palatino Linotype" w:eastAsia="Times New Roman" w:hAnsi="Palatino Linotype" w:cs="Times"/>
          <w:sz w:val="20"/>
          <w:szCs w:val="20"/>
        </w:rPr>
        <w:t xml:space="preserve"> showing spreading inflammatory cells and distorted alveolar sac. Distortion of tissue microstructure is indicated.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5</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w:t>
      </w:r>
      <w:r w:rsidRPr="00D80170">
        <w:rPr>
          <w:rFonts w:ascii="Palatino Linotype" w:eastAsia="Times New Roman" w:hAnsi="Palatino Linotype" w:cs="Times"/>
          <w:color w:val="1F1F1F"/>
          <w:sz w:val="20"/>
          <w:szCs w:val="20"/>
        </w:rPr>
        <w:t xml:space="preserve">untreated </w:t>
      </w:r>
      <w:proofErr w:type="spellStart"/>
      <w:r w:rsidRPr="00D80170">
        <w:rPr>
          <w:rFonts w:ascii="Palatino Linotype" w:eastAsia="Times New Roman" w:hAnsi="Palatino Linotype" w:cs="Times"/>
          <w:color w:val="1F1F1F"/>
          <w:sz w:val="20"/>
          <w:szCs w:val="20"/>
        </w:rPr>
        <w:t>Notore</w:t>
      </w:r>
      <w:proofErr w:type="spellEnd"/>
      <w:r w:rsidRPr="00D80170">
        <w:rPr>
          <w:rFonts w:ascii="Palatino Linotype" w:eastAsia="Times New Roman" w:hAnsi="Palatino Linotype" w:cs="Times"/>
          <w:color w:val="1F1F1F"/>
          <w:sz w:val="20"/>
          <w:szCs w:val="20"/>
        </w:rPr>
        <w:t xml:space="preserve"> effluents</w:t>
      </w:r>
      <w:r>
        <w:rPr>
          <w:rFonts w:ascii="Palatino Linotype" w:eastAsia="Times New Roman" w:hAnsi="Palatino Linotype" w:cs="Times"/>
          <w:color w:val="1F1F1F"/>
          <w:sz w:val="20"/>
          <w:szCs w:val="20"/>
        </w:rPr>
        <w:t xml:space="preserve"> </w:t>
      </w:r>
      <w:r w:rsidRPr="00D80170">
        <w:rPr>
          <w:rFonts w:ascii="Palatino Linotype" w:eastAsia="Times New Roman" w:hAnsi="Palatino Linotype" w:cs="Times"/>
          <w:sz w:val="20"/>
          <w:szCs w:val="20"/>
        </w:rPr>
        <w:t>showing spreading inflammatory cells and distorted alveolar sac and distorted bronchial wall epithelial lining</w:t>
      </w:r>
      <w:commentRangeStart w:id="8"/>
      <w:r w:rsidRPr="00D80170">
        <w:rPr>
          <w:rFonts w:ascii="Palatino Linotype" w:eastAsia="Times New Roman" w:hAnsi="Palatino Linotype" w:cs="Times"/>
          <w:sz w:val="20"/>
          <w:szCs w:val="20"/>
        </w:rPr>
        <w:t xml:space="preserve">. Distortion of tissue microstructure is indicated.  </w:t>
      </w:r>
      <w:r w:rsidRPr="001E1FBD">
        <w:rPr>
          <w:rFonts w:ascii="Palatino Linotype" w:eastAsia="Times New Roman" w:hAnsi="Palatino Linotype" w:cs="Times"/>
          <w:i/>
          <w:iCs/>
          <w:sz w:val="20"/>
          <w:szCs w:val="20"/>
        </w:rPr>
        <w:t>Magnification</w:t>
      </w:r>
      <w:commentRangeEnd w:id="8"/>
      <w:r w:rsidR="00DB36CC">
        <w:rPr>
          <w:rStyle w:val="CommentReference"/>
        </w:rPr>
        <w:commentReference w:id="8"/>
      </w:r>
      <w:r w:rsidRPr="001E1FBD">
        <w:rPr>
          <w:rFonts w:ascii="Palatino Linotype" w:eastAsia="Times New Roman" w:hAnsi="Palatino Linotype" w:cs="Times"/>
          <w:i/>
          <w:iCs/>
          <w:sz w:val="20"/>
          <w:szCs w:val="20"/>
        </w:rPr>
        <w:t>: H &amp; E, X100.</w:t>
      </w:r>
    </w:p>
    <w:p w14:paraId="753AFDB8" w14:textId="77777777" w:rsidR="000D1969" w:rsidRDefault="000D1969" w:rsidP="00C725F2">
      <w:pPr>
        <w:shd w:val="clear" w:color="auto" w:fill="FFFFFF"/>
        <w:spacing w:line="480" w:lineRule="auto"/>
        <w:rPr>
          <w:rFonts w:ascii="Palatino Linotype" w:eastAsia="Times New Roman" w:hAnsi="Palatino Linotype" w:cs="Times"/>
          <w:bCs/>
          <w:color w:val="1F1F1F"/>
          <w:sz w:val="20"/>
          <w:szCs w:val="20"/>
        </w:rPr>
      </w:pPr>
    </w:p>
    <w:tbl>
      <w:tblPr>
        <w:tblStyle w:val="TableGrid"/>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926"/>
      </w:tblGrid>
      <w:tr w:rsidR="001E1FBD" w14:paraId="2CBE1C79" w14:textId="77777777" w:rsidTr="001E1FBD">
        <w:tc>
          <w:tcPr>
            <w:tcW w:w="5286" w:type="dxa"/>
          </w:tcPr>
          <w:p w14:paraId="11B453C4"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lastRenderedPageBreak/>
              <w:drawing>
                <wp:inline distT="0" distB="0" distL="0" distR="0" wp14:anchorId="31657292" wp14:editId="1BE9099B">
                  <wp:extent cx="3174365" cy="2228850"/>
                  <wp:effectExtent l="19050" t="19050" r="26035" b="19050"/>
                  <wp:docPr id="136567724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rcRect/>
                          <a:stretch/>
                        </pic:blipFill>
                        <pic:spPr>
                          <a:xfrm>
                            <a:off x="0" y="0"/>
                            <a:ext cx="3174592" cy="2229009"/>
                          </a:xfrm>
                          <a:prstGeom prst="rect">
                            <a:avLst/>
                          </a:prstGeom>
                          <a:ln w="9525" cap="flat" cmpd="sng">
                            <a:solidFill>
                              <a:srgbClr val="000000"/>
                            </a:solidFill>
                            <a:prstDash val="solid"/>
                            <a:round/>
                            <a:headEnd/>
                            <a:tailEnd/>
                          </a:ln>
                        </pic:spPr>
                      </pic:pic>
                    </a:graphicData>
                  </a:graphic>
                </wp:inline>
              </w:drawing>
            </w:r>
          </w:p>
        </w:tc>
        <w:tc>
          <w:tcPr>
            <w:tcW w:w="4926" w:type="dxa"/>
          </w:tcPr>
          <w:p w14:paraId="4DFE382E"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56224C7C" wp14:editId="7CDD0E54">
                  <wp:extent cx="2946400" cy="2228850"/>
                  <wp:effectExtent l="19050" t="19050" r="25400" b="19050"/>
                  <wp:docPr id="15897455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6" cstate="print"/>
                          <a:srcRect/>
                          <a:stretch/>
                        </pic:blipFill>
                        <pic:spPr>
                          <a:xfrm>
                            <a:off x="0" y="0"/>
                            <a:ext cx="2946626" cy="2229021"/>
                          </a:xfrm>
                          <a:prstGeom prst="rect">
                            <a:avLst/>
                          </a:prstGeom>
                          <a:ln w="9525" cap="flat" cmpd="sng">
                            <a:solidFill>
                              <a:srgbClr val="000000"/>
                            </a:solidFill>
                            <a:prstDash val="solid"/>
                            <a:round/>
                            <a:headEnd/>
                            <a:tailEnd/>
                          </a:ln>
                        </pic:spPr>
                      </pic:pic>
                    </a:graphicData>
                  </a:graphic>
                </wp:inline>
              </w:drawing>
            </w:r>
          </w:p>
        </w:tc>
      </w:tr>
      <w:tr w:rsidR="001E1FBD" w14:paraId="6E45945F" w14:textId="77777777" w:rsidTr="001E1FBD">
        <w:tc>
          <w:tcPr>
            <w:tcW w:w="5286" w:type="dxa"/>
          </w:tcPr>
          <w:p w14:paraId="145706AE" w14:textId="5A00F507"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1B</w:t>
            </w:r>
            <w:r w:rsidR="0079742E">
              <w:rPr>
                <w:rFonts w:ascii="Palatino Linotype" w:eastAsia="Times New Roman" w:hAnsi="Palatino Linotype" w:cs="Times"/>
                <w:b/>
                <w:sz w:val="20"/>
                <w:szCs w:val="20"/>
              </w:rPr>
              <w:t xml:space="preserve"> </w:t>
            </w:r>
            <w:r w:rsidR="0079742E" w:rsidRPr="0079742E">
              <w:rPr>
                <w:rFonts w:ascii="Palatino Linotype" w:eastAsia="Times New Roman" w:hAnsi="Palatino Linotype" w:cs="Times"/>
                <w:bCs/>
                <w:sz w:val="20"/>
                <w:szCs w:val="20"/>
              </w:rPr>
              <w:t>(Control)</w:t>
            </w:r>
          </w:p>
        </w:tc>
        <w:tc>
          <w:tcPr>
            <w:tcW w:w="4926" w:type="dxa"/>
          </w:tcPr>
          <w:p w14:paraId="69A807F1" w14:textId="21CDB989"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2B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E1FBD" w14:paraId="0B63D809" w14:textId="77777777" w:rsidTr="001E1FBD">
        <w:tc>
          <w:tcPr>
            <w:tcW w:w="5286" w:type="dxa"/>
          </w:tcPr>
          <w:p w14:paraId="7E59E8F5"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477BB230" wp14:editId="6F6FB712">
                  <wp:extent cx="3174365" cy="2228850"/>
                  <wp:effectExtent l="19050" t="19050" r="26035" b="19050"/>
                  <wp:docPr id="160072002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rcRect/>
                          <a:stretch/>
                        </pic:blipFill>
                        <pic:spPr>
                          <a:xfrm>
                            <a:off x="0" y="0"/>
                            <a:ext cx="3179028" cy="2232124"/>
                          </a:xfrm>
                          <a:prstGeom prst="rect">
                            <a:avLst/>
                          </a:prstGeom>
                          <a:ln w="9525" cap="flat" cmpd="sng">
                            <a:solidFill>
                              <a:srgbClr val="000000"/>
                            </a:solidFill>
                            <a:prstDash val="solid"/>
                            <a:round/>
                            <a:headEnd/>
                            <a:tailEnd/>
                          </a:ln>
                        </pic:spPr>
                      </pic:pic>
                    </a:graphicData>
                  </a:graphic>
                </wp:inline>
              </w:drawing>
            </w:r>
          </w:p>
        </w:tc>
        <w:tc>
          <w:tcPr>
            <w:tcW w:w="4926" w:type="dxa"/>
          </w:tcPr>
          <w:p w14:paraId="5A4B074C"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rPr>
              <w:drawing>
                <wp:inline distT="0" distB="0" distL="0" distR="0" wp14:anchorId="2BCF335D" wp14:editId="46F23A25">
                  <wp:extent cx="2946400" cy="2228850"/>
                  <wp:effectExtent l="19050" t="19050" r="25400" b="19050"/>
                  <wp:docPr id="103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18" cstate="print"/>
                          <a:srcRect/>
                          <a:stretch/>
                        </pic:blipFill>
                        <pic:spPr>
                          <a:xfrm>
                            <a:off x="0" y="0"/>
                            <a:ext cx="2946400" cy="2228850"/>
                          </a:xfrm>
                          <a:prstGeom prst="rect">
                            <a:avLst/>
                          </a:prstGeom>
                          <a:ln w="9525" cap="flat" cmpd="sng">
                            <a:solidFill>
                              <a:srgbClr val="000000"/>
                            </a:solidFill>
                            <a:prstDash val="solid"/>
                            <a:round/>
                            <a:headEnd/>
                            <a:tailEnd/>
                          </a:ln>
                        </pic:spPr>
                      </pic:pic>
                    </a:graphicData>
                  </a:graphic>
                </wp:inline>
              </w:drawing>
            </w:r>
          </w:p>
        </w:tc>
      </w:tr>
      <w:tr w:rsidR="001E1FBD" w14:paraId="4C842805" w14:textId="77777777" w:rsidTr="001E1FBD">
        <w:tc>
          <w:tcPr>
            <w:tcW w:w="5286" w:type="dxa"/>
          </w:tcPr>
          <w:p w14:paraId="10639A8D" w14:textId="6C538599"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926" w:type="dxa"/>
          </w:tcPr>
          <w:p w14:paraId="582CDF6C" w14:textId="5B392DB3"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E1FBD" w14:paraId="74315802" w14:textId="77777777" w:rsidTr="001E1FBD">
        <w:tc>
          <w:tcPr>
            <w:tcW w:w="10212" w:type="dxa"/>
            <w:gridSpan w:val="2"/>
          </w:tcPr>
          <w:p w14:paraId="05003657" w14:textId="77777777" w:rsidR="001E1FBD" w:rsidRPr="00D80170" w:rsidRDefault="001E1FBD"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rPr>
              <w:drawing>
                <wp:inline distT="0" distB="0" distL="0" distR="0" wp14:anchorId="55AD8298" wp14:editId="7C77E34C">
                  <wp:extent cx="3180715" cy="2241550"/>
                  <wp:effectExtent l="19050" t="19050" r="19685" b="25400"/>
                  <wp:docPr id="103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9" cstate="print"/>
                          <a:srcRect/>
                          <a:stretch/>
                        </pic:blipFill>
                        <pic:spPr>
                          <a:xfrm>
                            <a:off x="0" y="0"/>
                            <a:ext cx="3183647" cy="2243616"/>
                          </a:xfrm>
                          <a:prstGeom prst="rect">
                            <a:avLst/>
                          </a:prstGeom>
                          <a:ln w="9525" cap="flat" cmpd="sng">
                            <a:solidFill>
                              <a:srgbClr val="000000"/>
                            </a:solidFill>
                            <a:prstDash val="solid"/>
                            <a:round/>
                            <a:headEnd/>
                            <a:tailEnd/>
                          </a:ln>
                        </pic:spPr>
                      </pic:pic>
                    </a:graphicData>
                  </a:graphic>
                </wp:inline>
              </w:drawing>
            </w:r>
          </w:p>
        </w:tc>
      </w:tr>
      <w:tr w:rsidR="001E1FBD" w14:paraId="35379BEC" w14:textId="77777777" w:rsidTr="001E1FBD">
        <w:tc>
          <w:tcPr>
            <w:tcW w:w="10212" w:type="dxa"/>
            <w:gridSpan w:val="2"/>
          </w:tcPr>
          <w:p w14:paraId="240A2B9B" w14:textId="3B9B1441"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4E335E" w14:paraId="54527D85" w14:textId="77777777" w:rsidTr="001E1FBD">
        <w:tc>
          <w:tcPr>
            <w:tcW w:w="10212" w:type="dxa"/>
            <w:gridSpan w:val="2"/>
          </w:tcPr>
          <w:p w14:paraId="66227E41" w14:textId="77777777" w:rsidR="004E335E" w:rsidRPr="001E1FBD" w:rsidRDefault="004E335E" w:rsidP="00280E6C">
            <w:pPr>
              <w:spacing w:line="240" w:lineRule="auto"/>
              <w:jc w:val="center"/>
              <w:rPr>
                <w:rFonts w:ascii="Palatino Linotype" w:eastAsia="Times New Roman" w:hAnsi="Palatino Linotype" w:cs="Times"/>
                <w:b/>
                <w:bCs/>
                <w:noProof/>
                <w:sz w:val="20"/>
                <w:szCs w:val="20"/>
              </w:rPr>
            </w:pPr>
          </w:p>
        </w:tc>
      </w:tr>
    </w:tbl>
    <w:p w14:paraId="5BB981A7" w14:textId="53CADF3B" w:rsidR="000D1969" w:rsidRDefault="001E1FBD" w:rsidP="001E1FBD">
      <w:pPr>
        <w:spacing w:line="240" w:lineRule="auto"/>
        <w:rPr>
          <w:rFonts w:ascii="Palatino Linotype" w:eastAsia="Times New Roman" w:hAnsi="Palatino Linotype" w:cs="Times"/>
          <w:i/>
          <w:iCs/>
          <w:sz w:val="20"/>
          <w:szCs w:val="20"/>
        </w:rPr>
      </w:pPr>
      <w:r w:rsidRPr="001E1FBD">
        <w:rPr>
          <w:rFonts w:ascii="Palatino Linotype" w:eastAsia="Times New Roman" w:hAnsi="Palatino Linotype" w:cs="Times"/>
          <w:b/>
          <w:bCs/>
          <w:color w:val="1F1F1F"/>
          <w:sz w:val="20"/>
          <w:szCs w:val="20"/>
        </w:rPr>
        <w:t>Figure 2. Photomicrograph of Lung Tissue of experimental animals on day 28</w:t>
      </w:r>
      <w:r>
        <w:rPr>
          <w:rFonts w:ascii="Palatino Linotype" w:eastAsia="Times New Roman" w:hAnsi="Palatino Linotype" w:cs="Times"/>
          <w:b/>
          <w:bCs/>
          <w:color w:val="1F1F1F"/>
          <w:sz w:val="20"/>
          <w:szCs w:val="20"/>
        </w:rPr>
        <w:t xml:space="preserve">. </w:t>
      </w:r>
      <w:r w:rsidRPr="001E1FBD">
        <w:rPr>
          <w:rFonts w:ascii="Palatino Linotype" w:eastAsia="Times New Roman" w:hAnsi="Palatino Linotype" w:cs="Times"/>
          <w:color w:val="1F1F1F"/>
          <w:sz w:val="20"/>
          <w:szCs w:val="20"/>
        </w:rPr>
        <w:t xml:space="preserve">Group 1B (control) showing alveolar sac, alveoli, and pulmonary blood vessels. Tissue exhibits normal microstructure. Group 2B administered untreated refinery effluent showing very severe inflammatory cells around coagulated/congested alveoli and a distorted alveolar sac. The epithelial lining around the terminal </w:t>
      </w:r>
      <w:r w:rsidRPr="001E1FBD">
        <w:rPr>
          <w:rFonts w:ascii="Palatino Linotype" w:eastAsia="Times New Roman" w:hAnsi="Palatino Linotype" w:cs="Times"/>
          <w:color w:val="1F1F1F"/>
          <w:sz w:val="20"/>
          <w:szCs w:val="20"/>
        </w:rPr>
        <w:lastRenderedPageBreak/>
        <w:t xml:space="preserve">bronchioles also shows distortion. Distortion of tissue microstructure is indicated. Group 3B administered treated refinery effluent showing very severe inflammatory cells around the alveoli, with the eruption of alveoli in the alveolar sac. Distortion of tissue microstructure is indicated. Group 4B administered 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inflammatory cells and a distorted alveolar sac. Cellular degeneration around the alveolar sac is observed. Distortion of tissue microstructure is indicated. Group 5B administered untreated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very severe inflammatory cells around coagulated/congested alveoli. Congested blood vessels are also observed. Severe distortion of tissue microstructure is indicated. </w:t>
      </w:r>
      <w:r w:rsidRPr="001E1FBD">
        <w:rPr>
          <w:rFonts w:ascii="Palatino Linotype" w:eastAsia="Times New Roman" w:hAnsi="Palatino Linotype" w:cs="Times"/>
          <w:i/>
          <w:iCs/>
          <w:sz w:val="20"/>
          <w:szCs w:val="20"/>
        </w:rPr>
        <w:t>Magnification: H &amp; E, X100.</w:t>
      </w:r>
    </w:p>
    <w:p w14:paraId="784C731B" w14:textId="77777777" w:rsidR="00FB3651" w:rsidRPr="00FB3651" w:rsidRDefault="00FB3651" w:rsidP="001E1FBD">
      <w:pPr>
        <w:spacing w:line="240" w:lineRule="auto"/>
        <w:rPr>
          <w:rFonts w:ascii="Palatino Linotype" w:eastAsia="Times New Roman" w:hAnsi="Palatino Linotype" w:cs="Times"/>
          <w:color w:val="1F1F1F"/>
          <w:sz w:val="20"/>
          <w:szCs w:val="20"/>
        </w:rPr>
      </w:pPr>
    </w:p>
    <w:p w14:paraId="7ACB8320" w14:textId="77777777" w:rsidR="00FB3651" w:rsidRDefault="00D80170" w:rsidP="00FB3651">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DISCUSSION</w:t>
      </w:r>
    </w:p>
    <w:p w14:paraId="68682509" w14:textId="5F5332C4" w:rsidR="00FB3651" w:rsidRPr="00FB3651" w:rsidRDefault="00FB3651" w:rsidP="00FB3651">
      <w:pPr>
        <w:spacing w:before="240" w:after="240" w:line="480" w:lineRule="auto"/>
        <w:rPr>
          <w:rFonts w:ascii="Palatino Linotype" w:eastAsia="Times New Roman" w:hAnsi="Palatino Linotype" w:cs="Times"/>
          <w:b/>
          <w:sz w:val="20"/>
          <w:szCs w:val="20"/>
        </w:rPr>
      </w:pPr>
      <w:r w:rsidRPr="00FB3651">
        <w:rPr>
          <w:rFonts w:ascii="Palatino Linotype" w:eastAsia="Times New Roman" w:hAnsi="Palatino Linotype" w:cs="Times"/>
          <w:sz w:val="20"/>
          <w:szCs w:val="20"/>
        </w:rPr>
        <w:t>Industrial effluents, composed of heavy metals, volatile organic compounds, and persistent organic pollutants, pose a significant threat to public health and the environment. The release of untreated industrial waste into water bodies and air has been associated with numerous disease conditions, including respiratory disorders, cardiovascular complications, and carcinogenesis</w:t>
      </w:r>
      <w:r w:rsidR="00D46137">
        <w:rPr>
          <w:rFonts w:ascii="Palatino Linotype" w:eastAsia="Times New Roman" w:hAnsi="Palatino Linotype" w:cs="Times"/>
          <w:sz w:val="20"/>
          <w:szCs w:val="20"/>
        </w:rPr>
        <w:t xml:space="preserve"> (</w:t>
      </w:r>
      <w:r w:rsidR="001318E0" w:rsidRPr="001318E0">
        <w:rPr>
          <w:rFonts w:ascii="Palatino Linotype" w:eastAsia="Times New Roman" w:hAnsi="Palatino Linotype" w:cs="Times"/>
          <w:sz w:val="20"/>
          <w:szCs w:val="20"/>
        </w:rPr>
        <w:t xml:space="preserve">Okereke </w:t>
      </w:r>
      <w:r w:rsidR="001318E0">
        <w:rPr>
          <w:rFonts w:ascii="Palatino Linotype" w:eastAsia="Times New Roman" w:hAnsi="Palatino Linotype" w:cs="Times"/>
          <w:sz w:val="20"/>
          <w:szCs w:val="20"/>
        </w:rPr>
        <w:t xml:space="preserve">et al., 2016; </w:t>
      </w:r>
      <w:r w:rsidR="00D46137" w:rsidRPr="00D46137">
        <w:rPr>
          <w:rFonts w:ascii="Palatino Linotype" w:eastAsia="Times New Roman" w:hAnsi="Palatino Linotype" w:cs="Times"/>
          <w:sz w:val="20"/>
          <w:szCs w:val="20"/>
        </w:rPr>
        <w:t>Landrigan</w:t>
      </w:r>
      <w:r w:rsidR="00D46137">
        <w:rPr>
          <w:rFonts w:ascii="Palatino Linotype" w:eastAsia="Times New Roman" w:hAnsi="Palatino Linotype" w:cs="Times"/>
          <w:sz w:val="20"/>
          <w:szCs w:val="20"/>
        </w:rPr>
        <w:t xml:space="preserve"> et al., 2018;</w:t>
      </w:r>
      <w:r w:rsidR="00D46137" w:rsidRPr="00D46137">
        <w:t xml:space="preserve"> </w:t>
      </w:r>
      <w:r w:rsidR="00D46137" w:rsidRPr="00D46137">
        <w:rPr>
          <w:rFonts w:ascii="Palatino Linotype" w:eastAsia="Times New Roman" w:hAnsi="Palatino Linotype" w:cs="Times"/>
          <w:sz w:val="20"/>
          <w:szCs w:val="20"/>
        </w:rPr>
        <w:t>Schraufnagel</w:t>
      </w:r>
      <w:r w:rsidR="00D46137">
        <w:rPr>
          <w:rFonts w:ascii="Palatino Linotype" w:eastAsia="Times New Roman" w:hAnsi="Palatino Linotype" w:cs="Times"/>
          <w:sz w:val="20"/>
          <w:szCs w:val="20"/>
        </w:rPr>
        <w:t xml:space="preserve"> et al., 2019)</w:t>
      </w:r>
      <w:r w:rsidRPr="00FB3651">
        <w:rPr>
          <w:rFonts w:ascii="Palatino Linotype" w:eastAsia="Times New Roman" w:hAnsi="Palatino Linotype" w:cs="Times"/>
          <w:sz w:val="20"/>
          <w:szCs w:val="20"/>
        </w:rPr>
        <w:t>. Studies have shown that chronic exposure to pollutants from petrochemical industries leads to increased incidence of chronic obstructive pulmonary disease, pulmonary fibrosis, and lung cancer due to prolonged oxidative stress and inflammatory responses (</w:t>
      </w:r>
      <w:r w:rsidR="00D46137" w:rsidRPr="00D46137">
        <w:rPr>
          <w:rFonts w:ascii="Palatino Linotype" w:eastAsia="Times New Roman" w:hAnsi="Palatino Linotype" w:cs="Times"/>
          <w:sz w:val="20"/>
          <w:szCs w:val="20"/>
        </w:rPr>
        <w:t xml:space="preserve">Schraufnagel </w:t>
      </w:r>
      <w:r w:rsidR="00D46137">
        <w:rPr>
          <w:rFonts w:ascii="Palatino Linotype" w:eastAsia="Times New Roman" w:hAnsi="Palatino Linotype" w:cs="Times"/>
          <w:sz w:val="20"/>
          <w:szCs w:val="20"/>
        </w:rPr>
        <w:t xml:space="preserve">et al., </w:t>
      </w:r>
      <w:r w:rsidR="00D46137" w:rsidRPr="00D46137">
        <w:rPr>
          <w:rFonts w:ascii="Palatino Linotype" w:eastAsia="Times New Roman" w:hAnsi="Palatino Linotype" w:cs="Times"/>
          <w:sz w:val="20"/>
          <w:szCs w:val="20"/>
        </w:rPr>
        <w:t>2019</w:t>
      </w:r>
      <w:r w:rsidR="00D46137">
        <w:rPr>
          <w:rFonts w:ascii="Palatino Linotype" w:eastAsia="Times New Roman" w:hAnsi="Palatino Linotype" w:cs="Times"/>
          <w:sz w:val="20"/>
          <w:szCs w:val="20"/>
        </w:rPr>
        <w:t>;</w:t>
      </w:r>
      <w:r w:rsidR="00D46137" w:rsidRPr="00D4613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 xml:space="preserve">Yang </w:t>
      </w:r>
      <w:r w:rsidR="00C10327">
        <w:rPr>
          <w:rFonts w:ascii="Palatino Linotype" w:eastAsia="Times New Roman" w:hAnsi="Palatino Linotype" w:cs="Times"/>
          <w:sz w:val="20"/>
          <w:szCs w:val="20"/>
        </w:rPr>
        <w:t xml:space="preserve">et al., 2021; </w:t>
      </w:r>
      <w:r w:rsidR="00D46137" w:rsidRPr="00D46137">
        <w:rPr>
          <w:rFonts w:ascii="Palatino Linotype" w:eastAsia="Times New Roman" w:hAnsi="Palatino Linotype" w:cs="Times"/>
          <w:sz w:val="20"/>
          <w:szCs w:val="20"/>
        </w:rPr>
        <w:t>Raslan</w:t>
      </w:r>
      <w:r w:rsidR="00D46137">
        <w:rPr>
          <w:rFonts w:ascii="Palatino Linotype" w:eastAsia="Times New Roman" w:hAnsi="Palatino Linotype" w:cs="Times"/>
          <w:sz w:val="20"/>
          <w:szCs w:val="20"/>
        </w:rPr>
        <w:t xml:space="preserve"> et al.</w:t>
      </w:r>
      <w:r w:rsidRPr="00FB3651">
        <w:rPr>
          <w:rFonts w:ascii="Palatino Linotype" w:eastAsia="Times New Roman" w:hAnsi="Palatino Linotype" w:cs="Times"/>
          <w:sz w:val="20"/>
          <w:szCs w:val="20"/>
        </w:rPr>
        <w:t>, 20</w:t>
      </w:r>
      <w:r w:rsidR="00D46137">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Despite regulations aimed at minimizing industrial pollution, enforcement remains weak, particularly in developing regions such as Nigeria, where industrial hubs contribute significantly to environmental degradation.</w:t>
      </w:r>
    </w:p>
    <w:p w14:paraId="7E61C932" w14:textId="28EB77BC"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This study examine</w:t>
      </w:r>
      <w:r>
        <w:rPr>
          <w:rFonts w:ascii="Palatino Linotype" w:eastAsia="Times New Roman" w:hAnsi="Palatino Linotype" w:cs="Times"/>
          <w:sz w:val="20"/>
          <w:szCs w:val="20"/>
        </w:rPr>
        <w:t>d</w:t>
      </w:r>
      <w:r w:rsidRPr="00FB3651">
        <w:rPr>
          <w:rFonts w:ascii="Palatino Linotype" w:eastAsia="Times New Roman" w:hAnsi="Palatino Linotype" w:cs="Times"/>
          <w:sz w:val="20"/>
          <w:szCs w:val="20"/>
        </w:rPr>
        <w:t xml:space="preserve"> the comparative histopathological effects of treated and untreated industrial effluents on lung tissues over short- and long-term exposure periods. Unlike previous research that primarily focused on general toxicological effects, this study uniquely investigates whether effluent treatment significantly mitigates lung tissue damage, providing critical insights into the effectiveness of treatment processes. The assessment of acute (3-day) and chronic (28-day) exposure allows for a deeper understanding of how industrial effluents progressively alter lung architecture.</w:t>
      </w:r>
    </w:p>
    <w:p w14:paraId="087077D5" w14:textId="75E23050"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 xml:space="preserve">The histological findings on day 3 revealed that control animals exhibited normal pulmonary architecture, while those exposed to both treated and untreated effluents showed inflammatory cell infiltration, alveolar congestion, and epithelial distortion. The severity of alterations varied, with untreated refinery and </w:t>
      </w:r>
      <w:proofErr w:type="spellStart"/>
      <w:r w:rsidRPr="00FB3651">
        <w:rPr>
          <w:rFonts w:ascii="Palatino Linotype" w:eastAsia="Times New Roman" w:hAnsi="Palatino Linotype" w:cs="Times"/>
          <w:sz w:val="20"/>
          <w:szCs w:val="20"/>
        </w:rPr>
        <w:t>Notore</w:t>
      </w:r>
      <w:proofErr w:type="spellEnd"/>
      <w:r w:rsidRPr="00FB3651">
        <w:rPr>
          <w:rFonts w:ascii="Palatino Linotype" w:eastAsia="Times New Roman" w:hAnsi="Palatino Linotype" w:cs="Times"/>
          <w:sz w:val="20"/>
          <w:szCs w:val="20"/>
        </w:rPr>
        <w:t xml:space="preserve"> effluents inducing pronounced inflammatory responses, alveolar sac distortion, and early-stage bronchial epithelial damage. This suggests that the high concentration of toxicants in untreated effluents induces oxidative stress and inflammatory signaling cascades, leading to early lung tissue degeneration</w:t>
      </w:r>
      <w:r w:rsidR="00C1032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Adeboyejo</w:t>
      </w:r>
      <w:r w:rsidR="00C10327">
        <w:rPr>
          <w:rFonts w:ascii="Palatino Linotype" w:eastAsia="Times New Roman" w:hAnsi="Palatino Linotype" w:cs="Times"/>
          <w:sz w:val="20"/>
          <w:szCs w:val="20"/>
        </w:rPr>
        <w:t xml:space="preserve"> et al., 2013)</w:t>
      </w:r>
      <w:r w:rsidRPr="00FB3651">
        <w:rPr>
          <w:rFonts w:ascii="Palatino Linotype" w:eastAsia="Times New Roman" w:hAnsi="Palatino Linotype" w:cs="Times"/>
          <w:sz w:val="20"/>
          <w:szCs w:val="20"/>
        </w:rPr>
        <w:t>. Treated effluents also triggered inflammatory responses, albeit with reduced epithelial and alveolar damage, indicating that effluent treatment reduces toxicity but does not entirely eliminate harmful effects. Previous studies have corroborated these findings, demonstrating that acute lung toxicity following industrial pollutant exposure is driven by oxidative stress and endothelial dysfunction, which accelerate cellular damage and immune activation (</w:t>
      </w:r>
      <w:r w:rsidR="00F74E45" w:rsidRPr="00F74E45">
        <w:rPr>
          <w:rFonts w:ascii="Palatino Linotype" w:eastAsia="Times New Roman" w:hAnsi="Palatino Linotype" w:cs="Times"/>
          <w:sz w:val="20"/>
          <w:szCs w:val="20"/>
        </w:rPr>
        <w:t xml:space="preserve">Alves </w:t>
      </w:r>
      <w:r w:rsidR="00F74E45">
        <w:rPr>
          <w:rFonts w:ascii="Palatino Linotype" w:eastAsia="Times New Roman" w:hAnsi="Palatino Linotype" w:cs="Times"/>
          <w:sz w:val="20"/>
          <w:szCs w:val="20"/>
        </w:rPr>
        <w:t xml:space="preserve">et al., 2020; </w:t>
      </w:r>
      <w:r w:rsidR="00F74E45" w:rsidRPr="00F74E45">
        <w:rPr>
          <w:rFonts w:ascii="Palatino Linotype" w:eastAsia="Times New Roman" w:hAnsi="Palatino Linotype" w:cs="Times"/>
          <w:sz w:val="20"/>
          <w:szCs w:val="20"/>
        </w:rPr>
        <w:t xml:space="preserve">Bezerra </w:t>
      </w:r>
      <w:r w:rsidR="00F74E45">
        <w:rPr>
          <w:rFonts w:ascii="Palatino Linotype" w:eastAsia="Times New Roman" w:hAnsi="Palatino Linotype" w:cs="Times"/>
          <w:sz w:val="20"/>
          <w:szCs w:val="20"/>
        </w:rPr>
        <w:t xml:space="preserve">et al., 2023; </w:t>
      </w:r>
      <w:proofErr w:type="spellStart"/>
      <w:r w:rsidR="00F74E45" w:rsidRPr="00F74E45">
        <w:rPr>
          <w:rFonts w:ascii="Palatino Linotype" w:eastAsia="Times New Roman" w:hAnsi="Palatino Linotype" w:cs="Times"/>
          <w:sz w:val="20"/>
          <w:szCs w:val="20"/>
        </w:rPr>
        <w:t>Sangkham</w:t>
      </w:r>
      <w:proofErr w:type="spellEnd"/>
      <w:r w:rsidR="00F74E45" w:rsidRPr="00F74E45">
        <w:rPr>
          <w:rFonts w:ascii="Palatino Linotype" w:eastAsia="Times New Roman" w:hAnsi="Palatino Linotype" w:cs="Times"/>
          <w:sz w:val="20"/>
          <w:szCs w:val="20"/>
        </w:rPr>
        <w:t xml:space="preserve"> </w:t>
      </w:r>
      <w:r w:rsidR="00F74E45">
        <w:rPr>
          <w:rFonts w:ascii="Palatino Linotype" w:eastAsia="Times New Roman" w:hAnsi="Palatino Linotype" w:cs="Times"/>
          <w:sz w:val="20"/>
          <w:szCs w:val="20"/>
        </w:rPr>
        <w:t>et al., 2024</w:t>
      </w:r>
      <w:r w:rsidRPr="00FB3651">
        <w:rPr>
          <w:rFonts w:ascii="Palatino Linotype" w:eastAsia="Times New Roman" w:hAnsi="Palatino Linotype" w:cs="Times"/>
          <w:sz w:val="20"/>
          <w:szCs w:val="20"/>
        </w:rPr>
        <w:t xml:space="preserve">). </w:t>
      </w:r>
    </w:p>
    <w:p w14:paraId="5DB1D2CF" w14:textId="1ACA237B"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By day 28, histological analyses showed severe pulmonary deterioration, particularly in animals exposed to untreated effluents. Pathological changes included extensive inflammatory infiltration, alveolar collapse, epithelial necrosis, and fibrosis-like lesions, suggesting a transition from acute inflammation to chronic degenerative lung disease. Untreated effluents led to increased pulmonary congestion, alveolar destruction, and fibrotic remodeling, reinforcing the hypothesis that continuous exposure exacerbates oxidative damage, impairs lung tissue regeneration, and promotes airway remodeling. The treated effluent groups, while still exhibiting significant alveolar disruption, demonstrated relatively preserved lung structures compared to their untreated counterparts. The milder impact observed in the treated effluent groups can be attributed to partial removal of toxicants during effluent treatment, which reduced but did not eliminate the harmful compounds responsible for oxidative damage and inflammatory responses</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Cuerda</w:t>
      </w:r>
      <w:proofErr w:type="spellEnd"/>
      <w:r w:rsidR="00F74E45" w:rsidRPr="00F74E45">
        <w:rPr>
          <w:rFonts w:ascii="Palatino Linotype" w:eastAsia="Times New Roman" w:hAnsi="Palatino Linotype" w:cs="Times"/>
          <w:sz w:val="20"/>
          <w:szCs w:val="20"/>
        </w:rPr>
        <w:t>-Correa</w:t>
      </w:r>
      <w:r w:rsidR="00F74E45">
        <w:rPr>
          <w:rFonts w:ascii="Palatino Linotype" w:eastAsia="Times New Roman" w:hAnsi="Palatino Linotype" w:cs="Times"/>
          <w:sz w:val="20"/>
          <w:szCs w:val="20"/>
        </w:rPr>
        <w:t xml:space="preserve"> et al., 2020;</w:t>
      </w:r>
      <w:r w:rsidR="00BF1CFA" w:rsidRPr="00BF1CFA">
        <w:t xml:space="preserve"> </w:t>
      </w:r>
      <w:proofErr w:type="spellStart"/>
      <w:r w:rsidR="00BF1CFA" w:rsidRPr="00BF1CFA">
        <w:rPr>
          <w:rFonts w:ascii="Palatino Linotype" w:eastAsia="Times New Roman" w:hAnsi="Palatino Linotype" w:cs="Times"/>
          <w:sz w:val="20"/>
          <w:szCs w:val="20"/>
        </w:rPr>
        <w:t>Jomova</w:t>
      </w:r>
      <w:proofErr w:type="spellEnd"/>
      <w:r w:rsidR="00BF1CFA">
        <w:rPr>
          <w:rFonts w:ascii="Palatino Linotype" w:eastAsia="Times New Roman" w:hAnsi="Palatino Linotype" w:cs="Times"/>
          <w:sz w:val="20"/>
          <w:szCs w:val="20"/>
        </w:rPr>
        <w:t xml:space="preserve"> et al., 2023;</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Matesun</w:t>
      </w:r>
      <w:proofErr w:type="spellEnd"/>
      <w:r w:rsidR="00F74E45">
        <w:rPr>
          <w:rFonts w:ascii="Palatino Linotype" w:eastAsia="Times New Roman" w:hAnsi="Palatino Linotype" w:cs="Times"/>
          <w:sz w:val="20"/>
          <w:szCs w:val="20"/>
        </w:rPr>
        <w:t xml:space="preserve"> et al., 2024)</w:t>
      </w:r>
      <w:r w:rsidRPr="00FB3651">
        <w:rPr>
          <w:rFonts w:ascii="Palatino Linotype" w:eastAsia="Times New Roman" w:hAnsi="Palatino Linotype" w:cs="Times"/>
          <w:sz w:val="20"/>
          <w:szCs w:val="20"/>
        </w:rPr>
        <w:t>. This suggests that while treatment processes may lessen toxicity, they remain inadequate in preventing long-term pulmonary harm.</w:t>
      </w:r>
    </w:p>
    <w:p w14:paraId="09F14464" w14:textId="6F7EC321"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The findings further highlight that untreated effluents contribute to more aggressive pathological changes, as they contain a higher load of unfiltered carcinogenic and inflammatory agents. Studies have shown that exposure to high levels of industrial pollutants, particularly in their untreated form, increases the risk of permanent pulmonary damage and heightened susceptibility to respiratory infections (</w:t>
      </w:r>
      <w:r w:rsidR="00BF1CFA" w:rsidRPr="00BF1CFA">
        <w:rPr>
          <w:rFonts w:ascii="Palatino Linotype" w:eastAsia="Times New Roman" w:hAnsi="Palatino Linotype" w:cs="Times"/>
          <w:sz w:val="20"/>
          <w:szCs w:val="20"/>
        </w:rPr>
        <w:t xml:space="preserve">Kurt </w:t>
      </w:r>
      <w:r w:rsidR="00BF1CFA">
        <w:rPr>
          <w:rFonts w:ascii="Palatino Linotype" w:eastAsia="Times New Roman" w:hAnsi="Palatino Linotype" w:cs="Times"/>
          <w:sz w:val="20"/>
          <w:szCs w:val="20"/>
        </w:rPr>
        <w:t xml:space="preserve">et al., 2016; </w:t>
      </w:r>
      <w:proofErr w:type="spellStart"/>
      <w:r w:rsidR="00BF1CFA" w:rsidRPr="00BF1CFA">
        <w:rPr>
          <w:rFonts w:ascii="Palatino Linotype" w:eastAsia="Times New Roman" w:hAnsi="Palatino Linotype" w:cs="Times"/>
          <w:sz w:val="20"/>
          <w:szCs w:val="20"/>
        </w:rPr>
        <w:t>Monoson</w:t>
      </w:r>
      <w:proofErr w:type="spellEnd"/>
      <w:r w:rsidR="00BF1CFA" w:rsidRP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et al., 20</w:t>
      </w:r>
      <w:r w:rsidR="00BF1CFA">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The prolonged inflammatory responses observed in animals exposed to untreated effluents suggest that ongoing exposure could promote the development of chronic lung diseases, including fibrosis and emphysema. The failure to implement rigorous waste treatment processes could thus result in widespread respiratory complications among populations residing near industrial zones, further burdening healthcare systems and increasing morbidity rates.</w:t>
      </w:r>
    </w:p>
    <w:p w14:paraId="3A5521D1" w14:textId="6FA2E6C2" w:rsid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The implications of these findings extend beyond individual health risks, highlighting the need for regulatory enforcement and public health interventions. Without stringent regulations, continuous exposure to industrial pollutants could escalate the burden of respiratory diseases, increase healthcare costs, and reduce life expectancy in affected populations. Given the widespread discharge of industrial effluents in many developing regions, environmental monitoring and stricter enforcement of wastewater treatment standards are imperative to mitigate these risks. Routine surveillance of industrial discharge zones should be conducted to track pollutant levels and assess their impact on public health. More stringent industrial wastewater treatment regulations must be implemented to ensure the complete removal of toxic contaminants before effluent discharge. The findings of this study also emphasize the necessity for longitudinal epidemiological research on human populations residing near industrial sites to assess long-term health impacts.</w:t>
      </w:r>
      <w:r w:rsid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 xml:space="preserve">Future research should focus on optimizing treatment technologies and evaluating alternative methods, such as bioremediation and nanotechnology-based filtration systems, to enhance effluent </w:t>
      </w:r>
      <w:commentRangeStart w:id="9"/>
      <w:r w:rsidRPr="00FB3651">
        <w:rPr>
          <w:rFonts w:ascii="Palatino Linotype" w:eastAsia="Times New Roman" w:hAnsi="Palatino Linotype" w:cs="Times"/>
          <w:sz w:val="20"/>
          <w:szCs w:val="20"/>
        </w:rPr>
        <w:t>detoxification before environmental discharge.</w:t>
      </w:r>
      <w:commentRangeEnd w:id="9"/>
      <w:r w:rsidR="0045628A">
        <w:rPr>
          <w:rStyle w:val="CommentReference"/>
        </w:rPr>
        <w:commentReference w:id="9"/>
      </w:r>
    </w:p>
    <w:p w14:paraId="7BCB2EA0" w14:textId="768BDF5B" w:rsidR="00FB3651" w:rsidRPr="002E4338" w:rsidRDefault="00FB3651" w:rsidP="00FB3651">
      <w:pPr>
        <w:spacing w:before="240" w:after="240"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CONCLUSION</w:t>
      </w:r>
    </w:p>
    <w:p w14:paraId="42EE1D5C" w14:textId="0ACF1B54" w:rsidR="00D80170" w:rsidRDefault="002E4338" w:rsidP="004E335E">
      <w:pPr>
        <w:spacing w:before="240" w:after="240" w:line="480" w:lineRule="auto"/>
        <w:rPr>
          <w:rFonts w:ascii="Palatino Linotype" w:eastAsia="Times New Roman" w:hAnsi="Palatino Linotype" w:cs="Times"/>
          <w:sz w:val="20"/>
          <w:szCs w:val="20"/>
        </w:rPr>
      </w:pPr>
      <w:r w:rsidRPr="002E4338">
        <w:rPr>
          <w:rFonts w:ascii="Palatino Linotype" w:eastAsia="Times New Roman" w:hAnsi="Palatino Linotype" w:cs="Times"/>
          <w:sz w:val="20"/>
          <w:szCs w:val="20"/>
        </w:rPr>
        <w:lastRenderedPageBreak/>
        <w:t>This study demonstrate</w:t>
      </w:r>
      <w:r>
        <w:rPr>
          <w:rFonts w:ascii="Palatino Linotype" w:eastAsia="Times New Roman" w:hAnsi="Palatino Linotype" w:cs="Times"/>
          <w:sz w:val="20"/>
          <w:szCs w:val="20"/>
        </w:rPr>
        <w:t>d</w:t>
      </w:r>
      <w:r w:rsidRPr="002E4338">
        <w:rPr>
          <w:rFonts w:ascii="Palatino Linotype" w:eastAsia="Times New Roman" w:hAnsi="Palatino Linotype" w:cs="Times"/>
          <w:sz w:val="20"/>
          <w:szCs w:val="20"/>
        </w:rPr>
        <w:t xml:space="preserve"> the significant histopathological impact of industrial effluent exposure on lung tissues, with untreated effluents causing more severe and progressive damage compared to treated effluents. The findings emphasize the critical need for stricter environmental regulations and improved wastewater treatment technologies to mitigate public health risks. Prolonged exposure to industrial pollutants may lead to chronic respiratory diseases, making immediate policy interventions essential. Strengthening industrial waste management, promoting sustainable treatment solutions, and conducting long-term epidemiological studies are crucial steps toward protecting both human health and the environment</w:t>
      </w:r>
      <w:r>
        <w:rPr>
          <w:rFonts w:ascii="Palatino Linotype" w:eastAsia="Times New Roman" w:hAnsi="Palatino Linotype" w:cs="Times"/>
          <w:sz w:val="20"/>
          <w:szCs w:val="20"/>
        </w:rPr>
        <w:t>.</w:t>
      </w:r>
    </w:p>
    <w:p w14:paraId="7B460BAC" w14:textId="77777777" w:rsidR="00E45B74" w:rsidRPr="00E45B74" w:rsidRDefault="00E45B74" w:rsidP="00E45B74">
      <w:pPr>
        <w:spacing w:before="240" w:after="240" w:line="480" w:lineRule="auto"/>
        <w:rPr>
          <w:rFonts w:ascii="Palatino Linotype" w:eastAsia="Times New Roman" w:hAnsi="Palatino Linotype" w:cs="Times"/>
          <w:b/>
          <w:bCs/>
          <w:sz w:val="20"/>
          <w:szCs w:val="20"/>
        </w:rPr>
      </w:pPr>
      <w:r w:rsidRPr="00E45B74">
        <w:rPr>
          <w:rFonts w:ascii="Palatino Linotype" w:eastAsia="Times New Roman" w:hAnsi="Palatino Linotype" w:cs="Times"/>
          <w:b/>
          <w:bCs/>
          <w:i/>
          <w:iCs/>
          <w:sz w:val="20"/>
          <w:szCs w:val="20"/>
        </w:rPr>
        <w:t xml:space="preserve">Statement of ethical approval </w:t>
      </w:r>
    </w:p>
    <w:p w14:paraId="7ED2FE38" w14:textId="2C1B7769" w:rsidR="00E45B74" w:rsidRDefault="00E45B74" w:rsidP="00E45B74">
      <w:pPr>
        <w:spacing w:before="240" w:after="240" w:line="480" w:lineRule="auto"/>
        <w:rPr>
          <w:rFonts w:ascii="Palatino Linotype" w:eastAsia="Times New Roman" w:hAnsi="Palatino Linotype" w:cs="Times"/>
          <w:sz w:val="20"/>
          <w:szCs w:val="20"/>
        </w:rPr>
      </w:pPr>
      <w:r w:rsidRPr="00E45B74">
        <w:rPr>
          <w:rFonts w:ascii="Palatino Linotype" w:eastAsia="Times New Roman" w:hAnsi="Palatino Linotype" w:cs="Times"/>
          <w:sz w:val="20"/>
          <w:szCs w:val="20"/>
        </w:rPr>
        <w:t>Ethical approval was obtained for this study and was carried out in accordance with the guidelines for the care and use of animals and in compliance with the Research Ethics Committee’s fundamental principles for animal-based research</w:t>
      </w:r>
      <w:r>
        <w:rPr>
          <w:rFonts w:ascii="Palatino Linotype" w:eastAsia="Times New Roman" w:hAnsi="Palatino Linotype" w:cs="Times"/>
          <w:sz w:val="20"/>
          <w:szCs w:val="20"/>
        </w:rPr>
        <w:t xml:space="preserve"> of the University of Port Harcourt, </w:t>
      </w:r>
      <w:proofErr w:type="spellStart"/>
      <w:r>
        <w:rPr>
          <w:rFonts w:ascii="Palatino Linotype" w:eastAsia="Times New Roman" w:hAnsi="Palatino Linotype" w:cs="Times"/>
          <w:sz w:val="20"/>
          <w:szCs w:val="20"/>
        </w:rPr>
        <w:t>Choba</w:t>
      </w:r>
      <w:proofErr w:type="spellEnd"/>
      <w:r>
        <w:rPr>
          <w:rFonts w:ascii="Palatino Linotype" w:eastAsia="Times New Roman" w:hAnsi="Palatino Linotype" w:cs="Times"/>
          <w:sz w:val="20"/>
          <w:szCs w:val="20"/>
        </w:rPr>
        <w:t xml:space="preserve">, </w:t>
      </w:r>
      <w:r w:rsidRPr="00E45B74">
        <w:rPr>
          <w:rFonts w:ascii="Palatino Linotype" w:eastAsia="Times New Roman" w:hAnsi="Palatino Linotype" w:cs="Times"/>
          <w:sz w:val="20"/>
          <w:szCs w:val="20"/>
        </w:rPr>
        <w:t>Rivers State.</w:t>
      </w:r>
    </w:p>
    <w:p w14:paraId="69A35CD4" w14:textId="11880E24" w:rsidR="00C651E0" w:rsidRDefault="002E4338" w:rsidP="001318E0">
      <w:pPr>
        <w:spacing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REFERENCES</w:t>
      </w:r>
    </w:p>
    <w:p w14:paraId="63E17BC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Abbas, T., Ahmad, I., Khan, Z. I., &amp; Ahmad, K. (2023). Micromorphological and anatomical responses of native dicots to industrial effluents released from a contaminated region of the Chenab River in Pakistan. SABRAO Journal of Breeding and Genetics, 55(4), 1222–1244. </w:t>
      </w:r>
      <w:hyperlink r:id="rId20" w:history="1">
        <w:r w:rsidRPr="008F4F90">
          <w:rPr>
            <w:rStyle w:val="Hyperlink"/>
            <w:rFonts w:ascii="Palatino Linotype" w:eastAsia="Times New Roman" w:hAnsi="Palatino Linotype" w:cs="Times"/>
            <w:sz w:val="20"/>
            <w:szCs w:val="20"/>
          </w:rPr>
          <w:t>https://doi.org/10.54910/sabrao2023.55.4.17</w:t>
        </w:r>
      </w:hyperlink>
      <w:r>
        <w:rPr>
          <w:rFonts w:ascii="Palatino Linotype" w:eastAsia="Times New Roman" w:hAnsi="Palatino Linotype" w:cs="Times"/>
          <w:sz w:val="20"/>
          <w:szCs w:val="20"/>
        </w:rPr>
        <w:t xml:space="preserve"> </w:t>
      </w:r>
    </w:p>
    <w:p w14:paraId="5C5620FC"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Adeboyejo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Fagbenro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Adeparusi</w:t>
      </w:r>
      <w:proofErr w:type="spellEnd"/>
      <w:r w:rsidRPr="001318E0">
        <w:rPr>
          <w:rFonts w:ascii="Palatino Linotype" w:eastAsia="Times New Roman" w:hAnsi="Palatino Linotype" w:cs="Times"/>
          <w:sz w:val="20"/>
          <w:szCs w:val="20"/>
        </w:rPr>
        <w:t xml:space="preserve">, E.O. and Clarke, E.O.  Acute toxicity of industrial effluents from </w:t>
      </w:r>
      <w:proofErr w:type="spellStart"/>
      <w:r w:rsidRPr="001318E0">
        <w:rPr>
          <w:rFonts w:ascii="Palatino Linotype" w:eastAsia="Times New Roman" w:hAnsi="Palatino Linotype" w:cs="Times"/>
          <w:sz w:val="20"/>
          <w:szCs w:val="20"/>
        </w:rPr>
        <w:t>agbara</w:t>
      </w:r>
      <w:proofErr w:type="spellEnd"/>
      <w:r w:rsidRPr="001318E0">
        <w:rPr>
          <w:rFonts w:ascii="Palatino Linotype" w:eastAsia="Times New Roman" w:hAnsi="Palatino Linotype" w:cs="Times"/>
          <w:sz w:val="20"/>
          <w:szCs w:val="20"/>
        </w:rPr>
        <w:t xml:space="preserve"> environs of </w:t>
      </w:r>
      <w:proofErr w:type="spellStart"/>
      <w:r w:rsidRPr="001318E0">
        <w:rPr>
          <w:rFonts w:ascii="Palatino Linotype" w:eastAsia="Times New Roman" w:hAnsi="Palatino Linotype" w:cs="Times"/>
          <w:sz w:val="20"/>
          <w:szCs w:val="20"/>
        </w:rPr>
        <w:t>ologe</w:t>
      </w:r>
      <w:proofErr w:type="spellEnd"/>
      <w:r w:rsidRPr="001318E0">
        <w:rPr>
          <w:rFonts w:ascii="Palatino Linotype" w:eastAsia="Times New Roman" w:hAnsi="Palatino Linotype" w:cs="Times"/>
          <w:sz w:val="20"/>
          <w:szCs w:val="20"/>
        </w:rPr>
        <w:t xml:space="preserve"> lagoon on early life stages of African catfish Clarias </w:t>
      </w:r>
      <w:proofErr w:type="spellStart"/>
      <w:r w:rsidRPr="001318E0">
        <w:rPr>
          <w:rFonts w:ascii="Palatino Linotype" w:eastAsia="Times New Roman" w:hAnsi="Palatino Linotype" w:cs="Times"/>
          <w:sz w:val="20"/>
          <w:szCs w:val="20"/>
        </w:rPr>
        <w:t>gariepinus</w:t>
      </w:r>
      <w:proofErr w:type="spellEnd"/>
      <w:r w:rsidRPr="001318E0">
        <w:rPr>
          <w:rFonts w:ascii="Palatino Linotype" w:eastAsia="Times New Roman" w:hAnsi="Palatino Linotype" w:cs="Times"/>
          <w:sz w:val="20"/>
          <w:szCs w:val="20"/>
        </w:rPr>
        <w:t>.  American Journal of Research Communication, 2013, 1(3): 50-60</w:t>
      </w:r>
    </w:p>
    <w:p w14:paraId="6F3C5D6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Ajibola, F. O., </w:t>
      </w:r>
      <w:proofErr w:type="spellStart"/>
      <w:r w:rsidRPr="001318E0">
        <w:rPr>
          <w:rFonts w:ascii="Palatino Linotype" w:eastAsia="Times New Roman" w:hAnsi="Palatino Linotype" w:cs="Times"/>
          <w:sz w:val="20"/>
          <w:szCs w:val="20"/>
        </w:rPr>
        <w:t>Onyeyili</w:t>
      </w:r>
      <w:proofErr w:type="spellEnd"/>
      <w:r w:rsidRPr="001318E0">
        <w:rPr>
          <w:rFonts w:ascii="Palatino Linotype" w:eastAsia="Times New Roman" w:hAnsi="Palatino Linotype" w:cs="Times"/>
          <w:sz w:val="20"/>
          <w:szCs w:val="20"/>
        </w:rPr>
        <w:t xml:space="preserve">, I. N., </w:t>
      </w:r>
      <w:proofErr w:type="spellStart"/>
      <w:r w:rsidRPr="001318E0">
        <w:rPr>
          <w:rFonts w:ascii="Palatino Linotype" w:eastAsia="Times New Roman" w:hAnsi="Palatino Linotype" w:cs="Times"/>
          <w:sz w:val="20"/>
          <w:szCs w:val="20"/>
        </w:rPr>
        <w:t>Adabra</w:t>
      </w:r>
      <w:proofErr w:type="spellEnd"/>
      <w:r w:rsidRPr="001318E0">
        <w:rPr>
          <w:rFonts w:ascii="Palatino Linotype" w:eastAsia="Times New Roman" w:hAnsi="Palatino Linotype" w:cs="Times"/>
          <w:sz w:val="20"/>
          <w:szCs w:val="20"/>
        </w:rPr>
        <w:t xml:space="preserve">, M. S., </w:t>
      </w:r>
      <w:proofErr w:type="spellStart"/>
      <w:r w:rsidRPr="001318E0">
        <w:rPr>
          <w:rFonts w:ascii="Palatino Linotype" w:eastAsia="Times New Roman" w:hAnsi="Palatino Linotype" w:cs="Times"/>
          <w:sz w:val="20"/>
          <w:szCs w:val="20"/>
        </w:rPr>
        <w:t>Obianyo</w:t>
      </w:r>
      <w:proofErr w:type="spellEnd"/>
      <w:r w:rsidRPr="001318E0">
        <w:rPr>
          <w:rFonts w:ascii="Palatino Linotype" w:eastAsia="Times New Roman" w:hAnsi="Palatino Linotype" w:cs="Times"/>
          <w:sz w:val="20"/>
          <w:szCs w:val="20"/>
        </w:rPr>
        <w:t xml:space="preserve">, C. M., Ebubechukwu, D. J., Auwal, A. M., &amp; Justina, E. C. (2024). Adverse health effects of heavy metal pollution in the Enugu area, Southeastern Nigeria. World Journal of Biology Pharmacy and Health Sciences, 20(3), 248–258. </w:t>
      </w:r>
      <w:hyperlink r:id="rId21" w:history="1">
        <w:r w:rsidRPr="008F4F90">
          <w:rPr>
            <w:rStyle w:val="Hyperlink"/>
            <w:rFonts w:ascii="Palatino Linotype" w:eastAsia="Times New Roman" w:hAnsi="Palatino Linotype" w:cs="Times"/>
            <w:sz w:val="20"/>
            <w:szCs w:val="20"/>
          </w:rPr>
          <w:t>https://doi.org/10.30574/wjbphs.2024.20.3.0974</w:t>
        </w:r>
      </w:hyperlink>
      <w:r>
        <w:rPr>
          <w:rFonts w:ascii="Palatino Linotype" w:eastAsia="Times New Roman" w:hAnsi="Palatino Linotype" w:cs="Times"/>
          <w:sz w:val="20"/>
          <w:szCs w:val="20"/>
        </w:rPr>
        <w:t xml:space="preserve"> </w:t>
      </w:r>
    </w:p>
    <w:p w14:paraId="79D73969"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Akinnawo</w:t>
      </w:r>
      <w:proofErr w:type="spellEnd"/>
      <w:r w:rsidRPr="005A5579">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22" w:history="1">
        <w:r w:rsidRPr="008F4F90">
          <w:rPr>
            <w:rStyle w:val="Hyperlink"/>
            <w:rFonts w:ascii="Palatino Linotype" w:eastAsia="Times New Roman" w:hAnsi="Palatino Linotype" w:cs="Times"/>
            <w:sz w:val="20"/>
            <w:szCs w:val="20"/>
          </w:rPr>
          <w:t>https://doi.org/10.1016/j.envc.2023.100733</w:t>
        </w:r>
      </w:hyperlink>
      <w:r>
        <w:rPr>
          <w:rFonts w:ascii="Palatino Linotype" w:eastAsia="Times New Roman" w:hAnsi="Palatino Linotype" w:cs="Times"/>
          <w:sz w:val="20"/>
          <w:szCs w:val="20"/>
        </w:rPr>
        <w:t xml:space="preserve"> </w:t>
      </w:r>
    </w:p>
    <w:p w14:paraId="50C275FE"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Alves, N. de O., Pereira, G. M., Di Domenico, M., Costanzo, G., Benevenuto, S., de Oliveira </w:t>
      </w:r>
      <w:proofErr w:type="spellStart"/>
      <w:r w:rsidRPr="001318E0">
        <w:rPr>
          <w:rFonts w:ascii="Palatino Linotype" w:eastAsia="Times New Roman" w:hAnsi="Palatino Linotype" w:cs="Times"/>
          <w:sz w:val="20"/>
          <w:szCs w:val="20"/>
        </w:rPr>
        <w:t>Fonoff</w:t>
      </w:r>
      <w:proofErr w:type="spellEnd"/>
      <w:r w:rsidRPr="001318E0">
        <w:rPr>
          <w:rFonts w:ascii="Palatino Linotype" w:eastAsia="Times New Roman" w:hAnsi="Palatino Linotype" w:cs="Times"/>
          <w:sz w:val="20"/>
          <w:szCs w:val="20"/>
        </w:rPr>
        <w:t xml:space="preserve">, A. M., de Souza Xavier Costa, N., Ribeiro Júnior, G., Kajitani, G. S., Moreno, N. C., </w:t>
      </w:r>
      <w:proofErr w:type="spellStart"/>
      <w:r w:rsidRPr="001318E0">
        <w:rPr>
          <w:rFonts w:ascii="Palatino Linotype" w:eastAsia="Times New Roman" w:hAnsi="Palatino Linotype" w:cs="Times"/>
          <w:sz w:val="20"/>
          <w:szCs w:val="20"/>
        </w:rPr>
        <w:t>Fotoran</w:t>
      </w:r>
      <w:proofErr w:type="spellEnd"/>
      <w:r w:rsidRPr="001318E0">
        <w:rPr>
          <w:rFonts w:ascii="Palatino Linotype" w:eastAsia="Times New Roman" w:hAnsi="Palatino Linotype" w:cs="Times"/>
          <w:sz w:val="20"/>
          <w:szCs w:val="20"/>
        </w:rPr>
        <w:t xml:space="preserve">, W., Torres, J. </w:t>
      </w:r>
      <w:r w:rsidRPr="001318E0">
        <w:rPr>
          <w:rFonts w:ascii="Palatino Linotype" w:eastAsia="Times New Roman" w:hAnsi="Palatino Linotype" w:cs="Times"/>
          <w:sz w:val="20"/>
          <w:szCs w:val="20"/>
        </w:rPr>
        <w:lastRenderedPageBreak/>
        <w:t xml:space="preserve">I., de Andrade, J. B., Veras, M. M., </w:t>
      </w:r>
      <w:proofErr w:type="spellStart"/>
      <w:r w:rsidRPr="001318E0">
        <w:rPr>
          <w:rFonts w:ascii="Palatino Linotype" w:eastAsia="Times New Roman" w:hAnsi="Palatino Linotype" w:cs="Times"/>
          <w:sz w:val="20"/>
          <w:szCs w:val="20"/>
        </w:rPr>
        <w:t>Artaxo</w:t>
      </w:r>
      <w:proofErr w:type="spellEnd"/>
      <w:r w:rsidRPr="001318E0">
        <w:rPr>
          <w:rFonts w:ascii="Palatino Linotype" w:eastAsia="Times New Roman" w:hAnsi="Palatino Linotype" w:cs="Times"/>
          <w:sz w:val="20"/>
          <w:szCs w:val="20"/>
        </w:rPr>
        <w:t xml:space="preserve">, P., Menck, C. F. M., Vasconcellos, P. de C., &amp; Saldiva, P. (2020). Inflammation response, oxidative stress, and DNA damage caused by urban air pollution exposure increase in the lack of DNA repair XPC protein. Environment International, 145, 1–14. </w:t>
      </w:r>
      <w:hyperlink r:id="rId23" w:history="1">
        <w:r w:rsidRPr="008F4F90">
          <w:rPr>
            <w:rStyle w:val="Hyperlink"/>
            <w:rFonts w:ascii="Palatino Linotype" w:eastAsia="Times New Roman" w:hAnsi="Palatino Linotype" w:cs="Times"/>
            <w:sz w:val="20"/>
            <w:szCs w:val="20"/>
          </w:rPr>
          <w:t>https://doi.org/10.1016/j.envint.2020.106150</w:t>
        </w:r>
      </w:hyperlink>
      <w:r>
        <w:rPr>
          <w:rFonts w:ascii="Palatino Linotype" w:eastAsia="Times New Roman" w:hAnsi="Palatino Linotype" w:cs="Times"/>
          <w:sz w:val="20"/>
          <w:szCs w:val="20"/>
        </w:rPr>
        <w:t xml:space="preserve"> </w:t>
      </w:r>
    </w:p>
    <w:p w14:paraId="4F356D0F"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Bezerra, F. S., Lanzetti, M., Nesi, R. T., Nagato, A. C., Silva, C. P. e., Kennedy-Feitosa, E., Melo, A. C., Cattani-Cavalieri, I., Porto, L. C., &amp; Valenca, S. S. (2023). Oxidative Stress and Inflammation in Acute and Chronic Lung Injuries. Antioxidants, 12(3), 548. </w:t>
      </w:r>
      <w:hyperlink r:id="rId24" w:history="1">
        <w:r w:rsidRPr="008F4F90">
          <w:rPr>
            <w:rStyle w:val="Hyperlink"/>
            <w:rFonts w:ascii="Palatino Linotype" w:eastAsia="Times New Roman" w:hAnsi="Palatino Linotype" w:cs="Times"/>
            <w:sz w:val="20"/>
            <w:szCs w:val="20"/>
          </w:rPr>
          <w:t>https://doi.org/10.3390/antiox12030548</w:t>
        </w:r>
      </w:hyperlink>
      <w:r>
        <w:rPr>
          <w:rFonts w:ascii="Palatino Linotype" w:eastAsia="Times New Roman" w:hAnsi="Palatino Linotype" w:cs="Times"/>
          <w:sz w:val="20"/>
          <w:szCs w:val="20"/>
        </w:rPr>
        <w:t xml:space="preserve"> </w:t>
      </w:r>
    </w:p>
    <w:p w14:paraId="4FA5C5D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Cuerda</w:t>
      </w:r>
      <w:proofErr w:type="spellEnd"/>
      <w:r w:rsidRPr="001318E0">
        <w:rPr>
          <w:rFonts w:ascii="Palatino Linotype" w:eastAsia="Times New Roman" w:hAnsi="Palatino Linotype" w:cs="Times"/>
          <w:sz w:val="20"/>
          <w:szCs w:val="20"/>
        </w:rPr>
        <w:t xml:space="preserve">-Correa, E. M., Alexandre-Franco, M. F., &amp; Fernández-González, C. (2020). Advanced Oxidation Processes for the Removal of Antibiotics from Water. An Overview. Water, 12(1), 102. </w:t>
      </w:r>
      <w:hyperlink r:id="rId25" w:history="1">
        <w:r w:rsidRPr="008F4F90">
          <w:rPr>
            <w:rStyle w:val="Hyperlink"/>
            <w:rFonts w:ascii="Palatino Linotype" w:eastAsia="Times New Roman" w:hAnsi="Palatino Linotype" w:cs="Times"/>
            <w:sz w:val="20"/>
            <w:szCs w:val="20"/>
          </w:rPr>
          <w:t>https://doi.org/10.3390/w12010102</w:t>
        </w:r>
      </w:hyperlink>
      <w:r>
        <w:rPr>
          <w:rFonts w:ascii="Palatino Linotype" w:eastAsia="Times New Roman" w:hAnsi="Palatino Linotype" w:cs="Times"/>
          <w:sz w:val="20"/>
          <w:szCs w:val="20"/>
        </w:rPr>
        <w:t xml:space="preserve"> </w:t>
      </w:r>
    </w:p>
    <w:p w14:paraId="25A3D0C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El-</w:t>
      </w:r>
      <w:proofErr w:type="spellStart"/>
      <w:r w:rsidRPr="001318E0">
        <w:rPr>
          <w:rFonts w:ascii="Palatino Linotype" w:eastAsia="Times New Roman" w:hAnsi="Palatino Linotype" w:cs="Times"/>
          <w:sz w:val="20"/>
          <w:szCs w:val="20"/>
        </w:rPr>
        <w:t>Shafey</w:t>
      </w:r>
      <w:proofErr w:type="spellEnd"/>
      <w:r w:rsidRPr="001318E0">
        <w:rPr>
          <w:rFonts w:ascii="Palatino Linotype" w:eastAsia="Times New Roman" w:hAnsi="Palatino Linotype" w:cs="Times"/>
          <w:sz w:val="20"/>
          <w:szCs w:val="20"/>
        </w:rPr>
        <w:t>, S. E., Obada, M. K., El-Shamy, A. M., &amp; Mohamed, W. S. (2024). Silica/</w:t>
      </w:r>
      <w:proofErr w:type="spellStart"/>
      <w:r w:rsidRPr="001318E0">
        <w:rPr>
          <w:rFonts w:ascii="Palatino Linotype" w:eastAsia="Times New Roman" w:hAnsi="Palatino Linotype" w:cs="Times"/>
          <w:sz w:val="20"/>
          <w:szCs w:val="20"/>
        </w:rPr>
        <w:t>klucel</w:t>
      </w:r>
      <w:proofErr w:type="spellEnd"/>
      <w:r w:rsidRPr="001318E0">
        <w:rPr>
          <w:rFonts w:ascii="Palatino Linotype" w:eastAsia="Times New Roman" w:hAnsi="Palatino Linotype" w:cs="Times"/>
          <w:sz w:val="20"/>
          <w:szCs w:val="20"/>
        </w:rPr>
        <w:t xml:space="preserve"> nanocomposite as promising durable adsorbent for lead removal from industrial effluents. Scientific reports, 14(1), 26095. </w:t>
      </w:r>
      <w:hyperlink r:id="rId26" w:history="1">
        <w:r w:rsidRPr="008F4F90">
          <w:rPr>
            <w:rStyle w:val="Hyperlink"/>
            <w:rFonts w:ascii="Palatino Linotype" w:eastAsia="Times New Roman" w:hAnsi="Palatino Linotype" w:cs="Times"/>
            <w:sz w:val="20"/>
            <w:szCs w:val="20"/>
          </w:rPr>
          <w:t>https://doi.org/10.1038/s41598-024-74680-2</w:t>
        </w:r>
      </w:hyperlink>
      <w:r>
        <w:rPr>
          <w:rFonts w:ascii="Palatino Linotype" w:eastAsia="Times New Roman" w:hAnsi="Palatino Linotype" w:cs="Times"/>
          <w:sz w:val="20"/>
          <w:szCs w:val="20"/>
        </w:rPr>
        <w:t xml:space="preserve"> </w:t>
      </w:r>
    </w:p>
    <w:p w14:paraId="188E207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Faouzi, J., </w:t>
      </w:r>
      <w:proofErr w:type="spellStart"/>
      <w:r w:rsidRPr="001318E0">
        <w:rPr>
          <w:rFonts w:ascii="Palatino Linotype" w:eastAsia="Times New Roman" w:hAnsi="Palatino Linotype" w:cs="Times"/>
          <w:sz w:val="20"/>
          <w:szCs w:val="20"/>
        </w:rPr>
        <w:t>Rezouki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Bourhia</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Moubchir</w:t>
      </w:r>
      <w:proofErr w:type="spellEnd"/>
      <w:r w:rsidRPr="001318E0">
        <w:rPr>
          <w:rFonts w:ascii="Palatino Linotype" w:eastAsia="Times New Roman" w:hAnsi="Palatino Linotype" w:cs="Times"/>
          <w:sz w:val="20"/>
          <w:szCs w:val="20"/>
        </w:rPr>
        <w:t xml:space="preserve">, T., Abbou, M. B., </w:t>
      </w:r>
      <w:proofErr w:type="spellStart"/>
      <w:r w:rsidRPr="001318E0">
        <w:rPr>
          <w:rFonts w:ascii="Palatino Linotype" w:eastAsia="Times New Roman" w:hAnsi="Palatino Linotype" w:cs="Times"/>
          <w:sz w:val="20"/>
          <w:szCs w:val="20"/>
        </w:rPr>
        <w:t>Baammi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Khallouki</w:t>
      </w:r>
      <w:proofErr w:type="spellEnd"/>
      <w:r w:rsidRPr="001318E0">
        <w:rPr>
          <w:rFonts w:ascii="Palatino Linotype" w:eastAsia="Times New Roman" w:hAnsi="Palatino Linotype" w:cs="Times"/>
          <w:sz w:val="20"/>
          <w:szCs w:val="20"/>
        </w:rPr>
        <w:t xml:space="preserve">, F., Aboul-Soud, M. A. M., Giesy, J. P., </w:t>
      </w:r>
      <w:proofErr w:type="spellStart"/>
      <w:r w:rsidRPr="001318E0">
        <w:rPr>
          <w:rFonts w:ascii="Palatino Linotype" w:eastAsia="Times New Roman" w:hAnsi="Palatino Linotype" w:cs="Times"/>
          <w:sz w:val="20"/>
          <w:szCs w:val="20"/>
        </w:rPr>
        <w:t>Benbacer</w:t>
      </w:r>
      <w:proofErr w:type="spellEnd"/>
      <w:r w:rsidRPr="001318E0">
        <w:rPr>
          <w:rFonts w:ascii="Palatino Linotype" w:eastAsia="Times New Roman" w:hAnsi="Palatino Linotype" w:cs="Times"/>
          <w:sz w:val="20"/>
          <w:szCs w:val="20"/>
        </w:rPr>
        <w:t xml:space="preserve">, L., </w:t>
      </w:r>
      <w:proofErr w:type="spellStart"/>
      <w:r w:rsidRPr="001318E0">
        <w:rPr>
          <w:rFonts w:ascii="Palatino Linotype" w:eastAsia="Times New Roman" w:hAnsi="Palatino Linotype" w:cs="Times"/>
          <w:sz w:val="20"/>
          <w:szCs w:val="20"/>
        </w:rPr>
        <w:t>Eloutassi</w:t>
      </w:r>
      <w:proofErr w:type="spellEnd"/>
      <w:r w:rsidRPr="001318E0">
        <w:rPr>
          <w:rFonts w:ascii="Palatino Linotype" w:eastAsia="Times New Roman" w:hAnsi="Palatino Linotype" w:cs="Times"/>
          <w:sz w:val="20"/>
          <w:szCs w:val="20"/>
        </w:rPr>
        <w:t xml:space="preserve">, N., &amp; </w:t>
      </w:r>
      <w:proofErr w:type="spellStart"/>
      <w:r w:rsidRPr="001318E0">
        <w:rPr>
          <w:rFonts w:ascii="Palatino Linotype" w:eastAsia="Times New Roman" w:hAnsi="Palatino Linotype" w:cs="Times"/>
          <w:sz w:val="20"/>
          <w:szCs w:val="20"/>
        </w:rPr>
        <w:t>Lahkimi</w:t>
      </w:r>
      <w:proofErr w:type="spellEnd"/>
      <w:r w:rsidRPr="001318E0">
        <w:rPr>
          <w:rFonts w:ascii="Palatino Linotype" w:eastAsia="Times New Roman" w:hAnsi="Palatino Linotype" w:cs="Times"/>
          <w:sz w:val="20"/>
          <w:szCs w:val="20"/>
        </w:rPr>
        <w:t xml:space="preserve">, A. (2023). Assessment of impacts of industrial effluents on </w:t>
      </w:r>
      <w:proofErr w:type="spellStart"/>
      <w:r w:rsidRPr="001318E0">
        <w:rPr>
          <w:rFonts w:ascii="Palatino Linotype" w:eastAsia="Times New Roman" w:hAnsi="Palatino Linotype" w:cs="Times"/>
          <w:sz w:val="20"/>
          <w:szCs w:val="20"/>
        </w:rPr>
        <w:t>physico</w:t>
      </w:r>
      <w:proofErr w:type="spellEnd"/>
      <w:r w:rsidRPr="001318E0">
        <w:rPr>
          <w:rFonts w:ascii="Palatino Linotype" w:eastAsia="Times New Roman" w:hAnsi="Palatino Linotype" w:cs="Times"/>
          <w:sz w:val="20"/>
          <w:szCs w:val="20"/>
        </w:rPr>
        <w:t xml:space="preserve">-chemical and microbiological qualities of irrigation water of the Fez </w:t>
      </w:r>
      <w:proofErr w:type="spellStart"/>
      <w:r w:rsidRPr="001318E0">
        <w:rPr>
          <w:rFonts w:ascii="Palatino Linotype" w:eastAsia="Times New Roman" w:hAnsi="Palatino Linotype" w:cs="Times"/>
          <w:sz w:val="20"/>
          <w:szCs w:val="20"/>
        </w:rPr>
        <w:t>Rriver</w:t>
      </w:r>
      <w:proofErr w:type="spellEnd"/>
      <w:r w:rsidRPr="001318E0">
        <w:rPr>
          <w:rFonts w:ascii="Palatino Linotype" w:eastAsia="Times New Roman" w:hAnsi="Palatino Linotype" w:cs="Times"/>
          <w:sz w:val="20"/>
          <w:szCs w:val="20"/>
        </w:rPr>
        <w:t xml:space="preserve">, Morocco. Environmental geochemistry and health, 45(6), 3933–3946. </w:t>
      </w:r>
      <w:hyperlink r:id="rId27" w:history="1">
        <w:r w:rsidRPr="008F4F90">
          <w:rPr>
            <w:rStyle w:val="Hyperlink"/>
            <w:rFonts w:ascii="Palatino Linotype" w:eastAsia="Times New Roman" w:hAnsi="Palatino Linotype" w:cs="Times"/>
            <w:sz w:val="20"/>
            <w:szCs w:val="20"/>
          </w:rPr>
          <w:t>https://doi.org/10.1007/s10653-022-01449-9</w:t>
        </w:r>
      </w:hyperlink>
      <w:r>
        <w:rPr>
          <w:rFonts w:ascii="Palatino Linotype" w:eastAsia="Times New Roman" w:hAnsi="Palatino Linotype" w:cs="Times"/>
          <w:sz w:val="20"/>
          <w:szCs w:val="20"/>
        </w:rPr>
        <w:t xml:space="preserve"> </w:t>
      </w:r>
    </w:p>
    <w:p w14:paraId="1F7F4BF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Ite, A. E., </w:t>
      </w:r>
      <w:proofErr w:type="spellStart"/>
      <w:r w:rsidRPr="001318E0">
        <w:rPr>
          <w:rFonts w:ascii="Palatino Linotype" w:eastAsia="Times New Roman" w:hAnsi="Palatino Linotype" w:cs="Times"/>
          <w:sz w:val="20"/>
          <w:szCs w:val="20"/>
        </w:rPr>
        <w:t>Ibok</w:t>
      </w:r>
      <w:proofErr w:type="spellEnd"/>
      <w:r w:rsidRPr="001318E0">
        <w:rPr>
          <w:rFonts w:ascii="Palatino Linotype" w:eastAsia="Times New Roman" w:hAnsi="Palatino Linotype" w:cs="Times"/>
          <w:sz w:val="20"/>
          <w:szCs w:val="20"/>
        </w:rPr>
        <w:t xml:space="preserve">, U. J., Ite, M. U., &amp; Petters, S. W. (2013). Petroleum exploration and production: Past and present environmental issues in Nigeria’s Niger Delta. American Journal of Environmental Protection, 1(4), 78–90. </w:t>
      </w:r>
      <w:hyperlink r:id="rId28" w:history="1">
        <w:r w:rsidRPr="008F4F90">
          <w:rPr>
            <w:rStyle w:val="Hyperlink"/>
            <w:rFonts w:ascii="Palatino Linotype" w:eastAsia="Times New Roman" w:hAnsi="Palatino Linotype" w:cs="Times"/>
            <w:sz w:val="20"/>
            <w:szCs w:val="20"/>
          </w:rPr>
          <w:t>https://doi.org/10.12691/env-1-4-2</w:t>
        </w:r>
      </w:hyperlink>
      <w:r>
        <w:rPr>
          <w:rFonts w:ascii="Palatino Linotype" w:eastAsia="Times New Roman" w:hAnsi="Palatino Linotype" w:cs="Times"/>
          <w:sz w:val="20"/>
          <w:szCs w:val="20"/>
        </w:rPr>
        <w:t xml:space="preserve"> </w:t>
      </w:r>
    </w:p>
    <w:p w14:paraId="7192366B"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Jomova</w:t>
      </w:r>
      <w:proofErr w:type="spellEnd"/>
      <w:r w:rsidRPr="001318E0">
        <w:rPr>
          <w:rFonts w:ascii="Palatino Linotype" w:eastAsia="Times New Roman" w:hAnsi="Palatino Linotype" w:cs="Times"/>
          <w:sz w:val="20"/>
          <w:szCs w:val="20"/>
        </w:rPr>
        <w:t xml:space="preserve">, K., </w:t>
      </w:r>
      <w:proofErr w:type="spellStart"/>
      <w:r w:rsidRPr="001318E0">
        <w:rPr>
          <w:rFonts w:ascii="Palatino Linotype" w:eastAsia="Times New Roman" w:hAnsi="Palatino Linotype" w:cs="Times"/>
          <w:sz w:val="20"/>
          <w:szCs w:val="20"/>
        </w:rPr>
        <w:t>Raptova</w:t>
      </w:r>
      <w:proofErr w:type="spellEnd"/>
      <w:r w:rsidRPr="001318E0">
        <w:rPr>
          <w:rFonts w:ascii="Palatino Linotype" w:eastAsia="Times New Roman" w:hAnsi="Palatino Linotype" w:cs="Times"/>
          <w:sz w:val="20"/>
          <w:szCs w:val="20"/>
        </w:rPr>
        <w:t xml:space="preserve">, R., Alomar, S. Y., </w:t>
      </w:r>
      <w:proofErr w:type="spellStart"/>
      <w:r w:rsidRPr="001318E0">
        <w:rPr>
          <w:rFonts w:ascii="Palatino Linotype" w:eastAsia="Times New Roman" w:hAnsi="Palatino Linotype" w:cs="Times"/>
          <w:sz w:val="20"/>
          <w:szCs w:val="20"/>
        </w:rPr>
        <w:t>Alwasel</w:t>
      </w:r>
      <w:proofErr w:type="spellEnd"/>
      <w:r w:rsidRPr="001318E0">
        <w:rPr>
          <w:rFonts w:ascii="Palatino Linotype" w:eastAsia="Times New Roman" w:hAnsi="Palatino Linotype" w:cs="Times"/>
          <w:sz w:val="20"/>
          <w:szCs w:val="20"/>
        </w:rPr>
        <w:t xml:space="preserve">, S. H., </w:t>
      </w:r>
      <w:proofErr w:type="spellStart"/>
      <w:r w:rsidRPr="001318E0">
        <w:rPr>
          <w:rFonts w:ascii="Palatino Linotype" w:eastAsia="Times New Roman" w:hAnsi="Palatino Linotype" w:cs="Times"/>
          <w:sz w:val="20"/>
          <w:szCs w:val="20"/>
        </w:rPr>
        <w:t>Nepovimova</w:t>
      </w:r>
      <w:proofErr w:type="spellEnd"/>
      <w:r w:rsidRPr="001318E0">
        <w:rPr>
          <w:rFonts w:ascii="Palatino Linotype" w:eastAsia="Times New Roman" w:hAnsi="Palatino Linotype" w:cs="Times"/>
          <w:sz w:val="20"/>
          <w:szCs w:val="20"/>
        </w:rPr>
        <w:t xml:space="preserve">, E., Kuca, K., &amp; Valko, M. (2023). Reactive oxygen species, toxicity, oxidative stress, and antioxidants: Chronic diseases and aging. Archives of Toxicology, 97, 2499–2574. </w:t>
      </w:r>
      <w:hyperlink r:id="rId29" w:history="1">
        <w:r w:rsidRPr="008F4F90">
          <w:rPr>
            <w:rStyle w:val="Hyperlink"/>
            <w:rFonts w:ascii="Palatino Linotype" w:eastAsia="Times New Roman" w:hAnsi="Palatino Linotype" w:cs="Times"/>
            <w:sz w:val="20"/>
            <w:szCs w:val="20"/>
          </w:rPr>
          <w:t>https://doi.org/10.1007/s00204-023-03562-9</w:t>
        </w:r>
      </w:hyperlink>
      <w:r>
        <w:rPr>
          <w:rFonts w:ascii="Palatino Linotype" w:eastAsia="Times New Roman" w:hAnsi="Palatino Linotype" w:cs="Times"/>
          <w:sz w:val="20"/>
          <w:szCs w:val="20"/>
        </w:rPr>
        <w:t xml:space="preserve"> </w:t>
      </w:r>
    </w:p>
    <w:p w14:paraId="113E9219"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Jung, S.-H., Choi, P.-K., Hwang, S.-M., Lee, J.-Y., Kwon, G.-R., Seo, S.-J., Park, S.-G., Go, S.-J., Kwak, M.-J., &amp; Hwang, C.-W. (2024). The discharge characteristics of perfluoroalkyl substances from the effluents of the </w:t>
      </w:r>
      <w:proofErr w:type="spellStart"/>
      <w:r w:rsidRPr="001318E0">
        <w:rPr>
          <w:rFonts w:ascii="Palatino Linotype" w:eastAsia="Times New Roman" w:hAnsi="Palatino Linotype" w:cs="Times"/>
          <w:sz w:val="20"/>
          <w:szCs w:val="20"/>
        </w:rPr>
        <w:t>Sihwa</w:t>
      </w:r>
      <w:proofErr w:type="spellEnd"/>
      <w:r w:rsidRPr="001318E0">
        <w:rPr>
          <w:rFonts w:ascii="Palatino Linotype" w:eastAsia="Times New Roman" w:hAnsi="Palatino Linotype" w:cs="Times"/>
          <w:sz w:val="20"/>
          <w:szCs w:val="20"/>
        </w:rPr>
        <w:t xml:space="preserve"> National Industrial Complex into public waters. Journal of Environmental Analysis, Health and Toxicology, 27(4), 217–224. </w:t>
      </w:r>
      <w:hyperlink r:id="rId30" w:history="1">
        <w:r w:rsidRPr="008F4F90">
          <w:rPr>
            <w:rStyle w:val="Hyperlink"/>
            <w:rFonts w:ascii="Palatino Linotype" w:eastAsia="Times New Roman" w:hAnsi="Palatino Linotype" w:cs="Times"/>
            <w:sz w:val="20"/>
            <w:szCs w:val="20"/>
          </w:rPr>
          <w:t>https://doi.org/10.36278/jeaht.27.4.217</w:t>
        </w:r>
      </w:hyperlink>
      <w:r>
        <w:rPr>
          <w:rFonts w:ascii="Palatino Linotype" w:eastAsia="Times New Roman" w:hAnsi="Palatino Linotype" w:cs="Times"/>
          <w:sz w:val="20"/>
          <w:szCs w:val="20"/>
        </w:rPr>
        <w:t xml:space="preserve"> </w:t>
      </w:r>
    </w:p>
    <w:p w14:paraId="287779D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Kurt, O. K., Zhang, J., &amp; Pinkerton, K. E. (2016). Pulmonary health effects of air pollution. Current opinion in pulmonary medicine, 22(2), 138–143. </w:t>
      </w:r>
      <w:hyperlink r:id="rId31" w:history="1">
        <w:r w:rsidRPr="008F4F90">
          <w:rPr>
            <w:rStyle w:val="Hyperlink"/>
            <w:rFonts w:ascii="Palatino Linotype" w:eastAsia="Times New Roman" w:hAnsi="Palatino Linotype" w:cs="Times"/>
            <w:sz w:val="20"/>
            <w:szCs w:val="20"/>
          </w:rPr>
          <w:t>https://doi.org/10.1097/MCP.0000000000000248</w:t>
        </w:r>
      </w:hyperlink>
      <w:r>
        <w:rPr>
          <w:rFonts w:ascii="Palatino Linotype" w:eastAsia="Times New Roman" w:hAnsi="Palatino Linotype" w:cs="Times"/>
          <w:sz w:val="20"/>
          <w:szCs w:val="20"/>
        </w:rPr>
        <w:t xml:space="preserve"> </w:t>
      </w:r>
    </w:p>
    <w:p w14:paraId="0A8AD04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Landrigan, P. J., Fuller, R., Hu, H., </w:t>
      </w:r>
      <w:proofErr w:type="spellStart"/>
      <w:r w:rsidRPr="001318E0">
        <w:rPr>
          <w:rFonts w:ascii="Palatino Linotype" w:eastAsia="Times New Roman" w:hAnsi="Palatino Linotype" w:cs="Times"/>
          <w:sz w:val="20"/>
          <w:szCs w:val="20"/>
        </w:rPr>
        <w:t>Caravanos</w:t>
      </w:r>
      <w:proofErr w:type="spellEnd"/>
      <w:r w:rsidRPr="001318E0">
        <w:rPr>
          <w:rFonts w:ascii="Palatino Linotype" w:eastAsia="Times New Roman" w:hAnsi="Palatino Linotype" w:cs="Times"/>
          <w:sz w:val="20"/>
          <w:szCs w:val="20"/>
        </w:rPr>
        <w:t xml:space="preserve">, J., Cropper, M. L., Hanrahan, D., Sandilya, K., Chiles, T. C., Kumar, P., &amp; Suk, W. A. (2018). Pollution and Global Health – An Agenda for Prevention. Environmental health perspectives, 126(8), 084501. </w:t>
      </w:r>
      <w:hyperlink r:id="rId32" w:history="1">
        <w:r w:rsidRPr="008F4F90">
          <w:rPr>
            <w:rStyle w:val="Hyperlink"/>
            <w:rFonts w:ascii="Palatino Linotype" w:eastAsia="Times New Roman" w:hAnsi="Palatino Linotype" w:cs="Times"/>
            <w:sz w:val="20"/>
            <w:szCs w:val="20"/>
          </w:rPr>
          <w:t>https://doi.org/10.1289/EHP3141</w:t>
        </w:r>
      </w:hyperlink>
      <w:r>
        <w:rPr>
          <w:rFonts w:ascii="Palatino Linotype" w:eastAsia="Times New Roman" w:hAnsi="Palatino Linotype" w:cs="Times"/>
          <w:sz w:val="20"/>
          <w:szCs w:val="20"/>
        </w:rPr>
        <w:t xml:space="preserve"> </w:t>
      </w:r>
    </w:p>
    <w:p w14:paraId="0A650817"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Matesun</w:t>
      </w:r>
      <w:proofErr w:type="spellEnd"/>
      <w:r w:rsidRPr="001318E0">
        <w:rPr>
          <w:rFonts w:ascii="Palatino Linotype" w:eastAsia="Times New Roman" w:hAnsi="Palatino Linotype" w:cs="Times"/>
          <w:sz w:val="20"/>
          <w:szCs w:val="20"/>
        </w:rPr>
        <w:t xml:space="preserve">, J., Petrik, L., </w:t>
      </w:r>
      <w:proofErr w:type="spellStart"/>
      <w:r w:rsidRPr="001318E0">
        <w:rPr>
          <w:rFonts w:ascii="Palatino Linotype" w:eastAsia="Times New Roman" w:hAnsi="Palatino Linotype" w:cs="Times"/>
          <w:sz w:val="20"/>
          <w:szCs w:val="20"/>
        </w:rPr>
        <w:t>Musvoto</w:t>
      </w:r>
      <w:proofErr w:type="spellEnd"/>
      <w:r w:rsidRPr="001318E0">
        <w:rPr>
          <w:rFonts w:ascii="Palatino Linotype" w:eastAsia="Times New Roman" w:hAnsi="Palatino Linotype" w:cs="Times"/>
          <w:sz w:val="20"/>
          <w:szCs w:val="20"/>
        </w:rPr>
        <w:t xml:space="preserve">, E., Ayinde, W., &amp; Ikumi, D. (2024). Limitations of wastewater treatment plants in removing trace anthropogenic biomarkers and future directions: A review. Ecotoxicology and Environmental Safety, 281, 1–14. </w:t>
      </w:r>
      <w:hyperlink r:id="rId33" w:history="1">
        <w:r w:rsidRPr="008F4F90">
          <w:rPr>
            <w:rStyle w:val="Hyperlink"/>
            <w:rFonts w:ascii="Palatino Linotype" w:eastAsia="Times New Roman" w:hAnsi="Palatino Linotype" w:cs="Times"/>
            <w:sz w:val="20"/>
            <w:szCs w:val="20"/>
          </w:rPr>
          <w:t>https://doi.org/10.1016/j.ecoenv.2024.116610</w:t>
        </w:r>
      </w:hyperlink>
      <w:r>
        <w:rPr>
          <w:rFonts w:ascii="Palatino Linotype" w:eastAsia="Times New Roman" w:hAnsi="Palatino Linotype" w:cs="Times"/>
          <w:sz w:val="20"/>
          <w:szCs w:val="20"/>
        </w:rPr>
        <w:t xml:space="preserve"> </w:t>
      </w:r>
    </w:p>
    <w:p w14:paraId="60F41B1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Monoson</w:t>
      </w:r>
      <w:proofErr w:type="spellEnd"/>
      <w:r w:rsidRPr="001318E0">
        <w:rPr>
          <w:rFonts w:ascii="Palatino Linotype" w:eastAsia="Times New Roman" w:hAnsi="Palatino Linotype" w:cs="Times"/>
          <w:sz w:val="20"/>
          <w:szCs w:val="20"/>
        </w:rPr>
        <w:t xml:space="preserve">, A., Schott, E., Ard, K., Kilburg-Basnyat, B., Tighe, R. M., Pannu, S., &amp; Gowdy, K. M. (2023). Air pollution and respiratory infections: the past, present, and future. Toxicological </w:t>
      </w:r>
      <w:proofErr w:type="gramStart"/>
      <w:r w:rsidRPr="001318E0">
        <w:rPr>
          <w:rFonts w:ascii="Palatino Linotype" w:eastAsia="Times New Roman" w:hAnsi="Palatino Linotype" w:cs="Times"/>
          <w:sz w:val="20"/>
          <w:szCs w:val="20"/>
        </w:rPr>
        <w:t>sciences :</w:t>
      </w:r>
      <w:proofErr w:type="gramEnd"/>
      <w:r w:rsidRPr="001318E0">
        <w:rPr>
          <w:rFonts w:ascii="Palatino Linotype" w:eastAsia="Times New Roman" w:hAnsi="Palatino Linotype" w:cs="Times"/>
          <w:sz w:val="20"/>
          <w:szCs w:val="20"/>
        </w:rPr>
        <w:t xml:space="preserve"> an official journal of the Society of Toxicology, 192(1), 3–14. </w:t>
      </w:r>
      <w:hyperlink r:id="rId34" w:history="1">
        <w:r w:rsidRPr="008F4F90">
          <w:rPr>
            <w:rStyle w:val="Hyperlink"/>
            <w:rFonts w:ascii="Palatino Linotype" w:eastAsia="Times New Roman" w:hAnsi="Palatino Linotype" w:cs="Times"/>
            <w:sz w:val="20"/>
            <w:szCs w:val="20"/>
          </w:rPr>
          <w:t>https://doi.org/10.1093/toxsci/kfad003</w:t>
        </w:r>
      </w:hyperlink>
      <w:r>
        <w:rPr>
          <w:rFonts w:ascii="Palatino Linotype" w:eastAsia="Times New Roman" w:hAnsi="Palatino Linotype" w:cs="Times"/>
          <w:sz w:val="20"/>
          <w:szCs w:val="20"/>
        </w:rPr>
        <w:t xml:space="preserve"> </w:t>
      </w:r>
    </w:p>
    <w:p w14:paraId="0FC03F2A"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lastRenderedPageBreak/>
        <w:t xml:space="preserve">Niamat, H., Yasmeen, R., Mustafa, M. D., Zahid, M. A., Noor, Z., &amp; Abbas, J. (2023). Mitigating the harmful impacts of industrial effluents: The potential of biological treatment techniques. Markhor: The Journal of Zoology, 4(2), [Article type]. </w:t>
      </w:r>
      <w:hyperlink r:id="rId35" w:history="1">
        <w:r w:rsidRPr="008F4F90">
          <w:rPr>
            <w:rStyle w:val="Hyperlink"/>
            <w:rFonts w:ascii="Palatino Linotype" w:eastAsia="Times New Roman" w:hAnsi="Palatino Linotype" w:cs="Times"/>
            <w:sz w:val="20"/>
            <w:szCs w:val="20"/>
          </w:rPr>
          <w:t>https://doi.org/10.54393/mjz.v4i02.77</w:t>
        </w:r>
      </w:hyperlink>
      <w:r>
        <w:rPr>
          <w:rFonts w:ascii="Palatino Linotype" w:eastAsia="Times New Roman" w:hAnsi="Palatino Linotype" w:cs="Times"/>
          <w:sz w:val="20"/>
          <w:szCs w:val="20"/>
        </w:rPr>
        <w:t xml:space="preserve"> </w:t>
      </w:r>
    </w:p>
    <w:p w14:paraId="5D43E0C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Nissenbaum, M., Aramini, J., &amp; Hanning, C. D. (2023). Adverse health effects of industrial wind turbines: A preliminary report. International Congress on Noise as a Public Health Problem (ICBEN) 2011, 650–655. Environmental Science. </w:t>
      </w:r>
      <w:hyperlink r:id="rId36" w:history="1">
        <w:r w:rsidRPr="008F4F90">
          <w:rPr>
            <w:rStyle w:val="Hyperlink"/>
            <w:rFonts w:ascii="Palatino Linotype" w:eastAsia="Times New Roman" w:hAnsi="Palatino Linotype" w:cs="Times"/>
            <w:sz w:val="20"/>
            <w:szCs w:val="20"/>
          </w:rPr>
          <w:t>https://doi.org/10.25144/17000</w:t>
        </w:r>
      </w:hyperlink>
      <w:r>
        <w:rPr>
          <w:rFonts w:ascii="Palatino Linotype" w:eastAsia="Times New Roman" w:hAnsi="Palatino Linotype" w:cs="Times"/>
          <w:sz w:val="20"/>
          <w:szCs w:val="20"/>
        </w:rPr>
        <w:t xml:space="preserve"> </w:t>
      </w:r>
    </w:p>
    <w:p w14:paraId="10125CA7" w14:textId="77777777" w:rsidR="005A5579"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Obire</w:t>
      </w:r>
      <w:proofErr w:type="spellEnd"/>
      <w:r w:rsidRPr="005A5579">
        <w:rPr>
          <w:rFonts w:ascii="Palatino Linotype" w:eastAsia="Times New Roman" w:hAnsi="Palatino Linotype" w:cs="Times"/>
          <w:sz w:val="20"/>
          <w:szCs w:val="20"/>
        </w:rPr>
        <w:t xml:space="preserve">, O., Ogan, A., &amp; </w:t>
      </w:r>
      <w:proofErr w:type="spellStart"/>
      <w:r w:rsidRPr="005A5579">
        <w:rPr>
          <w:rFonts w:ascii="Palatino Linotype" w:eastAsia="Times New Roman" w:hAnsi="Palatino Linotype" w:cs="Times"/>
          <w:sz w:val="20"/>
          <w:szCs w:val="20"/>
        </w:rPr>
        <w:t>Okigbo</w:t>
      </w:r>
      <w:proofErr w:type="spellEnd"/>
      <w:r w:rsidRPr="005A5579">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2B7934E8"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Okafor, U. P., Obeta, M. C., </w:t>
      </w:r>
      <w:proofErr w:type="spellStart"/>
      <w:r w:rsidRPr="001318E0">
        <w:rPr>
          <w:rFonts w:ascii="Palatino Linotype" w:eastAsia="Times New Roman" w:hAnsi="Palatino Linotype" w:cs="Times"/>
          <w:sz w:val="20"/>
          <w:szCs w:val="20"/>
        </w:rPr>
        <w:t>Ayadiuno</w:t>
      </w:r>
      <w:proofErr w:type="spellEnd"/>
      <w:r w:rsidRPr="001318E0">
        <w:rPr>
          <w:rFonts w:ascii="Palatino Linotype" w:eastAsia="Times New Roman" w:hAnsi="Palatino Linotype" w:cs="Times"/>
          <w:sz w:val="20"/>
          <w:szCs w:val="20"/>
        </w:rPr>
        <w:t xml:space="preserve">, R. U., </w:t>
      </w:r>
      <w:proofErr w:type="spellStart"/>
      <w:r w:rsidRPr="001318E0">
        <w:rPr>
          <w:rFonts w:ascii="Palatino Linotype" w:eastAsia="Times New Roman" w:hAnsi="Palatino Linotype" w:cs="Times"/>
          <w:sz w:val="20"/>
          <w:szCs w:val="20"/>
        </w:rPr>
        <w:t>Onyekwelu</w:t>
      </w:r>
      <w:proofErr w:type="spellEnd"/>
      <w:r w:rsidRPr="001318E0">
        <w:rPr>
          <w:rFonts w:ascii="Palatino Linotype" w:eastAsia="Times New Roman" w:hAnsi="Palatino Linotype" w:cs="Times"/>
          <w:sz w:val="20"/>
          <w:szCs w:val="20"/>
        </w:rPr>
        <w:t xml:space="preserve">, A. C., </w:t>
      </w:r>
      <w:proofErr w:type="spellStart"/>
      <w:r w:rsidRPr="001318E0">
        <w:rPr>
          <w:rFonts w:ascii="Palatino Linotype" w:eastAsia="Times New Roman" w:hAnsi="Palatino Linotype" w:cs="Times"/>
          <w:sz w:val="20"/>
          <w:szCs w:val="20"/>
        </w:rPr>
        <w:t>Asuoha</w:t>
      </w:r>
      <w:proofErr w:type="spellEnd"/>
      <w:r w:rsidRPr="001318E0">
        <w:rPr>
          <w:rFonts w:ascii="Palatino Linotype" w:eastAsia="Times New Roman" w:hAnsi="Palatino Linotype" w:cs="Times"/>
          <w:sz w:val="20"/>
          <w:szCs w:val="20"/>
        </w:rPr>
        <w:t xml:space="preserve">, G. C., Eze, E. J., Orji-Okafor, C. E., &amp; </w:t>
      </w:r>
      <w:proofErr w:type="spellStart"/>
      <w:r w:rsidRPr="001318E0">
        <w:rPr>
          <w:rFonts w:ascii="Palatino Linotype" w:eastAsia="Times New Roman" w:hAnsi="Palatino Linotype" w:cs="Times"/>
          <w:sz w:val="20"/>
          <w:szCs w:val="20"/>
        </w:rPr>
        <w:t>Igboeli</w:t>
      </w:r>
      <w:proofErr w:type="spellEnd"/>
      <w:r w:rsidRPr="001318E0">
        <w:rPr>
          <w:rFonts w:ascii="Palatino Linotype" w:eastAsia="Times New Roman" w:hAnsi="Palatino Linotype" w:cs="Times"/>
          <w:sz w:val="20"/>
          <w:szCs w:val="20"/>
        </w:rPr>
        <w:t xml:space="preserve">, E. E. (2021). Health implications of stream water contamination by industrial effluents in the Onitsha urban area of Southeastern Nigeria. Journal of Water and Land Development, 48(I–III), 105–114. </w:t>
      </w:r>
      <w:hyperlink r:id="rId37" w:history="1">
        <w:r w:rsidRPr="008F4F90">
          <w:rPr>
            <w:rStyle w:val="Hyperlink"/>
            <w:rFonts w:ascii="Palatino Linotype" w:eastAsia="Times New Roman" w:hAnsi="Palatino Linotype" w:cs="Times"/>
            <w:sz w:val="20"/>
            <w:szCs w:val="20"/>
          </w:rPr>
          <w:t>https://doi.org/10.24425/jwld.2021.136153</w:t>
        </w:r>
      </w:hyperlink>
    </w:p>
    <w:p w14:paraId="63EF71A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Okereke, J. N., Ogidi, O. I., &amp; Obasi, K. O. (2016). Environmental and health impact of industrial wastewater effluents in Nigeria: A review. International Journal of Advanced Research in Biological Sciences, 3(6), 55–67. </w:t>
      </w:r>
      <w:hyperlink r:id="rId38" w:history="1">
        <w:r w:rsidRPr="008F4F90">
          <w:rPr>
            <w:rStyle w:val="Hyperlink"/>
            <w:rFonts w:ascii="Palatino Linotype" w:eastAsia="Times New Roman" w:hAnsi="Palatino Linotype" w:cs="Times"/>
            <w:sz w:val="20"/>
            <w:szCs w:val="20"/>
          </w:rPr>
          <w:t>http://s-o-i.org/1.15/ijarbs-2016-3-6-8</w:t>
        </w:r>
      </w:hyperlink>
      <w:r>
        <w:rPr>
          <w:rFonts w:ascii="Palatino Linotype" w:eastAsia="Times New Roman" w:hAnsi="Palatino Linotype" w:cs="Times"/>
          <w:sz w:val="20"/>
          <w:szCs w:val="20"/>
        </w:rPr>
        <w:t xml:space="preserve"> </w:t>
      </w:r>
    </w:p>
    <w:p w14:paraId="73E74D6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Rafiq, F., </w:t>
      </w:r>
      <w:proofErr w:type="spellStart"/>
      <w:r w:rsidRPr="001318E0">
        <w:rPr>
          <w:rFonts w:ascii="Palatino Linotype" w:eastAsia="Times New Roman" w:hAnsi="Palatino Linotype" w:cs="Times"/>
          <w:sz w:val="20"/>
          <w:szCs w:val="20"/>
        </w:rPr>
        <w:t>Techetach</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Achtak</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Boundir</w:t>
      </w:r>
      <w:proofErr w:type="spellEnd"/>
      <w:r w:rsidRPr="001318E0">
        <w:rPr>
          <w:rFonts w:ascii="Palatino Linotype" w:eastAsia="Times New Roman" w:hAnsi="Palatino Linotype" w:cs="Times"/>
          <w:sz w:val="20"/>
          <w:szCs w:val="20"/>
        </w:rPr>
        <w:t xml:space="preserve">, Y., </w:t>
      </w:r>
      <w:proofErr w:type="spellStart"/>
      <w:r w:rsidRPr="001318E0">
        <w:rPr>
          <w:rFonts w:ascii="Palatino Linotype" w:eastAsia="Times New Roman" w:hAnsi="Palatino Linotype" w:cs="Times"/>
          <w:sz w:val="20"/>
          <w:szCs w:val="20"/>
        </w:rPr>
        <w:t>Kouali</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Sisouane</w:t>
      </w:r>
      <w:proofErr w:type="spellEnd"/>
      <w:r w:rsidRPr="001318E0">
        <w:rPr>
          <w:rFonts w:ascii="Palatino Linotype" w:eastAsia="Times New Roman" w:hAnsi="Palatino Linotype" w:cs="Times"/>
          <w:sz w:val="20"/>
          <w:szCs w:val="20"/>
        </w:rPr>
        <w:t xml:space="preserve">, M., Mandri, B., Cherifi, O., &amp; Dahbi, A. (2022). First assessment of domestic and industrial effluents impact on the intertidal zone of the Safi coastline (west of Morocco): Physicochemical characteristics and metallic trace contamination. Desalination and Water Treatment, 245, 167–177. </w:t>
      </w:r>
      <w:hyperlink r:id="rId39" w:history="1">
        <w:r w:rsidRPr="008F4F90">
          <w:rPr>
            <w:rStyle w:val="Hyperlink"/>
            <w:rFonts w:ascii="Palatino Linotype" w:eastAsia="Times New Roman" w:hAnsi="Palatino Linotype" w:cs="Times"/>
            <w:sz w:val="20"/>
            <w:szCs w:val="20"/>
          </w:rPr>
          <w:t>https://doi.org/10.5004/dwt.2022.27974</w:t>
        </w:r>
      </w:hyperlink>
      <w:r>
        <w:rPr>
          <w:rFonts w:ascii="Palatino Linotype" w:eastAsia="Times New Roman" w:hAnsi="Palatino Linotype" w:cs="Times"/>
          <w:sz w:val="20"/>
          <w:szCs w:val="20"/>
        </w:rPr>
        <w:t xml:space="preserve"> </w:t>
      </w:r>
    </w:p>
    <w:p w14:paraId="0B909A4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Raslan, A. S., Quint, J. K., &amp; Cook, S. (2023). All-Cause, Cardiovascular and Respiratory Mortality in People with Type 2 Diabetes and Chronic Obstructive Pulmonary Disease (COPD) in England: A Cohort Study Using the Clinical Practice Research Datalink (CPRD). International journal of chronic obstructive pulmonary disease, 18, 1207–1218. </w:t>
      </w:r>
      <w:hyperlink r:id="rId40" w:history="1">
        <w:r w:rsidRPr="008F4F90">
          <w:rPr>
            <w:rStyle w:val="Hyperlink"/>
            <w:rFonts w:ascii="Palatino Linotype" w:eastAsia="Times New Roman" w:hAnsi="Palatino Linotype" w:cs="Times"/>
            <w:sz w:val="20"/>
            <w:szCs w:val="20"/>
          </w:rPr>
          <w:t>https://doi.org/10.2147/COPD.S407085</w:t>
        </w:r>
      </w:hyperlink>
      <w:r>
        <w:rPr>
          <w:rFonts w:ascii="Palatino Linotype" w:eastAsia="Times New Roman" w:hAnsi="Palatino Linotype" w:cs="Times"/>
          <w:sz w:val="20"/>
          <w:szCs w:val="20"/>
        </w:rPr>
        <w:t xml:space="preserve"> </w:t>
      </w:r>
    </w:p>
    <w:p w14:paraId="457B11AC"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Sangkham</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Phairuang</w:t>
      </w:r>
      <w:proofErr w:type="spellEnd"/>
      <w:r w:rsidRPr="001318E0">
        <w:rPr>
          <w:rFonts w:ascii="Palatino Linotype" w:eastAsia="Times New Roman" w:hAnsi="Palatino Linotype" w:cs="Times"/>
          <w:sz w:val="20"/>
          <w:szCs w:val="20"/>
        </w:rPr>
        <w:t xml:space="preserve">, W., </w:t>
      </w:r>
      <w:proofErr w:type="spellStart"/>
      <w:r w:rsidRPr="001318E0">
        <w:rPr>
          <w:rFonts w:ascii="Palatino Linotype" w:eastAsia="Times New Roman" w:hAnsi="Palatino Linotype" w:cs="Times"/>
          <w:sz w:val="20"/>
          <w:szCs w:val="20"/>
        </w:rPr>
        <w:t>Sherchan</w:t>
      </w:r>
      <w:proofErr w:type="spellEnd"/>
      <w:r w:rsidRPr="001318E0">
        <w:rPr>
          <w:rFonts w:ascii="Palatino Linotype" w:eastAsia="Times New Roman" w:hAnsi="Palatino Linotype" w:cs="Times"/>
          <w:sz w:val="20"/>
          <w:szCs w:val="20"/>
        </w:rPr>
        <w:t xml:space="preserve">, S. P., </w:t>
      </w:r>
      <w:proofErr w:type="spellStart"/>
      <w:r w:rsidRPr="001318E0">
        <w:rPr>
          <w:rFonts w:ascii="Palatino Linotype" w:eastAsia="Times New Roman" w:hAnsi="Palatino Linotype" w:cs="Times"/>
          <w:sz w:val="20"/>
          <w:szCs w:val="20"/>
        </w:rPr>
        <w:t>Pansakun</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Munkong</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Sarndhong</w:t>
      </w:r>
      <w:proofErr w:type="spellEnd"/>
      <w:r w:rsidRPr="001318E0">
        <w:rPr>
          <w:rFonts w:ascii="Palatino Linotype" w:eastAsia="Times New Roman" w:hAnsi="Palatino Linotype" w:cs="Times"/>
          <w:sz w:val="20"/>
          <w:szCs w:val="20"/>
        </w:rPr>
        <w:t xml:space="preserve">, K., Islam, M. A., &amp; </w:t>
      </w:r>
      <w:proofErr w:type="spellStart"/>
      <w:r w:rsidRPr="001318E0">
        <w:rPr>
          <w:rFonts w:ascii="Palatino Linotype" w:eastAsia="Times New Roman" w:hAnsi="Palatino Linotype" w:cs="Times"/>
          <w:sz w:val="20"/>
          <w:szCs w:val="20"/>
        </w:rPr>
        <w:t>Sakunkoo</w:t>
      </w:r>
      <w:proofErr w:type="spellEnd"/>
      <w:r w:rsidRPr="001318E0">
        <w:rPr>
          <w:rFonts w:ascii="Palatino Linotype" w:eastAsia="Times New Roman" w:hAnsi="Palatino Linotype" w:cs="Times"/>
          <w:sz w:val="20"/>
          <w:szCs w:val="20"/>
        </w:rPr>
        <w:t xml:space="preserve">, P. (2024). An update on adverse health effects from exposure to PM2.5. Environmental Advances, 18, 1–15. </w:t>
      </w:r>
      <w:hyperlink r:id="rId41" w:history="1">
        <w:r w:rsidRPr="008F4F90">
          <w:rPr>
            <w:rStyle w:val="Hyperlink"/>
            <w:rFonts w:ascii="Palatino Linotype" w:eastAsia="Times New Roman" w:hAnsi="Palatino Linotype" w:cs="Times"/>
            <w:sz w:val="20"/>
            <w:szCs w:val="20"/>
          </w:rPr>
          <w:t>https://doi.org/10.1016/j.envadv.2024.100603</w:t>
        </w:r>
      </w:hyperlink>
      <w:r>
        <w:rPr>
          <w:rFonts w:ascii="Palatino Linotype" w:eastAsia="Times New Roman" w:hAnsi="Palatino Linotype" w:cs="Times"/>
          <w:sz w:val="20"/>
          <w:szCs w:val="20"/>
        </w:rPr>
        <w:t xml:space="preserve"> </w:t>
      </w:r>
    </w:p>
    <w:p w14:paraId="1D61CDB3"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Schraufnagel, D. E., Balmes, J. R., Cowl, C. T., De Matteis, S., Jung, S. H., Mortimer, K., Perez-Padilla, R., Rice, M. B., Riojas-Rodriguez, H., Sood, A., Thurston, G. D., To, T., Vanker, A., &amp; </w:t>
      </w:r>
      <w:proofErr w:type="spellStart"/>
      <w:r w:rsidRPr="001318E0">
        <w:rPr>
          <w:rFonts w:ascii="Palatino Linotype" w:eastAsia="Times New Roman" w:hAnsi="Palatino Linotype" w:cs="Times"/>
          <w:sz w:val="20"/>
          <w:szCs w:val="20"/>
        </w:rPr>
        <w:t>Wuebbles</w:t>
      </w:r>
      <w:proofErr w:type="spellEnd"/>
      <w:r w:rsidRPr="001318E0">
        <w:rPr>
          <w:rFonts w:ascii="Palatino Linotype" w:eastAsia="Times New Roman" w:hAnsi="Palatino Linotype" w:cs="Times"/>
          <w:sz w:val="20"/>
          <w:szCs w:val="20"/>
        </w:rPr>
        <w:t xml:space="preserve">, D. J. (2019). Air Pollution and Noncommunicable Diseases: A Review by the Forum of International Respiratory Societies' Environmental Committee, Part 2: Air Pollution and Organ Systems. Chest, 155(2), 417–426. </w:t>
      </w:r>
      <w:hyperlink r:id="rId42" w:history="1">
        <w:r w:rsidRPr="008F4F90">
          <w:rPr>
            <w:rStyle w:val="Hyperlink"/>
            <w:rFonts w:ascii="Palatino Linotype" w:eastAsia="Times New Roman" w:hAnsi="Palatino Linotype" w:cs="Times"/>
            <w:sz w:val="20"/>
            <w:szCs w:val="20"/>
          </w:rPr>
          <w:t>https://doi.org/10.1016/j.chest.2018.10.041</w:t>
        </w:r>
      </w:hyperlink>
      <w:r>
        <w:rPr>
          <w:rFonts w:ascii="Palatino Linotype" w:eastAsia="Times New Roman" w:hAnsi="Palatino Linotype" w:cs="Times"/>
          <w:sz w:val="20"/>
          <w:szCs w:val="20"/>
        </w:rPr>
        <w:t xml:space="preserve"> </w:t>
      </w:r>
    </w:p>
    <w:p w14:paraId="4C1D1A2D"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Yang, S., Kim, O. J., Shin, M., Kim, W. J., &amp; Kim, S. Y. (2021). Association between long-term exposure to high levels of ambient air pollution and incidence of lung cancer in a population-based cohort. Environmental research, 198, 111214. </w:t>
      </w:r>
      <w:hyperlink r:id="rId43" w:history="1">
        <w:r w:rsidRPr="008F4F90">
          <w:rPr>
            <w:rStyle w:val="Hyperlink"/>
            <w:rFonts w:ascii="Palatino Linotype" w:eastAsia="Times New Roman" w:hAnsi="Palatino Linotype" w:cs="Times"/>
            <w:sz w:val="20"/>
            <w:szCs w:val="20"/>
          </w:rPr>
          <w:t>https://doi.org/10.1016/j.envres.2021.111214</w:t>
        </w:r>
      </w:hyperlink>
      <w:r>
        <w:rPr>
          <w:rFonts w:ascii="Palatino Linotype" w:eastAsia="Times New Roman" w:hAnsi="Palatino Linotype" w:cs="Times"/>
          <w:sz w:val="20"/>
          <w:szCs w:val="20"/>
        </w:rPr>
        <w:t xml:space="preserve"> </w:t>
      </w:r>
    </w:p>
    <w:sectPr w:rsidR="005A5579">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Office" w:date="2025-02-21T13:45:00Z" w:initials="hs">
    <w:p w14:paraId="646BED36" w14:textId="77777777" w:rsidR="005E5C4B" w:rsidRDefault="005E5C4B" w:rsidP="005E5C4B">
      <w:pPr>
        <w:jc w:val="left"/>
      </w:pPr>
      <w:r>
        <w:rPr>
          <w:rStyle w:val="CommentReference"/>
        </w:rPr>
        <w:annotationRef/>
      </w:r>
      <w:r>
        <w:rPr>
          <w:sz w:val="20"/>
          <w:szCs w:val="20"/>
        </w:rPr>
        <w:t>How can the weight of each rat be same especially if their age varies</w:t>
      </w:r>
    </w:p>
  </w:comment>
  <w:comment w:id="2" w:author="Office" w:date="2025-02-21T13:47:00Z" w:initials="hs">
    <w:p w14:paraId="0984B632" w14:textId="77777777" w:rsidR="005E5C4B" w:rsidRDefault="005E5C4B" w:rsidP="005E5C4B">
      <w:pPr>
        <w:jc w:val="left"/>
      </w:pPr>
      <w:r>
        <w:rPr>
          <w:rStyle w:val="CommentReference"/>
        </w:rPr>
        <w:annotationRef/>
      </w:r>
      <w:r>
        <w:rPr>
          <w:sz w:val="20"/>
          <w:szCs w:val="20"/>
        </w:rPr>
        <w:t>Mention the guidelines that were followed to keep the rats in proper  condition</w:t>
      </w:r>
    </w:p>
  </w:comment>
  <w:comment w:id="3" w:author="Office" w:date="2025-02-21T13:51:00Z" w:initials="hs">
    <w:p w14:paraId="0DD4875D" w14:textId="77777777" w:rsidR="005E5C4B" w:rsidRDefault="005E5C4B" w:rsidP="005E5C4B">
      <w:pPr>
        <w:jc w:val="left"/>
      </w:pPr>
      <w:r>
        <w:rPr>
          <w:rStyle w:val="CommentReference"/>
        </w:rPr>
        <w:annotationRef/>
      </w:r>
      <w:r>
        <w:rPr>
          <w:sz w:val="20"/>
          <w:szCs w:val="20"/>
        </w:rPr>
        <w:t>Mention why 10ml/kg was used as administered dose</w:t>
      </w:r>
    </w:p>
  </w:comment>
  <w:comment w:id="4" w:author="Office" w:date="2025-02-21T15:40:00Z" w:initials="hs">
    <w:p w14:paraId="175A13BD" w14:textId="77777777" w:rsidR="0045628A" w:rsidRDefault="0045628A" w:rsidP="0045628A">
      <w:pPr>
        <w:jc w:val="left"/>
      </w:pPr>
      <w:r>
        <w:rPr>
          <w:rStyle w:val="CommentReference"/>
        </w:rPr>
        <w:annotationRef/>
      </w:r>
      <w:r>
        <w:rPr>
          <w:sz w:val="20"/>
          <w:szCs w:val="20"/>
        </w:rPr>
        <w:t>Give the justification for the sample size</w:t>
      </w:r>
    </w:p>
  </w:comment>
  <w:comment w:id="7" w:author="Office" w:date="2025-02-21T14:54:00Z" w:initials="hs">
    <w:p w14:paraId="17995F50" w14:textId="34A3A092" w:rsidR="00FA3706" w:rsidRDefault="00FA3706" w:rsidP="00FA3706">
      <w:pPr>
        <w:jc w:val="left"/>
      </w:pPr>
      <w:r>
        <w:rPr>
          <w:rStyle w:val="CommentReference"/>
        </w:rPr>
        <w:annotationRef/>
      </w:r>
      <w:r>
        <w:rPr>
          <w:sz w:val="20"/>
          <w:szCs w:val="20"/>
        </w:rPr>
        <w:t>1)Clarify what is inner epithelial lining.</w:t>
      </w:r>
    </w:p>
    <w:p w14:paraId="2C939206" w14:textId="77777777" w:rsidR="00FA3706" w:rsidRDefault="00FA3706" w:rsidP="00FA3706">
      <w:pPr>
        <w:jc w:val="left"/>
      </w:pPr>
      <w:r>
        <w:rPr>
          <w:sz w:val="20"/>
          <w:szCs w:val="20"/>
        </w:rPr>
        <w:t>2) use appropriate histological terms</w:t>
      </w:r>
    </w:p>
  </w:comment>
  <w:comment w:id="8" w:author="Office" w:date="2025-02-21T15:04:00Z" w:initials="hs">
    <w:p w14:paraId="62CCED72" w14:textId="77777777" w:rsidR="00DB36CC" w:rsidRDefault="00DB36CC" w:rsidP="00DB36CC">
      <w:pPr>
        <w:jc w:val="left"/>
      </w:pPr>
      <w:r>
        <w:rPr>
          <w:rStyle w:val="CommentReference"/>
        </w:rPr>
        <w:annotationRef/>
      </w:r>
      <w:r>
        <w:rPr>
          <w:sz w:val="20"/>
          <w:szCs w:val="20"/>
        </w:rPr>
        <w:t>Be more clear and specific of term tissue disruption</w:t>
      </w:r>
    </w:p>
  </w:comment>
  <w:comment w:id="9" w:author="Office" w:date="2025-02-21T15:39:00Z" w:initials="hs">
    <w:p w14:paraId="08EB49AF" w14:textId="77777777" w:rsidR="0045628A" w:rsidRDefault="0045628A" w:rsidP="0045628A">
      <w:pPr>
        <w:jc w:val="left"/>
      </w:pPr>
      <w:r>
        <w:rPr>
          <w:rStyle w:val="CommentReference"/>
        </w:rPr>
        <w:annotationRef/>
      </w:r>
      <w:r>
        <w:rPr>
          <w:sz w:val="20"/>
          <w:szCs w:val="20"/>
        </w:rPr>
        <w:t>Mention the limitation of the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6BED36" w15:done="0"/>
  <w15:commentEx w15:paraId="0984B632" w15:done="0"/>
  <w15:commentEx w15:paraId="0DD4875D" w15:done="0"/>
  <w15:commentEx w15:paraId="175A13BD" w15:done="0"/>
  <w15:commentEx w15:paraId="2C939206" w15:done="0"/>
  <w15:commentEx w15:paraId="62CCED72" w15:done="0"/>
  <w15:commentEx w15:paraId="08EB49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54F35E" w16cex:dateUtc="2025-02-21T08:15:00Z"/>
  <w16cex:commentExtensible w16cex:durableId="3FC84559" w16cex:dateUtc="2025-02-21T08:17:00Z"/>
  <w16cex:commentExtensible w16cex:durableId="5B3F940E" w16cex:dateUtc="2025-02-21T08:21:00Z"/>
  <w16cex:commentExtensible w16cex:durableId="646EB3B1" w16cex:dateUtc="2025-02-21T10:10:00Z"/>
  <w16cex:commentExtensible w16cex:durableId="1F5CB090" w16cex:dateUtc="2025-02-21T09:24:00Z"/>
  <w16cex:commentExtensible w16cex:durableId="53BC1F45" w16cex:dateUtc="2025-02-21T09:34:00Z"/>
  <w16cex:commentExtensible w16cex:durableId="2FCCDAB3" w16cex:dateUtc="2025-02-21T1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6BED36" w16cid:durableId="7A54F35E"/>
  <w16cid:commentId w16cid:paraId="0984B632" w16cid:durableId="3FC84559"/>
  <w16cid:commentId w16cid:paraId="0DD4875D" w16cid:durableId="5B3F940E"/>
  <w16cid:commentId w16cid:paraId="175A13BD" w16cid:durableId="646EB3B1"/>
  <w16cid:commentId w16cid:paraId="2C939206" w16cid:durableId="1F5CB090"/>
  <w16cid:commentId w16cid:paraId="62CCED72" w16cid:durableId="53BC1F45"/>
  <w16cid:commentId w16cid:paraId="08EB49AF" w16cid:durableId="2FCCDA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582B" w14:textId="77777777" w:rsidR="0079299A" w:rsidRDefault="0079299A" w:rsidP="002106A4">
      <w:pPr>
        <w:spacing w:line="240" w:lineRule="auto"/>
      </w:pPr>
      <w:r>
        <w:separator/>
      </w:r>
    </w:p>
  </w:endnote>
  <w:endnote w:type="continuationSeparator" w:id="0">
    <w:p w14:paraId="449DFECC" w14:textId="77777777" w:rsidR="0079299A" w:rsidRDefault="0079299A" w:rsidP="00210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3AD3" w14:textId="77777777" w:rsidR="002106A4" w:rsidRDefault="00210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477A" w14:textId="77777777" w:rsidR="002106A4" w:rsidRDefault="00210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F7D8" w14:textId="77777777" w:rsidR="002106A4" w:rsidRDefault="00210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CE20E" w14:textId="77777777" w:rsidR="0079299A" w:rsidRDefault="0079299A" w:rsidP="002106A4">
      <w:pPr>
        <w:spacing w:line="240" w:lineRule="auto"/>
      </w:pPr>
      <w:r>
        <w:separator/>
      </w:r>
    </w:p>
  </w:footnote>
  <w:footnote w:type="continuationSeparator" w:id="0">
    <w:p w14:paraId="66A9678D" w14:textId="77777777" w:rsidR="0079299A" w:rsidRDefault="0079299A" w:rsidP="00210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F4A9" w14:textId="1A2A0E9C" w:rsidR="002106A4" w:rsidRDefault="0079299A">
    <w:pPr>
      <w:pStyle w:val="Header"/>
    </w:pPr>
    <w:r>
      <w:rPr>
        <w:noProof/>
      </w:rPr>
      <w:pict w14:anchorId="57C77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4" o:spid="_x0000_s1027" type="#_x0000_t136" alt="" style="position:absolute;left:0;text-align:left;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20FE" w14:textId="5811E2AD" w:rsidR="002106A4" w:rsidRDefault="0079299A">
    <w:pPr>
      <w:pStyle w:val="Header"/>
    </w:pPr>
    <w:r>
      <w:rPr>
        <w:noProof/>
      </w:rPr>
      <w:pict w14:anchorId="0BDA7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5" o:spid="_x0000_s1026" type="#_x0000_t136" alt="" style="position:absolute;left:0;text-align:left;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F5C6" w14:textId="457E559B" w:rsidR="002106A4" w:rsidRDefault="0079299A">
    <w:pPr>
      <w:pStyle w:val="Header"/>
    </w:pPr>
    <w:r>
      <w:rPr>
        <w:noProof/>
      </w:rPr>
      <w:pict w14:anchorId="085B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3" o:spid="_x0000_s1025" type="#_x0000_t136" alt="" style="position:absolute;left:0;text-align:left;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9C03F4"/>
    <w:multiLevelType w:val="multilevel"/>
    <w:tmpl w:val="BB5C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105C0F"/>
    <w:multiLevelType w:val="multilevel"/>
    <w:tmpl w:val="EB4A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57484">
    <w:abstractNumId w:val="1"/>
  </w:num>
  <w:num w:numId="2" w16cid:durableId="9269664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8838@officeent.pw::d067e905-081d-407f-a26c-0027c7f720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70"/>
    <w:rsid w:val="00032CDD"/>
    <w:rsid w:val="000410CC"/>
    <w:rsid w:val="00041941"/>
    <w:rsid w:val="000576B2"/>
    <w:rsid w:val="000D1969"/>
    <w:rsid w:val="000F6A57"/>
    <w:rsid w:val="001318E0"/>
    <w:rsid w:val="0016178B"/>
    <w:rsid w:val="001761AB"/>
    <w:rsid w:val="001E1FBD"/>
    <w:rsid w:val="001E5CB0"/>
    <w:rsid w:val="002106A4"/>
    <w:rsid w:val="002C6EB7"/>
    <w:rsid w:val="002C79F4"/>
    <w:rsid w:val="002E4338"/>
    <w:rsid w:val="00355FBE"/>
    <w:rsid w:val="0043344B"/>
    <w:rsid w:val="0045628A"/>
    <w:rsid w:val="00460028"/>
    <w:rsid w:val="004D6AB6"/>
    <w:rsid w:val="004E335E"/>
    <w:rsid w:val="00544729"/>
    <w:rsid w:val="00562F88"/>
    <w:rsid w:val="005A1C81"/>
    <w:rsid w:val="005A5579"/>
    <w:rsid w:val="005E5C4B"/>
    <w:rsid w:val="00650875"/>
    <w:rsid w:val="00675A0A"/>
    <w:rsid w:val="006C3F81"/>
    <w:rsid w:val="00700114"/>
    <w:rsid w:val="00700332"/>
    <w:rsid w:val="0079299A"/>
    <w:rsid w:val="0079742E"/>
    <w:rsid w:val="00890465"/>
    <w:rsid w:val="009963FB"/>
    <w:rsid w:val="00A03055"/>
    <w:rsid w:val="00A15F0C"/>
    <w:rsid w:val="00A209A1"/>
    <w:rsid w:val="00A626AB"/>
    <w:rsid w:val="00AA6CE6"/>
    <w:rsid w:val="00B5595A"/>
    <w:rsid w:val="00BC2AEF"/>
    <w:rsid w:val="00BD08C5"/>
    <w:rsid w:val="00BE2676"/>
    <w:rsid w:val="00BF1CFA"/>
    <w:rsid w:val="00C10327"/>
    <w:rsid w:val="00C651E0"/>
    <w:rsid w:val="00C725F2"/>
    <w:rsid w:val="00C76BB6"/>
    <w:rsid w:val="00D46137"/>
    <w:rsid w:val="00D63D85"/>
    <w:rsid w:val="00D80170"/>
    <w:rsid w:val="00DB36CC"/>
    <w:rsid w:val="00E0353C"/>
    <w:rsid w:val="00E45B74"/>
    <w:rsid w:val="00EC5D32"/>
    <w:rsid w:val="00F74E45"/>
    <w:rsid w:val="00F810D3"/>
    <w:rsid w:val="00FA3706"/>
    <w:rsid w:val="00FB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606BA"/>
  <w15:chartTrackingRefBased/>
  <w15:docId w15:val="{B13731CE-61A6-481A-BF1A-9BBF663D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70"/>
    <w:pPr>
      <w:spacing w:after="0" w:line="276" w:lineRule="auto"/>
      <w:jc w:val="both"/>
    </w:pPr>
    <w:rPr>
      <w:rFonts w:ascii="Arial" w:eastAsia="Arial" w:hAnsi="Arial" w:cs="Arial"/>
      <w:kern w:val="0"/>
      <w:sz w:val="21"/>
      <w14:ligatures w14:val="none"/>
    </w:rPr>
  </w:style>
  <w:style w:type="paragraph" w:styleId="Heading2">
    <w:name w:val="heading 2"/>
    <w:basedOn w:val="Normal"/>
    <w:next w:val="Normal"/>
    <w:link w:val="Heading2Char"/>
    <w:uiPriority w:val="9"/>
    <w:unhideWhenUsed/>
    <w:qFormat/>
    <w:rsid w:val="00D80170"/>
    <w:pPr>
      <w:keepNext/>
      <w:keepLines/>
      <w:spacing w:before="360" w:after="120"/>
      <w:jc w:val="left"/>
      <w:outlineLvl w:val="1"/>
    </w:pPr>
    <w:rPr>
      <w:sz w:val="32"/>
      <w:szCs w:val="32"/>
    </w:rPr>
  </w:style>
  <w:style w:type="paragraph" w:styleId="Heading3">
    <w:name w:val="heading 3"/>
    <w:basedOn w:val="Normal"/>
    <w:next w:val="Normal"/>
    <w:link w:val="Heading3Char"/>
    <w:uiPriority w:val="9"/>
    <w:semiHidden/>
    <w:unhideWhenUsed/>
    <w:qFormat/>
    <w:rsid w:val="00355FB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6A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170"/>
    <w:rPr>
      <w:rFonts w:ascii="Arial" w:eastAsia="Arial" w:hAnsi="Arial" w:cs="Arial"/>
      <w:kern w:val="0"/>
      <w:sz w:val="32"/>
      <w:szCs w:val="32"/>
      <w14:ligatures w14:val="none"/>
    </w:rPr>
  </w:style>
  <w:style w:type="table" w:styleId="TableGrid">
    <w:name w:val="Table Grid"/>
    <w:basedOn w:val="TableNormal"/>
    <w:uiPriority w:val="39"/>
    <w:rsid w:val="002C6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5FB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0F6A57"/>
    <w:rPr>
      <w:rFonts w:asciiTheme="majorHAnsi" w:eastAsiaTheme="majorEastAsia" w:hAnsiTheme="majorHAnsi" w:cstheme="majorBidi"/>
      <w:i/>
      <w:iCs/>
      <w:color w:val="2F5496" w:themeColor="accent1" w:themeShade="BF"/>
      <w:kern w:val="0"/>
      <w:sz w:val="21"/>
      <w14:ligatures w14:val="none"/>
    </w:rPr>
  </w:style>
  <w:style w:type="character" w:styleId="Hyperlink">
    <w:name w:val="Hyperlink"/>
    <w:basedOn w:val="DefaultParagraphFont"/>
    <w:uiPriority w:val="99"/>
    <w:unhideWhenUsed/>
    <w:rsid w:val="00890465"/>
    <w:rPr>
      <w:color w:val="0563C1" w:themeColor="hyperlink"/>
      <w:u w:val="single"/>
    </w:rPr>
  </w:style>
  <w:style w:type="character" w:styleId="UnresolvedMention">
    <w:name w:val="Unresolved Mention"/>
    <w:basedOn w:val="DefaultParagraphFont"/>
    <w:uiPriority w:val="99"/>
    <w:semiHidden/>
    <w:unhideWhenUsed/>
    <w:rsid w:val="00890465"/>
    <w:rPr>
      <w:color w:val="605E5C"/>
      <w:shd w:val="clear" w:color="auto" w:fill="E1DFDD"/>
    </w:rPr>
  </w:style>
  <w:style w:type="paragraph" w:styleId="Header">
    <w:name w:val="header"/>
    <w:basedOn w:val="Normal"/>
    <w:link w:val="HeaderChar"/>
    <w:uiPriority w:val="99"/>
    <w:unhideWhenUsed/>
    <w:rsid w:val="002106A4"/>
    <w:pPr>
      <w:tabs>
        <w:tab w:val="center" w:pos="4680"/>
        <w:tab w:val="right" w:pos="9360"/>
      </w:tabs>
      <w:spacing w:line="240" w:lineRule="auto"/>
    </w:pPr>
  </w:style>
  <w:style w:type="character" w:customStyle="1" w:styleId="HeaderChar">
    <w:name w:val="Header Char"/>
    <w:basedOn w:val="DefaultParagraphFont"/>
    <w:link w:val="Header"/>
    <w:uiPriority w:val="99"/>
    <w:rsid w:val="002106A4"/>
    <w:rPr>
      <w:rFonts w:ascii="Arial" w:eastAsia="Arial" w:hAnsi="Arial" w:cs="Arial"/>
      <w:kern w:val="0"/>
      <w:sz w:val="21"/>
      <w14:ligatures w14:val="none"/>
    </w:rPr>
  </w:style>
  <w:style w:type="paragraph" w:styleId="Footer">
    <w:name w:val="footer"/>
    <w:basedOn w:val="Normal"/>
    <w:link w:val="FooterChar"/>
    <w:uiPriority w:val="99"/>
    <w:unhideWhenUsed/>
    <w:rsid w:val="002106A4"/>
    <w:pPr>
      <w:tabs>
        <w:tab w:val="center" w:pos="4680"/>
        <w:tab w:val="right" w:pos="9360"/>
      </w:tabs>
      <w:spacing w:line="240" w:lineRule="auto"/>
    </w:pPr>
  </w:style>
  <w:style w:type="character" w:customStyle="1" w:styleId="FooterChar">
    <w:name w:val="Footer Char"/>
    <w:basedOn w:val="DefaultParagraphFont"/>
    <w:link w:val="Footer"/>
    <w:uiPriority w:val="99"/>
    <w:rsid w:val="002106A4"/>
    <w:rPr>
      <w:rFonts w:ascii="Arial" w:eastAsia="Arial" w:hAnsi="Arial" w:cs="Arial"/>
      <w:kern w:val="0"/>
      <w:sz w:val="21"/>
      <w14:ligatures w14:val="none"/>
    </w:rPr>
  </w:style>
  <w:style w:type="character" w:styleId="CommentReference">
    <w:name w:val="annotation reference"/>
    <w:basedOn w:val="DefaultParagraphFont"/>
    <w:uiPriority w:val="99"/>
    <w:semiHidden/>
    <w:unhideWhenUsed/>
    <w:rsid w:val="005E5C4B"/>
    <w:rPr>
      <w:sz w:val="16"/>
      <w:szCs w:val="16"/>
    </w:rPr>
  </w:style>
  <w:style w:type="paragraph" w:styleId="CommentText">
    <w:name w:val="annotation text"/>
    <w:basedOn w:val="Normal"/>
    <w:link w:val="CommentTextChar"/>
    <w:uiPriority w:val="99"/>
    <w:semiHidden/>
    <w:unhideWhenUsed/>
    <w:rsid w:val="005E5C4B"/>
    <w:pPr>
      <w:spacing w:line="240" w:lineRule="auto"/>
    </w:pPr>
    <w:rPr>
      <w:sz w:val="20"/>
      <w:szCs w:val="20"/>
    </w:rPr>
  </w:style>
  <w:style w:type="character" w:customStyle="1" w:styleId="CommentTextChar">
    <w:name w:val="Comment Text Char"/>
    <w:basedOn w:val="DefaultParagraphFont"/>
    <w:link w:val="CommentText"/>
    <w:uiPriority w:val="99"/>
    <w:semiHidden/>
    <w:rsid w:val="005E5C4B"/>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E5C4B"/>
    <w:rPr>
      <w:b/>
      <w:bCs/>
    </w:rPr>
  </w:style>
  <w:style w:type="character" w:customStyle="1" w:styleId="CommentSubjectChar">
    <w:name w:val="Comment Subject Char"/>
    <w:basedOn w:val="CommentTextChar"/>
    <w:link w:val="CommentSubject"/>
    <w:uiPriority w:val="99"/>
    <w:semiHidden/>
    <w:rsid w:val="005E5C4B"/>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18169">
      <w:bodyDiv w:val="1"/>
      <w:marLeft w:val="0"/>
      <w:marRight w:val="0"/>
      <w:marTop w:val="0"/>
      <w:marBottom w:val="0"/>
      <w:divBdr>
        <w:top w:val="none" w:sz="0" w:space="0" w:color="auto"/>
        <w:left w:val="none" w:sz="0" w:space="0" w:color="auto"/>
        <w:bottom w:val="none" w:sz="0" w:space="0" w:color="auto"/>
        <w:right w:val="none" w:sz="0" w:space="0" w:color="auto"/>
      </w:divBdr>
    </w:div>
    <w:div w:id="256596142">
      <w:bodyDiv w:val="1"/>
      <w:marLeft w:val="0"/>
      <w:marRight w:val="0"/>
      <w:marTop w:val="0"/>
      <w:marBottom w:val="0"/>
      <w:divBdr>
        <w:top w:val="none" w:sz="0" w:space="0" w:color="auto"/>
        <w:left w:val="none" w:sz="0" w:space="0" w:color="auto"/>
        <w:bottom w:val="none" w:sz="0" w:space="0" w:color="auto"/>
        <w:right w:val="none" w:sz="0" w:space="0" w:color="auto"/>
      </w:divBdr>
    </w:div>
    <w:div w:id="317001808">
      <w:bodyDiv w:val="1"/>
      <w:marLeft w:val="0"/>
      <w:marRight w:val="0"/>
      <w:marTop w:val="0"/>
      <w:marBottom w:val="0"/>
      <w:divBdr>
        <w:top w:val="none" w:sz="0" w:space="0" w:color="auto"/>
        <w:left w:val="none" w:sz="0" w:space="0" w:color="auto"/>
        <w:bottom w:val="none" w:sz="0" w:space="0" w:color="auto"/>
        <w:right w:val="none" w:sz="0" w:space="0" w:color="auto"/>
      </w:divBdr>
    </w:div>
    <w:div w:id="481122177">
      <w:bodyDiv w:val="1"/>
      <w:marLeft w:val="0"/>
      <w:marRight w:val="0"/>
      <w:marTop w:val="0"/>
      <w:marBottom w:val="0"/>
      <w:divBdr>
        <w:top w:val="none" w:sz="0" w:space="0" w:color="auto"/>
        <w:left w:val="none" w:sz="0" w:space="0" w:color="auto"/>
        <w:bottom w:val="none" w:sz="0" w:space="0" w:color="auto"/>
        <w:right w:val="none" w:sz="0" w:space="0" w:color="auto"/>
      </w:divBdr>
    </w:div>
    <w:div w:id="583221580">
      <w:bodyDiv w:val="1"/>
      <w:marLeft w:val="0"/>
      <w:marRight w:val="0"/>
      <w:marTop w:val="0"/>
      <w:marBottom w:val="0"/>
      <w:divBdr>
        <w:top w:val="none" w:sz="0" w:space="0" w:color="auto"/>
        <w:left w:val="none" w:sz="0" w:space="0" w:color="auto"/>
        <w:bottom w:val="none" w:sz="0" w:space="0" w:color="auto"/>
        <w:right w:val="none" w:sz="0" w:space="0" w:color="auto"/>
      </w:divBdr>
    </w:div>
    <w:div w:id="644168935">
      <w:bodyDiv w:val="1"/>
      <w:marLeft w:val="0"/>
      <w:marRight w:val="0"/>
      <w:marTop w:val="0"/>
      <w:marBottom w:val="0"/>
      <w:divBdr>
        <w:top w:val="none" w:sz="0" w:space="0" w:color="auto"/>
        <w:left w:val="none" w:sz="0" w:space="0" w:color="auto"/>
        <w:bottom w:val="none" w:sz="0" w:space="0" w:color="auto"/>
        <w:right w:val="none" w:sz="0" w:space="0" w:color="auto"/>
      </w:divBdr>
    </w:div>
    <w:div w:id="722409286">
      <w:bodyDiv w:val="1"/>
      <w:marLeft w:val="0"/>
      <w:marRight w:val="0"/>
      <w:marTop w:val="0"/>
      <w:marBottom w:val="0"/>
      <w:divBdr>
        <w:top w:val="none" w:sz="0" w:space="0" w:color="auto"/>
        <w:left w:val="none" w:sz="0" w:space="0" w:color="auto"/>
        <w:bottom w:val="none" w:sz="0" w:space="0" w:color="auto"/>
        <w:right w:val="none" w:sz="0" w:space="0" w:color="auto"/>
      </w:divBdr>
    </w:div>
    <w:div w:id="730930612">
      <w:bodyDiv w:val="1"/>
      <w:marLeft w:val="0"/>
      <w:marRight w:val="0"/>
      <w:marTop w:val="0"/>
      <w:marBottom w:val="0"/>
      <w:divBdr>
        <w:top w:val="none" w:sz="0" w:space="0" w:color="auto"/>
        <w:left w:val="none" w:sz="0" w:space="0" w:color="auto"/>
        <w:bottom w:val="none" w:sz="0" w:space="0" w:color="auto"/>
        <w:right w:val="none" w:sz="0" w:space="0" w:color="auto"/>
      </w:divBdr>
    </w:div>
    <w:div w:id="904951078">
      <w:bodyDiv w:val="1"/>
      <w:marLeft w:val="0"/>
      <w:marRight w:val="0"/>
      <w:marTop w:val="0"/>
      <w:marBottom w:val="0"/>
      <w:divBdr>
        <w:top w:val="none" w:sz="0" w:space="0" w:color="auto"/>
        <w:left w:val="none" w:sz="0" w:space="0" w:color="auto"/>
        <w:bottom w:val="none" w:sz="0" w:space="0" w:color="auto"/>
        <w:right w:val="none" w:sz="0" w:space="0" w:color="auto"/>
      </w:divBdr>
      <w:divsChild>
        <w:div w:id="1794052312">
          <w:marLeft w:val="0"/>
          <w:marRight w:val="0"/>
          <w:marTop w:val="0"/>
          <w:marBottom w:val="0"/>
          <w:divBdr>
            <w:top w:val="none" w:sz="0" w:space="0" w:color="auto"/>
            <w:left w:val="none" w:sz="0" w:space="0" w:color="auto"/>
            <w:bottom w:val="none" w:sz="0" w:space="0" w:color="auto"/>
            <w:right w:val="none" w:sz="0" w:space="0" w:color="auto"/>
          </w:divBdr>
          <w:divsChild>
            <w:div w:id="305428087">
              <w:marLeft w:val="0"/>
              <w:marRight w:val="0"/>
              <w:marTop w:val="0"/>
              <w:marBottom w:val="0"/>
              <w:divBdr>
                <w:top w:val="none" w:sz="0" w:space="0" w:color="auto"/>
                <w:left w:val="none" w:sz="0" w:space="0" w:color="auto"/>
                <w:bottom w:val="none" w:sz="0" w:space="0" w:color="auto"/>
                <w:right w:val="none" w:sz="0" w:space="0" w:color="auto"/>
              </w:divBdr>
              <w:divsChild>
                <w:div w:id="1295214399">
                  <w:marLeft w:val="0"/>
                  <w:marRight w:val="0"/>
                  <w:marTop w:val="0"/>
                  <w:marBottom w:val="0"/>
                  <w:divBdr>
                    <w:top w:val="none" w:sz="0" w:space="0" w:color="auto"/>
                    <w:left w:val="none" w:sz="0" w:space="0" w:color="auto"/>
                    <w:bottom w:val="none" w:sz="0" w:space="0" w:color="auto"/>
                    <w:right w:val="none" w:sz="0" w:space="0" w:color="auto"/>
                  </w:divBdr>
                  <w:divsChild>
                    <w:div w:id="448624397">
                      <w:marLeft w:val="0"/>
                      <w:marRight w:val="0"/>
                      <w:marTop w:val="0"/>
                      <w:marBottom w:val="0"/>
                      <w:divBdr>
                        <w:top w:val="none" w:sz="0" w:space="0" w:color="auto"/>
                        <w:left w:val="none" w:sz="0" w:space="0" w:color="auto"/>
                        <w:bottom w:val="none" w:sz="0" w:space="0" w:color="auto"/>
                        <w:right w:val="none" w:sz="0" w:space="0" w:color="auto"/>
                      </w:divBdr>
                      <w:divsChild>
                        <w:div w:id="1804426477">
                          <w:marLeft w:val="0"/>
                          <w:marRight w:val="0"/>
                          <w:marTop w:val="0"/>
                          <w:marBottom w:val="0"/>
                          <w:divBdr>
                            <w:top w:val="none" w:sz="0" w:space="0" w:color="auto"/>
                            <w:left w:val="none" w:sz="0" w:space="0" w:color="auto"/>
                            <w:bottom w:val="none" w:sz="0" w:space="0" w:color="auto"/>
                            <w:right w:val="none" w:sz="0" w:space="0" w:color="auto"/>
                          </w:divBdr>
                          <w:divsChild>
                            <w:div w:id="1566331799">
                              <w:marLeft w:val="0"/>
                              <w:marRight w:val="0"/>
                              <w:marTop w:val="0"/>
                              <w:marBottom w:val="0"/>
                              <w:divBdr>
                                <w:top w:val="none" w:sz="0" w:space="0" w:color="auto"/>
                                <w:left w:val="none" w:sz="0" w:space="0" w:color="auto"/>
                                <w:bottom w:val="none" w:sz="0" w:space="0" w:color="auto"/>
                                <w:right w:val="none" w:sz="0" w:space="0" w:color="auto"/>
                              </w:divBdr>
                              <w:divsChild>
                                <w:div w:id="1486970095">
                                  <w:marLeft w:val="0"/>
                                  <w:marRight w:val="0"/>
                                  <w:marTop w:val="0"/>
                                  <w:marBottom w:val="0"/>
                                  <w:divBdr>
                                    <w:top w:val="none" w:sz="0" w:space="0" w:color="auto"/>
                                    <w:left w:val="none" w:sz="0" w:space="0" w:color="auto"/>
                                    <w:bottom w:val="none" w:sz="0" w:space="0" w:color="auto"/>
                                    <w:right w:val="none" w:sz="0" w:space="0" w:color="auto"/>
                                  </w:divBdr>
                                  <w:divsChild>
                                    <w:div w:id="474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3904">
      <w:bodyDiv w:val="1"/>
      <w:marLeft w:val="0"/>
      <w:marRight w:val="0"/>
      <w:marTop w:val="0"/>
      <w:marBottom w:val="0"/>
      <w:divBdr>
        <w:top w:val="none" w:sz="0" w:space="0" w:color="auto"/>
        <w:left w:val="none" w:sz="0" w:space="0" w:color="auto"/>
        <w:bottom w:val="none" w:sz="0" w:space="0" w:color="auto"/>
        <w:right w:val="none" w:sz="0" w:space="0" w:color="auto"/>
      </w:divBdr>
    </w:div>
    <w:div w:id="1034382641">
      <w:bodyDiv w:val="1"/>
      <w:marLeft w:val="0"/>
      <w:marRight w:val="0"/>
      <w:marTop w:val="0"/>
      <w:marBottom w:val="0"/>
      <w:divBdr>
        <w:top w:val="none" w:sz="0" w:space="0" w:color="auto"/>
        <w:left w:val="none" w:sz="0" w:space="0" w:color="auto"/>
        <w:bottom w:val="none" w:sz="0" w:space="0" w:color="auto"/>
        <w:right w:val="none" w:sz="0" w:space="0" w:color="auto"/>
      </w:divBdr>
    </w:div>
    <w:div w:id="1228224505">
      <w:bodyDiv w:val="1"/>
      <w:marLeft w:val="0"/>
      <w:marRight w:val="0"/>
      <w:marTop w:val="0"/>
      <w:marBottom w:val="0"/>
      <w:divBdr>
        <w:top w:val="none" w:sz="0" w:space="0" w:color="auto"/>
        <w:left w:val="none" w:sz="0" w:space="0" w:color="auto"/>
        <w:bottom w:val="none" w:sz="0" w:space="0" w:color="auto"/>
        <w:right w:val="none" w:sz="0" w:space="0" w:color="auto"/>
      </w:divBdr>
    </w:div>
    <w:div w:id="1288316276">
      <w:bodyDiv w:val="1"/>
      <w:marLeft w:val="0"/>
      <w:marRight w:val="0"/>
      <w:marTop w:val="0"/>
      <w:marBottom w:val="0"/>
      <w:divBdr>
        <w:top w:val="none" w:sz="0" w:space="0" w:color="auto"/>
        <w:left w:val="none" w:sz="0" w:space="0" w:color="auto"/>
        <w:bottom w:val="none" w:sz="0" w:space="0" w:color="auto"/>
        <w:right w:val="none" w:sz="0" w:space="0" w:color="auto"/>
      </w:divBdr>
    </w:div>
    <w:div w:id="1381369533">
      <w:bodyDiv w:val="1"/>
      <w:marLeft w:val="0"/>
      <w:marRight w:val="0"/>
      <w:marTop w:val="0"/>
      <w:marBottom w:val="0"/>
      <w:divBdr>
        <w:top w:val="none" w:sz="0" w:space="0" w:color="auto"/>
        <w:left w:val="none" w:sz="0" w:space="0" w:color="auto"/>
        <w:bottom w:val="none" w:sz="0" w:space="0" w:color="auto"/>
        <w:right w:val="none" w:sz="0" w:space="0" w:color="auto"/>
      </w:divBdr>
    </w:div>
    <w:div w:id="1476483106">
      <w:bodyDiv w:val="1"/>
      <w:marLeft w:val="0"/>
      <w:marRight w:val="0"/>
      <w:marTop w:val="0"/>
      <w:marBottom w:val="0"/>
      <w:divBdr>
        <w:top w:val="none" w:sz="0" w:space="0" w:color="auto"/>
        <w:left w:val="none" w:sz="0" w:space="0" w:color="auto"/>
        <w:bottom w:val="none" w:sz="0" w:space="0" w:color="auto"/>
        <w:right w:val="none" w:sz="0" w:space="0" w:color="auto"/>
      </w:divBdr>
    </w:div>
    <w:div w:id="1481457818">
      <w:bodyDiv w:val="1"/>
      <w:marLeft w:val="0"/>
      <w:marRight w:val="0"/>
      <w:marTop w:val="0"/>
      <w:marBottom w:val="0"/>
      <w:divBdr>
        <w:top w:val="none" w:sz="0" w:space="0" w:color="auto"/>
        <w:left w:val="none" w:sz="0" w:space="0" w:color="auto"/>
        <w:bottom w:val="none" w:sz="0" w:space="0" w:color="auto"/>
        <w:right w:val="none" w:sz="0" w:space="0" w:color="auto"/>
      </w:divBdr>
      <w:divsChild>
        <w:div w:id="53546434">
          <w:marLeft w:val="0"/>
          <w:marRight w:val="0"/>
          <w:marTop w:val="0"/>
          <w:marBottom w:val="0"/>
          <w:divBdr>
            <w:top w:val="none" w:sz="0" w:space="0" w:color="auto"/>
            <w:left w:val="none" w:sz="0" w:space="0" w:color="auto"/>
            <w:bottom w:val="none" w:sz="0" w:space="0" w:color="auto"/>
            <w:right w:val="none" w:sz="0" w:space="0" w:color="auto"/>
          </w:divBdr>
          <w:divsChild>
            <w:div w:id="538706147">
              <w:marLeft w:val="0"/>
              <w:marRight w:val="0"/>
              <w:marTop w:val="0"/>
              <w:marBottom w:val="0"/>
              <w:divBdr>
                <w:top w:val="none" w:sz="0" w:space="0" w:color="auto"/>
                <w:left w:val="none" w:sz="0" w:space="0" w:color="auto"/>
                <w:bottom w:val="none" w:sz="0" w:space="0" w:color="auto"/>
                <w:right w:val="none" w:sz="0" w:space="0" w:color="auto"/>
              </w:divBdr>
              <w:divsChild>
                <w:div w:id="1168059055">
                  <w:marLeft w:val="0"/>
                  <w:marRight w:val="0"/>
                  <w:marTop w:val="0"/>
                  <w:marBottom w:val="0"/>
                  <w:divBdr>
                    <w:top w:val="none" w:sz="0" w:space="0" w:color="auto"/>
                    <w:left w:val="none" w:sz="0" w:space="0" w:color="auto"/>
                    <w:bottom w:val="none" w:sz="0" w:space="0" w:color="auto"/>
                    <w:right w:val="none" w:sz="0" w:space="0" w:color="auto"/>
                  </w:divBdr>
                  <w:divsChild>
                    <w:div w:id="1912545187">
                      <w:marLeft w:val="0"/>
                      <w:marRight w:val="0"/>
                      <w:marTop w:val="0"/>
                      <w:marBottom w:val="0"/>
                      <w:divBdr>
                        <w:top w:val="none" w:sz="0" w:space="0" w:color="auto"/>
                        <w:left w:val="none" w:sz="0" w:space="0" w:color="auto"/>
                        <w:bottom w:val="none" w:sz="0" w:space="0" w:color="auto"/>
                        <w:right w:val="none" w:sz="0" w:space="0" w:color="auto"/>
                      </w:divBdr>
                      <w:divsChild>
                        <w:div w:id="117650125">
                          <w:marLeft w:val="0"/>
                          <w:marRight w:val="0"/>
                          <w:marTop w:val="0"/>
                          <w:marBottom w:val="0"/>
                          <w:divBdr>
                            <w:top w:val="none" w:sz="0" w:space="0" w:color="auto"/>
                            <w:left w:val="none" w:sz="0" w:space="0" w:color="auto"/>
                            <w:bottom w:val="none" w:sz="0" w:space="0" w:color="auto"/>
                            <w:right w:val="none" w:sz="0" w:space="0" w:color="auto"/>
                          </w:divBdr>
                          <w:divsChild>
                            <w:div w:id="914318590">
                              <w:marLeft w:val="0"/>
                              <w:marRight w:val="0"/>
                              <w:marTop w:val="0"/>
                              <w:marBottom w:val="0"/>
                              <w:divBdr>
                                <w:top w:val="none" w:sz="0" w:space="0" w:color="auto"/>
                                <w:left w:val="none" w:sz="0" w:space="0" w:color="auto"/>
                                <w:bottom w:val="none" w:sz="0" w:space="0" w:color="auto"/>
                                <w:right w:val="none" w:sz="0" w:space="0" w:color="auto"/>
                              </w:divBdr>
                              <w:divsChild>
                                <w:div w:id="6176163">
                                  <w:marLeft w:val="0"/>
                                  <w:marRight w:val="0"/>
                                  <w:marTop w:val="0"/>
                                  <w:marBottom w:val="0"/>
                                  <w:divBdr>
                                    <w:top w:val="none" w:sz="0" w:space="0" w:color="auto"/>
                                    <w:left w:val="none" w:sz="0" w:space="0" w:color="auto"/>
                                    <w:bottom w:val="none" w:sz="0" w:space="0" w:color="auto"/>
                                    <w:right w:val="none" w:sz="0" w:space="0" w:color="auto"/>
                                  </w:divBdr>
                                  <w:divsChild>
                                    <w:div w:id="9768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378927">
      <w:bodyDiv w:val="1"/>
      <w:marLeft w:val="0"/>
      <w:marRight w:val="0"/>
      <w:marTop w:val="0"/>
      <w:marBottom w:val="0"/>
      <w:divBdr>
        <w:top w:val="none" w:sz="0" w:space="0" w:color="auto"/>
        <w:left w:val="none" w:sz="0" w:space="0" w:color="auto"/>
        <w:bottom w:val="none" w:sz="0" w:space="0" w:color="auto"/>
        <w:right w:val="none" w:sz="0" w:space="0" w:color="auto"/>
      </w:divBdr>
    </w:div>
    <w:div w:id="1597707820">
      <w:bodyDiv w:val="1"/>
      <w:marLeft w:val="0"/>
      <w:marRight w:val="0"/>
      <w:marTop w:val="0"/>
      <w:marBottom w:val="0"/>
      <w:divBdr>
        <w:top w:val="none" w:sz="0" w:space="0" w:color="auto"/>
        <w:left w:val="none" w:sz="0" w:space="0" w:color="auto"/>
        <w:bottom w:val="none" w:sz="0" w:space="0" w:color="auto"/>
        <w:right w:val="none" w:sz="0" w:space="0" w:color="auto"/>
      </w:divBdr>
    </w:div>
    <w:div w:id="1598900278">
      <w:bodyDiv w:val="1"/>
      <w:marLeft w:val="0"/>
      <w:marRight w:val="0"/>
      <w:marTop w:val="0"/>
      <w:marBottom w:val="0"/>
      <w:divBdr>
        <w:top w:val="none" w:sz="0" w:space="0" w:color="auto"/>
        <w:left w:val="none" w:sz="0" w:space="0" w:color="auto"/>
        <w:bottom w:val="none" w:sz="0" w:space="0" w:color="auto"/>
        <w:right w:val="none" w:sz="0" w:space="0" w:color="auto"/>
      </w:divBdr>
    </w:div>
    <w:div w:id="1763335985">
      <w:bodyDiv w:val="1"/>
      <w:marLeft w:val="0"/>
      <w:marRight w:val="0"/>
      <w:marTop w:val="0"/>
      <w:marBottom w:val="0"/>
      <w:divBdr>
        <w:top w:val="none" w:sz="0" w:space="0" w:color="auto"/>
        <w:left w:val="none" w:sz="0" w:space="0" w:color="auto"/>
        <w:bottom w:val="none" w:sz="0" w:space="0" w:color="auto"/>
        <w:right w:val="none" w:sz="0" w:space="0" w:color="auto"/>
      </w:divBdr>
    </w:div>
    <w:div w:id="1828939855">
      <w:bodyDiv w:val="1"/>
      <w:marLeft w:val="0"/>
      <w:marRight w:val="0"/>
      <w:marTop w:val="0"/>
      <w:marBottom w:val="0"/>
      <w:divBdr>
        <w:top w:val="none" w:sz="0" w:space="0" w:color="auto"/>
        <w:left w:val="none" w:sz="0" w:space="0" w:color="auto"/>
        <w:bottom w:val="none" w:sz="0" w:space="0" w:color="auto"/>
        <w:right w:val="none" w:sz="0" w:space="0" w:color="auto"/>
      </w:divBdr>
    </w:div>
    <w:div w:id="196164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38/s41598-024-74680-2" TargetMode="External"/><Relationship Id="rId39" Type="http://schemas.openxmlformats.org/officeDocument/2006/relationships/hyperlink" Target="https://doi.org/10.5004/dwt.2022.27974" TargetMode="External"/><Relationship Id="rId21" Type="http://schemas.openxmlformats.org/officeDocument/2006/relationships/hyperlink" Target="https://doi.org/10.30574/wjbphs.2024.20.3.0974" TargetMode="External"/><Relationship Id="rId34" Type="http://schemas.openxmlformats.org/officeDocument/2006/relationships/hyperlink" Target="https://doi.org/10.1093/toxsci/kfad003" TargetMode="External"/><Relationship Id="rId42" Type="http://schemas.openxmlformats.org/officeDocument/2006/relationships/hyperlink" Target="https://doi.org/10.1016/j.chest.2018.10.04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7/s00204-023-03562-9" TargetMode="External"/><Relationship Id="rId11" Type="http://schemas.openxmlformats.org/officeDocument/2006/relationships/image" Target="media/image1.png"/><Relationship Id="rId24" Type="http://schemas.openxmlformats.org/officeDocument/2006/relationships/hyperlink" Target="https://doi.org/10.3390/antiox12030548" TargetMode="External"/><Relationship Id="rId32" Type="http://schemas.openxmlformats.org/officeDocument/2006/relationships/hyperlink" Target="https://doi.org/10.1289/EHP3141" TargetMode="External"/><Relationship Id="rId37" Type="http://schemas.openxmlformats.org/officeDocument/2006/relationships/hyperlink" Target="https://doi.org/10.24425/jwld.2021.136153" TargetMode="External"/><Relationship Id="rId40" Type="http://schemas.openxmlformats.org/officeDocument/2006/relationships/hyperlink" Target="https://doi.org/10.2147/COPD.S407085"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6/j.envint.2020.106150" TargetMode="External"/><Relationship Id="rId28" Type="http://schemas.openxmlformats.org/officeDocument/2006/relationships/hyperlink" Target="https://doi.org/10.12691/env-1-4-2" TargetMode="External"/><Relationship Id="rId36" Type="http://schemas.openxmlformats.org/officeDocument/2006/relationships/hyperlink" Target="https://doi.org/10.25144/17000" TargetMode="External"/><Relationship Id="rId49"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yperlink" Target="https://doi.org/10.1097/MCP.0000000000000248"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16/j.envc.2023.100733" TargetMode="External"/><Relationship Id="rId27" Type="http://schemas.openxmlformats.org/officeDocument/2006/relationships/hyperlink" Target="https://doi.org/10.1007/s10653-022-01449-9" TargetMode="External"/><Relationship Id="rId30" Type="http://schemas.openxmlformats.org/officeDocument/2006/relationships/hyperlink" Target="https://doi.org/10.36278/jeaht.27.4.217" TargetMode="External"/><Relationship Id="rId35" Type="http://schemas.openxmlformats.org/officeDocument/2006/relationships/hyperlink" Target="https://doi.org/10.54393/mjz.v4i02.77" TargetMode="External"/><Relationship Id="rId43" Type="http://schemas.openxmlformats.org/officeDocument/2006/relationships/hyperlink" Target="https://doi.org/10.1016/j.envres.2021.111214" TargetMode="External"/><Relationship Id="rId48" Type="http://schemas.openxmlformats.org/officeDocument/2006/relationships/header" Target="header3.xml"/><Relationship Id="rId8" Type="http://schemas.microsoft.com/office/2011/relationships/commentsExtended" Target="commentsExtended.xm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3390/w12010102" TargetMode="External"/><Relationship Id="rId33" Type="http://schemas.openxmlformats.org/officeDocument/2006/relationships/hyperlink" Target="https://doi.org/10.1016/j.ecoenv.2024.116610" TargetMode="External"/><Relationship Id="rId38" Type="http://schemas.openxmlformats.org/officeDocument/2006/relationships/hyperlink" Target="http://s-o-i.org/1.15/ijarbs-2016-3-6-8" TargetMode="External"/><Relationship Id="rId46" Type="http://schemas.openxmlformats.org/officeDocument/2006/relationships/footer" Target="footer1.xml"/><Relationship Id="rId20" Type="http://schemas.openxmlformats.org/officeDocument/2006/relationships/hyperlink" Target="https://doi.org/10.54910/sabrao2023.55.4.17" TargetMode="External"/><Relationship Id="rId41" Type="http://schemas.openxmlformats.org/officeDocument/2006/relationships/hyperlink" Target="https://doi.org/10.1016/j.envadv.2024.10060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1283</TotalTime>
  <Pages>15</Pages>
  <Words>4933</Words>
  <Characters>28122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Office</cp:lastModifiedBy>
  <cp:revision>12</cp:revision>
  <dcterms:created xsi:type="dcterms:W3CDTF">2025-02-02T10:40:00Z</dcterms:created>
  <dcterms:modified xsi:type="dcterms:W3CDTF">2025-02-21T10:16:00Z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1769976</vt:lpwstr>
  </property>
  <property fmtid="{D5CDD505-2E9C-101B-9397-08002B2CF9AE}" pid="3" name="NXPowerLiteSettings">
    <vt:lpwstr>C7000400038000</vt:lpwstr>
  </property>
  <property fmtid="{D5CDD505-2E9C-101B-9397-08002B2CF9AE}" pid="4" name="NXPowerLiteVersion">
    <vt:lpwstr>S10.3.1</vt:lpwstr>
  </property>
</Properties>
</file>