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5BC34" w14:textId="06B859E0" w:rsidR="002E5FF5" w:rsidRPr="000E43F4" w:rsidRDefault="006548CB" w:rsidP="00B82D3D">
      <w:pPr>
        <w:jc w:val="right"/>
        <w:rPr>
          <w:rFonts w:ascii="Arial" w:hAnsi="Arial" w:cs="Arial"/>
          <w:b/>
          <w:bCs/>
          <w:sz w:val="44"/>
          <w:szCs w:val="44"/>
        </w:rPr>
      </w:pPr>
      <w:bookmarkStart w:id="0" w:name="_GoBack"/>
      <w:bookmarkEnd w:id="0"/>
      <w:r w:rsidRPr="000E43F4">
        <w:rPr>
          <w:rFonts w:ascii="Arial" w:hAnsi="Arial" w:cs="Arial"/>
          <w:b/>
          <w:bCs/>
          <w:sz w:val="44"/>
          <w:szCs w:val="44"/>
        </w:rPr>
        <w:t xml:space="preserve">Impact </w:t>
      </w:r>
      <w:r w:rsidR="000E43F4">
        <w:rPr>
          <w:rFonts w:ascii="Arial" w:hAnsi="Arial" w:cs="Arial"/>
          <w:b/>
          <w:bCs/>
          <w:sz w:val="44"/>
          <w:szCs w:val="44"/>
        </w:rPr>
        <w:t>o</w:t>
      </w:r>
      <w:r w:rsidR="000E43F4" w:rsidRPr="000E43F4">
        <w:rPr>
          <w:rFonts w:ascii="Arial" w:hAnsi="Arial" w:cs="Arial"/>
          <w:b/>
          <w:bCs/>
          <w:sz w:val="44"/>
          <w:szCs w:val="44"/>
        </w:rPr>
        <w:t xml:space="preserve">f Financial Technology </w:t>
      </w:r>
      <w:r w:rsidR="000E43F4">
        <w:rPr>
          <w:rFonts w:ascii="Arial" w:hAnsi="Arial" w:cs="Arial"/>
          <w:b/>
          <w:bCs/>
          <w:sz w:val="44"/>
          <w:szCs w:val="44"/>
        </w:rPr>
        <w:t>o</w:t>
      </w:r>
      <w:r w:rsidR="000E43F4" w:rsidRPr="000E43F4">
        <w:rPr>
          <w:rFonts w:ascii="Arial" w:hAnsi="Arial" w:cs="Arial"/>
          <w:b/>
          <w:bCs/>
          <w:sz w:val="44"/>
          <w:szCs w:val="44"/>
        </w:rPr>
        <w:t xml:space="preserve">n Economic Growth </w:t>
      </w:r>
      <w:r w:rsidR="000E43F4">
        <w:rPr>
          <w:rFonts w:ascii="Arial" w:hAnsi="Arial" w:cs="Arial"/>
          <w:b/>
          <w:bCs/>
          <w:sz w:val="44"/>
          <w:szCs w:val="44"/>
        </w:rPr>
        <w:t>i</w:t>
      </w:r>
      <w:r w:rsidR="000E43F4" w:rsidRPr="000E43F4">
        <w:rPr>
          <w:rFonts w:ascii="Arial" w:hAnsi="Arial" w:cs="Arial"/>
          <w:b/>
          <w:bCs/>
          <w:sz w:val="44"/>
          <w:szCs w:val="44"/>
        </w:rPr>
        <w:t xml:space="preserve">n </w:t>
      </w:r>
      <w:r w:rsidR="000E43F4">
        <w:rPr>
          <w:rFonts w:ascii="Arial" w:hAnsi="Arial" w:cs="Arial"/>
          <w:b/>
          <w:bCs/>
          <w:sz w:val="44"/>
          <w:szCs w:val="44"/>
        </w:rPr>
        <w:t>t</w:t>
      </w:r>
      <w:r w:rsidR="000E43F4" w:rsidRPr="000E43F4">
        <w:rPr>
          <w:rFonts w:ascii="Arial" w:hAnsi="Arial" w:cs="Arial"/>
          <w:b/>
          <w:bCs/>
          <w:sz w:val="44"/>
          <w:szCs w:val="44"/>
        </w:rPr>
        <w:t xml:space="preserve">he </w:t>
      </w:r>
      <w:r w:rsidRPr="000E43F4">
        <w:rPr>
          <w:rFonts w:ascii="Arial" w:hAnsi="Arial" w:cs="Arial"/>
          <w:b/>
          <w:bCs/>
          <w:sz w:val="44"/>
          <w:szCs w:val="44"/>
        </w:rPr>
        <w:t xml:space="preserve">United Kingdom </w:t>
      </w:r>
      <w:r w:rsidR="000E43F4">
        <w:rPr>
          <w:rFonts w:ascii="Arial" w:hAnsi="Arial" w:cs="Arial"/>
          <w:b/>
          <w:bCs/>
          <w:sz w:val="44"/>
          <w:szCs w:val="44"/>
        </w:rPr>
        <w:t>f</w:t>
      </w:r>
      <w:r w:rsidR="000E43F4" w:rsidRPr="000E43F4">
        <w:rPr>
          <w:rFonts w:ascii="Arial" w:hAnsi="Arial" w:cs="Arial"/>
          <w:b/>
          <w:bCs/>
          <w:sz w:val="44"/>
          <w:szCs w:val="44"/>
        </w:rPr>
        <w:t>rom 2007-2023</w:t>
      </w:r>
    </w:p>
    <w:p w14:paraId="3BCC74C0" w14:textId="77777777" w:rsidR="00B82D3D" w:rsidRPr="000B05CC" w:rsidRDefault="00B82D3D" w:rsidP="00B82D3D">
      <w:pPr>
        <w:jc w:val="right"/>
        <w:rPr>
          <w:rFonts w:ascii="Arial" w:hAnsi="Arial" w:cs="Arial"/>
          <w:b/>
          <w:bCs/>
        </w:rPr>
      </w:pPr>
    </w:p>
    <w:p w14:paraId="3613E872" w14:textId="77777777" w:rsidR="006548CB" w:rsidRPr="000B05CC" w:rsidRDefault="006548CB" w:rsidP="00B82D3D">
      <w:pPr>
        <w:jc w:val="right"/>
        <w:rPr>
          <w:rFonts w:ascii="Arial" w:hAnsi="Arial" w:cs="Arial"/>
        </w:rPr>
      </w:pPr>
    </w:p>
    <w:p w14:paraId="35C3C783" w14:textId="77777777" w:rsidR="00B82D3D" w:rsidRPr="000B05CC" w:rsidRDefault="00B82D3D" w:rsidP="00B82D3D">
      <w:pPr>
        <w:jc w:val="right"/>
        <w:rPr>
          <w:rFonts w:ascii="Arial" w:hAnsi="Arial" w:cs="Arial"/>
        </w:rPr>
      </w:pPr>
    </w:p>
    <w:p w14:paraId="33F52188" w14:textId="77777777" w:rsidR="006548CB" w:rsidRPr="000B05CC" w:rsidRDefault="006548CB" w:rsidP="006548CB">
      <w:pPr>
        <w:jc w:val="center"/>
        <w:rPr>
          <w:rFonts w:ascii="Arial" w:hAnsi="Arial" w:cs="Arial"/>
        </w:rPr>
      </w:pPr>
    </w:p>
    <w:p w14:paraId="4457CD41" w14:textId="1633117B" w:rsidR="006548CB" w:rsidRPr="000B05CC" w:rsidRDefault="006548CB" w:rsidP="00B82D3D">
      <w:pPr>
        <w:jc w:val="both"/>
        <w:rPr>
          <w:rFonts w:ascii="Arial" w:hAnsi="Arial" w:cs="Arial"/>
          <w:b/>
          <w:bCs/>
        </w:rPr>
      </w:pPr>
      <w:r w:rsidRPr="000B05CC">
        <w:rPr>
          <w:rFonts w:ascii="Arial" w:hAnsi="Arial" w:cs="Arial"/>
          <w:b/>
          <w:bCs/>
        </w:rPr>
        <w:t>Abstract</w:t>
      </w:r>
    </w:p>
    <w:p w14:paraId="572996E8" w14:textId="04F3D31E" w:rsidR="006548CB" w:rsidRPr="000B05CC" w:rsidRDefault="009C5475" w:rsidP="00AB5EFE">
      <w:pPr>
        <w:autoSpaceDE w:val="0"/>
        <w:autoSpaceDN w:val="0"/>
        <w:adjustRightInd w:val="0"/>
        <w:spacing w:after="0" w:line="360" w:lineRule="auto"/>
        <w:jc w:val="both"/>
        <w:rPr>
          <w:rFonts w:ascii="Arial" w:hAnsi="Arial" w:cs="Arial"/>
          <w:color w:val="000000"/>
        </w:rPr>
      </w:pPr>
      <w:r w:rsidRPr="000B05CC">
        <w:rPr>
          <w:rFonts w:ascii="Arial" w:hAnsi="Arial" w:cs="Arial"/>
          <w:i/>
          <w:iCs/>
          <w:color w:val="000000"/>
        </w:rPr>
        <w:t>This</w:t>
      </w:r>
      <w:r w:rsidRPr="000B05CC">
        <w:rPr>
          <w:rFonts w:ascii="Arial" w:hAnsi="Arial" w:cs="Arial"/>
          <w:b/>
          <w:bCs/>
          <w:i/>
          <w:iCs/>
          <w:color w:val="000000"/>
        </w:rPr>
        <w:t xml:space="preserve"> </w:t>
      </w:r>
      <w:r w:rsidRPr="000B05CC">
        <w:rPr>
          <w:rFonts w:ascii="Arial" w:hAnsi="Arial" w:cs="Arial"/>
          <w:i/>
          <w:iCs/>
          <w:color w:val="000000"/>
        </w:rPr>
        <w:t xml:space="preserve">study examined the impact of financial technology on economic growth in the United Kingdom from the period 2007-2023. The study utilized the ARDL bound test approach to analyze the results using a time series technique. Point of sales, automated teller machines, and direct debit payment were adopted as measures of financial technology, while GDP per capita was used as the economic growth indicator. The study also controlled using population growth rate and regulatory quality. The findings showed that point of sales </w:t>
      </w:r>
      <w:r w:rsidR="00D62EC9" w:rsidRPr="000B05CC">
        <w:rPr>
          <w:rFonts w:ascii="Arial" w:hAnsi="Arial" w:cs="Arial"/>
          <w:i/>
          <w:iCs/>
          <w:color w:val="000000"/>
        </w:rPr>
        <w:t>positively and significantly impacted</w:t>
      </w:r>
      <w:r w:rsidRPr="000B05CC">
        <w:rPr>
          <w:rFonts w:ascii="Arial" w:hAnsi="Arial" w:cs="Arial"/>
          <w:i/>
          <w:iCs/>
          <w:color w:val="000000"/>
        </w:rPr>
        <w:t xml:space="preserve"> GDP per capita in the United Kingdom. Further results revealed that both Automated teller machines and Direct debit payments </w:t>
      </w:r>
      <w:r w:rsidR="00D62EC9" w:rsidRPr="000B05CC">
        <w:rPr>
          <w:rFonts w:ascii="Arial" w:hAnsi="Arial" w:cs="Arial"/>
          <w:i/>
          <w:iCs/>
          <w:color w:val="000000"/>
        </w:rPr>
        <w:t>negatively and non-significantly impacted</w:t>
      </w:r>
      <w:r w:rsidRPr="000B05CC">
        <w:rPr>
          <w:rFonts w:ascii="Arial" w:hAnsi="Arial" w:cs="Arial"/>
          <w:i/>
          <w:iCs/>
          <w:color w:val="000000"/>
        </w:rPr>
        <w:t xml:space="preserve"> GDP per capita in the United Kingdom. Based on the result, the study recommends that government agencies provide an enabling environment to integrate innovations, prioritize customer security, and provide required tax breaks to encourage more investment in the fintech spac</w:t>
      </w:r>
      <w:r w:rsidRPr="000B05CC">
        <w:rPr>
          <w:rFonts w:ascii="Arial" w:hAnsi="Arial" w:cs="Arial"/>
          <w:color w:val="000000"/>
        </w:rPr>
        <w:t xml:space="preserve">e. </w:t>
      </w:r>
    </w:p>
    <w:p w14:paraId="711034BC" w14:textId="77777777" w:rsidR="00A52111" w:rsidRPr="000B05CC" w:rsidRDefault="00A52111" w:rsidP="006548CB">
      <w:pPr>
        <w:rPr>
          <w:rFonts w:ascii="Arial" w:hAnsi="Arial" w:cs="Arial"/>
        </w:rPr>
      </w:pPr>
    </w:p>
    <w:p w14:paraId="3999EA11" w14:textId="77777777" w:rsidR="00A52111" w:rsidRPr="000B05CC" w:rsidRDefault="00A52111" w:rsidP="006548CB">
      <w:pPr>
        <w:rPr>
          <w:rFonts w:ascii="Arial" w:hAnsi="Arial" w:cs="Arial"/>
        </w:rPr>
      </w:pPr>
    </w:p>
    <w:p w14:paraId="2B080BC1" w14:textId="77777777" w:rsidR="00A52111" w:rsidRPr="000B05CC" w:rsidRDefault="00A52111" w:rsidP="006548CB">
      <w:pPr>
        <w:rPr>
          <w:rFonts w:ascii="Arial" w:hAnsi="Arial" w:cs="Arial"/>
        </w:rPr>
      </w:pPr>
    </w:p>
    <w:p w14:paraId="55554DE6" w14:textId="7B62FBC5" w:rsidR="00A52111" w:rsidRPr="000B05CC" w:rsidRDefault="006548CB" w:rsidP="006548CB">
      <w:pPr>
        <w:rPr>
          <w:rFonts w:ascii="Arial" w:hAnsi="Arial" w:cs="Arial"/>
          <w:b/>
          <w:bCs/>
        </w:rPr>
      </w:pPr>
      <w:r w:rsidRPr="000B05CC">
        <w:rPr>
          <w:rFonts w:ascii="Arial" w:hAnsi="Arial" w:cs="Arial"/>
          <w:b/>
          <w:bCs/>
        </w:rPr>
        <w:t>Keywords: Financial Technology, Economic Growth, GDP per capita, Direct debit payments</w:t>
      </w:r>
      <w:r w:rsidR="002E0B2B" w:rsidRPr="000B05CC">
        <w:rPr>
          <w:rFonts w:ascii="Arial" w:hAnsi="Arial" w:cs="Arial"/>
          <w:b/>
          <w:bCs/>
        </w:rPr>
        <w:t>, ARDL.</w:t>
      </w:r>
    </w:p>
    <w:p w14:paraId="6D97CA12" w14:textId="77777777" w:rsidR="00A52111" w:rsidRPr="000B05CC" w:rsidRDefault="00A52111" w:rsidP="006548CB">
      <w:pPr>
        <w:rPr>
          <w:rFonts w:ascii="Arial" w:hAnsi="Arial" w:cs="Arial"/>
          <w:b/>
          <w:bCs/>
        </w:rPr>
      </w:pPr>
    </w:p>
    <w:p w14:paraId="4F829A9E" w14:textId="77777777" w:rsidR="00AB5EFE" w:rsidRPr="000B05CC" w:rsidRDefault="00AB5EFE" w:rsidP="006548CB">
      <w:pPr>
        <w:rPr>
          <w:rFonts w:ascii="Arial" w:hAnsi="Arial" w:cs="Arial"/>
          <w:b/>
          <w:bCs/>
        </w:rPr>
      </w:pPr>
    </w:p>
    <w:p w14:paraId="778B5D18" w14:textId="77777777" w:rsidR="001D503B" w:rsidRPr="000B05CC" w:rsidRDefault="001D503B" w:rsidP="006548CB">
      <w:pPr>
        <w:rPr>
          <w:rFonts w:ascii="Arial" w:hAnsi="Arial" w:cs="Arial"/>
          <w:b/>
          <w:bCs/>
        </w:rPr>
      </w:pPr>
    </w:p>
    <w:p w14:paraId="1960FE31" w14:textId="77777777" w:rsidR="00782F72" w:rsidRPr="000B05CC" w:rsidRDefault="00782F72" w:rsidP="006548CB">
      <w:pPr>
        <w:rPr>
          <w:rFonts w:ascii="Arial" w:hAnsi="Arial" w:cs="Arial"/>
          <w:b/>
          <w:bCs/>
        </w:rPr>
        <w:sectPr w:rsidR="00782F72" w:rsidRPr="000B05CC" w:rsidSect="001779D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4E67B057" w14:textId="0D3B04E1" w:rsidR="006548CB" w:rsidRPr="000B05CC" w:rsidRDefault="00090AED" w:rsidP="006548CB">
      <w:pPr>
        <w:rPr>
          <w:rFonts w:ascii="Arial" w:hAnsi="Arial" w:cs="Arial"/>
          <w:b/>
          <w:bCs/>
        </w:rPr>
      </w:pPr>
      <w:r w:rsidRPr="000B05CC">
        <w:rPr>
          <w:rFonts w:ascii="Arial" w:hAnsi="Arial" w:cs="Arial"/>
          <w:b/>
          <w:bCs/>
        </w:rPr>
        <w:t>1.0 INTRODUCTION</w:t>
      </w:r>
    </w:p>
    <w:p w14:paraId="7D0243F2" w14:textId="77777777" w:rsidR="00DE612E" w:rsidRPr="000B05CC" w:rsidRDefault="00DE612E" w:rsidP="00DE612E">
      <w:pPr>
        <w:spacing w:line="36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 xml:space="preserve">Over the last decade, the advent of financial technology (fintech) has led to a radical transformation of the financial industry in many countries, including the </w:t>
      </w:r>
      <w:r w:rsidRPr="000B05CC">
        <w:rPr>
          <w:rFonts w:ascii="Arial" w:eastAsia="Times New Roman" w:hAnsi="Arial" w:cs="Arial"/>
          <w:kern w:val="0"/>
          <w14:ligatures w14:val="none"/>
        </w:rPr>
        <w:t>United Kingdom. Financial technology, or FinTech, integrates technology into financial services to improve delivery, lower costs, and establish new business models (</w:t>
      </w:r>
      <w:proofErr w:type="spellStart"/>
      <w:r w:rsidRPr="000B05CC">
        <w:rPr>
          <w:rFonts w:ascii="Arial" w:eastAsia="Times New Roman" w:hAnsi="Arial" w:cs="Arial"/>
          <w:kern w:val="0"/>
          <w14:ligatures w14:val="none"/>
        </w:rPr>
        <w:t>Ezie</w:t>
      </w:r>
      <w:proofErr w:type="spellEnd"/>
      <w:r w:rsidRPr="000B05CC">
        <w:rPr>
          <w:rFonts w:ascii="Arial" w:eastAsia="Times New Roman" w:hAnsi="Arial" w:cs="Arial"/>
          <w:kern w:val="0"/>
          <w14:ligatures w14:val="none"/>
        </w:rPr>
        <w:t xml:space="preserve">, </w:t>
      </w:r>
      <w:proofErr w:type="spellStart"/>
      <w:r w:rsidRPr="000B05CC">
        <w:rPr>
          <w:rFonts w:ascii="Arial" w:eastAsia="Times New Roman" w:hAnsi="Arial" w:cs="Arial"/>
          <w:kern w:val="0"/>
          <w14:ligatures w14:val="none"/>
        </w:rPr>
        <w:t>Oniore</w:t>
      </w:r>
      <w:proofErr w:type="spellEnd"/>
      <w:r w:rsidRPr="000B05CC">
        <w:rPr>
          <w:rFonts w:ascii="Arial" w:eastAsia="Times New Roman" w:hAnsi="Arial" w:cs="Arial"/>
          <w:kern w:val="0"/>
          <w14:ligatures w14:val="none"/>
        </w:rPr>
        <w:t xml:space="preserve">, and </w:t>
      </w:r>
      <w:proofErr w:type="spellStart"/>
      <w:r w:rsidRPr="000B05CC">
        <w:rPr>
          <w:rFonts w:ascii="Arial" w:eastAsia="Times New Roman" w:hAnsi="Arial" w:cs="Arial"/>
          <w:kern w:val="0"/>
          <w14:ligatures w14:val="none"/>
        </w:rPr>
        <w:t>Ajaegbu</w:t>
      </w:r>
      <w:proofErr w:type="spellEnd"/>
      <w:r w:rsidRPr="000B05CC">
        <w:rPr>
          <w:rFonts w:ascii="Arial" w:eastAsia="Times New Roman" w:hAnsi="Arial" w:cs="Arial"/>
          <w:kern w:val="0"/>
          <w14:ligatures w14:val="none"/>
        </w:rPr>
        <w:t xml:space="preserve">, 2022; </w:t>
      </w:r>
      <w:proofErr w:type="spellStart"/>
      <w:r w:rsidRPr="000B05CC">
        <w:rPr>
          <w:rFonts w:ascii="Arial" w:eastAsia="Times New Roman" w:hAnsi="Arial" w:cs="Arial"/>
          <w:kern w:val="0"/>
          <w14:ligatures w14:val="none"/>
        </w:rPr>
        <w:lastRenderedPageBreak/>
        <w:t>Schueffel</w:t>
      </w:r>
      <w:proofErr w:type="spellEnd"/>
      <w:r w:rsidRPr="000B05CC">
        <w:rPr>
          <w:rFonts w:ascii="Arial" w:eastAsia="Times New Roman" w:hAnsi="Arial" w:cs="Arial"/>
          <w:kern w:val="0"/>
          <w14:ligatures w14:val="none"/>
        </w:rPr>
        <w:t xml:space="preserve">, 2016). FinTech innovations have transformed how individuals engage with their finances globally, from peer-to-peer lending platforms to digital-only banks. </w:t>
      </w:r>
      <w:proofErr w:type="spellStart"/>
      <w:r w:rsidRPr="000B05CC">
        <w:rPr>
          <w:rFonts w:ascii="Arial" w:eastAsia="Times New Roman" w:hAnsi="Arial" w:cs="Arial"/>
          <w:kern w:val="0"/>
          <w14:ligatures w14:val="none"/>
        </w:rPr>
        <w:t>Arner</w:t>
      </w:r>
      <w:proofErr w:type="spellEnd"/>
      <w:r w:rsidRPr="000B05CC">
        <w:rPr>
          <w:rFonts w:ascii="Arial" w:eastAsia="Times New Roman" w:hAnsi="Arial" w:cs="Arial"/>
          <w:kern w:val="0"/>
          <w14:ligatures w14:val="none"/>
        </w:rPr>
        <w:t xml:space="preserve">, </w:t>
      </w:r>
      <w:proofErr w:type="spellStart"/>
      <w:r w:rsidRPr="000B05CC">
        <w:rPr>
          <w:rFonts w:ascii="Arial" w:eastAsia="Times New Roman" w:hAnsi="Arial" w:cs="Arial"/>
          <w:kern w:val="0"/>
          <w14:ligatures w14:val="none"/>
        </w:rPr>
        <w:t>Barberis</w:t>
      </w:r>
      <w:proofErr w:type="spellEnd"/>
      <w:r w:rsidRPr="000B05CC">
        <w:rPr>
          <w:rFonts w:ascii="Arial" w:eastAsia="Times New Roman" w:hAnsi="Arial" w:cs="Arial"/>
          <w:kern w:val="0"/>
          <w14:ligatures w14:val="none"/>
        </w:rPr>
        <w:t xml:space="preserve">, and Buckley (2016), provide an in-depth description of FinTech and defines it as a new financial firm that employs technology to enhance financial activities. Fintech's fundamental value resides in its ability to improve financial functions, enhance resource allocation, and stimulate economic growth (He, </w:t>
      </w:r>
      <w:proofErr w:type="spellStart"/>
      <w:r w:rsidRPr="000B05CC">
        <w:rPr>
          <w:rFonts w:ascii="Arial" w:eastAsia="Times New Roman" w:hAnsi="Arial" w:cs="Arial"/>
          <w:kern w:val="0"/>
          <w14:ligatures w14:val="none"/>
        </w:rPr>
        <w:t>Leckow</w:t>
      </w:r>
      <w:proofErr w:type="spellEnd"/>
      <w:r w:rsidRPr="000B05CC">
        <w:rPr>
          <w:rFonts w:ascii="Arial" w:eastAsia="Times New Roman" w:hAnsi="Arial" w:cs="Arial"/>
          <w:kern w:val="0"/>
          <w14:ligatures w14:val="none"/>
        </w:rPr>
        <w:t xml:space="preserve">, &amp; </w:t>
      </w:r>
      <w:proofErr w:type="spellStart"/>
      <w:r w:rsidRPr="000B05CC">
        <w:rPr>
          <w:rFonts w:ascii="Arial" w:eastAsia="Times New Roman" w:hAnsi="Arial" w:cs="Arial"/>
          <w:kern w:val="0"/>
          <w14:ligatures w14:val="none"/>
        </w:rPr>
        <w:t>Haksar</w:t>
      </w:r>
      <w:proofErr w:type="spellEnd"/>
      <w:r w:rsidRPr="000B05CC">
        <w:rPr>
          <w:rFonts w:ascii="Arial" w:eastAsia="Times New Roman" w:hAnsi="Arial" w:cs="Arial"/>
          <w:kern w:val="0"/>
          <w14:ligatures w14:val="none"/>
        </w:rPr>
        <w:t xml:space="preserve">, 2017; Han, Zhou, &amp; Wang, 2019). </w:t>
      </w:r>
    </w:p>
    <w:p w14:paraId="7AA809CD" w14:textId="6AC95CAC" w:rsidR="00DE612E" w:rsidRPr="000B05CC" w:rsidRDefault="00DE612E" w:rsidP="00DE612E">
      <w:pPr>
        <w:spacing w:line="360" w:lineRule="auto"/>
        <w:jc w:val="both"/>
        <w:rPr>
          <w:rFonts w:ascii="Arial" w:eastAsia="Times New Roman" w:hAnsi="Arial" w:cs="Arial"/>
          <w:kern w:val="0"/>
          <w14:ligatures w14:val="none"/>
        </w:rPr>
      </w:pPr>
      <w:r w:rsidRPr="000B05CC">
        <w:rPr>
          <w:rFonts w:ascii="Arial" w:hAnsi="Arial" w:cs="Arial"/>
          <w:color w:val="000000"/>
          <w:shd w:val="clear" w:color="auto" w:fill="FFFFFF"/>
        </w:rPr>
        <w:t xml:space="preserve">Today, the importance of technological innovation in spurring economic growth has been a central topic in economic and financial discussions. Various theoretical and economic thoughts have emphasized its significance. </w:t>
      </w:r>
      <w:r w:rsidRPr="000B05CC">
        <w:rPr>
          <w:rFonts w:ascii="Arial" w:eastAsia="Times New Roman" w:hAnsi="Arial" w:cs="Arial"/>
          <w:kern w:val="0"/>
          <w14:ligatures w14:val="none"/>
        </w:rPr>
        <w:t xml:space="preserve">The innovation-growth idea asserts that financial technology enhances the quality of financial products and services (McGuire &amp; Conroy, 2013; </w:t>
      </w:r>
      <w:proofErr w:type="spellStart"/>
      <w:r w:rsidRPr="000B05CC">
        <w:rPr>
          <w:rFonts w:ascii="Arial" w:eastAsia="Times New Roman" w:hAnsi="Arial" w:cs="Arial"/>
          <w:kern w:val="0"/>
          <w14:ligatures w14:val="none"/>
        </w:rPr>
        <w:t>Mroua</w:t>
      </w:r>
      <w:proofErr w:type="spellEnd"/>
      <w:r w:rsidRPr="000B05CC">
        <w:rPr>
          <w:rFonts w:ascii="Arial" w:eastAsia="Times New Roman" w:hAnsi="Arial" w:cs="Arial"/>
          <w:kern w:val="0"/>
          <w14:ligatures w14:val="none"/>
        </w:rPr>
        <w:t xml:space="preserve"> &amp; </w:t>
      </w:r>
      <w:proofErr w:type="spellStart"/>
      <w:r w:rsidRPr="000B05CC">
        <w:rPr>
          <w:rFonts w:ascii="Arial" w:eastAsia="Times New Roman" w:hAnsi="Arial" w:cs="Arial"/>
          <w:kern w:val="0"/>
          <w14:ligatures w14:val="none"/>
        </w:rPr>
        <w:t>Trabelsi</w:t>
      </w:r>
      <w:proofErr w:type="spellEnd"/>
      <w:r w:rsidRPr="000B05CC">
        <w:rPr>
          <w:rFonts w:ascii="Arial" w:eastAsia="Times New Roman" w:hAnsi="Arial" w:cs="Arial"/>
          <w:kern w:val="0"/>
          <w14:ligatures w14:val="none"/>
        </w:rPr>
        <w:t xml:space="preserve">, 2020). Schumpeter (1912), Gurley and Shaw (1960), and Shaw (1973) believe that financial development promotes economic growth by increasing savings mobilization, improving resource allocation efficiency, and stimulating technical innovation. The neoclassical growth hypothesis, endorsed by economists such as Ramsey (1928), Solow (1956), and Swan (1956), contends that capital accumulation and </w:t>
      </w:r>
      <w:proofErr w:type="spellStart"/>
      <w:r w:rsidRPr="000B05CC">
        <w:rPr>
          <w:rFonts w:ascii="Arial" w:eastAsia="Times New Roman" w:hAnsi="Arial" w:cs="Arial"/>
          <w:kern w:val="0"/>
          <w14:ligatures w14:val="none"/>
        </w:rPr>
        <w:t>labour</w:t>
      </w:r>
      <w:proofErr w:type="spellEnd"/>
      <w:r w:rsidRPr="000B05CC">
        <w:rPr>
          <w:rFonts w:ascii="Arial" w:eastAsia="Times New Roman" w:hAnsi="Arial" w:cs="Arial"/>
          <w:kern w:val="0"/>
          <w14:ligatures w14:val="none"/>
        </w:rPr>
        <w:t xml:space="preserve"> are the primary drivers of consistent economic growth. </w:t>
      </w:r>
      <w:r w:rsidRPr="000B05CC">
        <w:rPr>
          <w:rFonts w:ascii="Arial" w:hAnsi="Arial" w:cs="Arial"/>
          <w:color w:val="000000"/>
          <w:shd w:val="clear" w:color="auto" w:fill="FFFFFF"/>
        </w:rPr>
        <w:t xml:space="preserve">In their view, technological </w:t>
      </w:r>
      <w:r w:rsidRPr="000B05CC">
        <w:rPr>
          <w:rFonts w:ascii="Arial" w:hAnsi="Arial" w:cs="Arial"/>
          <w:color w:val="000000"/>
          <w:shd w:val="clear" w:color="auto" w:fill="FFFFFF"/>
        </w:rPr>
        <w:t xml:space="preserve">advancements are seen as external factors facilitating economic expansion rather than intrinsic elements of the growth process. In contrast, endogenous growth theory, championed by economists like Romer (1990), posits that technology is an essential internal factor influencing economic progress. This perspective emphasizes the role of internal elements such as capital, human </w:t>
      </w:r>
      <w:r w:rsidR="00436629">
        <w:rPr>
          <w:rFonts w:ascii="Arial" w:hAnsi="Arial" w:cs="Arial"/>
          <w:color w:val="000000"/>
          <w:shd w:val="clear" w:color="auto" w:fill="FFFFFF"/>
        </w:rPr>
        <w:t>resources</w:t>
      </w:r>
      <w:r w:rsidRPr="000B05CC">
        <w:rPr>
          <w:rFonts w:ascii="Arial" w:hAnsi="Arial" w:cs="Arial"/>
          <w:color w:val="000000"/>
          <w:shd w:val="clear" w:color="auto" w:fill="FFFFFF"/>
        </w:rPr>
        <w:t>, and innovation in stimulating growth. Proponents argue that innovation leads to positive externalities, which enhance productivity and increase returns to scale, thereby emphasizing the significance of technology in economic growth.</w:t>
      </w:r>
    </w:p>
    <w:p w14:paraId="21F0193D" w14:textId="0B1286C7" w:rsidR="00DE612E" w:rsidRPr="000B05CC" w:rsidRDefault="00DE612E" w:rsidP="00DE612E">
      <w:pPr>
        <w:spacing w:line="360" w:lineRule="auto"/>
        <w:jc w:val="both"/>
        <w:rPr>
          <w:rFonts w:ascii="Arial" w:eastAsia="Times New Roman" w:hAnsi="Arial" w:cs="Arial"/>
          <w:kern w:val="0"/>
          <w14:ligatures w14:val="none"/>
        </w:rPr>
      </w:pPr>
      <w:r w:rsidRPr="000B05CC">
        <w:rPr>
          <w:rFonts w:ascii="Arial" w:hAnsi="Arial" w:cs="Arial"/>
          <w:color w:val="000000"/>
        </w:rPr>
        <w:t xml:space="preserve">However, </w:t>
      </w:r>
      <w:r w:rsidR="00965561" w:rsidRPr="000B05CC">
        <w:rPr>
          <w:rFonts w:ascii="Arial" w:hAnsi="Arial" w:cs="Arial"/>
          <w:color w:val="000000"/>
        </w:rPr>
        <w:t xml:space="preserve">attention has been drawn to </w:t>
      </w:r>
      <w:r w:rsidRPr="000B05CC">
        <w:rPr>
          <w:rFonts w:ascii="Arial" w:hAnsi="Arial" w:cs="Arial"/>
          <w:color w:val="000000"/>
        </w:rPr>
        <w:t>the connection between financial technology and economic growth</w:t>
      </w:r>
      <w:r w:rsidR="00965561" w:rsidRPr="000B05CC">
        <w:rPr>
          <w:rFonts w:ascii="Arial" w:hAnsi="Arial" w:cs="Arial"/>
          <w:color w:val="000000"/>
        </w:rPr>
        <w:t xml:space="preserve">, </w:t>
      </w:r>
      <w:r w:rsidRPr="000B05CC">
        <w:rPr>
          <w:rFonts w:ascii="Arial" w:hAnsi="Arial" w:cs="Arial"/>
          <w:color w:val="000000"/>
        </w:rPr>
        <w:t>particularly in the outcome of the 2007 financial cr</w:t>
      </w:r>
      <w:r w:rsidR="00F31370" w:rsidRPr="000B05CC">
        <w:rPr>
          <w:rFonts w:ascii="Arial" w:hAnsi="Arial" w:cs="Arial"/>
          <w:color w:val="000000"/>
        </w:rPr>
        <w:t>isis</w:t>
      </w:r>
      <w:r w:rsidRPr="000B05CC">
        <w:rPr>
          <w:rFonts w:ascii="Arial" w:hAnsi="Arial" w:cs="Arial"/>
          <w:color w:val="000000"/>
        </w:rPr>
        <w:t xml:space="preserve">. </w:t>
      </w:r>
      <w:r w:rsidRPr="000B05CC">
        <w:rPr>
          <w:rFonts w:ascii="Arial" w:hAnsi="Arial" w:cs="Arial"/>
          <w:color w:val="1C1C1C"/>
          <w:shd w:val="clear" w:color="auto" w:fill="FFFFFF"/>
        </w:rPr>
        <w:t>There is doubt about its impact on GDP (Li &amp; Xu, 2021).</w:t>
      </w:r>
      <w:r w:rsidRPr="000B05CC">
        <w:rPr>
          <w:rFonts w:ascii="Arial" w:hAnsi="Arial" w:cs="Arial"/>
          <w:b/>
          <w:bCs/>
        </w:rPr>
        <w:t xml:space="preserve"> </w:t>
      </w:r>
      <w:r w:rsidRPr="000B05CC">
        <w:rPr>
          <w:rFonts w:ascii="Arial" w:hAnsi="Arial" w:cs="Arial"/>
          <w:shd w:val="clear" w:color="auto" w:fill="FFFFFF"/>
        </w:rPr>
        <w:t>Yet, technological innovation in finance is crucial as it offers fresh avenues to access financial services (Berman, Cano-</w:t>
      </w:r>
      <w:proofErr w:type="spellStart"/>
      <w:r w:rsidRPr="000B05CC">
        <w:rPr>
          <w:rFonts w:ascii="Arial" w:hAnsi="Arial" w:cs="Arial"/>
          <w:shd w:val="clear" w:color="auto" w:fill="FFFFFF"/>
        </w:rPr>
        <w:t>kollmann</w:t>
      </w:r>
      <w:proofErr w:type="spellEnd"/>
      <w:r w:rsidRPr="000B05CC">
        <w:rPr>
          <w:rFonts w:ascii="Arial" w:hAnsi="Arial" w:cs="Arial"/>
          <w:shd w:val="clear" w:color="auto" w:fill="FFFFFF"/>
        </w:rPr>
        <w:t xml:space="preserve">, &amp; </w:t>
      </w:r>
      <w:proofErr w:type="spellStart"/>
      <w:r w:rsidRPr="000B05CC">
        <w:rPr>
          <w:rFonts w:ascii="Arial" w:hAnsi="Arial" w:cs="Arial"/>
          <w:shd w:val="clear" w:color="auto" w:fill="FFFFFF"/>
        </w:rPr>
        <w:t>Mudambi</w:t>
      </w:r>
      <w:proofErr w:type="spellEnd"/>
      <w:r w:rsidRPr="000B05CC">
        <w:rPr>
          <w:rFonts w:ascii="Arial" w:hAnsi="Arial" w:cs="Arial"/>
          <w:shd w:val="clear" w:color="auto" w:fill="FFFFFF"/>
        </w:rPr>
        <w:t xml:space="preserve">, 2022; </w:t>
      </w:r>
      <w:proofErr w:type="spellStart"/>
      <w:r w:rsidRPr="000B05CC">
        <w:rPr>
          <w:rFonts w:ascii="Arial" w:hAnsi="Arial" w:cs="Arial"/>
          <w:shd w:val="clear" w:color="auto" w:fill="FFFFFF"/>
        </w:rPr>
        <w:t>Handa</w:t>
      </w:r>
      <w:proofErr w:type="spellEnd"/>
      <w:r w:rsidRPr="000B05CC">
        <w:rPr>
          <w:rFonts w:ascii="Arial" w:hAnsi="Arial" w:cs="Arial"/>
          <w:shd w:val="clear" w:color="auto" w:fill="FFFFFF"/>
        </w:rPr>
        <w:t xml:space="preserve"> &amp; Khan, 2008). </w:t>
      </w:r>
      <w:r w:rsidRPr="000B05CC">
        <w:rPr>
          <w:rFonts w:ascii="Arial" w:hAnsi="Arial" w:cs="Arial"/>
          <w:color w:val="000000"/>
        </w:rPr>
        <w:t xml:space="preserve">According to a report by McKinsey &amp; Company (2024), global investment in FinTech amounted to $51.2 billion across 3,973 deals in 2023, reflecting a substantial decline from the $99 billion invested in 2022. </w:t>
      </w:r>
      <w:r w:rsidRPr="000B05CC">
        <w:rPr>
          <w:rFonts w:ascii="Arial" w:eastAsia="Times New Roman" w:hAnsi="Arial" w:cs="Arial"/>
          <w:kern w:val="0"/>
          <w14:ligatures w14:val="none"/>
        </w:rPr>
        <w:t xml:space="preserve">The United Kingdom's technological advances in Artificial Intelligence, the Internet of Things, and Fintech have made it an attractive option for Fintech companies and investors. </w:t>
      </w:r>
    </w:p>
    <w:p w14:paraId="1304FF4C" w14:textId="411954C3" w:rsidR="00DE612E" w:rsidRPr="000B05CC" w:rsidRDefault="00DE612E" w:rsidP="00DE612E">
      <w:pPr>
        <w:spacing w:line="360" w:lineRule="auto"/>
        <w:jc w:val="both"/>
        <w:rPr>
          <w:rFonts w:ascii="Arial" w:eastAsia="Times New Roman" w:hAnsi="Arial" w:cs="Arial"/>
          <w:kern w:val="0"/>
          <w14:ligatures w14:val="none"/>
        </w:rPr>
      </w:pPr>
      <w:r w:rsidRPr="000B05CC">
        <w:rPr>
          <w:rFonts w:ascii="Arial" w:hAnsi="Arial" w:cs="Arial"/>
          <w:color w:val="000000"/>
        </w:rPr>
        <w:lastRenderedPageBreak/>
        <w:t>The UK is the second largest FinTech investment hub after the US. The United Kingdom continues to stand out as the most compelling destination for FinTech in Europe, offering unparalleled opportunities for growth and innovation</w:t>
      </w:r>
      <w:r w:rsidR="00436629">
        <w:rPr>
          <w:rFonts w:ascii="Arial" w:hAnsi="Arial" w:cs="Arial"/>
          <w:color w:val="000000"/>
        </w:rPr>
        <w:t>.</w:t>
      </w:r>
      <w:r w:rsidRPr="000B05CC">
        <w:rPr>
          <w:rFonts w:ascii="Arial" w:hAnsi="Arial" w:cs="Arial"/>
          <w:color w:val="000000"/>
        </w:rPr>
        <w:t xml:space="preserve"> </w:t>
      </w:r>
      <w:r w:rsidR="00436629">
        <w:rPr>
          <w:rFonts w:ascii="Arial" w:eastAsia="Times New Roman" w:hAnsi="Arial" w:cs="Arial"/>
          <w:kern w:val="0"/>
          <w14:ligatures w14:val="none"/>
        </w:rPr>
        <w:t>I</w:t>
      </w:r>
      <w:r w:rsidRPr="000B05CC">
        <w:rPr>
          <w:rFonts w:ascii="Arial" w:eastAsia="Times New Roman" w:hAnsi="Arial" w:cs="Arial"/>
          <w:kern w:val="0"/>
          <w14:ligatures w14:val="none"/>
        </w:rPr>
        <w:t>nvestments in the sector fell 34% to $12.3 billion in 2023, down from $18.7 billion in 2022, due to high interest rates and inflation rate. The number of fintech deals also dropped</w:t>
      </w:r>
      <w:r w:rsidR="00436629">
        <w:rPr>
          <w:rFonts w:ascii="Arial" w:eastAsia="Times New Roman" w:hAnsi="Arial" w:cs="Arial"/>
          <w:kern w:val="0"/>
          <w14:ligatures w14:val="none"/>
        </w:rPr>
        <w:t>,</w:t>
      </w:r>
      <w:r w:rsidRPr="000B05CC">
        <w:rPr>
          <w:rFonts w:ascii="Arial" w:eastAsia="Times New Roman" w:hAnsi="Arial" w:cs="Arial"/>
          <w:kern w:val="0"/>
          <w14:ligatures w14:val="none"/>
        </w:rPr>
        <w:t xml:space="preserve"> </w:t>
      </w:r>
      <w:r w:rsidRPr="00436629">
        <w:rPr>
          <w:rFonts w:ascii="Arial" w:eastAsia="Times New Roman" w:hAnsi="Arial" w:cs="Arial"/>
          <w:kern w:val="0"/>
          <w14:ligatures w14:val="none"/>
        </w:rPr>
        <w:t>with 456</w:t>
      </w:r>
      <w:r w:rsidRPr="000B05CC">
        <w:rPr>
          <w:rFonts w:ascii="Arial" w:eastAsia="Times New Roman" w:hAnsi="Arial" w:cs="Arial"/>
          <w:kern w:val="0"/>
          <w14:ligatures w14:val="none"/>
        </w:rPr>
        <w:t xml:space="preserve"> Merger &amp; Acquisition</w:t>
      </w:r>
      <w:r w:rsidR="00436629">
        <w:rPr>
          <w:rFonts w:ascii="Arial" w:eastAsia="Times New Roman" w:hAnsi="Arial" w:cs="Arial"/>
          <w:kern w:val="0"/>
          <w14:ligatures w14:val="none"/>
        </w:rPr>
        <w:t>,</w:t>
      </w:r>
      <w:r w:rsidRPr="000B05CC">
        <w:rPr>
          <w:rFonts w:ascii="Arial" w:eastAsia="Times New Roman" w:hAnsi="Arial" w:cs="Arial"/>
          <w:kern w:val="0"/>
          <w14:ligatures w14:val="none"/>
        </w:rPr>
        <w:t xml:space="preserve"> Venture Capital transactions completed in 2023, compared to 706 in 2022 (KPMG, 2024). </w:t>
      </w:r>
      <w:r w:rsidRPr="000B05CC">
        <w:rPr>
          <w:rFonts w:ascii="Arial" w:hAnsi="Arial" w:cs="Arial"/>
          <w:color w:val="000000"/>
        </w:rPr>
        <w:t xml:space="preserve">The UK's thriving FinTech sector comprises around 1,600 enterprises and is projected to grow significantly by 2030. With an estimated value of $13.4 billion (£11 billion) to the UK economy and engaging around 76,000 individuals, it is a vital and dynamic contributor to the country's financial landscape. </w:t>
      </w:r>
      <w:r w:rsidR="001471CF" w:rsidRPr="000B05CC">
        <w:rPr>
          <w:rFonts w:ascii="Arial" w:hAnsi="Arial" w:cs="Arial"/>
          <w:color w:val="000000"/>
        </w:rPr>
        <w:t>T</w:t>
      </w:r>
      <w:r w:rsidRPr="000B05CC">
        <w:rPr>
          <w:rFonts w:ascii="Arial" w:hAnsi="Arial" w:cs="Arial"/>
          <w:color w:val="000000"/>
        </w:rPr>
        <w:t xml:space="preserve">he central concern is whether this contribution adequately serves the needs of the UK's growing population. </w:t>
      </w:r>
    </w:p>
    <w:p w14:paraId="295A39E7" w14:textId="6E8AAEDE" w:rsidR="002B229E" w:rsidRPr="000B05CC" w:rsidRDefault="00F31370" w:rsidP="002B229E">
      <w:pPr>
        <w:spacing w:after="0" w:line="360" w:lineRule="auto"/>
        <w:jc w:val="both"/>
        <w:rPr>
          <w:rFonts w:ascii="Arial" w:hAnsi="Arial" w:cs="Arial"/>
          <w:color w:val="000000"/>
        </w:rPr>
      </w:pPr>
      <w:r w:rsidRPr="000B05CC">
        <w:rPr>
          <w:rFonts w:ascii="Arial" w:hAnsi="Arial" w:cs="Arial"/>
          <w:color w:val="000000"/>
        </w:rPr>
        <w:t xml:space="preserve">This study aims to tackle </w:t>
      </w:r>
      <w:r w:rsidR="00436629" w:rsidRPr="000B05CC">
        <w:rPr>
          <w:rFonts w:ascii="Arial" w:hAnsi="Arial" w:cs="Arial"/>
          <w:color w:val="000000"/>
        </w:rPr>
        <w:t>critical</w:t>
      </w:r>
      <w:r w:rsidRPr="000B05CC">
        <w:rPr>
          <w:rFonts w:ascii="Arial" w:hAnsi="Arial" w:cs="Arial"/>
          <w:color w:val="000000"/>
        </w:rPr>
        <w:t xml:space="preserve"> issue</w:t>
      </w:r>
      <w:r w:rsidR="00436629">
        <w:rPr>
          <w:rFonts w:ascii="Arial" w:hAnsi="Arial" w:cs="Arial"/>
          <w:color w:val="000000"/>
        </w:rPr>
        <w:t>s</w:t>
      </w:r>
      <w:r w:rsidRPr="000B05CC">
        <w:rPr>
          <w:rFonts w:ascii="Arial" w:hAnsi="Arial" w:cs="Arial"/>
          <w:color w:val="000000"/>
        </w:rPr>
        <w:t xml:space="preserve"> and engage </w:t>
      </w:r>
      <w:r w:rsidR="00436629" w:rsidRPr="000B05CC">
        <w:rPr>
          <w:rFonts w:ascii="Arial" w:hAnsi="Arial" w:cs="Arial"/>
          <w:color w:val="000000"/>
        </w:rPr>
        <w:t>in discussion</w:t>
      </w:r>
      <w:r w:rsidRPr="000B05CC">
        <w:rPr>
          <w:rFonts w:ascii="Arial" w:hAnsi="Arial" w:cs="Arial"/>
          <w:color w:val="000000"/>
        </w:rPr>
        <w:t xml:space="preserve"> </w:t>
      </w:r>
      <w:r w:rsidR="001471CF" w:rsidRPr="000B05CC">
        <w:rPr>
          <w:rFonts w:ascii="Arial" w:hAnsi="Arial" w:cs="Arial"/>
          <w:color w:val="000000"/>
        </w:rPr>
        <w:t xml:space="preserve">and analysis </w:t>
      </w:r>
      <w:r w:rsidRPr="000B05CC">
        <w:rPr>
          <w:rFonts w:ascii="Arial" w:hAnsi="Arial" w:cs="Arial"/>
          <w:color w:val="000000"/>
        </w:rPr>
        <w:t xml:space="preserve">surrounding the role of financial technology in shaping economic growth in the United Kingdom. </w:t>
      </w:r>
      <w:r w:rsidR="00927B93" w:rsidRPr="000B05CC">
        <w:rPr>
          <w:rFonts w:ascii="Arial" w:hAnsi="Arial" w:cs="Arial"/>
          <w:color w:val="000000"/>
        </w:rPr>
        <w:t xml:space="preserve">This research addresses a significant void in the current literature by </w:t>
      </w:r>
      <w:r w:rsidR="00436629">
        <w:rPr>
          <w:rFonts w:ascii="Arial" w:hAnsi="Arial" w:cs="Arial"/>
          <w:color w:val="000000"/>
        </w:rPr>
        <w:t>identifying the</w:t>
      </w:r>
      <w:r w:rsidR="00927B93" w:rsidRPr="000B05CC">
        <w:rPr>
          <w:rFonts w:ascii="Arial" w:hAnsi="Arial" w:cs="Arial"/>
          <w:color w:val="000000"/>
        </w:rPr>
        <w:t xml:space="preserve"> remarkable rise of FinTech in the UK</w:t>
      </w:r>
      <w:r w:rsidRPr="000B05CC">
        <w:rPr>
          <w:rFonts w:ascii="Arial" w:hAnsi="Arial" w:cs="Arial"/>
          <w:color w:val="000000"/>
        </w:rPr>
        <w:t xml:space="preserve">. Its goal is to provide compelling evidence that underscores the critical role of technology in enhancing economic growth from 2007 to 2023. This analysis will particularly examine the recent </w:t>
      </w:r>
      <w:r w:rsidR="00BD68FE" w:rsidRPr="000B05CC">
        <w:rPr>
          <w:rFonts w:ascii="Arial" w:hAnsi="Arial" w:cs="Arial"/>
          <w:color w:val="000000"/>
        </w:rPr>
        <w:t>implications</w:t>
      </w:r>
      <w:r w:rsidRPr="000B05CC">
        <w:rPr>
          <w:rFonts w:ascii="Arial" w:hAnsi="Arial" w:cs="Arial"/>
          <w:color w:val="000000"/>
        </w:rPr>
        <w:t xml:space="preserve"> of t</w:t>
      </w:r>
      <w:r w:rsidR="00E4781A">
        <w:rPr>
          <w:rFonts w:ascii="Arial" w:hAnsi="Arial" w:cs="Arial"/>
          <w:color w:val="000000"/>
        </w:rPr>
        <w:t>he</w:t>
      </w:r>
      <w:r w:rsidR="00E4781A" w:rsidRPr="000B05CC">
        <w:rPr>
          <w:rFonts w:ascii="Arial" w:hAnsi="Arial" w:cs="Arial"/>
          <w:color w:val="000000"/>
        </w:rPr>
        <w:t xml:space="preserve"> aftershock of the 2007 </w:t>
      </w:r>
      <w:r w:rsidR="00E4781A" w:rsidRPr="000B05CC">
        <w:rPr>
          <w:rFonts w:ascii="Arial" w:hAnsi="Arial" w:cs="Arial"/>
          <w:color w:val="000000"/>
        </w:rPr>
        <w:t xml:space="preserve">financial </w:t>
      </w:r>
      <w:r w:rsidR="00E4781A">
        <w:rPr>
          <w:rFonts w:ascii="Arial" w:hAnsi="Arial" w:cs="Arial"/>
          <w:color w:val="000000"/>
        </w:rPr>
        <w:t xml:space="preserve">meltdown, </w:t>
      </w:r>
      <w:r w:rsidR="00E4781A" w:rsidRPr="000B05CC">
        <w:rPr>
          <w:rFonts w:ascii="Arial" w:hAnsi="Arial" w:cs="Arial"/>
          <w:color w:val="000000"/>
        </w:rPr>
        <w:t>BREXIT,</w:t>
      </w:r>
      <w:r w:rsidR="00E4781A">
        <w:rPr>
          <w:rFonts w:ascii="Arial" w:hAnsi="Arial" w:cs="Arial"/>
          <w:color w:val="000000"/>
        </w:rPr>
        <w:t xml:space="preserve"> and</w:t>
      </w:r>
      <w:r w:rsidRPr="000B05CC">
        <w:rPr>
          <w:rFonts w:ascii="Arial" w:hAnsi="Arial" w:cs="Arial"/>
          <w:color w:val="000000"/>
        </w:rPr>
        <w:t xml:space="preserve"> COVID-19</w:t>
      </w:r>
      <w:r w:rsidR="00E4781A">
        <w:rPr>
          <w:rFonts w:ascii="Arial" w:hAnsi="Arial" w:cs="Arial"/>
          <w:color w:val="000000"/>
        </w:rPr>
        <w:t xml:space="preserve"> </w:t>
      </w:r>
      <w:r w:rsidRPr="000B05CC">
        <w:rPr>
          <w:rFonts w:ascii="Arial" w:hAnsi="Arial" w:cs="Arial"/>
          <w:color w:val="000000"/>
        </w:rPr>
        <w:t>pandemic</w:t>
      </w:r>
      <w:r w:rsidR="00E4781A">
        <w:rPr>
          <w:rFonts w:ascii="Arial" w:hAnsi="Arial" w:cs="Arial"/>
          <w:color w:val="000000"/>
        </w:rPr>
        <w:t xml:space="preserve">, </w:t>
      </w:r>
      <w:r w:rsidRPr="000B05CC">
        <w:rPr>
          <w:rFonts w:ascii="Arial" w:hAnsi="Arial" w:cs="Arial"/>
          <w:color w:val="000000"/>
        </w:rPr>
        <w:t>emphasizing the transformative power of FinTech in these challenging times. This study is highly relevant in showcasing the United Kingdom's position as a financial technological powerhouse.</w:t>
      </w:r>
      <w:r w:rsidR="002B229E" w:rsidRPr="000B05CC">
        <w:rPr>
          <w:rFonts w:ascii="Arial" w:hAnsi="Arial" w:cs="Arial"/>
          <w:color w:val="000000"/>
        </w:rPr>
        <w:t xml:space="preserve"> </w:t>
      </w:r>
    </w:p>
    <w:p w14:paraId="257651CE" w14:textId="77777777" w:rsidR="00090AED" w:rsidRPr="000B05CC" w:rsidRDefault="00090AED" w:rsidP="002B229E">
      <w:pPr>
        <w:spacing w:after="0" w:line="360" w:lineRule="auto"/>
        <w:jc w:val="both"/>
        <w:rPr>
          <w:rFonts w:ascii="Arial" w:eastAsia="Times New Roman" w:hAnsi="Arial" w:cs="Arial"/>
          <w:kern w:val="0"/>
          <w:sz w:val="10"/>
          <w:szCs w:val="10"/>
          <w14:ligatures w14:val="none"/>
        </w:rPr>
      </w:pPr>
    </w:p>
    <w:p w14:paraId="698F41A6" w14:textId="563E0C9A" w:rsidR="002B229E" w:rsidRPr="000B05CC" w:rsidRDefault="002B229E" w:rsidP="002B229E">
      <w:pPr>
        <w:spacing w:after="0" w:line="360" w:lineRule="auto"/>
        <w:jc w:val="both"/>
        <w:rPr>
          <w:rFonts w:ascii="Arial" w:hAnsi="Arial" w:cs="Arial"/>
          <w:color w:val="000000"/>
        </w:rPr>
      </w:pPr>
      <w:r w:rsidRPr="000B05CC">
        <w:rPr>
          <w:rFonts w:ascii="Arial" w:eastAsia="Times New Roman" w:hAnsi="Arial" w:cs="Arial"/>
          <w:kern w:val="0"/>
          <w14:ligatures w14:val="none"/>
        </w:rPr>
        <w:t xml:space="preserve">The study is organized as follows: </w:t>
      </w:r>
      <w:r w:rsidR="00377CB1" w:rsidRPr="000B05CC">
        <w:rPr>
          <w:rFonts w:ascii="Arial" w:eastAsia="Times New Roman" w:hAnsi="Arial" w:cs="Arial"/>
          <w:kern w:val="0"/>
          <w14:ligatures w14:val="none"/>
        </w:rPr>
        <w:t xml:space="preserve">section 1 introduction, </w:t>
      </w:r>
      <w:r w:rsidRPr="000B05CC">
        <w:rPr>
          <w:rFonts w:ascii="Arial" w:eastAsia="Times New Roman" w:hAnsi="Arial" w:cs="Arial"/>
          <w:kern w:val="0"/>
          <w14:ligatures w14:val="none"/>
        </w:rPr>
        <w:t xml:space="preserve">section 2 </w:t>
      </w:r>
      <w:r w:rsidR="001779DC" w:rsidRPr="000B05CC">
        <w:rPr>
          <w:rFonts w:ascii="Arial" w:eastAsia="Times New Roman" w:hAnsi="Arial" w:cs="Arial"/>
          <w:kern w:val="0"/>
          <w14:ligatures w14:val="none"/>
        </w:rPr>
        <w:t xml:space="preserve">theoretical &amp; </w:t>
      </w:r>
      <w:r w:rsidRPr="000B05CC">
        <w:rPr>
          <w:rFonts w:ascii="Arial" w:eastAsia="Times New Roman" w:hAnsi="Arial" w:cs="Arial"/>
          <w:kern w:val="0"/>
          <w14:ligatures w14:val="none"/>
        </w:rPr>
        <w:t>empirical literature, section 3 focuses on methodology. Section 4 evaluates and addresses the findings, while Section 5 summarizes the study and makes some important policy recommendations.</w:t>
      </w:r>
    </w:p>
    <w:p w14:paraId="688C5F91" w14:textId="77777777" w:rsidR="002B229E" w:rsidRPr="000B05CC" w:rsidRDefault="002B229E" w:rsidP="002B229E">
      <w:pPr>
        <w:spacing w:after="0" w:line="360" w:lineRule="auto"/>
        <w:jc w:val="both"/>
        <w:rPr>
          <w:rFonts w:ascii="Arial" w:hAnsi="Arial" w:cs="Arial"/>
          <w:color w:val="000000"/>
          <w:sz w:val="10"/>
          <w:szCs w:val="10"/>
        </w:rPr>
      </w:pPr>
    </w:p>
    <w:p w14:paraId="485B5B98" w14:textId="77777777" w:rsidR="00090AED" w:rsidRPr="000B05CC" w:rsidRDefault="00F31370" w:rsidP="00090AED">
      <w:pPr>
        <w:spacing w:line="240" w:lineRule="auto"/>
        <w:jc w:val="both"/>
        <w:rPr>
          <w:rFonts w:ascii="Arial" w:hAnsi="Arial" w:cs="Arial"/>
          <w:b/>
          <w:bCs/>
        </w:rPr>
      </w:pPr>
      <w:r w:rsidRPr="000B05CC">
        <w:rPr>
          <w:rFonts w:ascii="Arial" w:hAnsi="Arial" w:cs="Arial"/>
          <w:b/>
          <w:bCs/>
        </w:rPr>
        <w:t xml:space="preserve">2.0 </w:t>
      </w:r>
      <w:r w:rsidR="001779DC" w:rsidRPr="000B05CC">
        <w:rPr>
          <w:rFonts w:ascii="Arial" w:hAnsi="Arial" w:cs="Arial"/>
          <w:b/>
          <w:bCs/>
        </w:rPr>
        <w:t xml:space="preserve">Theoretical &amp; </w:t>
      </w:r>
      <w:r w:rsidR="004A74CC" w:rsidRPr="000B05CC">
        <w:rPr>
          <w:rFonts w:ascii="Arial" w:hAnsi="Arial" w:cs="Arial"/>
          <w:b/>
          <w:bCs/>
        </w:rPr>
        <w:t>Empirical Literature</w:t>
      </w:r>
    </w:p>
    <w:p w14:paraId="0C43B54F" w14:textId="3F95A042" w:rsidR="001779DC" w:rsidRPr="000B05CC" w:rsidRDefault="001779DC" w:rsidP="001779DC">
      <w:pPr>
        <w:spacing w:line="360" w:lineRule="auto"/>
        <w:jc w:val="both"/>
        <w:rPr>
          <w:rFonts w:ascii="Arial" w:eastAsia="Times New Roman" w:hAnsi="Arial" w:cs="Arial"/>
          <w:kern w:val="0"/>
          <w14:ligatures w14:val="none"/>
        </w:rPr>
      </w:pPr>
      <w:r w:rsidRPr="000B05CC">
        <w:rPr>
          <w:rFonts w:ascii="Arial" w:hAnsi="Arial" w:cs="Arial"/>
          <w:color w:val="000000"/>
        </w:rPr>
        <w:t xml:space="preserve">Several empirical investigations highlight the significant effect of financial technology on fostering economic growth in both technologically advanced and emerging nations. </w:t>
      </w:r>
      <w:r w:rsidRPr="000B05CC">
        <w:rPr>
          <w:rFonts w:ascii="Arial" w:eastAsia="Times New Roman" w:hAnsi="Arial" w:cs="Arial"/>
          <w:color w:val="000000"/>
          <w:kern w:val="0"/>
          <w14:ligatures w14:val="none"/>
        </w:rPr>
        <w:t xml:space="preserve">However, it is essential to mention that much of this research </w:t>
      </w:r>
      <w:r w:rsidR="00B85ED0" w:rsidRPr="000B05CC">
        <w:rPr>
          <w:rFonts w:ascii="Arial" w:eastAsia="Times New Roman" w:hAnsi="Arial" w:cs="Arial"/>
          <w:color w:val="000000"/>
          <w:kern w:val="0"/>
          <w14:ligatures w14:val="none"/>
        </w:rPr>
        <w:t>yields conflicting and sometimes</w:t>
      </w:r>
      <w:r w:rsidRPr="000B05CC">
        <w:rPr>
          <w:rFonts w:ascii="Arial" w:eastAsia="Times New Roman" w:hAnsi="Arial" w:cs="Arial"/>
          <w:color w:val="000000"/>
          <w:kern w:val="0"/>
          <w14:ligatures w14:val="none"/>
        </w:rPr>
        <w:t xml:space="preserve"> contradictory findings (Ozturk and Ullah, 2022; </w:t>
      </w:r>
      <w:proofErr w:type="spellStart"/>
      <w:r w:rsidRPr="000B05CC">
        <w:rPr>
          <w:rFonts w:ascii="Arial" w:eastAsia="Times New Roman" w:hAnsi="Arial" w:cs="Arial"/>
          <w:color w:val="000000"/>
          <w:kern w:val="0"/>
          <w14:ligatures w14:val="none"/>
        </w:rPr>
        <w:t>Utami</w:t>
      </w:r>
      <w:proofErr w:type="spellEnd"/>
      <w:r w:rsidRPr="000B05CC">
        <w:rPr>
          <w:rFonts w:ascii="Arial" w:eastAsia="Times New Roman" w:hAnsi="Arial" w:cs="Arial"/>
          <w:color w:val="000000"/>
          <w:kern w:val="0"/>
          <w14:ligatures w14:val="none"/>
        </w:rPr>
        <w:t xml:space="preserve">, 2020). </w:t>
      </w:r>
      <w:r w:rsidRPr="000B05CC">
        <w:rPr>
          <w:rFonts w:ascii="Arial" w:eastAsia="Times New Roman" w:hAnsi="Arial" w:cs="Arial"/>
          <w:kern w:val="0"/>
          <w14:ligatures w14:val="none"/>
        </w:rPr>
        <w:t xml:space="preserve">The current literature on the link between financial development and technological innovation dates to Schumpeter's groundbreaking work in 1911. </w:t>
      </w:r>
      <w:r w:rsidRPr="000B05CC">
        <w:rPr>
          <w:rFonts w:ascii="Arial" w:eastAsia="Times New Roman" w:hAnsi="Arial" w:cs="Arial"/>
          <w:color w:val="000000"/>
          <w:kern w:val="0"/>
          <w14:ligatures w14:val="none"/>
        </w:rPr>
        <w:t xml:space="preserve">Schumpeter posited that financial development has the potential to enhance the savings rate and optimize resource allocation, thereby promoting technological innovation within enterprises and fostering economic growth. </w:t>
      </w:r>
      <w:r w:rsidR="00B85ED0" w:rsidRPr="000B05CC">
        <w:rPr>
          <w:rFonts w:ascii="Arial" w:hAnsi="Arial" w:cs="Arial"/>
          <w:color w:val="000000"/>
        </w:rPr>
        <w:t>Bai and Ding (1998) state that</w:t>
      </w:r>
      <w:r w:rsidRPr="000B05CC">
        <w:rPr>
          <w:rFonts w:ascii="Arial" w:hAnsi="Arial" w:cs="Arial"/>
          <w:color w:val="000000"/>
        </w:rPr>
        <w:t xml:space="preserve"> significant financial innovation </w:t>
      </w:r>
      <w:r w:rsidRPr="000B05CC">
        <w:rPr>
          <w:rFonts w:ascii="Arial" w:eastAsia="Times New Roman" w:hAnsi="Arial" w:cs="Arial"/>
          <w:kern w:val="0"/>
          <w14:ligatures w14:val="none"/>
        </w:rPr>
        <w:t xml:space="preserve">is vital for promoting economic success </w:t>
      </w:r>
      <w:r w:rsidRPr="000B05CC">
        <w:rPr>
          <w:rFonts w:ascii="Arial" w:hAnsi="Arial" w:cs="Arial"/>
          <w:color w:val="000000"/>
        </w:rPr>
        <w:t xml:space="preserve">and sustainable financial development. Similarly, </w:t>
      </w:r>
      <w:proofErr w:type="spellStart"/>
      <w:r w:rsidRPr="000B05CC">
        <w:rPr>
          <w:rFonts w:ascii="Arial" w:hAnsi="Arial" w:cs="Arial"/>
          <w:color w:val="000000"/>
        </w:rPr>
        <w:t>Fisman</w:t>
      </w:r>
      <w:proofErr w:type="spellEnd"/>
      <w:r w:rsidRPr="000B05CC">
        <w:rPr>
          <w:rFonts w:ascii="Arial" w:hAnsi="Arial" w:cs="Arial"/>
          <w:color w:val="000000"/>
        </w:rPr>
        <w:t xml:space="preserve"> </w:t>
      </w:r>
      <w:r w:rsidRPr="000B05CC">
        <w:rPr>
          <w:rFonts w:ascii="Arial" w:hAnsi="Arial" w:cs="Arial"/>
          <w:color w:val="000000"/>
        </w:rPr>
        <w:lastRenderedPageBreak/>
        <w:t xml:space="preserve">and Love (2007) observed </w:t>
      </w:r>
      <w:r w:rsidR="00E4781A">
        <w:rPr>
          <w:rFonts w:ascii="Arial" w:hAnsi="Arial" w:cs="Arial"/>
          <w:color w:val="000000"/>
        </w:rPr>
        <w:t>that e</w:t>
      </w:r>
      <w:r w:rsidRPr="000B05CC">
        <w:rPr>
          <w:rFonts w:ascii="Arial" w:eastAsia="Times New Roman" w:hAnsi="Arial" w:cs="Arial"/>
          <w:kern w:val="0"/>
          <w14:ligatures w14:val="none"/>
        </w:rPr>
        <w:t xml:space="preserve">conomies with more sophisticated financial systems </w:t>
      </w:r>
      <w:r w:rsidRPr="000B05CC">
        <w:rPr>
          <w:rFonts w:ascii="Arial" w:hAnsi="Arial" w:cs="Arial"/>
          <w:color w:val="000000"/>
        </w:rPr>
        <w:t xml:space="preserve">typically experience faster growth in industries that have substantial potential. Furthermore, </w:t>
      </w:r>
      <w:proofErr w:type="spellStart"/>
      <w:r w:rsidRPr="000B05CC">
        <w:rPr>
          <w:rFonts w:ascii="Arial" w:hAnsi="Arial" w:cs="Arial"/>
          <w:color w:val="000000"/>
        </w:rPr>
        <w:t>Laeven</w:t>
      </w:r>
      <w:proofErr w:type="spellEnd"/>
      <w:r w:rsidRPr="000B05CC">
        <w:rPr>
          <w:rFonts w:ascii="Arial" w:hAnsi="Arial" w:cs="Arial"/>
          <w:color w:val="000000"/>
        </w:rPr>
        <w:t xml:space="preserve">, Levine, and </w:t>
      </w:r>
      <w:proofErr w:type="spellStart"/>
      <w:r w:rsidRPr="000B05CC">
        <w:rPr>
          <w:rFonts w:ascii="Arial" w:hAnsi="Arial" w:cs="Arial"/>
          <w:color w:val="000000"/>
        </w:rPr>
        <w:t>Michalopoulos</w:t>
      </w:r>
      <w:proofErr w:type="spellEnd"/>
      <w:r w:rsidRPr="000B05CC">
        <w:rPr>
          <w:rFonts w:ascii="Arial" w:hAnsi="Arial" w:cs="Arial"/>
          <w:color w:val="000000"/>
        </w:rPr>
        <w:t xml:space="preserve"> (2015) argue that financial innovation and technology enhance economic growth by optimizing growth opportunities. In summary, these studies highlight the critical significance of financial technology in advancing the economy.</w:t>
      </w:r>
    </w:p>
    <w:p w14:paraId="3C6F531E" w14:textId="1C8F5824" w:rsidR="004A74CC" w:rsidRPr="000B05CC" w:rsidRDefault="001779DC" w:rsidP="001779DC">
      <w:pPr>
        <w:spacing w:line="360" w:lineRule="auto"/>
        <w:jc w:val="both"/>
        <w:rPr>
          <w:rFonts w:ascii="Arial" w:eastAsia="Times New Roman" w:hAnsi="Arial" w:cs="Arial"/>
          <w:kern w:val="0"/>
          <w14:ligatures w14:val="none"/>
        </w:rPr>
      </w:pPr>
      <w:r w:rsidRPr="000B05CC">
        <w:rPr>
          <w:rFonts w:ascii="Arial" w:hAnsi="Arial" w:cs="Arial"/>
          <w:color w:val="000000"/>
        </w:rPr>
        <w:t xml:space="preserve">A significant shift occurred as many scholars began to embrace the endogenous growth hypothesis, introduced by Romer (1986) and Lucas (1988), to explore the dynamic correlation between financial development and economic growth. This evolving conversation was significantly shaped by the foundational theories of neoclassical economic growth offered by Solow and Swan (1956), alongside the insights provided by </w:t>
      </w:r>
      <w:proofErr w:type="spellStart"/>
      <w:r w:rsidRPr="000B05CC">
        <w:rPr>
          <w:rFonts w:ascii="Arial" w:hAnsi="Arial" w:cs="Arial"/>
          <w:color w:val="000000"/>
        </w:rPr>
        <w:t>Dimand</w:t>
      </w:r>
      <w:proofErr w:type="spellEnd"/>
      <w:r w:rsidRPr="000B05CC">
        <w:rPr>
          <w:rFonts w:ascii="Arial" w:hAnsi="Arial" w:cs="Arial"/>
          <w:color w:val="000000"/>
        </w:rPr>
        <w:t xml:space="preserve"> (2009). </w:t>
      </w:r>
      <w:r w:rsidRPr="000B05CC">
        <w:rPr>
          <w:rFonts w:ascii="Arial" w:eastAsia="Times New Roman" w:hAnsi="Arial" w:cs="Arial"/>
          <w:kern w:val="0"/>
          <w14:ligatures w14:val="none"/>
        </w:rPr>
        <w:t>They believe that technological innovation is the primary force behind economic progress in addition to capital and labor. According to Solow (1956), efficiency improvements or technological breakthroughs were the only ways to achieve long-term, sustainable growth.</w:t>
      </w:r>
    </w:p>
    <w:p w14:paraId="4D21445E" w14:textId="77777777" w:rsidR="00782F72" w:rsidRPr="000B05CC" w:rsidRDefault="001779DC" w:rsidP="001779DC">
      <w:pPr>
        <w:spacing w:after="0" w:line="360" w:lineRule="auto"/>
        <w:jc w:val="both"/>
        <w:rPr>
          <w:rFonts w:ascii="Arial" w:eastAsia="Times New Roman" w:hAnsi="Arial" w:cs="Arial"/>
          <w:color w:val="000000"/>
          <w:kern w:val="0"/>
          <w14:ligatures w14:val="none"/>
        </w:rPr>
      </w:pPr>
      <w:proofErr w:type="spellStart"/>
      <w:r w:rsidRPr="000B05CC">
        <w:rPr>
          <w:rFonts w:ascii="Arial" w:eastAsia="Times New Roman" w:hAnsi="Arial" w:cs="Arial"/>
          <w:color w:val="000000"/>
          <w:kern w:val="0"/>
          <w14:ligatures w14:val="none"/>
        </w:rPr>
        <w:t>Ezie</w:t>
      </w:r>
      <w:proofErr w:type="spellEnd"/>
      <w:r w:rsidRPr="000B05CC">
        <w:rPr>
          <w:rFonts w:ascii="Arial" w:eastAsia="Times New Roman" w:hAnsi="Arial" w:cs="Arial"/>
          <w:color w:val="000000"/>
          <w:kern w:val="0"/>
          <w14:ligatures w14:val="none"/>
        </w:rPr>
        <w:t xml:space="preserve">, </w:t>
      </w:r>
      <w:proofErr w:type="spellStart"/>
      <w:r w:rsidRPr="000B05CC">
        <w:rPr>
          <w:rFonts w:ascii="Arial" w:eastAsia="Times New Roman" w:hAnsi="Arial" w:cs="Arial"/>
          <w:color w:val="000000"/>
          <w:kern w:val="0"/>
          <w14:ligatures w14:val="none"/>
        </w:rPr>
        <w:t>Oniore</w:t>
      </w:r>
      <w:proofErr w:type="spellEnd"/>
      <w:r w:rsidRPr="000B05CC">
        <w:rPr>
          <w:rFonts w:ascii="Arial" w:eastAsia="Times New Roman" w:hAnsi="Arial" w:cs="Arial"/>
          <w:color w:val="000000"/>
          <w:kern w:val="0"/>
          <w14:ligatures w14:val="none"/>
        </w:rPr>
        <w:t xml:space="preserve">, and </w:t>
      </w:r>
      <w:proofErr w:type="spellStart"/>
      <w:r w:rsidRPr="000B05CC">
        <w:rPr>
          <w:rFonts w:ascii="Arial" w:eastAsia="Times New Roman" w:hAnsi="Arial" w:cs="Arial"/>
          <w:color w:val="000000"/>
          <w:kern w:val="0"/>
          <w14:ligatures w14:val="none"/>
        </w:rPr>
        <w:t>Ajaegbu</w:t>
      </w:r>
      <w:proofErr w:type="spellEnd"/>
      <w:r w:rsidRPr="000B05CC">
        <w:rPr>
          <w:rFonts w:ascii="Arial" w:eastAsia="Times New Roman" w:hAnsi="Arial" w:cs="Arial"/>
          <w:color w:val="000000"/>
          <w:kern w:val="0"/>
          <w14:ligatures w14:val="none"/>
        </w:rPr>
        <w:t xml:space="preserve"> (2023) conducted a pivotal study on the interplay concerning financial technology and economic growth in Nigeria, examining data from 2012Q1 to 2022Q4. Utilizing a fully modified ordinary least squares (FMOL) methodology, their findings </w:t>
      </w:r>
      <w:r w:rsidRPr="000B05CC">
        <w:rPr>
          <w:rFonts w:ascii="Arial" w:eastAsia="Times New Roman" w:hAnsi="Arial" w:cs="Arial"/>
          <w:color w:val="000000"/>
          <w:kern w:val="0"/>
          <w14:ligatures w14:val="none"/>
        </w:rPr>
        <w:t xml:space="preserve">provide compelling evidence that both web-based and mobile payment transactions significantly bolster economic growth. In stark contrast, instant pay transactions were found to hinder growth, underscoring the urgent need for stricter regulatory oversight to protect the economy. </w:t>
      </w:r>
    </w:p>
    <w:p w14:paraId="4ED6266D" w14:textId="77777777" w:rsidR="00782F72" w:rsidRPr="000B05CC" w:rsidRDefault="00782F72" w:rsidP="001779DC">
      <w:pPr>
        <w:spacing w:after="0" w:line="360" w:lineRule="auto"/>
        <w:jc w:val="both"/>
        <w:rPr>
          <w:rFonts w:ascii="Arial" w:eastAsia="Times New Roman" w:hAnsi="Arial" w:cs="Arial"/>
          <w:color w:val="000000"/>
          <w:kern w:val="0"/>
          <w:sz w:val="10"/>
          <w:szCs w:val="10"/>
          <w14:ligatures w14:val="none"/>
        </w:rPr>
      </w:pPr>
    </w:p>
    <w:p w14:paraId="2DC232EF" w14:textId="77777777" w:rsidR="00782F72" w:rsidRPr="000B05CC" w:rsidRDefault="001779DC" w:rsidP="001779DC">
      <w:pPr>
        <w:spacing w:after="0" w:line="360" w:lineRule="auto"/>
        <w:jc w:val="both"/>
        <w:rPr>
          <w:rFonts w:ascii="Arial" w:eastAsia="Times New Roman" w:hAnsi="Arial" w:cs="Arial"/>
          <w:color w:val="000000"/>
          <w:kern w:val="0"/>
          <w14:ligatures w14:val="none"/>
        </w:rPr>
      </w:pPr>
      <w:proofErr w:type="spellStart"/>
      <w:r w:rsidRPr="000B05CC">
        <w:rPr>
          <w:rFonts w:ascii="Arial" w:eastAsia="Times New Roman" w:hAnsi="Arial" w:cs="Arial"/>
          <w:color w:val="000000"/>
          <w:kern w:val="0"/>
          <w14:ligatures w14:val="none"/>
        </w:rPr>
        <w:t>Utami</w:t>
      </w:r>
      <w:proofErr w:type="spellEnd"/>
      <w:r w:rsidRPr="000B05CC">
        <w:rPr>
          <w:rFonts w:ascii="Arial" w:eastAsia="Times New Roman" w:hAnsi="Arial" w:cs="Arial"/>
          <w:color w:val="000000"/>
          <w:kern w:val="0"/>
          <w14:ligatures w14:val="none"/>
        </w:rPr>
        <w:t xml:space="preserve"> (2022) analyzed the impact of Financial Technology (Fintech) on Indonesia’s economy during the new normal era. Through a rigorous quantitative approach, tapping into monthly Fintech statistical statements from 2020 - 2022, the study revealed that Fintech plays an essential role in driving Indonesia's economic growth. These insights collectively highlight the critical importance of embracing financial technology while ensuring appropriate regulations are in place. </w:t>
      </w:r>
    </w:p>
    <w:p w14:paraId="4C48B3E6" w14:textId="77777777" w:rsidR="00782F72" w:rsidRPr="000B05CC" w:rsidRDefault="00782F72" w:rsidP="001779DC">
      <w:pPr>
        <w:spacing w:after="0" w:line="360" w:lineRule="auto"/>
        <w:jc w:val="both"/>
        <w:rPr>
          <w:rFonts w:ascii="Arial" w:eastAsia="Times New Roman" w:hAnsi="Arial" w:cs="Arial"/>
          <w:color w:val="000000"/>
          <w:kern w:val="0"/>
          <w:sz w:val="10"/>
          <w:szCs w:val="10"/>
          <w14:ligatures w14:val="none"/>
        </w:rPr>
      </w:pPr>
    </w:p>
    <w:p w14:paraId="39046F79" w14:textId="0E28BF89" w:rsidR="00782F72" w:rsidRPr="000B05CC" w:rsidRDefault="001779DC" w:rsidP="001779DC">
      <w:pPr>
        <w:spacing w:after="0" w:line="360" w:lineRule="auto"/>
        <w:jc w:val="both"/>
        <w:rPr>
          <w:rFonts w:ascii="Arial" w:eastAsia="Times New Roman" w:hAnsi="Arial" w:cs="Arial"/>
          <w:kern w:val="0"/>
          <w14:ligatures w14:val="none"/>
        </w:rPr>
        <w:sectPr w:rsidR="00782F72" w:rsidRPr="000B05CC" w:rsidSect="00782F72">
          <w:type w:val="continuous"/>
          <w:pgSz w:w="11906" w:h="16838" w:code="9"/>
          <w:pgMar w:top="1440" w:right="1440" w:bottom="1440" w:left="1440" w:header="720" w:footer="720" w:gutter="0"/>
          <w:cols w:num="2" w:space="720"/>
          <w:docGrid w:linePitch="360"/>
        </w:sectPr>
      </w:pPr>
      <w:r w:rsidRPr="000B05CC">
        <w:rPr>
          <w:rFonts w:ascii="Arial" w:eastAsia="Times New Roman" w:hAnsi="Arial" w:cs="Arial"/>
          <w:kern w:val="0"/>
          <w14:ligatures w14:val="none"/>
        </w:rPr>
        <w:t xml:space="preserve">Other empirical research revealed that financial technology positively promotes economic growth across countries (Ozturk and Ullah, 2022; Gomes, Lopes, and Ferreira 2022; Zhong and Danish, 2019; Jorgenson and Vu, 2016; Jiang, Wang, Ren, and </w:t>
      </w:r>
      <w:proofErr w:type="spellStart"/>
      <w:r w:rsidRPr="000B05CC">
        <w:rPr>
          <w:rFonts w:ascii="Arial" w:eastAsia="Times New Roman" w:hAnsi="Arial" w:cs="Arial"/>
          <w:kern w:val="0"/>
          <w14:ligatures w14:val="none"/>
        </w:rPr>
        <w:t>Xie</w:t>
      </w:r>
      <w:proofErr w:type="spellEnd"/>
      <w:r w:rsidRPr="000B05CC">
        <w:rPr>
          <w:rFonts w:ascii="Arial" w:eastAsia="Times New Roman" w:hAnsi="Arial" w:cs="Arial"/>
          <w:kern w:val="0"/>
          <w14:ligatures w14:val="none"/>
        </w:rPr>
        <w:t xml:space="preserve">, 2021). On the other hand, </w:t>
      </w:r>
      <w:proofErr w:type="spellStart"/>
      <w:r w:rsidRPr="000B05CC">
        <w:rPr>
          <w:rFonts w:ascii="Arial" w:eastAsia="Times New Roman" w:hAnsi="Arial" w:cs="Arial"/>
          <w:kern w:val="0"/>
          <w14:ligatures w14:val="none"/>
        </w:rPr>
        <w:t>Agba</w:t>
      </w:r>
      <w:proofErr w:type="spellEnd"/>
      <w:r w:rsidRPr="000B05CC">
        <w:rPr>
          <w:rFonts w:ascii="Arial" w:eastAsia="Times New Roman" w:hAnsi="Arial" w:cs="Arial"/>
          <w:kern w:val="0"/>
          <w14:ligatures w14:val="none"/>
        </w:rPr>
        <w:t xml:space="preserve">, </w:t>
      </w:r>
      <w:proofErr w:type="spellStart"/>
      <w:r w:rsidRPr="000B05CC">
        <w:rPr>
          <w:rFonts w:ascii="Arial" w:eastAsia="Times New Roman" w:hAnsi="Arial" w:cs="Arial"/>
          <w:kern w:val="0"/>
          <w14:ligatures w14:val="none"/>
        </w:rPr>
        <w:t>Tunio</w:t>
      </w:r>
      <w:proofErr w:type="spellEnd"/>
      <w:r w:rsidRPr="000B05CC">
        <w:rPr>
          <w:rFonts w:ascii="Arial" w:eastAsia="Times New Roman" w:hAnsi="Arial" w:cs="Arial"/>
          <w:kern w:val="0"/>
          <w14:ligatures w14:val="none"/>
        </w:rPr>
        <w:t xml:space="preserve">, Shah, and Zia (2022) empirically investigated how trade, financial development, and information and communication technology affected economic growth in N11 nations from 2000-2018. It is evident from the PMG estimator for a dynamic panel (ARDL) model that the proliferation of ICT </w:t>
      </w:r>
      <w:r w:rsidRPr="000B05CC">
        <w:rPr>
          <w:rFonts w:ascii="Arial" w:eastAsia="Times New Roman" w:hAnsi="Arial" w:cs="Arial"/>
          <w:kern w:val="0"/>
          <w14:ligatures w14:val="none"/>
        </w:rPr>
        <w:lastRenderedPageBreak/>
        <w:t xml:space="preserve">significantly hinders economic growth. </w:t>
      </w:r>
      <w:proofErr w:type="spellStart"/>
      <w:r w:rsidRPr="000B05CC">
        <w:rPr>
          <w:rFonts w:ascii="Arial" w:eastAsia="Times New Roman" w:hAnsi="Arial" w:cs="Arial"/>
          <w:kern w:val="0"/>
          <w14:ligatures w14:val="none"/>
        </w:rPr>
        <w:t>Rossignoli</w:t>
      </w:r>
      <w:proofErr w:type="spellEnd"/>
      <w:r w:rsidRPr="000B05CC">
        <w:rPr>
          <w:rFonts w:ascii="Arial" w:eastAsia="Times New Roman" w:hAnsi="Arial" w:cs="Arial"/>
          <w:kern w:val="0"/>
          <w14:ligatures w14:val="none"/>
        </w:rPr>
        <w:t xml:space="preserve"> and </w:t>
      </w:r>
      <w:proofErr w:type="spellStart"/>
      <w:r w:rsidRPr="000B05CC">
        <w:rPr>
          <w:rFonts w:ascii="Arial" w:eastAsia="Times New Roman" w:hAnsi="Arial" w:cs="Arial"/>
          <w:kern w:val="0"/>
          <w14:ligatures w14:val="none"/>
        </w:rPr>
        <w:t>Arnaboldi</w:t>
      </w:r>
      <w:proofErr w:type="spellEnd"/>
      <w:r w:rsidRPr="000B05CC">
        <w:rPr>
          <w:rFonts w:ascii="Arial" w:eastAsia="Times New Roman" w:hAnsi="Arial" w:cs="Arial"/>
          <w:kern w:val="0"/>
          <w14:ligatures w14:val="none"/>
        </w:rPr>
        <w:t xml:space="preserve"> (2009) used empirical and theoretical data from the UK and Italy to investigate financial innovation. </w:t>
      </w:r>
      <w:r w:rsidRPr="000B05CC">
        <w:rPr>
          <w:rFonts w:ascii="Arial" w:eastAsia="Times New Roman" w:hAnsi="Arial" w:cs="Arial"/>
          <w:kern w:val="0"/>
          <w14:ligatures w14:val="none"/>
        </w:rPr>
        <w:t>applying a rating system. According to the facts, innovation, and cost-cutting in Italy don't seem to be related.</w:t>
      </w:r>
    </w:p>
    <w:p w14:paraId="22F1756E" w14:textId="77777777" w:rsidR="000B05CC" w:rsidRPr="000B05CC" w:rsidRDefault="000B05CC" w:rsidP="00762E7B">
      <w:pPr>
        <w:jc w:val="both"/>
        <w:rPr>
          <w:rFonts w:ascii="Arial" w:hAnsi="Arial" w:cs="Arial"/>
          <w:b/>
          <w:bCs/>
          <w:sz w:val="10"/>
          <w:szCs w:val="10"/>
        </w:rPr>
      </w:pPr>
    </w:p>
    <w:p w14:paraId="2E6B6511" w14:textId="51116235" w:rsidR="00762E7B" w:rsidRPr="000B05CC" w:rsidRDefault="004A74CC" w:rsidP="00762E7B">
      <w:pPr>
        <w:jc w:val="both"/>
        <w:rPr>
          <w:rFonts w:ascii="Arial" w:hAnsi="Arial" w:cs="Arial"/>
          <w:b/>
          <w:bCs/>
        </w:rPr>
      </w:pPr>
      <w:r w:rsidRPr="000B05CC">
        <w:rPr>
          <w:rFonts w:ascii="Arial" w:hAnsi="Arial" w:cs="Arial"/>
          <w:b/>
          <w:bCs/>
        </w:rPr>
        <w:t>2.1 Review Summary of Related Study</w:t>
      </w:r>
      <w:bookmarkStart w:id="1" w:name="_Hlk185592348"/>
    </w:p>
    <w:tbl>
      <w:tblPr>
        <w:tblStyle w:val="PlainTable2"/>
        <w:tblW w:w="9742" w:type="dxa"/>
        <w:tblLook w:val="04A0" w:firstRow="1" w:lastRow="0" w:firstColumn="1" w:lastColumn="0" w:noHBand="0" w:noVBand="1"/>
      </w:tblPr>
      <w:tblGrid>
        <w:gridCol w:w="1655"/>
        <w:gridCol w:w="2884"/>
        <w:gridCol w:w="1219"/>
        <w:gridCol w:w="1585"/>
        <w:gridCol w:w="2399"/>
      </w:tblGrid>
      <w:tr w:rsidR="00762E7B" w:rsidRPr="000B05CC" w14:paraId="12AF372D" w14:textId="77777777" w:rsidTr="007C538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62" w:type="dxa"/>
          </w:tcPr>
          <w:bookmarkEnd w:id="1"/>
          <w:p w14:paraId="69110B8C" w14:textId="77777777" w:rsidR="00762E7B" w:rsidRPr="000B05CC" w:rsidRDefault="00762E7B" w:rsidP="00E06824">
            <w:pPr>
              <w:rPr>
                <w:rFonts w:ascii="Arial" w:hAnsi="Arial" w:cs="Arial"/>
                <w:b w:val="0"/>
                <w:bCs w:val="0"/>
              </w:rPr>
            </w:pPr>
            <w:r w:rsidRPr="000B05CC">
              <w:rPr>
                <w:rFonts w:ascii="Arial" w:hAnsi="Arial" w:cs="Arial"/>
              </w:rPr>
              <w:t>Authors Name</w:t>
            </w:r>
          </w:p>
        </w:tc>
        <w:tc>
          <w:tcPr>
            <w:tcW w:w="2958" w:type="dxa"/>
          </w:tcPr>
          <w:p w14:paraId="4DF4F9E9" w14:textId="77777777" w:rsidR="00762E7B" w:rsidRPr="000B05CC" w:rsidRDefault="00762E7B" w:rsidP="00E0682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B05CC">
              <w:rPr>
                <w:rFonts w:ascii="Arial" w:hAnsi="Arial" w:cs="Arial"/>
              </w:rPr>
              <w:t>Topic/Period</w:t>
            </w:r>
          </w:p>
        </w:tc>
        <w:tc>
          <w:tcPr>
            <w:tcW w:w="1109" w:type="dxa"/>
          </w:tcPr>
          <w:p w14:paraId="4A2449BE" w14:textId="77777777" w:rsidR="00762E7B" w:rsidRPr="000B05CC" w:rsidRDefault="00762E7B" w:rsidP="00A5211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Country</w:t>
            </w:r>
          </w:p>
        </w:tc>
        <w:tc>
          <w:tcPr>
            <w:tcW w:w="1564" w:type="dxa"/>
          </w:tcPr>
          <w:p w14:paraId="6D2DDFA7" w14:textId="77777777" w:rsidR="00762E7B" w:rsidRPr="000B05CC" w:rsidRDefault="00762E7B" w:rsidP="00E0682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B05CC">
              <w:rPr>
                <w:rFonts w:ascii="Arial" w:hAnsi="Arial" w:cs="Arial"/>
              </w:rPr>
              <w:t>Methodology</w:t>
            </w:r>
          </w:p>
        </w:tc>
        <w:tc>
          <w:tcPr>
            <w:tcW w:w="2449" w:type="dxa"/>
          </w:tcPr>
          <w:p w14:paraId="13E9FD83" w14:textId="77777777" w:rsidR="00762E7B" w:rsidRPr="000B05CC" w:rsidRDefault="00762E7B" w:rsidP="00E0682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B05CC">
              <w:rPr>
                <w:rFonts w:ascii="Arial" w:hAnsi="Arial" w:cs="Arial"/>
              </w:rPr>
              <w:t>Findings</w:t>
            </w:r>
          </w:p>
        </w:tc>
      </w:tr>
      <w:tr w:rsidR="00762E7B" w:rsidRPr="000B05CC" w14:paraId="78073F3C" w14:textId="77777777" w:rsidTr="007C5388">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1662" w:type="dxa"/>
          </w:tcPr>
          <w:p w14:paraId="66E46FBE" w14:textId="77777777" w:rsidR="00762E7B" w:rsidRPr="000B05CC" w:rsidRDefault="00762E7B" w:rsidP="00E06824">
            <w:pPr>
              <w:rPr>
                <w:rFonts w:ascii="Arial" w:hAnsi="Arial" w:cs="Arial"/>
              </w:rPr>
            </w:pPr>
            <w:r w:rsidRPr="000B05CC">
              <w:rPr>
                <w:rFonts w:ascii="Arial" w:hAnsi="Arial" w:cs="Arial"/>
              </w:rPr>
              <w:t>Gomes, Lopes, and Ferreira (2022)</w:t>
            </w:r>
          </w:p>
          <w:p w14:paraId="649FC747" w14:textId="77777777" w:rsidR="00762E7B" w:rsidRPr="000B05CC" w:rsidRDefault="00762E7B" w:rsidP="00E06824">
            <w:pPr>
              <w:rPr>
                <w:rFonts w:ascii="Arial" w:hAnsi="Arial" w:cs="Arial"/>
                <w:b w:val="0"/>
                <w:bCs w:val="0"/>
              </w:rPr>
            </w:pPr>
          </w:p>
          <w:p w14:paraId="60ACE747" w14:textId="77777777" w:rsidR="00762E7B" w:rsidRPr="000B05CC" w:rsidRDefault="00762E7B" w:rsidP="00E06824">
            <w:pPr>
              <w:rPr>
                <w:rFonts w:ascii="Arial" w:hAnsi="Arial" w:cs="Arial"/>
              </w:rPr>
            </w:pPr>
          </w:p>
        </w:tc>
        <w:tc>
          <w:tcPr>
            <w:tcW w:w="2958" w:type="dxa"/>
          </w:tcPr>
          <w:p w14:paraId="64316BA1"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Impact of digital economy on economic growth in OECD countries (2000-2019)</w:t>
            </w:r>
          </w:p>
        </w:tc>
        <w:tc>
          <w:tcPr>
            <w:tcW w:w="1109" w:type="dxa"/>
          </w:tcPr>
          <w:p w14:paraId="56FADB59"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OECD Countries</w:t>
            </w:r>
          </w:p>
        </w:tc>
        <w:tc>
          <w:tcPr>
            <w:tcW w:w="1564" w:type="dxa"/>
          </w:tcPr>
          <w:p w14:paraId="3E555EE0" w14:textId="69165468"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Correlation Analysis and GMM using a fixed cross-section.</w:t>
            </w:r>
          </w:p>
        </w:tc>
        <w:tc>
          <w:tcPr>
            <w:tcW w:w="2449" w:type="dxa"/>
          </w:tcPr>
          <w:p w14:paraId="6C258FB7"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ICT positively influences the GDP of OECD Countries</w:t>
            </w:r>
          </w:p>
        </w:tc>
      </w:tr>
      <w:tr w:rsidR="00762E7B" w:rsidRPr="000B05CC" w14:paraId="4DF2A9FD" w14:textId="77777777" w:rsidTr="007C5388">
        <w:trPr>
          <w:trHeight w:val="1322"/>
        </w:trPr>
        <w:tc>
          <w:tcPr>
            <w:cnfStyle w:val="001000000000" w:firstRow="0" w:lastRow="0" w:firstColumn="1" w:lastColumn="0" w:oddVBand="0" w:evenVBand="0" w:oddHBand="0" w:evenHBand="0" w:firstRowFirstColumn="0" w:firstRowLastColumn="0" w:lastRowFirstColumn="0" w:lastRowLastColumn="0"/>
            <w:tcW w:w="1662" w:type="dxa"/>
          </w:tcPr>
          <w:p w14:paraId="7456E4F7" w14:textId="77777777" w:rsidR="00762E7B" w:rsidRPr="000B05CC" w:rsidRDefault="00762E7B" w:rsidP="00E06824">
            <w:pPr>
              <w:rPr>
                <w:rFonts w:ascii="Arial" w:hAnsi="Arial" w:cs="Arial"/>
              </w:rPr>
            </w:pPr>
            <w:r w:rsidRPr="000B05CC">
              <w:rPr>
                <w:rFonts w:ascii="Arial" w:hAnsi="Arial" w:cs="Arial"/>
              </w:rPr>
              <w:t xml:space="preserve">Ngong, Thaddeus, and </w:t>
            </w:r>
            <w:proofErr w:type="spellStart"/>
            <w:r w:rsidRPr="000B05CC">
              <w:rPr>
                <w:rFonts w:ascii="Arial" w:hAnsi="Arial" w:cs="Arial"/>
              </w:rPr>
              <w:t>Onwumere</w:t>
            </w:r>
            <w:proofErr w:type="spellEnd"/>
            <w:r w:rsidRPr="000B05CC">
              <w:rPr>
                <w:rFonts w:ascii="Arial" w:hAnsi="Arial" w:cs="Arial"/>
              </w:rPr>
              <w:t xml:space="preserve"> (2024)</w:t>
            </w:r>
          </w:p>
        </w:tc>
        <w:tc>
          <w:tcPr>
            <w:tcW w:w="2958" w:type="dxa"/>
          </w:tcPr>
          <w:p w14:paraId="449ADD8D"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Financial Technology and Economic Growth Nexus in the East African Community States (1997-2019)</w:t>
            </w:r>
          </w:p>
        </w:tc>
        <w:tc>
          <w:tcPr>
            <w:tcW w:w="1109" w:type="dxa"/>
          </w:tcPr>
          <w:p w14:paraId="043253F3"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EACS Countries</w:t>
            </w:r>
          </w:p>
        </w:tc>
        <w:tc>
          <w:tcPr>
            <w:tcW w:w="1564" w:type="dxa"/>
          </w:tcPr>
          <w:p w14:paraId="19CB5012"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ARDL Method</w:t>
            </w:r>
          </w:p>
        </w:tc>
        <w:tc>
          <w:tcPr>
            <w:tcW w:w="2449" w:type="dxa"/>
          </w:tcPr>
          <w:p w14:paraId="44B77AE6" w14:textId="4768C6CD"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results showed a significant relationship between financial technology and economic growth.</w:t>
            </w:r>
          </w:p>
        </w:tc>
      </w:tr>
      <w:tr w:rsidR="00762E7B" w:rsidRPr="000B05CC" w14:paraId="445AC263" w14:textId="77777777" w:rsidTr="007C5388">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1662" w:type="dxa"/>
          </w:tcPr>
          <w:p w14:paraId="71701FFB" w14:textId="77777777" w:rsidR="00762E7B" w:rsidRPr="000B05CC" w:rsidRDefault="00762E7B" w:rsidP="00E06824">
            <w:pPr>
              <w:rPr>
                <w:rFonts w:ascii="Arial" w:hAnsi="Arial" w:cs="Arial"/>
              </w:rPr>
            </w:pPr>
            <w:r w:rsidRPr="000B05CC">
              <w:rPr>
                <w:rFonts w:ascii="Arial" w:hAnsi="Arial" w:cs="Arial"/>
              </w:rPr>
              <w:t>Jorgenson and Vu (2016)</w:t>
            </w:r>
          </w:p>
        </w:tc>
        <w:tc>
          <w:tcPr>
            <w:tcW w:w="2958" w:type="dxa"/>
          </w:tcPr>
          <w:p w14:paraId="7587CE8D"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Impact of digital technology usage on economic growth in Africa</w:t>
            </w:r>
          </w:p>
        </w:tc>
        <w:tc>
          <w:tcPr>
            <w:tcW w:w="1109" w:type="dxa"/>
          </w:tcPr>
          <w:p w14:paraId="760BE67D"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African Countries</w:t>
            </w:r>
          </w:p>
        </w:tc>
        <w:tc>
          <w:tcPr>
            <w:tcW w:w="1564" w:type="dxa"/>
          </w:tcPr>
          <w:p w14:paraId="41963F9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GMM</w:t>
            </w:r>
          </w:p>
        </w:tc>
        <w:tc>
          <w:tcPr>
            <w:tcW w:w="2449" w:type="dxa"/>
          </w:tcPr>
          <w:p w14:paraId="0D77B4AB" w14:textId="68EEBC50"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Positive relationships exist between digital technology and economic growth.</w:t>
            </w:r>
          </w:p>
        </w:tc>
      </w:tr>
      <w:tr w:rsidR="00762E7B" w:rsidRPr="000B05CC" w14:paraId="7A5AB8E1" w14:textId="77777777" w:rsidTr="007C5388">
        <w:trPr>
          <w:trHeight w:val="1115"/>
        </w:trPr>
        <w:tc>
          <w:tcPr>
            <w:cnfStyle w:val="001000000000" w:firstRow="0" w:lastRow="0" w:firstColumn="1" w:lastColumn="0" w:oddVBand="0" w:evenVBand="0" w:oddHBand="0" w:evenHBand="0" w:firstRowFirstColumn="0" w:firstRowLastColumn="0" w:lastRowFirstColumn="0" w:lastRowLastColumn="0"/>
            <w:tcW w:w="1662" w:type="dxa"/>
          </w:tcPr>
          <w:p w14:paraId="68E027A1" w14:textId="77777777" w:rsidR="00762E7B" w:rsidRPr="000B05CC" w:rsidRDefault="00762E7B" w:rsidP="00E06824">
            <w:pPr>
              <w:rPr>
                <w:rFonts w:ascii="Arial" w:hAnsi="Arial" w:cs="Arial"/>
              </w:rPr>
            </w:pPr>
            <w:proofErr w:type="spellStart"/>
            <w:r w:rsidRPr="000B05CC">
              <w:rPr>
                <w:rFonts w:ascii="Arial" w:hAnsi="Arial" w:cs="Arial"/>
              </w:rPr>
              <w:t>Mugableh</w:t>
            </w:r>
            <w:proofErr w:type="spellEnd"/>
            <w:r w:rsidRPr="000B05CC">
              <w:rPr>
                <w:rFonts w:ascii="Arial" w:hAnsi="Arial" w:cs="Arial"/>
              </w:rPr>
              <w:t xml:space="preserve"> and </w:t>
            </w:r>
            <w:proofErr w:type="spellStart"/>
            <w:r w:rsidRPr="000B05CC">
              <w:rPr>
                <w:rFonts w:ascii="Arial" w:hAnsi="Arial" w:cs="Arial"/>
              </w:rPr>
              <w:t>Hammouri</w:t>
            </w:r>
            <w:proofErr w:type="spellEnd"/>
            <w:r w:rsidRPr="000B05CC">
              <w:rPr>
                <w:rFonts w:ascii="Arial" w:hAnsi="Arial" w:cs="Arial"/>
              </w:rPr>
              <w:t xml:space="preserve"> (2022)</w:t>
            </w:r>
          </w:p>
        </w:tc>
        <w:tc>
          <w:tcPr>
            <w:tcW w:w="2958" w:type="dxa"/>
          </w:tcPr>
          <w:p w14:paraId="7A5D3941"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 xml:space="preserve">Exploring the impact of financial technology on economic growth in Jordan (1990-2021) </w:t>
            </w:r>
          </w:p>
        </w:tc>
        <w:tc>
          <w:tcPr>
            <w:tcW w:w="1109" w:type="dxa"/>
          </w:tcPr>
          <w:p w14:paraId="656A76C9"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Jordan</w:t>
            </w:r>
          </w:p>
        </w:tc>
        <w:tc>
          <w:tcPr>
            <w:tcW w:w="1564" w:type="dxa"/>
          </w:tcPr>
          <w:p w14:paraId="405BE6BE"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ARDL/VECM</w:t>
            </w:r>
          </w:p>
        </w:tc>
        <w:tc>
          <w:tcPr>
            <w:tcW w:w="2449" w:type="dxa"/>
          </w:tcPr>
          <w:p w14:paraId="18045C6E" w14:textId="71085D43"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 positive impact exists between financial technology and Economic Growth.</w:t>
            </w:r>
          </w:p>
        </w:tc>
      </w:tr>
      <w:tr w:rsidR="00762E7B" w:rsidRPr="000B05CC" w14:paraId="7313A12B" w14:textId="77777777" w:rsidTr="007C5388">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662" w:type="dxa"/>
          </w:tcPr>
          <w:p w14:paraId="0573968A" w14:textId="77777777" w:rsidR="00762E7B" w:rsidRPr="000B05CC" w:rsidRDefault="00762E7B" w:rsidP="00E06824">
            <w:pPr>
              <w:rPr>
                <w:rFonts w:ascii="Arial" w:hAnsi="Arial" w:cs="Arial"/>
              </w:rPr>
            </w:pPr>
            <w:proofErr w:type="spellStart"/>
            <w:r w:rsidRPr="000B05CC">
              <w:rPr>
                <w:rFonts w:ascii="Arial" w:hAnsi="Arial" w:cs="Arial"/>
              </w:rPr>
              <w:t>Ahassan</w:t>
            </w:r>
            <w:proofErr w:type="spellEnd"/>
            <w:r w:rsidRPr="000B05CC">
              <w:rPr>
                <w:rFonts w:ascii="Arial" w:hAnsi="Arial" w:cs="Arial"/>
              </w:rPr>
              <w:t xml:space="preserve">, </w:t>
            </w:r>
            <w:proofErr w:type="spellStart"/>
            <w:r w:rsidRPr="000B05CC">
              <w:rPr>
                <w:rFonts w:ascii="Arial" w:hAnsi="Arial" w:cs="Arial"/>
              </w:rPr>
              <w:t>Blokhina</w:t>
            </w:r>
            <w:proofErr w:type="spellEnd"/>
            <w:r w:rsidRPr="000B05CC">
              <w:rPr>
                <w:rFonts w:ascii="Arial" w:hAnsi="Arial" w:cs="Arial"/>
              </w:rPr>
              <w:t xml:space="preserve"> and </w:t>
            </w:r>
            <w:proofErr w:type="spellStart"/>
            <w:r w:rsidRPr="000B05CC">
              <w:rPr>
                <w:rFonts w:ascii="Arial" w:hAnsi="Arial" w:cs="Arial"/>
              </w:rPr>
              <w:t>Kouadio</w:t>
            </w:r>
            <w:proofErr w:type="spellEnd"/>
            <w:r w:rsidRPr="000B05CC">
              <w:rPr>
                <w:rFonts w:ascii="Arial" w:hAnsi="Arial" w:cs="Arial"/>
              </w:rPr>
              <w:t xml:space="preserve"> (2021)</w:t>
            </w:r>
          </w:p>
        </w:tc>
        <w:tc>
          <w:tcPr>
            <w:tcW w:w="2958" w:type="dxa"/>
          </w:tcPr>
          <w:p w14:paraId="3E62D6EB" w14:textId="77777777" w:rsidR="00762E7B" w:rsidRPr="000B05CC" w:rsidRDefault="00762E7B" w:rsidP="00E068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0B05CC">
              <w:rPr>
                <w:rFonts w:ascii="Arial" w:hAnsi="Arial" w:cs="Arial"/>
                <w:kern w:val="0"/>
              </w:rPr>
              <w:t>Financial innovation: The impact of mobile money on innovative economic growth (1980-2018)</w:t>
            </w:r>
          </w:p>
          <w:p w14:paraId="70DBC458"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09" w:type="dxa"/>
          </w:tcPr>
          <w:p w14:paraId="3A084F0B"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SSA Countries</w:t>
            </w:r>
          </w:p>
        </w:tc>
        <w:tc>
          <w:tcPr>
            <w:tcW w:w="1564" w:type="dxa"/>
          </w:tcPr>
          <w:p w14:paraId="6BCD223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Partial least square (PLS) regression</w:t>
            </w:r>
          </w:p>
        </w:tc>
        <w:tc>
          <w:tcPr>
            <w:tcW w:w="2449" w:type="dxa"/>
          </w:tcPr>
          <w:p w14:paraId="37A5EA20"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Positive relationship between financial innovation and economic growth.</w:t>
            </w:r>
          </w:p>
        </w:tc>
      </w:tr>
      <w:tr w:rsidR="00762E7B" w:rsidRPr="000B05CC" w14:paraId="03ABB535" w14:textId="77777777" w:rsidTr="007C5388">
        <w:trPr>
          <w:trHeight w:val="1277"/>
        </w:trPr>
        <w:tc>
          <w:tcPr>
            <w:cnfStyle w:val="001000000000" w:firstRow="0" w:lastRow="0" w:firstColumn="1" w:lastColumn="0" w:oddVBand="0" w:evenVBand="0" w:oddHBand="0" w:evenHBand="0" w:firstRowFirstColumn="0" w:firstRowLastColumn="0" w:lastRowFirstColumn="0" w:lastRowLastColumn="0"/>
            <w:tcW w:w="1662" w:type="dxa"/>
          </w:tcPr>
          <w:p w14:paraId="531ADCC4" w14:textId="77777777" w:rsidR="00762E7B" w:rsidRPr="000B05CC" w:rsidRDefault="00762E7B" w:rsidP="00E06824">
            <w:pPr>
              <w:rPr>
                <w:rFonts w:ascii="Arial" w:hAnsi="Arial" w:cs="Arial"/>
              </w:rPr>
            </w:pPr>
            <w:r w:rsidRPr="000B05CC">
              <w:rPr>
                <w:rFonts w:ascii="Arial" w:hAnsi="Arial" w:cs="Arial"/>
              </w:rPr>
              <w:t>Bu, Yu and Li (2023)</w:t>
            </w:r>
          </w:p>
        </w:tc>
        <w:tc>
          <w:tcPr>
            <w:tcW w:w="2958" w:type="dxa"/>
          </w:tcPr>
          <w:p w14:paraId="489425A4"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nonlinear impact of FinTech on real economic growth.</w:t>
            </w:r>
          </w:p>
        </w:tc>
        <w:tc>
          <w:tcPr>
            <w:tcW w:w="1109" w:type="dxa"/>
          </w:tcPr>
          <w:p w14:paraId="7674E7A1"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China</w:t>
            </w:r>
          </w:p>
        </w:tc>
        <w:tc>
          <w:tcPr>
            <w:tcW w:w="1564" w:type="dxa"/>
          </w:tcPr>
          <w:p w14:paraId="7DE710A2"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Threshold regression model</w:t>
            </w:r>
          </w:p>
        </w:tc>
        <w:tc>
          <w:tcPr>
            <w:tcW w:w="2449" w:type="dxa"/>
          </w:tcPr>
          <w:p w14:paraId="24760E84"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result revealed that fintech significantly promotes real economic growth.</w:t>
            </w:r>
          </w:p>
          <w:p w14:paraId="60179493"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2E7B" w:rsidRPr="000B05CC" w14:paraId="37AF6414" w14:textId="77777777" w:rsidTr="007C5388">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662" w:type="dxa"/>
          </w:tcPr>
          <w:p w14:paraId="7740FAF3" w14:textId="77777777" w:rsidR="00762E7B" w:rsidRPr="000B05CC" w:rsidRDefault="00762E7B" w:rsidP="00E06824">
            <w:pPr>
              <w:rPr>
                <w:rFonts w:ascii="Arial" w:hAnsi="Arial" w:cs="Arial"/>
              </w:rPr>
            </w:pPr>
            <w:r w:rsidRPr="000B05CC">
              <w:rPr>
                <w:rFonts w:ascii="Arial" w:hAnsi="Arial" w:cs="Arial"/>
              </w:rPr>
              <w:t xml:space="preserve">Ravikumar, </w:t>
            </w:r>
            <w:proofErr w:type="spellStart"/>
            <w:r w:rsidRPr="000B05CC">
              <w:rPr>
                <w:rFonts w:ascii="Arial" w:hAnsi="Arial" w:cs="Arial"/>
              </w:rPr>
              <w:t>Suresha</w:t>
            </w:r>
            <w:proofErr w:type="spellEnd"/>
            <w:r w:rsidRPr="000B05CC">
              <w:rPr>
                <w:rFonts w:ascii="Arial" w:hAnsi="Arial" w:cs="Arial"/>
              </w:rPr>
              <w:t>, and Rajesh (2019)</w:t>
            </w:r>
          </w:p>
        </w:tc>
        <w:tc>
          <w:tcPr>
            <w:tcW w:w="2958" w:type="dxa"/>
          </w:tcPr>
          <w:p w14:paraId="12E82E52"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 xml:space="preserve">Impact of Digital payment on economic growth. </w:t>
            </w:r>
          </w:p>
        </w:tc>
        <w:tc>
          <w:tcPr>
            <w:tcW w:w="1109" w:type="dxa"/>
          </w:tcPr>
          <w:p w14:paraId="7045C4F2"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India</w:t>
            </w:r>
          </w:p>
        </w:tc>
        <w:tc>
          <w:tcPr>
            <w:tcW w:w="1564" w:type="dxa"/>
          </w:tcPr>
          <w:p w14:paraId="3FA16ADB"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OLS/ARDL</w:t>
            </w:r>
          </w:p>
        </w:tc>
        <w:tc>
          <w:tcPr>
            <w:tcW w:w="2449" w:type="dxa"/>
          </w:tcPr>
          <w:p w14:paraId="77028B85" w14:textId="0191DB2A"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Digital payment impacts economic growth in the short run but not in the long run</w:t>
            </w:r>
            <w:r w:rsidR="007C5388" w:rsidRPr="000B05CC">
              <w:rPr>
                <w:rFonts w:ascii="Arial" w:hAnsi="Arial" w:cs="Arial"/>
              </w:rPr>
              <w:t>.</w:t>
            </w:r>
          </w:p>
        </w:tc>
      </w:tr>
      <w:tr w:rsidR="00762E7B" w:rsidRPr="000B05CC" w14:paraId="26FDD829" w14:textId="77777777" w:rsidTr="007C5388">
        <w:trPr>
          <w:trHeight w:val="1530"/>
        </w:trPr>
        <w:tc>
          <w:tcPr>
            <w:cnfStyle w:val="001000000000" w:firstRow="0" w:lastRow="0" w:firstColumn="1" w:lastColumn="0" w:oddVBand="0" w:evenVBand="0" w:oddHBand="0" w:evenHBand="0" w:firstRowFirstColumn="0" w:firstRowLastColumn="0" w:lastRowFirstColumn="0" w:lastRowLastColumn="0"/>
            <w:tcW w:w="1662" w:type="dxa"/>
          </w:tcPr>
          <w:p w14:paraId="5E9F295B" w14:textId="77777777" w:rsidR="00762E7B" w:rsidRPr="000B05CC" w:rsidRDefault="00762E7B" w:rsidP="00E06824">
            <w:pPr>
              <w:rPr>
                <w:rFonts w:ascii="Arial" w:hAnsi="Arial" w:cs="Arial"/>
              </w:rPr>
            </w:pPr>
            <w:proofErr w:type="spellStart"/>
            <w:r w:rsidRPr="000B05CC">
              <w:rPr>
                <w:rFonts w:ascii="Arial" w:hAnsi="Arial" w:cs="Arial"/>
              </w:rPr>
              <w:t>Maknickiene</w:t>
            </w:r>
            <w:proofErr w:type="spellEnd"/>
            <w:r w:rsidRPr="000B05CC">
              <w:rPr>
                <w:rFonts w:ascii="Arial" w:hAnsi="Arial" w:cs="Arial"/>
              </w:rPr>
              <w:t xml:space="preserve"> and </w:t>
            </w:r>
            <w:proofErr w:type="spellStart"/>
            <w:r w:rsidRPr="000B05CC">
              <w:rPr>
                <w:rFonts w:ascii="Arial" w:hAnsi="Arial" w:cs="Arial"/>
              </w:rPr>
              <w:t>Lapkovskaja</w:t>
            </w:r>
            <w:proofErr w:type="spellEnd"/>
            <w:r w:rsidRPr="000B05CC">
              <w:rPr>
                <w:rFonts w:ascii="Arial" w:hAnsi="Arial" w:cs="Arial"/>
              </w:rPr>
              <w:t xml:space="preserve"> (2024)</w:t>
            </w:r>
          </w:p>
        </w:tc>
        <w:tc>
          <w:tcPr>
            <w:tcW w:w="2958" w:type="dxa"/>
          </w:tcPr>
          <w:p w14:paraId="1B027CF3"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An Exploratory Review of the Fintech Influence Field (2006-2020)</w:t>
            </w:r>
          </w:p>
        </w:tc>
        <w:tc>
          <w:tcPr>
            <w:tcW w:w="1109" w:type="dxa"/>
          </w:tcPr>
          <w:p w14:paraId="4980378A"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Non-generic study</w:t>
            </w:r>
          </w:p>
        </w:tc>
        <w:tc>
          <w:tcPr>
            <w:tcW w:w="1564" w:type="dxa"/>
          </w:tcPr>
          <w:p w14:paraId="56DF8AFD"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Bibliometric Analysis</w:t>
            </w:r>
          </w:p>
        </w:tc>
        <w:tc>
          <w:tcPr>
            <w:tcW w:w="2449" w:type="dxa"/>
          </w:tcPr>
          <w:p w14:paraId="3B3979AE" w14:textId="4B6B626F"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There were significant influences between fintech and economic development and socio-demographic inequalities.</w:t>
            </w:r>
          </w:p>
        </w:tc>
      </w:tr>
      <w:tr w:rsidR="00762E7B" w:rsidRPr="000B05CC" w14:paraId="56DDB945" w14:textId="77777777" w:rsidTr="007C5388">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1662" w:type="dxa"/>
          </w:tcPr>
          <w:p w14:paraId="735A6F76" w14:textId="77777777" w:rsidR="00762E7B" w:rsidRPr="000B05CC" w:rsidRDefault="00762E7B" w:rsidP="00E06824">
            <w:pPr>
              <w:rPr>
                <w:rFonts w:ascii="Arial" w:hAnsi="Arial" w:cs="Arial"/>
              </w:rPr>
            </w:pPr>
            <w:r w:rsidRPr="000B05CC">
              <w:rPr>
                <w:rFonts w:ascii="Arial" w:hAnsi="Arial" w:cs="Arial"/>
              </w:rPr>
              <w:lastRenderedPageBreak/>
              <w:t xml:space="preserve">Salahuddin and </w:t>
            </w:r>
            <w:proofErr w:type="spellStart"/>
            <w:r w:rsidRPr="000B05CC">
              <w:rPr>
                <w:rFonts w:ascii="Arial" w:hAnsi="Arial" w:cs="Arial"/>
              </w:rPr>
              <w:t>Gow</w:t>
            </w:r>
            <w:proofErr w:type="spellEnd"/>
            <w:r w:rsidRPr="000B05CC">
              <w:rPr>
                <w:rFonts w:ascii="Arial" w:hAnsi="Arial" w:cs="Arial"/>
              </w:rPr>
              <w:t xml:space="preserve"> (2016)</w:t>
            </w:r>
          </w:p>
        </w:tc>
        <w:tc>
          <w:tcPr>
            <w:tcW w:w="2958" w:type="dxa"/>
          </w:tcPr>
          <w:p w14:paraId="6F73088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effects of internet usage on economic growth (1991-2013)</w:t>
            </w:r>
          </w:p>
        </w:tc>
        <w:tc>
          <w:tcPr>
            <w:tcW w:w="1109" w:type="dxa"/>
          </w:tcPr>
          <w:p w14:paraId="2B1A732A"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South Africa</w:t>
            </w:r>
          </w:p>
        </w:tc>
        <w:tc>
          <w:tcPr>
            <w:tcW w:w="1564" w:type="dxa"/>
          </w:tcPr>
          <w:p w14:paraId="30C0E98D"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ARDL Approach</w:t>
            </w:r>
          </w:p>
        </w:tc>
        <w:tc>
          <w:tcPr>
            <w:tcW w:w="2449" w:type="dxa"/>
          </w:tcPr>
          <w:p w14:paraId="4C907211"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 positive and significant long-term relationship between internet usage and economic growth.</w:t>
            </w:r>
          </w:p>
          <w:p w14:paraId="09E95139" w14:textId="7FBC390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62E7B" w:rsidRPr="000B05CC" w14:paraId="41E34208" w14:textId="77777777" w:rsidTr="007C5388">
        <w:trPr>
          <w:trHeight w:val="1889"/>
        </w:trPr>
        <w:tc>
          <w:tcPr>
            <w:cnfStyle w:val="001000000000" w:firstRow="0" w:lastRow="0" w:firstColumn="1" w:lastColumn="0" w:oddVBand="0" w:evenVBand="0" w:oddHBand="0" w:evenHBand="0" w:firstRowFirstColumn="0" w:firstRowLastColumn="0" w:lastRowFirstColumn="0" w:lastRowLastColumn="0"/>
            <w:tcW w:w="1662" w:type="dxa"/>
          </w:tcPr>
          <w:p w14:paraId="22059112" w14:textId="77777777" w:rsidR="00762E7B" w:rsidRPr="000B05CC" w:rsidRDefault="00762E7B" w:rsidP="00E06824">
            <w:pPr>
              <w:rPr>
                <w:rFonts w:ascii="Arial" w:hAnsi="Arial" w:cs="Arial"/>
              </w:rPr>
            </w:pPr>
            <w:r w:rsidRPr="000B05CC">
              <w:rPr>
                <w:rFonts w:ascii="Arial" w:hAnsi="Arial" w:cs="Arial"/>
              </w:rPr>
              <w:t xml:space="preserve">Jiang, Wang, Ren, and </w:t>
            </w:r>
            <w:proofErr w:type="spellStart"/>
            <w:r w:rsidRPr="000B05CC">
              <w:rPr>
                <w:rFonts w:ascii="Arial" w:hAnsi="Arial" w:cs="Arial"/>
              </w:rPr>
              <w:t>Xie</w:t>
            </w:r>
            <w:proofErr w:type="spellEnd"/>
            <w:r w:rsidRPr="000B05CC">
              <w:rPr>
                <w:rFonts w:ascii="Arial" w:hAnsi="Arial" w:cs="Arial"/>
              </w:rPr>
              <w:t xml:space="preserve"> (2021)</w:t>
            </w:r>
          </w:p>
        </w:tc>
        <w:tc>
          <w:tcPr>
            <w:tcW w:w="2958" w:type="dxa"/>
          </w:tcPr>
          <w:p w14:paraId="4A9B2393"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nexus between digital finance and economic development (2011-2018)</w:t>
            </w:r>
          </w:p>
        </w:tc>
        <w:tc>
          <w:tcPr>
            <w:tcW w:w="1109" w:type="dxa"/>
          </w:tcPr>
          <w:p w14:paraId="3CB0958B"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China</w:t>
            </w:r>
          </w:p>
        </w:tc>
        <w:tc>
          <w:tcPr>
            <w:tcW w:w="1564" w:type="dxa"/>
          </w:tcPr>
          <w:p w14:paraId="273CF77E" w14:textId="2AFD1DC2"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 panel model, a Mediating effect model, and an instrumental variable technique</w:t>
            </w:r>
          </w:p>
        </w:tc>
        <w:tc>
          <w:tcPr>
            <w:tcW w:w="2449" w:type="dxa"/>
          </w:tcPr>
          <w:p w14:paraId="68EF5D82"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 positive link between digital finance and economic development in China.</w:t>
            </w:r>
          </w:p>
        </w:tc>
      </w:tr>
      <w:tr w:rsidR="00762E7B" w:rsidRPr="000B05CC" w14:paraId="7A3BC99E" w14:textId="77777777" w:rsidTr="007C5388">
        <w:trPr>
          <w:cnfStyle w:val="000000100000" w:firstRow="0" w:lastRow="0" w:firstColumn="0" w:lastColumn="0" w:oddVBand="0" w:evenVBand="0" w:oddHBand="1" w:evenHBand="0" w:firstRowFirstColumn="0" w:firstRowLastColumn="0" w:lastRowFirstColumn="0" w:lastRowLastColumn="0"/>
          <w:trHeight w:val="1565"/>
        </w:trPr>
        <w:tc>
          <w:tcPr>
            <w:cnfStyle w:val="001000000000" w:firstRow="0" w:lastRow="0" w:firstColumn="1" w:lastColumn="0" w:oddVBand="0" w:evenVBand="0" w:oddHBand="0" w:evenHBand="0" w:firstRowFirstColumn="0" w:firstRowLastColumn="0" w:lastRowFirstColumn="0" w:lastRowLastColumn="0"/>
            <w:tcW w:w="1662" w:type="dxa"/>
          </w:tcPr>
          <w:p w14:paraId="56BD1EE4" w14:textId="77777777" w:rsidR="00762E7B" w:rsidRPr="000B05CC" w:rsidRDefault="00762E7B" w:rsidP="00E06824">
            <w:pPr>
              <w:rPr>
                <w:rFonts w:ascii="Arial" w:hAnsi="Arial" w:cs="Arial"/>
              </w:rPr>
            </w:pPr>
            <w:proofErr w:type="spellStart"/>
            <w:r w:rsidRPr="000B05CC">
              <w:rPr>
                <w:rFonts w:ascii="Arial" w:hAnsi="Arial" w:cs="Arial"/>
              </w:rPr>
              <w:t>Akwam</w:t>
            </w:r>
            <w:proofErr w:type="spellEnd"/>
            <w:r w:rsidRPr="000B05CC">
              <w:rPr>
                <w:rFonts w:ascii="Arial" w:hAnsi="Arial" w:cs="Arial"/>
              </w:rPr>
              <w:t xml:space="preserve">, </w:t>
            </w:r>
            <w:proofErr w:type="spellStart"/>
            <w:r w:rsidRPr="000B05CC">
              <w:rPr>
                <w:rFonts w:ascii="Arial" w:hAnsi="Arial" w:cs="Arial"/>
              </w:rPr>
              <w:t>Okaro</w:t>
            </w:r>
            <w:proofErr w:type="spellEnd"/>
            <w:r w:rsidRPr="000B05CC">
              <w:rPr>
                <w:rFonts w:ascii="Arial" w:hAnsi="Arial" w:cs="Arial"/>
              </w:rPr>
              <w:t xml:space="preserve">, Okonkwo, </w:t>
            </w:r>
            <w:proofErr w:type="spellStart"/>
            <w:r w:rsidRPr="000B05CC">
              <w:rPr>
                <w:rFonts w:ascii="Arial" w:hAnsi="Arial" w:cs="Arial"/>
              </w:rPr>
              <w:t>Adigwe</w:t>
            </w:r>
            <w:proofErr w:type="spellEnd"/>
            <w:r w:rsidRPr="000B05CC">
              <w:rPr>
                <w:rFonts w:ascii="Arial" w:hAnsi="Arial" w:cs="Arial"/>
              </w:rPr>
              <w:t>, and Ogbonna (2023)</w:t>
            </w:r>
          </w:p>
        </w:tc>
        <w:tc>
          <w:tcPr>
            <w:tcW w:w="2958" w:type="dxa"/>
          </w:tcPr>
          <w:p w14:paraId="3056E41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Financial technology and economic growth in selected SSA Countries (2004-2021)</w:t>
            </w:r>
          </w:p>
        </w:tc>
        <w:tc>
          <w:tcPr>
            <w:tcW w:w="1109" w:type="dxa"/>
          </w:tcPr>
          <w:p w14:paraId="10787F2D"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Nigeria</w:t>
            </w:r>
          </w:p>
        </w:tc>
        <w:tc>
          <w:tcPr>
            <w:tcW w:w="1564" w:type="dxa"/>
          </w:tcPr>
          <w:p w14:paraId="79B3A5C1"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Pooled effect panel EGLS</w:t>
            </w:r>
          </w:p>
        </w:tc>
        <w:tc>
          <w:tcPr>
            <w:tcW w:w="2449" w:type="dxa"/>
          </w:tcPr>
          <w:p w14:paraId="7B4AA8D4" w14:textId="5DB57699"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 strong positive correlation exists between financial technology and economic growth in SSA countries.</w:t>
            </w:r>
          </w:p>
        </w:tc>
      </w:tr>
      <w:tr w:rsidR="00762E7B" w:rsidRPr="000B05CC" w14:paraId="74CC3ACD" w14:textId="77777777" w:rsidTr="007C5388">
        <w:trPr>
          <w:trHeight w:val="144"/>
        </w:trPr>
        <w:tc>
          <w:tcPr>
            <w:cnfStyle w:val="001000000000" w:firstRow="0" w:lastRow="0" w:firstColumn="1" w:lastColumn="0" w:oddVBand="0" w:evenVBand="0" w:oddHBand="0" w:evenHBand="0" w:firstRowFirstColumn="0" w:firstRowLastColumn="0" w:lastRowFirstColumn="0" w:lastRowLastColumn="0"/>
            <w:tcW w:w="1662" w:type="dxa"/>
          </w:tcPr>
          <w:p w14:paraId="1EE67C4C" w14:textId="77777777" w:rsidR="00762E7B" w:rsidRPr="000B05CC" w:rsidRDefault="00762E7B" w:rsidP="00E06824">
            <w:pPr>
              <w:rPr>
                <w:rFonts w:ascii="Arial" w:hAnsi="Arial" w:cs="Arial"/>
              </w:rPr>
            </w:pPr>
            <w:proofErr w:type="spellStart"/>
            <w:r w:rsidRPr="000B05CC">
              <w:rPr>
                <w:rFonts w:ascii="Arial" w:hAnsi="Arial" w:cs="Arial"/>
              </w:rPr>
              <w:t>Jiarong</w:t>
            </w:r>
            <w:proofErr w:type="spellEnd"/>
            <w:r w:rsidRPr="000B05CC">
              <w:rPr>
                <w:rFonts w:ascii="Arial" w:hAnsi="Arial" w:cs="Arial"/>
              </w:rPr>
              <w:t xml:space="preserve">, </w:t>
            </w:r>
            <w:proofErr w:type="spellStart"/>
            <w:r w:rsidRPr="000B05CC">
              <w:rPr>
                <w:rFonts w:ascii="Arial" w:hAnsi="Arial" w:cs="Arial"/>
              </w:rPr>
              <w:t>Yinnang</w:t>
            </w:r>
            <w:proofErr w:type="spellEnd"/>
            <w:r w:rsidRPr="000B05CC">
              <w:rPr>
                <w:rFonts w:ascii="Arial" w:hAnsi="Arial" w:cs="Arial"/>
              </w:rPr>
              <w:t>, and Song (2023)</w:t>
            </w:r>
          </w:p>
        </w:tc>
        <w:tc>
          <w:tcPr>
            <w:tcW w:w="2958" w:type="dxa"/>
          </w:tcPr>
          <w:p w14:paraId="0B3B202B"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impact of fintech on Economic Growth (2010-2022)</w:t>
            </w:r>
          </w:p>
        </w:tc>
        <w:tc>
          <w:tcPr>
            <w:tcW w:w="1109" w:type="dxa"/>
          </w:tcPr>
          <w:p w14:paraId="764DB9B4"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Singapore</w:t>
            </w:r>
          </w:p>
        </w:tc>
        <w:tc>
          <w:tcPr>
            <w:tcW w:w="1564" w:type="dxa"/>
          </w:tcPr>
          <w:p w14:paraId="1EDA356A"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VAR Model</w:t>
            </w:r>
          </w:p>
        </w:tc>
        <w:tc>
          <w:tcPr>
            <w:tcW w:w="2449" w:type="dxa"/>
          </w:tcPr>
          <w:p w14:paraId="11FEBE03" w14:textId="1A5EF11C"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result confirmed a positive impact on Singapore’s economic growth.</w:t>
            </w:r>
          </w:p>
        </w:tc>
      </w:tr>
      <w:tr w:rsidR="00762E7B" w:rsidRPr="000B05CC" w14:paraId="04B4CFC2" w14:textId="77777777" w:rsidTr="007C5388">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1662" w:type="dxa"/>
          </w:tcPr>
          <w:p w14:paraId="59F8AFC6" w14:textId="77777777" w:rsidR="00762E7B" w:rsidRPr="000B05CC" w:rsidRDefault="00762E7B" w:rsidP="00E06824">
            <w:pPr>
              <w:rPr>
                <w:rFonts w:ascii="Arial" w:hAnsi="Arial" w:cs="Arial"/>
              </w:rPr>
            </w:pPr>
            <w:proofErr w:type="spellStart"/>
            <w:r w:rsidRPr="000B05CC">
              <w:rPr>
                <w:rFonts w:ascii="Arial" w:hAnsi="Arial" w:cs="Arial"/>
              </w:rPr>
              <w:t>Zhiwei</w:t>
            </w:r>
            <w:proofErr w:type="spellEnd"/>
            <w:r w:rsidRPr="000B05CC">
              <w:rPr>
                <w:rFonts w:ascii="Arial" w:hAnsi="Arial" w:cs="Arial"/>
              </w:rPr>
              <w:t>, (2023)</w:t>
            </w:r>
          </w:p>
        </w:tc>
        <w:tc>
          <w:tcPr>
            <w:tcW w:w="2958" w:type="dxa"/>
          </w:tcPr>
          <w:p w14:paraId="347C2EF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Impact of Financial Technology on GDP and Home Prices (2000-2023).</w:t>
            </w:r>
          </w:p>
        </w:tc>
        <w:tc>
          <w:tcPr>
            <w:tcW w:w="1109" w:type="dxa"/>
          </w:tcPr>
          <w:p w14:paraId="1B21E8F6"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China</w:t>
            </w:r>
          </w:p>
        </w:tc>
        <w:tc>
          <w:tcPr>
            <w:tcW w:w="1564" w:type="dxa"/>
          </w:tcPr>
          <w:p w14:paraId="7EF2E02F"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Regression</w:t>
            </w:r>
          </w:p>
        </w:tc>
        <w:tc>
          <w:tcPr>
            <w:tcW w:w="2449" w:type="dxa"/>
          </w:tcPr>
          <w:p w14:paraId="468F5B77" w14:textId="7AEE1314"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Fintech has a positive and significant effect on both GDP and Home Prices.</w:t>
            </w:r>
          </w:p>
        </w:tc>
      </w:tr>
      <w:tr w:rsidR="00762E7B" w:rsidRPr="000B05CC" w14:paraId="20DEBCD0" w14:textId="77777777" w:rsidTr="007C5388">
        <w:trPr>
          <w:trHeight w:val="144"/>
        </w:trPr>
        <w:tc>
          <w:tcPr>
            <w:cnfStyle w:val="001000000000" w:firstRow="0" w:lastRow="0" w:firstColumn="1" w:lastColumn="0" w:oddVBand="0" w:evenVBand="0" w:oddHBand="0" w:evenHBand="0" w:firstRowFirstColumn="0" w:firstRowLastColumn="0" w:lastRowFirstColumn="0" w:lastRowLastColumn="0"/>
            <w:tcW w:w="1662" w:type="dxa"/>
          </w:tcPr>
          <w:p w14:paraId="2792EBB1" w14:textId="77777777" w:rsidR="00762E7B" w:rsidRPr="000B05CC" w:rsidRDefault="00762E7B" w:rsidP="00E06824">
            <w:pPr>
              <w:rPr>
                <w:rFonts w:ascii="Arial" w:hAnsi="Arial" w:cs="Arial"/>
              </w:rPr>
            </w:pPr>
            <w:proofErr w:type="spellStart"/>
            <w:r w:rsidRPr="000B05CC">
              <w:rPr>
                <w:rFonts w:ascii="Arial" w:hAnsi="Arial" w:cs="Arial"/>
              </w:rPr>
              <w:t>Serhan</w:t>
            </w:r>
            <w:proofErr w:type="spellEnd"/>
            <w:r w:rsidRPr="000B05CC">
              <w:rPr>
                <w:rFonts w:ascii="Arial" w:hAnsi="Arial" w:cs="Arial"/>
              </w:rPr>
              <w:t xml:space="preserve"> (2024)</w:t>
            </w:r>
          </w:p>
        </w:tc>
        <w:tc>
          <w:tcPr>
            <w:tcW w:w="2958" w:type="dxa"/>
          </w:tcPr>
          <w:p w14:paraId="4A68B134"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Is Schumpeter Right? Fintech and Economic Growth (2012-2020)</w:t>
            </w:r>
          </w:p>
        </w:tc>
        <w:tc>
          <w:tcPr>
            <w:tcW w:w="1109" w:type="dxa"/>
          </w:tcPr>
          <w:p w14:paraId="2D62F1CE"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198 Countries Study</w:t>
            </w:r>
          </w:p>
        </w:tc>
        <w:tc>
          <w:tcPr>
            <w:tcW w:w="1564" w:type="dxa"/>
          </w:tcPr>
          <w:p w14:paraId="47E3447A"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GMM model</w:t>
            </w:r>
          </w:p>
        </w:tc>
        <w:tc>
          <w:tcPr>
            <w:tcW w:w="2449" w:type="dxa"/>
          </w:tcPr>
          <w:p w14:paraId="74C6D196"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 positive relationship exists connecting fintech and economic growth.</w:t>
            </w:r>
          </w:p>
          <w:p w14:paraId="0A635C75"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2E7B" w:rsidRPr="000B05CC" w14:paraId="34012F0E" w14:textId="77777777" w:rsidTr="007C538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662" w:type="dxa"/>
          </w:tcPr>
          <w:p w14:paraId="1BFE35E8" w14:textId="77777777" w:rsidR="00762E7B" w:rsidRPr="000B05CC" w:rsidRDefault="00762E7B" w:rsidP="00E06824">
            <w:pPr>
              <w:rPr>
                <w:rFonts w:ascii="Arial" w:hAnsi="Arial" w:cs="Arial"/>
              </w:rPr>
            </w:pPr>
            <w:r w:rsidRPr="000B05CC">
              <w:rPr>
                <w:rFonts w:ascii="Arial" w:hAnsi="Arial" w:cs="Arial"/>
              </w:rPr>
              <w:t xml:space="preserve">Alhassan, </w:t>
            </w:r>
            <w:proofErr w:type="spellStart"/>
            <w:r w:rsidRPr="000B05CC">
              <w:rPr>
                <w:rFonts w:ascii="Arial" w:hAnsi="Arial" w:cs="Arial"/>
              </w:rPr>
              <w:t>Blokhina</w:t>
            </w:r>
            <w:proofErr w:type="spellEnd"/>
            <w:r w:rsidRPr="000B05CC">
              <w:rPr>
                <w:rFonts w:ascii="Arial" w:hAnsi="Arial" w:cs="Arial"/>
              </w:rPr>
              <w:t xml:space="preserve">, and </w:t>
            </w:r>
            <w:proofErr w:type="spellStart"/>
            <w:r w:rsidRPr="000B05CC">
              <w:rPr>
                <w:rFonts w:ascii="Arial" w:hAnsi="Arial" w:cs="Arial"/>
              </w:rPr>
              <w:t>Kouadio</w:t>
            </w:r>
            <w:proofErr w:type="spellEnd"/>
            <w:r w:rsidRPr="000B05CC">
              <w:rPr>
                <w:rFonts w:ascii="Arial" w:hAnsi="Arial" w:cs="Arial"/>
              </w:rPr>
              <w:t xml:space="preserve"> (2021)</w:t>
            </w:r>
          </w:p>
        </w:tc>
        <w:tc>
          <w:tcPr>
            <w:tcW w:w="2958" w:type="dxa"/>
          </w:tcPr>
          <w:p w14:paraId="0266BD8E"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Financial Innovation: The impact of mobile money on innovative economic growth</w:t>
            </w:r>
          </w:p>
        </w:tc>
        <w:tc>
          <w:tcPr>
            <w:tcW w:w="1109" w:type="dxa"/>
          </w:tcPr>
          <w:p w14:paraId="3A82B3DF"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SSA countries</w:t>
            </w:r>
          </w:p>
        </w:tc>
        <w:tc>
          <w:tcPr>
            <w:tcW w:w="1564" w:type="dxa"/>
          </w:tcPr>
          <w:p w14:paraId="433B5033" w14:textId="475488FA"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Partial least squares regression (PLS)</w:t>
            </w:r>
          </w:p>
        </w:tc>
        <w:tc>
          <w:tcPr>
            <w:tcW w:w="2449" w:type="dxa"/>
          </w:tcPr>
          <w:p w14:paraId="55808B5E"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 positive correlation exists between mobile money and GDP.</w:t>
            </w:r>
          </w:p>
          <w:p w14:paraId="3F6F82FE"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1EBFB7E" w14:textId="4145E366" w:rsidR="000B05CC" w:rsidRDefault="00762E7B" w:rsidP="000B05CC">
      <w:pPr>
        <w:rPr>
          <w:rFonts w:ascii="Arial" w:hAnsi="Arial" w:cs="Arial"/>
          <w:b/>
          <w:bCs/>
        </w:rPr>
      </w:pPr>
      <w:r w:rsidRPr="000B05CC">
        <w:rPr>
          <w:rFonts w:ascii="Arial" w:hAnsi="Arial" w:cs="Arial"/>
          <w:b/>
          <w:bCs/>
        </w:rPr>
        <w:t>Source: Authors Compilation</w:t>
      </w:r>
    </w:p>
    <w:p w14:paraId="4FCFF2EA" w14:textId="77777777" w:rsidR="000B05CC" w:rsidRDefault="000B05CC" w:rsidP="000C07FB">
      <w:pPr>
        <w:spacing w:line="240" w:lineRule="auto"/>
        <w:jc w:val="both"/>
        <w:rPr>
          <w:rFonts w:ascii="Arial" w:hAnsi="Arial" w:cs="Arial"/>
          <w:b/>
          <w:bCs/>
        </w:rPr>
      </w:pPr>
    </w:p>
    <w:p w14:paraId="5914B9EA" w14:textId="77777777" w:rsidR="000B05CC" w:rsidRDefault="000B05CC" w:rsidP="000C07FB">
      <w:pPr>
        <w:spacing w:line="240" w:lineRule="auto"/>
        <w:jc w:val="both"/>
        <w:rPr>
          <w:rFonts w:ascii="Arial" w:hAnsi="Arial" w:cs="Arial"/>
          <w:b/>
          <w:bCs/>
        </w:rPr>
      </w:pPr>
    </w:p>
    <w:p w14:paraId="5CB89EAD" w14:textId="77777777" w:rsidR="000B05CC" w:rsidRDefault="000B05CC" w:rsidP="000C07FB">
      <w:pPr>
        <w:spacing w:line="240" w:lineRule="auto"/>
        <w:jc w:val="both"/>
        <w:rPr>
          <w:rFonts w:ascii="Arial" w:hAnsi="Arial" w:cs="Arial"/>
          <w:b/>
          <w:bCs/>
        </w:rPr>
      </w:pPr>
    </w:p>
    <w:p w14:paraId="36DEDABB" w14:textId="77777777" w:rsidR="000B05CC" w:rsidRDefault="000B05CC" w:rsidP="000C07FB">
      <w:pPr>
        <w:spacing w:line="240" w:lineRule="auto"/>
        <w:jc w:val="both"/>
        <w:rPr>
          <w:rFonts w:ascii="Arial" w:hAnsi="Arial" w:cs="Arial"/>
          <w:b/>
          <w:bCs/>
        </w:rPr>
      </w:pPr>
    </w:p>
    <w:p w14:paraId="65CAC69D" w14:textId="77777777" w:rsidR="000B05CC" w:rsidRDefault="000B05CC" w:rsidP="000C07FB">
      <w:pPr>
        <w:spacing w:line="240" w:lineRule="auto"/>
        <w:jc w:val="both"/>
        <w:rPr>
          <w:rFonts w:ascii="Arial" w:hAnsi="Arial" w:cs="Arial"/>
          <w:b/>
          <w:bCs/>
        </w:rPr>
      </w:pPr>
    </w:p>
    <w:p w14:paraId="3CA34406" w14:textId="77777777" w:rsidR="000B05CC" w:rsidRDefault="000B05CC" w:rsidP="000C07FB">
      <w:pPr>
        <w:spacing w:line="240" w:lineRule="auto"/>
        <w:jc w:val="both"/>
        <w:rPr>
          <w:rFonts w:ascii="Arial" w:hAnsi="Arial" w:cs="Arial"/>
          <w:b/>
          <w:bCs/>
        </w:rPr>
      </w:pPr>
    </w:p>
    <w:p w14:paraId="13FA35B7" w14:textId="1337FBFD" w:rsidR="00A52111" w:rsidRPr="000B05CC" w:rsidRDefault="00A52111" w:rsidP="000C07FB">
      <w:pPr>
        <w:spacing w:line="240" w:lineRule="auto"/>
        <w:jc w:val="both"/>
        <w:rPr>
          <w:rFonts w:ascii="Arial" w:hAnsi="Arial" w:cs="Arial"/>
          <w:b/>
          <w:bCs/>
        </w:rPr>
      </w:pPr>
      <w:r w:rsidRPr="000B05CC">
        <w:rPr>
          <w:rFonts w:ascii="Arial" w:hAnsi="Arial" w:cs="Arial"/>
          <w:b/>
          <w:bCs/>
        </w:rPr>
        <w:t>3.0 Methodology</w:t>
      </w:r>
    </w:p>
    <w:p w14:paraId="72A21598" w14:textId="77777777" w:rsidR="00782F72" w:rsidRPr="000B05CC" w:rsidRDefault="00782F72" w:rsidP="000C07FB">
      <w:pPr>
        <w:autoSpaceDE w:val="0"/>
        <w:autoSpaceDN w:val="0"/>
        <w:adjustRightInd w:val="0"/>
        <w:spacing w:after="0" w:line="240" w:lineRule="auto"/>
        <w:jc w:val="both"/>
        <w:rPr>
          <w:rFonts w:ascii="Arial" w:hAnsi="Arial" w:cs="Arial"/>
          <w:b/>
          <w:bCs/>
        </w:rPr>
        <w:sectPr w:rsidR="00782F72" w:rsidRPr="000B05CC" w:rsidSect="00782F72">
          <w:type w:val="continuous"/>
          <w:pgSz w:w="11906" w:h="16838" w:code="9"/>
          <w:pgMar w:top="1440" w:right="1440" w:bottom="1440" w:left="1440" w:header="720" w:footer="720" w:gutter="0"/>
          <w:cols w:space="720"/>
          <w:docGrid w:linePitch="360"/>
        </w:sectPr>
      </w:pPr>
    </w:p>
    <w:p w14:paraId="22F0B403" w14:textId="07369762" w:rsidR="000C07FB" w:rsidRPr="000B05CC" w:rsidRDefault="000C07FB" w:rsidP="000C07FB">
      <w:pPr>
        <w:autoSpaceDE w:val="0"/>
        <w:autoSpaceDN w:val="0"/>
        <w:adjustRightInd w:val="0"/>
        <w:spacing w:after="0" w:line="240" w:lineRule="auto"/>
        <w:jc w:val="both"/>
        <w:rPr>
          <w:rFonts w:ascii="Arial" w:eastAsia="Times New Roman" w:hAnsi="Arial" w:cs="Arial"/>
          <w:kern w:val="0"/>
          <w14:ligatures w14:val="none"/>
        </w:rPr>
      </w:pPr>
      <w:r w:rsidRPr="000B05CC">
        <w:rPr>
          <w:rFonts w:ascii="Arial" w:hAnsi="Arial" w:cs="Arial"/>
          <w:b/>
          <w:bCs/>
        </w:rPr>
        <w:t>3.1 Estimation Technique</w:t>
      </w:r>
    </w:p>
    <w:p w14:paraId="5209B339" w14:textId="67116F88" w:rsidR="003C2D2F" w:rsidRPr="000B05CC" w:rsidRDefault="003C2D2F" w:rsidP="00B244CA">
      <w:pPr>
        <w:autoSpaceDE w:val="0"/>
        <w:autoSpaceDN w:val="0"/>
        <w:adjustRightInd w:val="0"/>
        <w:spacing w:after="0" w:line="276" w:lineRule="auto"/>
        <w:jc w:val="both"/>
        <w:rPr>
          <w:rFonts w:ascii="Arial" w:hAnsi="Arial" w:cs="Arial"/>
          <w:color w:val="000000"/>
        </w:rPr>
      </w:pPr>
      <w:r w:rsidRPr="000B05CC">
        <w:rPr>
          <w:rFonts w:ascii="Arial" w:eastAsia="Times New Roman" w:hAnsi="Arial" w:cs="Arial"/>
          <w:kern w:val="0"/>
          <w14:ligatures w14:val="none"/>
        </w:rPr>
        <w:t xml:space="preserve">This study utilized an </w:t>
      </w:r>
      <w:r w:rsidRPr="000B05CC">
        <w:rPr>
          <w:rFonts w:ascii="Arial" w:eastAsia="Times New Roman" w:hAnsi="Arial" w:cs="Arial"/>
          <w:i/>
          <w:iCs/>
          <w:kern w:val="0"/>
          <w14:ligatures w14:val="none"/>
        </w:rPr>
        <w:t>ex-post facto</w:t>
      </w:r>
      <w:r w:rsidRPr="000B05CC">
        <w:rPr>
          <w:rFonts w:ascii="Arial" w:eastAsia="Times New Roman" w:hAnsi="Arial" w:cs="Arial"/>
          <w:kern w:val="0"/>
          <w14:ligatures w14:val="none"/>
        </w:rPr>
        <w:t xml:space="preserve"> and analytical research approach to collect and evaluate data. </w:t>
      </w:r>
      <w:r w:rsidRPr="000B05CC">
        <w:rPr>
          <w:rFonts w:ascii="Arial" w:hAnsi="Arial" w:cs="Arial"/>
          <w:color w:val="000000"/>
        </w:rPr>
        <w:t xml:space="preserve">Secondary sources were </w:t>
      </w:r>
      <w:r w:rsidRPr="000B05CC">
        <w:rPr>
          <w:rFonts w:ascii="Arial" w:hAnsi="Arial" w:cs="Arial"/>
          <w:color w:val="000000"/>
        </w:rPr>
        <w:t xml:space="preserve">employed to gather the necessary data to measure the variables. GDP per capita, ATM, population growth rate, and regulatory quality data were sourced from </w:t>
      </w:r>
      <w:r w:rsidRPr="000B05CC">
        <w:rPr>
          <w:rFonts w:ascii="Arial" w:hAnsi="Arial" w:cs="Arial"/>
          <w:color w:val="000000"/>
        </w:rPr>
        <w:lastRenderedPageBreak/>
        <w:t>the World Bank Development Indicator. Point of sales and direct debit transactions were obtained from Statista.com from 2007 to 2023. This study centers on the United Kingdom, which was selected for its robust financial technology infrastructure and solid regulatory framework for fintech.</w:t>
      </w:r>
    </w:p>
    <w:p w14:paraId="24BA6233" w14:textId="77777777" w:rsidR="003C2D2F" w:rsidRPr="000B05CC" w:rsidRDefault="003C2D2F" w:rsidP="00B244CA">
      <w:pPr>
        <w:spacing w:line="276" w:lineRule="auto"/>
        <w:jc w:val="both"/>
        <w:rPr>
          <w:rFonts w:ascii="Arial" w:hAnsi="Arial" w:cs="Arial"/>
          <w:b/>
          <w:bCs/>
          <w:sz w:val="10"/>
          <w:szCs w:val="10"/>
        </w:rPr>
      </w:pPr>
    </w:p>
    <w:p w14:paraId="342716A2" w14:textId="21BE4C80" w:rsidR="00A504CE" w:rsidRPr="000B05CC" w:rsidRDefault="00A504CE" w:rsidP="00B244CA">
      <w:pPr>
        <w:spacing w:line="276" w:lineRule="auto"/>
        <w:jc w:val="both"/>
        <w:rPr>
          <w:rFonts w:ascii="Arial" w:hAnsi="Arial" w:cs="Arial"/>
          <w:b/>
          <w:bCs/>
        </w:rPr>
      </w:pPr>
      <w:r w:rsidRPr="000B05CC">
        <w:rPr>
          <w:rFonts w:ascii="Arial" w:hAnsi="Arial" w:cs="Arial"/>
        </w:rPr>
        <w:t>This</w:t>
      </w:r>
      <w:r w:rsidR="007D6D49">
        <w:rPr>
          <w:rFonts w:ascii="Arial" w:hAnsi="Arial" w:cs="Arial"/>
          <w:b/>
          <w:bCs/>
        </w:rPr>
        <w:t xml:space="preserve"> </w:t>
      </w:r>
      <w:r w:rsidRPr="000B05CC">
        <w:rPr>
          <w:rFonts w:ascii="Arial" w:hAnsi="Arial" w:cs="Arial"/>
        </w:rPr>
        <w:t xml:space="preserve">study conducted a preliminary investigation of the basic statistics and time series attributes of the series before merging them into an estimation model. This includes </w:t>
      </w:r>
      <w:r w:rsidRPr="000B05CC">
        <w:rPr>
          <w:rFonts w:ascii="Arial" w:eastAsia="Times New Roman" w:hAnsi="Arial" w:cs="Arial"/>
          <w:kern w:val="0"/>
          <w14:ligatures w14:val="none"/>
        </w:rPr>
        <w:t>descriptive statistics, correlation matrix, graphical analysis, and unit root test findings that serve as the foundation for the studies.</w:t>
      </w:r>
      <w:r w:rsidR="000F4BD1" w:rsidRPr="000B05CC">
        <w:rPr>
          <w:rFonts w:ascii="Arial" w:eastAsia="Times New Roman" w:hAnsi="Arial" w:cs="Arial"/>
          <w:kern w:val="0"/>
          <w14:ligatures w14:val="none"/>
        </w:rPr>
        <w:t xml:space="preserve"> </w:t>
      </w:r>
      <w:r w:rsidRPr="000B05CC">
        <w:rPr>
          <w:rFonts w:ascii="Arial" w:hAnsi="Arial" w:cs="Arial"/>
        </w:rPr>
        <w:t>The Autoregressive Distributed Lag (ARDL) bound testing established by (</w:t>
      </w:r>
      <w:proofErr w:type="spellStart"/>
      <w:r w:rsidRPr="000B05CC">
        <w:rPr>
          <w:rFonts w:ascii="Arial" w:hAnsi="Arial" w:cs="Arial"/>
        </w:rPr>
        <w:t>Pesaran</w:t>
      </w:r>
      <w:proofErr w:type="spellEnd"/>
      <w:r w:rsidRPr="000B05CC">
        <w:rPr>
          <w:rFonts w:ascii="Arial" w:hAnsi="Arial" w:cs="Arial"/>
        </w:rPr>
        <w:t xml:space="preserve"> and Shin, 1999; </w:t>
      </w:r>
      <w:proofErr w:type="spellStart"/>
      <w:r w:rsidRPr="000B05CC">
        <w:rPr>
          <w:rFonts w:ascii="Arial" w:hAnsi="Arial" w:cs="Arial"/>
        </w:rPr>
        <w:t>Pesaran</w:t>
      </w:r>
      <w:proofErr w:type="spellEnd"/>
      <w:r w:rsidRPr="000B05CC">
        <w:rPr>
          <w:rFonts w:ascii="Arial" w:hAnsi="Arial" w:cs="Arial"/>
        </w:rPr>
        <w:t xml:space="preserve"> et al., 2001) was used to determine </w:t>
      </w:r>
      <w:r w:rsidR="000806CE">
        <w:rPr>
          <w:rFonts w:ascii="Arial" w:hAnsi="Arial" w:cs="Arial"/>
        </w:rPr>
        <w:t>Fintech's</w:t>
      </w:r>
      <w:r w:rsidRPr="000B05CC">
        <w:rPr>
          <w:rFonts w:ascii="Arial" w:hAnsi="Arial" w:cs="Arial"/>
        </w:rPr>
        <w:t xml:space="preserve"> long and short-run impact </w:t>
      </w:r>
      <w:r w:rsidR="000806CE">
        <w:rPr>
          <w:rFonts w:ascii="Arial" w:hAnsi="Arial" w:cs="Arial"/>
        </w:rPr>
        <w:t xml:space="preserve">on the United Kingdom's </w:t>
      </w:r>
      <w:r w:rsidRPr="000B05CC">
        <w:rPr>
          <w:rFonts w:ascii="Arial" w:hAnsi="Arial" w:cs="Arial"/>
        </w:rPr>
        <w:t>economic performance</w:t>
      </w:r>
      <w:r w:rsidRPr="000B05CC">
        <w:rPr>
          <w:rFonts w:ascii="Arial" w:hAnsi="Arial" w:cs="Arial"/>
          <w:b/>
          <w:bCs/>
        </w:rPr>
        <w:t>.</w:t>
      </w:r>
      <w:r w:rsidRPr="000B05CC">
        <w:rPr>
          <w:rFonts w:ascii="Arial" w:hAnsi="Arial" w:cs="Arial"/>
        </w:rPr>
        <w:t xml:space="preserve"> The ARDL is appropriate since it is applied regardless of whether the underlying variables being integrated are of </w:t>
      </w:r>
      <w:r w:rsidRPr="000B05CC">
        <w:rPr>
          <w:rFonts w:ascii="Arial" w:hAnsi="Arial" w:cs="Arial"/>
        </w:rPr>
        <w:t>order I (0), I (1), or I (2). The ARDL strategy is more robust and performs better for finite samples than previous co-integration strategies (</w:t>
      </w:r>
      <w:proofErr w:type="spellStart"/>
      <w:r w:rsidRPr="000B05CC">
        <w:rPr>
          <w:rFonts w:ascii="Arial" w:hAnsi="Arial" w:cs="Arial"/>
        </w:rPr>
        <w:t>Kalim</w:t>
      </w:r>
      <w:proofErr w:type="spellEnd"/>
      <w:r w:rsidRPr="000B05CC">
        <w:rPr>
          <w:rFonts w:ascii="Arial" w:hAnsi="Arial" w:cs="Arial"/>
        </w:rPr>
        <w:t xml:space="preserve"> &amp; Shahbaz, 2008). </w:t>
      </w:r>
      <w:proofErr w:type="spellStart"/>
      <w:r w:rsidRPr="000B05CC">
        <w:rPr>
          <w:rFonts w:ascii="Arial" w:hAnsi="Arial" w:cs="Arial"/>
        </w:rPr>
        <w:t>Pesaran</w:t>
      </w:r>
      <w:proofErr w:type="spellEnd"/>
      <w:r w:rsidRPr="000B05CC">
        <w:rPr>
          <w:rFonts w:ascii="Arial" w:hAnsi="Arial" w:cs="Arial"/>
        </w:rPr>
        <w:t xml:space="preserve"> et al. (2001) employed this strategy. </w:t>
      </w:r>
    </w:p>
    <w:p w14:paraId="5A9C26DB" w14:textId="77777777" w:rsidR="00A504CE" w:rsidRPr="000B05CC" w:rsidRDefault="00A504CE" w:rsidP="00A504CE">
      <w:pPr>
        <w:pStyle w:val="Default"/>
        <w:jc w:val="both"/>
        <w:rPr>
          <w:sz w:val="22"/>
          <w:szCs w:val="22"/>
        </w:rPr>
      </w:pPr>
      <w:r w:rsidRPr="000B05CC">
        <w:rPr>
          <w:sz w:val="22"/>
          <w:szCs w:val="22"/>
        </w:rPr>
        <w:t xml:space="preserve">The generalized ARDL (p, q) model is specified as: </w:t>
      </w:r>
    </w:p>
    <w:p w14:paraId="0292AA27" w14:textId="77777777" w:rsidR="00A504CE" w:rsidRPr="000B05CC" w:rsidRDefault="00A504CE" w:rsidP="00A504CE">
      <w:pPr>
        <w:pStyle w:val="Default"/>
        <w:jc w:val="both"/>
        <w:rPr>
          <w:sz w:val="22"/>
          <w:szCs w:val="22"/>
        </w:rPr>
      </w:pPr>
    </w:p>
    <w:p w14:paraId="52BD952B" w14:textId="7EE69F1B" w:rsidR="00A504CE" w:rsidRPr="000B05CC" w:rsidRDefault="00A504CE" w:rsidP="00C61ED7">
      <w:pPr>
        <w:pStyle w:val="Default"/>
        <w:jc w:val="both"/>
        <w:rPr>
          <w:sz w:val="22"/>
          <w:szCs w:val="22"/>
        </w:rPr>
      </w:pPr>
      <w:proofErr w:type="spellStart"/>
      <w:r w:rsidRPr="000B05CC">
        <w:rPr>
          <w:sz w:val="22"/>
          <w:szCs w:val="22"/>
        </w:rPr>
        <w:t>Yt</w:t>
      </w:r>
      <w:proofErr w:type="spellEnd"/>
      <w:r w:rsidRPr="000B05CC">
        <w:rPr>
          <w:sz w:val="22"/>
          <w:szCs w:val="22"/>
        </w:rPr>
        <w:t xml:space="preserve"> = α0i + ΣβiYt−1 </w:t>
      </w:r>
      <w:proofErr w:type="spellStart"/>
      <w:r w:rsidRPr="000B05CC">
        <w:rPr>
          <w:sz w:val="22"/>
          <w:szCs w:val="22"/>
        </w:rPr>
        <w:t>pt</w:t>
      </w:r>
      <w:proofErr w:type="spellEnd"/>
      <w:r w:rsidRPr="000B05CC">
        <w:rPr>
          <w:sz w:val="22"/>
          <w:szCs w:val="22"/>
        </w:rPr>
        <w:t>=1 + ΣδiXt−1qt=1 + ϵit ………………</w:t>
      </w:r>
      <w:proofErr w:type="gramStart"/>
      <w:r w:rsidRPr="000B05CC">
        <w:rPr>
          <w:sz w:val="22"/>
          <w:szCs w:val="22"/>
        </w:rPr>
        <w:t>…..</w:t>
      </w:r>
      <w:proofErr w:type="gramEnd"/>
      <w:r w:rsidRPr="000B05CC">
        <w:rPr>
          <w:sz w:val="22"/>
          <w:szCs w:val="22"/>
        </w:rPr>
        <w:t>………………………… (</w:t>
      </w:r>
      <w:proofErr w:type="spellStart"/>
      <w:r w:rsidRPr="000B05CC">
        <w:rPr>
          <w:sz w:val="22"/>
          <w:szCs w:val="22"/>
        </w:rPr>
        <w:t>i</w:t>
      </w:r>
      <w:proofErr w:type="spellEnd"/>
      <w:r w:rsidRPr="000B05CC">
        <w:rPr>
          <w:sz w:val="22"/>
          <w:szCs w:val="22"/>
        </w:rPr>
        <w:t xml:space="preserve">) </w:t>
      </w:r>
    </w:p>
    <w:p w14:paraId="01BB5DFA" w14:textId="77777777" w:rsidR="00C61ED7" w:rsidRPr="000B05CC" w:rsidRDefault="00C61ED7" w:rsidP="00C61ED7">
      <w:pPr>
        <w:pStyle w:val="Default"/>
        <w:jc w:val="both"/>
        <w:rPr>
          <w:sz w:val="22"/>
          <w:szCs w:val="22"/>
        </w:rPr>
      </w:pPr>
    </w:p>
    <w:p w14:paraId="610EAA7B" w14:textId="4F96440D" w:rsidR="00A504CE" w:rsidRPr="000B05CC" w:rsidRDefault="00A504CE" w:rsidP="00A504CE">
      <w:pPr>
        <w:jc w:val="both"/>
        <w:rPr>
          <w:rFonts w:ascii="Arial" w:hAnsi="Arial" w:cs="Arial"/>
        </w:rPr>
      </w:pPr>
      <w:r w:rsidRPr="000B05CC">
        <w:rPr>
          <w:rFonts w:ascii="Arial" w:hAnsi="Arial" w:cs="Arial"/>
        </w:rPr>
        <w:t xml:space="preserve">Where </w:t>
      </w:r>
      <w:proofErr w:type="spellStart"/>
      <w:r w:rsidRPr="000B05CC">
        <w:rPr>
          <w:rFonts w:ascii="Arial" w:hAnsi="Arial" w:cs="Arial"/>
        </w:rPr>
        <w:t>Yt</w:t>
      </w:r>
      <w:proofErr w:type="spellEnd"/>
      <w:r w:rsidRPr="000B05CC">
        <w:rPr>
          <w:rFonts w:ascii="Arial" w:hAnsi="Arial" w:cs="Arial"/>
        </w:rPr>
        <w:t xml:space="preserve"> is the dependent variable and the variables in </w:t>
      </w:r>
      <w:proofErr w:type="spellStart"/>
      <w:r w:rsidRPr="000B05CC">
        <w:rPr>
          <w:rFonts w:ascii="Arial" w:hAnsi="Arial" w:cs="Arial"/>
        </w:rPr>
        <w:t>Xt</w:t>
      </w:r>
      <w:proofErr w:type="spellEnd"/>
      <w:r w:rsidRPr="000B05CC">
        <w:rPr>
          <w:rFonts w:ascii="Arial" w:hAnsi="Arial" w:cs="Arial"/>
        </w:rPr>
        <w:t xml:space="preserve"> are independent variables that can be purely </w:t>
      </w:r>
      <w:proofErr w:type="gramStart"/>
      <w:r w:rsidRPr="000B05CC">
        <w:rPr>
          <w:rFonts w:ascii="Arial" w:hAnsi="Arial" w:cs="Arial"/>
        </w:rPr>
        <w:t>I(</w:t>
      </w:r>
      <w:proofErr w:type="gramEnd"/>
      <w:r w:rsidRPr="000B05CC">
        <w:rPr>
          <w:rFonts w:ascii="Arial" w:hAnsi="Arial" w:cs="Arial"/>
        </w:rPr>
        <w:t xml:space="preserve">0), I(1), or co-integrated; and are coefficients; </w:t>
      </w:r>
      <w:proofErr w:type="spellStart"/>
      <w:r w:rsidRPr="000B05CC">
        <w:rPr>
          <w:rFonts w:ascii="Arial" w:hAnsi="Arial" w:cs="Arial"/>
        </w:rPr>
        <w:t>i</w:t>
      </w:r>
      <w:proofErr w:type="spellEnd"/>
      <w:r w:rsidRPr="000B05CC">
        <w:rPr>
          <w:rFonts w:ascii="Arial" w:hAnsi="Arial" w:cs="Arial"/>
        </w:rPr>
        <w:t xml:space="preserve"> = 1,..., k; p is the optimal lag order for the dependent variable and q is the optimal lag order for the exogenous variables. The lag durations of p and q may not be the same; this is the white noise error term. This test uses the FPSS critical values from </w:t>
      </w:r>
      <w:proofErr w:type="spellStart"/>
      <w:r w:rsidRPr="000B05CC">
        <w:rPr>
          <w:rFonts w:ascii="Arial" w:hAnsi="Arial" w:cs="Arial"/>
        </w:rPr>
        <w:t>Pesaran</w:t>
      </w:r>
      <w:proofErr w:type="spellEnd"/>
      <w:r w:rsidRPr="000B05CC">
        <w:rPr>
          <w:rFonts w:ascii="Arial" w:hAnsi="Arial" w:cs="Arial"/>
        </w:rPr>
        <w:t xml:space="preserve"> (1997) and </w:t>
      </w:r>
      <w:proofErr w:type="spellStart"/>
      <w:r w:rsidRPr="000B05CC">
        <w:rPr>
          <w:rFonts w:ascii="Arial" w:hAnsi="Arial" w:cs="Arial"/>
        </w:rPr>
        <w:t>Pesaran</w:t>
      </w:r>
      <w:proofErr w:type="spellEnd"/>
      <w:r w:rsidRPr="000B05CC">
        <w:rPr>
          <w:rFonts w:ascii="Arial" w:hAnsi="Arial" w:cs="Arial"/>
        </w:rPr>
        <w:t xml:space="preserve"> et al. (2001), as well as the decision rules listed in Table 2 below.</w:t>
      </w:r>
    </w:p>
    <w:p w14:paraId="4F235756" w14:textId="77777777" w:rsidR="00782F72" w:rsidRPr="000B05CC" w:rsidRDefault="00782F72" w:rsidP="000F4BD1">
      <w:pPr>
        <w:jc w:val="center"/>
        <w:rPr>
          <w:rFonts w:ascii="Arial" w:hAnsi="Arial" w:cs="Arial"/>
          <w:b/>
          <w:bCs/>
        </w:rPr>
        <w:sectPr w:rsidR="00782F72" w:rsidRPr="000B05CC" w:rsidSect="00782F72">
          <w:type w:val="continuous"/>
          <w:pgSz w:w="11906" w:h="16838" w:code="9"/>
          <w:pgMar w:top="1440" w:right="1440" w:bottom="1440" w:left="1440" w:header="720" w:footer="720" w:gutter="0"/>
          <w:cols w:num="2" w:space="720"/>
          <w:docGrid w:linePitch="360"/>
        </w:sectPr>
      </w:pPr>
    </w:p>
    <w:p w14:paraId="595F501C" w14:textId="77777777" w:rsidR="00F96B08" w:rsidRPr="000B05CC" w:rsidRDefault="00F96B08" w:rsidP="000F4BD1">
      <w:pPr>
        <w:jc w:val="center"/>
        <w:rPr>
          <w:rFonts w:ascii="Arial" w:hAnsi="Arial" w:cs="Arial"/>
          <w:b/>
          <w:bCs/>
          <w:sz w:val="10"/>
          <w:szCs w:val="10"/>
        </w:rPr>
      </w:pPr>
    </w:p>
    <w:p w14:paraId="0BCB32D2" w14:textId="3466733A" w:rsidR="000F4BD1" w:rsidRPr="000B05CC" w:rsidRDefault="000F4BD1" w:rsidP="000F4BD1">
      <w:pPr>
        <w:jc w:val="center"/>
        <w:rPr>
          <w:rFonts w:ascii="Arial" w:hAnsi="Arial" w:cs="Arial"/>
        </w:rPr>
      </w:pPr>
      <w:r w:rsidRPr="000B05CC">
        <w:rPr>
          <w:rFonts w:ascii="Arial" w:hAnsi="Arial" w:cs="Arial"/>
          <w:b/>
          <w:bCs/>
        </w:rPr>
        <w:t>Table 2: Summary of FPSS Decision Rules</w:t>
      </w:r>
    </w:p>
    <w:tbl>
      <w:tblPr>
        <w:tblStyle w:val="PlainTable2"/>
        <w:tblW w:w="9630" w:type="dxa"/>
        <w:tblLayout w:type="fixed"/>
        <w:tblLook w:val="0000" w:firstRow="0" w:lastRow="0" w:firstColumn="0" w:lastColumn="0" w:noHBand="0" w:noVBand="0"/>
      </w:tblPr>
      <w:tblGrid>
        <w:gridCol w:w="3150"/>
        <w:gridCol w:w="3330"/>
        <w:gridCol w:w="3150"/>
      </w:tblGrid>
      <w:tr w:rsidR="000F4BD1" w:rsidRPr="000B05CC" w14:paraId="5BF1B7C8" w14:textId="77777777" w:rsidTr="002B229E">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3150" w:type="dxa"/>
          </w:tcPr>
          <w:p w14:paraId="1C1C8D55" w14:textId="51EBCF68" w:rsidR="000F4BD1" w:rsidRPr="000B05CC" w:rsidRDefault="000F4BD1">
            <w:pPr>
              <w:pStyle w:val="Default"/>
              <w:rPr>
                <w:sz w:val="22"/>
                <w:szCs w:val="22"/>
              </w:rPr>
            </w:pPr>
            <w:r w:rsidRPr="000B05CC">
              <w:rPr>
                <w:b/>
                <w:bCs/>
                <w:sz w:val="22"/>
                <w:szCs w:val="22"/>
              </w:rPr>
              <w:t xml:space="preserve">STATE </w:t>
            </w:r>
          </w:p>
        </w:tc>
        <w:tc>
          <w:tcPr>
            <w:cnfStyle w:val="000001000000" w:firstRow="0" w:lastRow="0" w:firstColumn="0" w:lastColumn="0" w:oddVBand="0" w:evenVBand="1" w:oddHBand="0" w:evenHBand="0" w:firstRowFirstColumn="0" w:firstRowLastColumn="0" w:lastRowFirstColumn="0" w:lastRowLastColumn="0"/>
            <w:tcW w:w="3330" w:type="dxa"/>
          </w:tcPr>
          <w:p w14:paraId="0E66B353" w14:textId="77777777" w:rsidR="000F4BD1" w:rsidRPr="000B05CC" w:rsidRDefault="000F4BD1">
            <w:pPr>
              <w:pStyle w:val="Default"/>
              <w:rPr>
                <w:sz w:val="22"/>
                <w:szCs w:val="22"/>
              </w:rPr>
            </w:pPr>
            <w:r w:rsidRPr="000B05CC">
              <w:rPr>
                <w:b/>
                <w:bCs/>
                <w:sz w:val="22"/>
                <w:szCs w:val="22"/>
              </w:rPr>
              <w:t xml:space="preserve">INFERENCE </w:t>
            </w:r>
          </w:p>
        </w:tc>
        <w:tc>
          <w:tcPr>
            <w:cnfStyle w:val="000010000000" w:firstRow="0" w:lastRow="0" w:firstColumn="0" w:lastColumn="0" w:oddVBand="1" w:evenVBand="0" w:oddHBand="0" w:evenHBand="0" w:firstRowFirstColumn="0" w:firstRowLastColumn="0" w:lastRowFirstColumn="0" w:lastRowLastColumn="0"/>
            <w:tcW w:w="3150" w:type="dxa"/>
          </w:tcPr>
          <w:p w14:paraId="14FA2888" w14:textId="77777777" w:rsidR="000F4BD1" w:rsidRPr="000B05CC" w:rsidRDefault="000F4BD1">
            <w:pPr>
              <w:pStyle w:val="Default"/>
              <w:rPr>
                <w:sz w:val="22"/>
                <w:szCs w:val="22"/>
              </w:rPr>
            </w:pPr>
            <w:r w:rsidRPr="000B05CC">
              <w:rPr>
                <w:b/>
                <w:bCs/>
                <w:sz w:val="22"/>
                <w:szCs w:val="22"/>
              </w:rPr>
              <w:t xml:space="preserve">REMARKS </w:t>
            </w:r>
          </w:p>
        </w:tc>
      </w:tr>
      <w:tr w:rsidR="000F4BD1" w:rsidRPr="000B05CC" w14:paraId="6DC78737" w14:textId="77777777" w:rsidTr="002B229E">
        <w:trPr>
          <w:trHeight w:val="442"/>
        </w:trPr>
        <w:tc>
          <w:tcPr>
            <w:cnfStyle w:val="000010000000" w:firstRow="0" w:lastRow="0" w:firstColumn="0" w:lastColumn="0" w:oddVBand="1" w:evenVBand="0" w:oddHBand="0" w:evenHBand="0" w:firstRowFirstColumn="0" w:firstRowLastColumn="0" w:lastRowFirstColumn="0" w:lastRowLastColumn="0"/>
            <w:tcW w:w="3150" w:type="dxa"/>
          </w:tcPr>
          <w:p w14:paraId="63244D58" w14:textId="77777777" w:rsidR="000F4BD1" w:rsidRPr="000B05CC" w:rsidRDefault="000F4BD1">
            <w:pPr>
              <w:pStyle w:val="Default"/>
              <w:rPr>
                <w:sz w:val="22"/>
                <w:szCs w:val="22"/>
              </w:rPr>
            </w:pPr>
            <w:r w:rsidRPr="000B05CC">
              <w:rPr>
                <w:sz w:val="22"/>
                <w:szCs w:val="22"/>
              </w:rPr>
              <w:t xml:space="preserve">FPSS &gt; </w:t>
            </w:r>
            <w:proofErr w:type="gramStart"/>
            <w:r w:rsidRPr="000B05CC">
              <w:rPr>
                <w:sz w:val="22"/>
                <w:szCs w:val="22"/>
              </w:rPr>
              <w:t>I(</w:t>
            </w:r>
            <w:proofErr w:type="gramEnd"/>
            <w:r w:rsidRPr="000B05CC">
              <w:rPr>
                <w:sz w:val="22"/>
                <w:szCs w:val="22"/>
              </w:rPr>
              <w:t xml:space="preserve">1) </w:t>
            </w:r>
          </w:p>
          <w:p w14:paraId="02B81312" w14:textId="77777777" w:rsidR="000F4BD1" w:rsidRPr="000B05CC" w:rsidRDefault="000F4BD1">
            <w:pPr>
              <w:pStyle w:val="Default"/>
              <w:rPr>
                <w:sz w:val="22"/>
                <w:szCs w:val="22"/>
              </w:rPr>
            </w:pPr>
            <w:r w:rsidRPr="000B05CC">
              <w:rPr>
                <w:sz w:val="22"/>
                <w:szCs w:val="22"/>
              </w:rPr>
              <w:t xml:space="preserve">FPSS &lt; </w:t>
            </w:r>
            <w:proofErr w:type="gramStart"/>
            <w:r w:rsidRPr="000B05CC">
              <w:rPr>
                <w:sz w:val="22"/>
                <w:szCs w:val="22"/>
              </w:rPr>
              <w:t>I(</w:t>
            </w:r>
            <w:proofErr w:type="gramEnd"/>
            <w:r w:rsidRPr="000B05CC">
              <w:rPr>
                <w:sz w:val="22"/>
                <w:szCs w:val="22"/>
              </w:rPr>
              <w:t xml:space="preserve">0) and I(1) </w:t>
            </w:r>
          </w:p>
          <w:p w14:paraId="6AC054CE" w14:textId="77777777" w:rsidR="000F4BD1" w:rsidRPr="000B05CC" w:rsidRDefault="000F4BD1">
            <w:pPr>
              <w:pStyle w:val="Default"/>
              <w:rPr>
                <w:sz w:val="22"/>
                <w:szCs w:val="22"/>
              </w:rPr>
            </w:pPr>
            <w:r w:rsidRPr="000B05CC">
              <w:rPr>
                <w:sz w:val="22"/>
                <w:szCs w:val="22"/>
              </w:rPr>
              <w:t xml:space="preserve">FPSS within </w:t>
            </w:r>
            <w:proofErr w:type="gramStart"/>
            <w:r w:rsidRPr="000B05CC">
              <w:rPr>
                <w:sz w:val="22"/>
                <w:szCs w:val="22"/>
              </w:rPr>
              <w:t>I(</w:t>
            </w:r>
            <w:proofErr w:type="gramEnd"/>
            <w:r w:rsidRPr="000B05CC">
              <w:rPr>
                <w:sz w:val="22"/>
                <w:szCs w:val="22"/>
              </w:rPr>
              <w:t xml:space="preserve">1) and I(0) </w:t>
            </w:r>
          </w:p>
        </w:tc>
        <w:tc>
          <w:tcPr>
            <w:cnfStyle w:val="000001000000" w:firstRow="0" w:lastRow="0" w:firstColumn="0" w:lastColumn="0" w:oddVBand="0" w:evenVBand="1" w:oddHBand="0" w:evenHBand="0" w:firstRowFirstColumn="0" w:firstRowLastColumn="0" w:lastRowFirstColumn="0" w:lastRowLastColumn="0"/>
            <w:tcW w:w="3330" w:type="dxa"/>
          </w:tcPr>
          <w:p w14:paraId="6F8256AD" w14:textId="26BDC01F" w:rsidR="000F4BD1" w:rsidRPr="000B05CC" w:rsidRDefault="000F4BD1">
            <w:pPr>
              <w:pStyle w:val="Default"/>
              <w:rPr>
                <w:sz w:val="22"/>
                <w:szCs w:val="22"/>
              </w:rPr>
            </w:pPr>
            <w:r w:rsidRPr="000B05CC">
              <w:rPr>
                <w:sz w:val="22"/>
                <w:szCs w:val="22"/>
              </w:rPr>
              <w:t xml:space="preserve">Ho is </w:t>
            </w:r>
            <w:r w:rsidR="00C61ED7" w:rsidRPr="000B05CC">
              <w:rPr>
                <w:sz w:val="22"/>
                <w:szCs w:val="22"/>
              </w:rPr>
              <w:t>rejected.</w:t>
            </w:r>
            <w:r w:rsidRPr="000B05CC">
              <w:rPr>
                <w:sz w:val="22"/>
                <w:szCs w:val="22"/>
              </w:rPr>
              <w:t xml:space="preserve"> </w:t>
            </w:r>
          </w:p>
          <w:p w14:paraId="764414A5" w14:textId="405AB7FF" w:rsidR="000F4BD1" w:rsidRPr="000B05CC" w:rsidRDefault="000F4BD1">
            <w:pPr>
              <w:pStyle w:val="Default"/>
              <w:rPr>
                <w:sz w:val="22"/>
                <w:szCs w:val="22"/>
              </w:rPr>
            </w:pPr>
            <w:r w:rsidRPr="000B05CC">
              <w:rPr>
                <w:sz w:val="22"/>
                <w:szCs w:val="22"/>
              </w:rPr>
              <w:t xml:space="preserve">Ho cannot be </w:t>
            </w:r>
            <w:r w:rsidR="00C61ED7" w:rsidRPr="000B05CC">
              <w:rPr>
                <w:sz w:val="22"/>
                <w:szCs w:val="22"/>
              </w:rPr>
              <w:t>rejected.</w:t>
            </w:r>
            <w:r w:rsidRPr="000B05CC">
              <w:rPr>
                <w:sz w:val="22"/>
                <w:szCs w:val="22"/>
              </w:rPr>
              <w:t xml:space="preserve"> </w:t>
            </w:r>
          </w:p>
          <w:p w14:paraId="2CD8EA10" w14:textId="77777777" w:rsidR="000F4BD1" w:rsidRPr="000B05CC" w:rsidRDefault="000F4BD1">
            <w:pPr>
              <w:pStyle w:val="Default"/>
              <w:rPr>
                <w:sz w:val="22"/>
                <w:szCs w:val="22"/>
              </w:rPr>
            </w:pPr>
            <w:r w:rsidRPr="000B05CC">
              <w:rPr>
                <w:sz w:val="22"/>
                <w:szCs w:val="22"/>
              </w:rPr>
              <w:t xml:space="preserve">Inconclusive Results </w:t>
            </w:r>
          </w:p>
        </w:tc>
        <w:tc>
          <w:tcPr>
            <w:cnfStyle w:val="000010000000" w:firstRow="0" w:lastRow="0" w:firstColumn="0" w:lastColumn="0" w:oddVBand="1" w:evenVBand="0" w:oddHBand="0" w:evenHBand="0" w:firstRowFirstColumn="0" w:firstRowLastColumn="0" w:lastRowFirstColumn="0" w:lastRowLastColumn="0"/>
            <w:tcW w:w="3150" w:type="dxa"/>
          </w:tcPr>
          <w:p w14:paraId="189845DA" w14:textId="1E4EFC72" w:rsidR="000F4BD1" w:rsidRPr="000B05CC" w:rsidRDefault="000F4BD1">
            <w:pPr>
              <w:pStyle w:val="Default"/>
              <w:rPr>
                <w:sz w:val="22"/>
                <w:szCs w:val="22"/>
              </w:rPr>
            </w:pPr>
            <w:r w:rsidRPr="000B05CC">
              <w:rPr>
                <w:sz w:val="22"/>
                <w:szCs w:val="22"/>
              </w:rPr>
              <w:t xml:space="preserve">Co-integration is </w:t>
            </w:r>
            <w:r w:rsidR="00C61ED7" w:rsidRPr="000B05CC">
              <w:rPr>
                <w:sz w:val="22"/>
                <w:szCs w:val="22"/>
              </w:rPr>
              <w:t>inferred.</w:t>
            </w:r>
            <w:r w:rsidRPr="000B05CC">
              <w:rPr>
                <w:sz w:val="22"/>
                <w:szCs w:val="22"/>
              </w:rPr>
              <w:t xml:space="preserve"> </w:t>
            </w:r>
          </w:p>
          <w:p w14:paraId="24BC6E19" w14:textId="77777777" w:rsidR="000F4BD1" w:rsidRPr="000B05CC" w:rsidRDefault="000F4BD1">
            <w:pPr>
              <w:pStyle w:val="Default"/>
              <w:rPr>
                <w:sz w:val="22"/>
                <w:szCs w:val="22"/>
              </w:rPr>
            </w:pPr>
            <w:r w:rsidRPr="000B05CC">
              <w:rPr>
                <w:sz w:val="22"/>
                <w:szCs w:val="22"/>
              </w:rPr>
              <w:t xml:space="preserve">No Co-integration </w:t>
            </w:r>
          </w:p>
          <w:p w14:paraId="6BD88DDF" w14:textId="77777777" w:rsidR="000F4BD1" w:rsidRPr="000B05CC" w:rsidRDefault="000F4BD1">
            <w:pPr>
              <w:pStyle w:val="Default"/>
              <w:rPr>
                <w:sz w:val="22"/>
                <w:szCs w:val="22"/>
              </w:rPr>
            </w:pPr>
            <w:r w:rsidRPr="000B05CC">
              <w:rPr>
                <w:sz w:val="22"/>
                <w:szCs w:val="22"/>
              </w:rPr>
              <w:t xml:space="preserve">Results is inconclusive </w:t>
            </w:r>
          </w:p>
        </w:tc>
      </w:tr>
    </w:tbl>
    <w:p w14:paraId="72D52A37" w14:textId="77777777" w:rsidR="00782F72" w:rsidRPr="000B05CC" w:rsidRDefault="00782F72" w:rsidP="00A504CE">
      <w:pPr>
        <w:jc w:val="both"/>
        <w:rPr>
          <w:rFonts w:ascii="Arial" w:eastAsia="Times New Roman" w:hAnsi="Arial" w:cs="Arial"/>
          <w:kern w:val="0"/>
          <w14:ligatures w14:val="none"/>
        </w:rPr>
        <w:sectPr w:rsidR="00782F72" w:rsidRPr="000B05CC" w:rsidSect="00782F72">
          <w:type w:val="continuous"/>
          <w:pgSz w:w="11906" w:h="16838" w:code="9"/>
          <w:pgMar w:top="1440" w:right="1440" w:bottom="1440" w:left="1440" w:header="720" w:footer="720" w:gutter="0"/>
          <w:cols w:space="720"/>
          <w:docGrid w:linePitch="360"/>
        </w:sectPr>
      </w:pPr>
    </w:p>
    <w:p w14:paraId="638BD3C6" w14:textId="77777777" w:rsidR="000B05CC" w:rsidRDefault="000F4BD1" w:rsidP="00A504CE">
      <w:pPr>
        <w:jc w:val="both"/>
        <w:rPr>
          <w:rFonts w:ascii="Arial" w:eastAsia="Times New Roman" w:hAnsi="Arial" w:cs="Arial"/>
          <w:kern w:val="0"/>
          <w14:ligatures w14:val="none"/>
        </w:rPr>
      </w:pPr>
      <w:r w:rsidRPr="000B05CC">
        <w:rPr>
          <w:rFonts w:ascii="Arial" w:eastAsia="Times New Roman" w:hAnsi="Arial" w:cs="Arial"/>
          <w:kern w:val="0"/>
          <w14:ligatures w14:val="none"/>
        </w:rPr>
        <w:t>We specified our model based on theoretical and empirical specifications from past research.</w:t>
      </w:r>
      <w:r w:rsidR="007C5388" w:rsidRPr="000B05CC">
        <w:rPr>
          <w:rFonts w:ascii="Arial" w:eastAsia="Times New Roman" w:hAnsi="Arial" w:cs="Arial"/>
          <w:kern w:val="0"/>
          <w14:ligatures w14:val="none"/>
        </w:rPr>
        <w:t xml:space="preserve"> </w:t>
      </w:r>
      <w:r w:rsidR="00655161" w:rsidRPr="000B05CC">
        <w:rPr>
          <w:rFonts w:ascii="Arial" w:eastAsia="Times New Roman" w:hAnsi="Arial" w:cs="Arial"/>
          <w:kern w:val="0"/>
          <w14:ligatures w14:val="none"/>
        </w:rPr>
        <w:t xml:space="preserve">This is consistent with </w:t>
      </w:r>
      <w:r w:rsidR="007C5388" w:rsidRPr="000B05CC">
        <w:rPr>
          <w:rFonts w:ascii="Arial" w:eastAsia="Times New Roman" w:hAnsi="Arial" w:cs="Arial"/>
          <w:kern w:val="0"/>
          <w14:ligatures w14:val="none"/>
        </w:rPr>
        <w:t xml:space="preserve">Andrea, </w:t>
      </w:r>
      <w:proofErr w:type="spellStart"/>
      <w:r w:rsidR="007C5388" w:rsidRPr="000B05CC">
        <w:rPr>
          <w:rFonts w:ascii="Arial" w:eastAsia="Times New Roman" w:hAnsi="Arial" w:cs="Arial"/>
          <w:kern w:val="0"/>
          <w14:ligatures w14:val="none"/>
        </w:rPr>
        <w:t>Udeh</w:t>
      </w:r>
      <w:proofErr w:type="spellEnd"/>
      <w:r w:rsidR="007C5388" w:rsidRPr="000B05CC">
        <w:rPr>
          <w:rFonts w:ascii="Arial" w:eastAsia="Times New Roman" w:hAnsi="Arial" w:cs="Arial"/>
          <w:kern w:val="0"/>
          <w14:ligatures w14:val="none"/>
        </w:rPr>
        <w:t>, and Allison (2022) findings</w:t>
      </w:r>
      <w:r w:rsidR="00655161" w:rsidRPr="000B05CC">
        <w:rPr>
          <w:rFonts w:ascii="Arial" w:eastAsia="Times New Roman" w:hAnsi="Arial" w:cs="Arial"/>
          <w:kern w:val="0"/>
          <w14:ligatures w14:val="none"/>
        </w:rPr>
        <w:t xml:space="preserve">, who used the following model. The models are thus stated and illustrated below. </w:t>
      </w:r>
      <w:r w:rsidR="00655161" w:rsidRPr="000B05CC">
        <w:rPr>
          <w:rFonts w:ascii="Arial" w:eastAsia="Times New Roman" w:hAnsi="Arial" w:cs="Arial"/>
          <w:kern w:val="0"/>
          <w14:ligatures w14:val="none"/>
        </w:rPr>
        <w:tab/>
      </w:r>
      <w:r w:rsidR="00655161" w:rsidRPr="000B05CC">
        <w:rPr>
          <w:rFonts w:ascii="Arial" w:eastAsia="Times New Roman" w:hAnsi="Arial" w:cs="Arial"/>
          <w:kern w:val="0"/>
          <w14:ligatures w14:val="none"/>
        </w:rPr>
        <w:tab/>
      </w:r>
      <w:r w:rsidR="00655161" w:rsidRPr="000B05CC">
        <w:rPr>
          <w:rFonts w:ascii="Arial" w:eastAsia="Times New Roman" w:hAnsi="Arial" w:cs="Arial"/>
          <w:kern w:val="0"/>
          <w14:ligatures w14:val="none"/>
        </w:rPr>
        <w:tab/>
      </w:r>
      <w:r w:rsidR="00655161" w:rsidRPr="000B05CC">
        <w:rPr>
          <w:rFonts w:ascii="Arial" w:eastAsia="Times New Roman" w:hAnsi="Arial" w:cs="Arial"/>
          <w:kern w:val="0"/>
          <w14:ligatures w14:val="none"/>
        </w:rPr>
        <w:tab/>
      </w:r>
      <w:r w:rsidR="00655161" w:rsidRPr="000B05CC">
        <w:rPr>
          <w:rFonts w:ascii="Arial" w:eastAsia="Times New Roman" w:hAnsi="Arial" w:cs="Arial"/>
          <w:kern w:val="0"/>
          <w14:ligatures w14:val="none"/>
        </w:rPr>
        <w:tab/>
      </w:r>
    </w:p>
    <w:p w14:paraId="49CADFF4" w14:textId="56B47225" w:rsidR="006C5ED0" w:rsidRPr="000B05CC" w:rsidRDefault="00655161" w:rsidP="00A504CE">
      <w:pPr>
        <w:jc w:val="both"/>
        <w:rPr>
          <w:rFonts w:ascii="Arial" w:eastAsia="Times New Roman" w:hAnsi="Arial" w:cs="Arial"/>
          <w:kern w:val="0"/>
          <w14:ligatures w14:val="none"/>
        </w:rPr>
      </w:pPr>
      <w:r w:rsidRPr="000B05CC">
        <w:rPr>
          <w:rFonts w:ascii="Arial" w:hAnsi="Arial" w:cs="Arial"/>
          <w:shd w:val="clear" w:color="auto" w:fill="FFFFFF"/>
        </w:rPr>
        <w:t>GDP = f (ATM, POS, MAP)</w:t>
      </w:r>
      <w:r w:rsidRPr="000B05CC">
        <w:rPr>
          <w:rFonts w:ascii="Arial" w:hAnsi="Arial" w:cs="Arial"/>
        </w:rPr>
        <w:t xml:space="preserve"> …………………………………… (</w:t>
      </w:r>
      <w:proofErr w:type="spellStart"/>
      <w:r w:rsidRPr="000B05CC">
        <w:rPr>
          <w:rFonts w:ascii="Arial" w:hAnsi="Arial" w:cs="Arial"/>
        </w:rPr>
        <w:t>i</w:t>
      </w:r>
      <w:proofErr w:type="spellEnd"/>
      <w:r w:rsidRPr="000B05CC">
        <w:rPr>
          <w:rFonts w:ascii="Arial" w:hAnsi="Arial" w:cs="Arial"/>
        </w:rPr>
        <w:t>)</w:t>
      </w:r>
      <w:r w:rsidRPr="000B05CC">
        <w:rPr>
          <w:rFonts w:ascii="Arial" w:eastAsia="Times New Roman" w:hAnsi="Arial" w:cs="Arial"/>
          <w:kern w:val="0"/>
          <w14:ligatures w14:val="none"/>
        </w:rPr>
        <w:tab/>
        <w:t xml:space="preserve">                              The model was thus expressed in a linear equation form</w:t>
      </w:r>
      <w:r w:rsidRPr="000B05CC">
        <w:rPr>
          <w:rFonts w:ascii="Arial" w:hAnsi="Arial" w:cs="Arial"/>
        </w:rPr>
        <w:t>.</w:t>
      </w:r>
      <w:r w:rsidRPr="000B05CC">
        <w:rPr>
          <w:rFonts w:ascii="Arial" w:hAnsi="Arial" w:cs="Arial"/>
        </w:rPr>
        <w:tab/>
      </w:r>
      <w:r w:rsidRPr="000B05CC">
        <w:rPr>
          <w:rFonts w:ascii="Arial" w:hAnsi="Arial" w:cs="Arial"/>
          <w:b/>
        </w:rPr>
        <w:tab/>
      </w:r>
      <w:r w:rsidRPr="000B05CC">
        <w:rPr>
          <w:rFonts w:ascii="Arial" w:eastAsia="Times New Roman" w:hAnsi="Arial" w:cs="Arial"/>
          <w:kern w:val="0"/>
          <w14:ligatures w14:val="none"/>
        </w:rPr>
        <w:tab/>
      </w:r>
      <w:r w:rsidRPr="000B05CC">
        <w:rPr>
          <w:rFonts w:ascii="Arial" w:eastAsia="Times New Roman" w:hAnsi="Arial" w:cs="Arial"/>
          <w:kern w:val="0"/>
          <w14:ligatures w14:val="none"/>
        </w:rPr>
        <w:tab/>
        <w:t xml:space="preserve">                                              </w:t>
      </w:r>
      <w:r w:rsidRPr="000B05CC">
        <w:rPr>
          <w:rFonts w:ascii="Arial" w:hAnsi="Arial" w:cs="Arial"/>
          <w:shd w:val="clear" w:color="auto" w:fill="FFFFFF"/>
        </w:rPr>
        <w:t>GDP = βo + β1ATM + β2POS +β3MAP +μ .............................................................(ii)</w:t>
      </w:r>
      <w:r w:rsidRPr="000B05CC">
        <w:rPr>
          <w:rFonts w:ascii="Arial" w:eastAsia="Times New Roman" w:hAnsi="Arial" w:cs="Arial"/>
          <w:kern w:val="0"/>
          <w14:ligatures w14:val="none"/>
        </w:rPr>
        <w:t xml:space="preserve">        </w:t>
      </w:r>
    </w:p>
    <w:p w14:paraId="1EFB41AE" w14:textId="1882C53A" w:rsidR="000C07FB" w:rsidRPr="000B05CC" w:rsidRDefault="000C07FB" w:rsidP="00A504CE">
      <w:pPr>
        <w:jc w:val="both"/>
        <w:rPr>
          <w:rFonts w:ascii="Arial" w:eastAsia="Times New Roman" w:hAnsi="Arial" w:cs="Arial"/>
          <w:kern w:val="0"/>
          <w14:ligatures w14:val="none"/>
        </w:rPr>
      </w:pPr>
      <w:r w:rsidRPr="000B05CC">
        <w:rPr>
          <w:rFonts w:ascii="Arial" w:hAnsi="Arial" w:cs="Arial"/>
          <w:b/>
          <w:bCs/>
          <w:shd w:val="clear" w:color="auto" w:fill="FFFFFF"/>
        </w:rPr>
        <w:t>Where</w:t>
      </w:r>
      <w:r w:rsidRPr="000B05CC">
        <w:rPr>
          <w:rFonts w:ascii="Arial" w:hAnsi="Arial" w:cs="Arial"/>
          <w:shd w:val="clear" w:color="auto" w:fill="FFFFFF"/>
        </w:rPr>
        <w:t>.</w:t>
      </w:r>
      <w:r w:rsidRPr="000B05CC">
        <w:rPr>
          <w:rFonts w:ascii="Arial" w:eastAsia="Times New Roman" w:hAnsi="Arial" w:cs="Arial"/>
          <w:kern w:val="0"/>
          <w14:ligatures w14:val="none"/>
        </w:rPr>
        <w:tab/>
      </w:r>
      <w:r w:rsidRPr="000B05CC">
        <w:rPr>
          <w:rFonts w:ascii="Arial" w:eastAsia="Times New Roman" w:hAnsi="Arial" w:cs="Arial"/>
          <w:kern w:val="0"/>
          <w14:ligatures w14:val="none"/>
        </w:rPr>
        <w:tab/>
      </w:r>
      <w:r w:rsidRPr="000B05CC">
        <w:rPr>
          <w:rFonts w:ascii="Arial" w:eastAsia="Times New Roman" w:hAnsi="Arial" w:cs="Arial"/>
          <w:kern w:val="0"/>
          <w14:ligatures w14:val="none"/>
        </w:rPr>
        <w:tab/>
      </w:r>
      <w:r w:rsidRPr="000B05CC">
        <w:rPr>
          <w:rFonts w:ascii="Arial" w:eastAsia="Times New Roman" w:hAnsi="Arial" w:cs="Arial"/>
          <w:kern w:val="0"/>
          <w14:ligatures w14:val="none"/>
        </w:rPr>
        <w:tab/>
      </w:r>
      <w:r w:rsidR="000B05CC">
        <w:rPr>
          <w:rFonts w:ascii="Arial" w:eastAsia="Times New Roman" w:hAnsi="Arial" w:cs="Arial"/>
          <w:kern w:val="0"/>
          <w14:ligatures w14:val="none"/>
        </w:rPr>
        <w:t xml:space="preserve">     </w:t>
      </w:r>
      <w:r w:rsidRPr="000B05CC">
        <w:rPr>
          <w:rFonts w:ascii="Arial" w:hAnsi="Arial" w:cs="Arial"/>
          <w:shd w:val="clear" w:color="auto" w:fill="FFFFFF"/>
        </w:rPr>
        <w:t xml:space="preserve">βo = Constant Term, β1= Coefficient of Automated Teller Machine, β2= Coefficient </w:t>
      </w:r>
      <w:r w:rsidRPr="000B05CC">
        <w:rPr>
          <w:rFonts w:ascii="Arial" w:hAnsi="Arial" w:cs="Arial"/>
          <w:shd w:val="clear" w:color="auto" w:fill="FFFFFF"/>
        </w:rPr>
        <w:t>of Point-of-Sale</w:t>
      </w:r>
      <w:r w:rsidRPr="000B05CC">
        <w:rPr>
          <w:rFonts w:ascii="Arial" w:eastAsia="Times New Roman" w:hAnsi="Arial" w:cs="Arial"/>
          <w:kern w:val="0"/>
          <w14:ligatures w14:val="none"/>
        </w:rPr>
        <w:t xml:space="preserve">, </w:t>
      </w:r>
      <w:r w:rsidRPr="000B05CC">
        <w:rPr>
          <w:rFonts w:ascii="Arial" w:hAnsi="Arial" w:cs="Arial"/>
          <w:shd w:val="clear" w:color="auto" w:fill="FFFFFF"/>
        </w:rPr>
        <w:t>β3= Coefficient of Mobile Applications, μ = Error Term.</w:t>
      </w:r>
      <w:r w:rsidRPr="000B05CC">
        <w:rPr>
          <w:rFonts w:ascii="Arial" w:eastAsia="Times New Roman" w:hAnsi="Arial" w:cs="Arial"/>
          <w:kern w:val="0"/>
          <w14:ligatures w14:val="none"/>
        </w:rPr>
        <w:tab/>
      </w:r>
    </w:p>
    <w:p w14:paraId="1C7B84DD" w14:textId="77777777" w:rsidR="00D83489" w:rsidRPr="000B05CC" w:rsidRDefault="000C07FB" w:rsidP="00A504CE">
      <w:pPr>
        <w:jc w:val="both"/>
        <w:rPr>
          <w:rFonts w:ascii="Arial" w:eastAsia="Times New Roman" w:hAnsi="Arial" w:cs="Arial"/>
          <w:kern w:val="0"/>
          <w14:ligatures w14:val="none"/>
        </w:rPr>
      </w:pPr>
      <w:r w:rsidRPr="000B05CC">
        <w:rPr>
          <w:rFonts w:ascii="Arial" w:eastAsia="Times New Roman" w:hAnsi="Arial" w:cs="Arial"/>
          <w:kern w:val="0"/>
          <w14:ligatures w14:val="none"/>
        </w:rPr>
        <w:t xml:space="preserve">The ARDL model is used in this study and specified as </w:t>
      </w:r>
      <w:r w:rsidR="00D83489" w:rsidRPr="000B05CC">
        <w:rPr>
          <w:rFonts w:ascii="Arial" w:eastAsia="Times New Roman" w:hAnsi="Arial" w:cs="Arial"/>
          <w:kern w:val="0"/>
          <w14:ligatures w14:val="none"/>
        </w:rPr>
        <w:t>follows</w:t>
      </w:r>
      <w:r w:rsidRPr="000B05CC">
        <w:rPr>
          <w:rFonts w:ascii="Arial" w:eastAsia="Times New Roman" w:hAnsi="Arial" w:cs="Arial"/>
          <w:kern w:val="0"/>
          <w14:ligatures w14:val="none"/>
        </w:rPr>
        <w:t>.</w:t>
      </w:r>
      <w:r w:rsidRPr="000B05CC">
        <w:rPr>
          <w:rFonts w:ascii="Arial" w:eastAsia="Times New Roman" w:hAnsi="Arial" w:cs="Arial"/>
          <w:kern w:val="0"/>
          <w14:ligatures w14:val="none"/>
        </w:rPr>
        <w:tab/>
      </w:r>
    </w:p>
    <w:p w14:paraId="0B73D2F9" w14:textId="534384FF" w:rsidR="00782F72" w:rsidRPr="000B05CC" w:rsidRDefault="00EA277B" w:rsidP="006B0B19">
      <w:pPr>
        <w:spacing w:after="0" w:line="360" w:lineRule="auto"/>
        <w:jc w:val="both"/>
        <w:rPr>
          <w:rFonts w:ascii="Arial" w:eastAsiaTheme="minorEastAsia" w:hAnsi="Arial" w:cs="Arial"/>
        </w:rPr>
      </w:pPr>
      <m:oMathPara>
        <m:oMath>
          <m:sSub>
            <m:sSubPr>
              <m:ctrlPr>
                <w:rPr>
                  <w:rFonts w:ascii="Cambria Math" w:eastAsiaTheme="minorEastAsia" w:hAnsi="Cambria Math" w:cs="Arial"/>
                </w:rPr>
              </m:ctrlPr>
            </m:sSubPr>
            <m:e>
              <m:r>
                <m:rPr>
                  <m:sty m:val="p"/>
                </m:rPr>
                <w:rPr>
                  <w:rFonts w:ascii="Cambria Math" w:eastAsiaTheme="minorEastAsia" w:hAnsi="Cambria Math" w:cs="Arial"/>
                </w:rPr>
                <m:t>∆GDPPC</m:t>
              </m:r>
            </m:e>
            <m:sub>
              <m:r>
                <m:rPr>
                  <m:sty m:val="p"/>
                </m:rPr>
                <w:rPr>
                  <w:rFonts w:ascii="Cambria Math" w:eastAsiaTheme="minorEastAsia" w:hAnsi="Cambria Math" w:cs="Arial"/>
                </w:rPr>
                <m:t>t</m:t>
              </m:r>
            </m:sub>
          </m:sSub>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β</m:t>
              </m:r>
            </m:e>
            <m:sub>
              <m:r>
                <m:rPr>
                  <m:sty m:val="p"/>
                </m:rPr>
                <w:rPr>
                  <w:rFonts w:ascii="Cambria Math" w:eastAsiaTheme="minorEastAsia" w:hAnsi="Cambria Math" w:cs="Arial"/>
                </w:rPr>
                <m:t>0</m:t>
              </m:r>
            </m:sub>
          </m:sSub>
          <m:r>
            <m:rPr>
              <m:sty m:val="p"/>
            </m:rPr>
            <w:rPr>
              <w:rFonts w:ascii="Cambria Math" w:eastAsiaTheme="minorEastAsia" w:hAnsi="Cambria Math" w:cs="Arial"/>
            </w:rPr>
            <m:t xml:space="preserve">+ </m:t>
          </m:r>
          <m:nary>
            <m:naryPr>
              <m:chr m:val="∑"/>
              <m:limLoc m:val="undOvr"/>
              <m:ctrlPr>
                <w:rPr>
                  <w:rFonts w:ascii="Cambria Math" w:hAnsi="Cambria Math" w:cs="Arial"/>
                </w:rPr>
              </m:ctrlPr>
            </m:naryPr>
            <m:sub>
              <m:r>
                <m:rPr>
                  <m:sty m:val="p"/>
                </m:rPr>
                <w:rPr>
                  <w:rFonts w:ascii="Cambria Math" w:hAnsi="Cambria Math" w:cs="Arial"/>
                </w:rPr>
                <m:t>I=0</m:t>
              </m:r>
            </m:sub>
            <m:sup>
              <m:r>
                <m:rPr>
                  <m:sty m:val="p"/>
                </m:rPr>
                <w:rPr>
                  <w:rFonts w:ascii="Cambria Math" w:hAnsi="Cambria Math" w:cs="Arial"/>
                </w:rPr>
                <m:t>P</m:t>
              </m:r>
            </m:sup>
            <m:e>
              <m:r>
                <m:rPr>
                  <m:sty m:val="p"/>
                </m:rPr>
                <w:rPr>
                  <w:rFonts w:ascii="Cambria Math" w:hAnsi="Cambria Math" w:cs="Arial"/>
                </w:rPr>
                <m:t xml:space="preserve"> </m:t>
              </m:r>
              <m:r>
                <w:rPr>
                  <w:rFonts w:ascii="Cambria Math" w:hAnsi="Cambria Math" w:cs="Arial"/>
                </w:rPr>
                <m:t>αi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GDPPC</m:t>
              </m:r>
            </m:e>
            <m:sub>
              <m:r>
                <m:rPr>
                  <m:sty m:val="p"/>
                </m:rPr>
                <w:rPr>
                  <w:rFonts w:ascii="Cambria Math" w:eastAsiaTheme="minorEastAsia" w:hAnsi="Cambria Math" w:cs="Arial"/>
                </w:rPr>
                <m:t>t-1</m:t>
              </m:r>
            </m:sub>
          </m:sSub>
          <m:r>
            <m:rPr>
              <m:sty m:val="p"/>
            </m:rPr>
            <w:rPr>
              <w:rFonts w:ascii="Cambria Math" w:eastAsiaTheme="minorEastAsia" w:hAnsi="Cambria Math" w:cs="Arial"/>
            </w:rPr>
            <m:t xml:space="preserve">+ </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ϑi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DDP</m:t>
              </m:r>
            </m:e>
            <m:sub>
              <m:r>
                <m:rPr>
                  <m:sty m:val="p"/>
                </m:rPr>
                <w:rPr>
                  <w:rFonts w:ascii="Cambria Math" w:eastAsiaTheme="minorEastAsia" w:hAnsi="Cambria Math" w:cs="Arial"/>
                </w:rPr>
                <m:t>t-1</m:t>
              </m:r>
            </m:sub>
          </m:sSub>
          <m:r>
            <m:rPr>
              <m:sty m:val="p"/>
            </m:rPr>
            <w:rPr>
              <w:rFonts w:ascii="Cambria Math" w:eastAsiaTheme="minorEastAsia" w:hAnsi="Cambria Math" w:cs="Arial"/>
            </w:rPr>
            <m:t xml:space="preserve">+ </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σi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w:rPr>
                  <w:rFonts w:ascii="Cambria Math" w:eastAsiaTheme="minorEastAsia" w:hAnsi="Cambria Math" w:cs="Arial"/>
                </w:rPr>
                <m:t>ATM</m:t>
              </m:r>
            </m:e>
            <m:sub>
              <m:r>
                <m:rPr>
                  <m:sty m:val="p"/>
                </m:rPr>
                <w:rPr>
                  <w:rFonts w:ascii="Cambria Math" w:eastAsiaTheme="minorEastAsia" w:hAnsi="Cambria Math" w:cs="Arial"/>
                </w:rPr>
                <m:t>t-1</m:t>
              </m:r>
            </m:sub>
          </m:sSub>
          <m:r>
            <m:rPr>
              <m:sty m:val="p"/>
            </m:rPr>
            <w:rPr>
              <w:rFonts w:ascii="Cambria Math" w:eastAsiaTheme="minorEastAsia" w:hAnsi="Cambria Math" w:cs="Arial"/>
            </w:rPr>
            <m:t xml:space="preserve"> +</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σi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POS</m:t>
              </m:r>
            </m:e>
            <m:sub>
              <m:r>
                <m:rPr>
                  <m:sty m:val="p"/>
                </m:rPr>
                <w:rPr>
                  <w:rFonts w:ascii="Cambria Math" w:eastAsiaTheme="minorEastAsia" w:hAnsi="Cambria Math" w:cs="Arial"/>
                </w:rPr>
                <m:t>t-1</m:t>
              </m:r>
            </m:sub>
          </m:sSub>
          <m:r>
            <m:rPr>
              <m:sty m:val="p"/>
            </m:rPr>
            <w:rPr>
              <w:rFonts w:ascii="Cambria Math" w:eastAsiaTheme="minorEastAsia" w:hAnsi="Cambria Math" w:cs="Arial"/>
            </w:rPr>
            <m:t xml:space="preserve">+  </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σi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PGR</m:t>
              </m:r>
            </m:e>
            <m:sub>
              <m:r>
                <m:rPr>
                  <m:sty m:val="p"/>
                </m:rPr>
                <w:rPr>
                  <w:rFonts w:ascii="Cambria Math" w:eastAsiaTheme="minorEastAsia" w:hAnsi="Cambria Math" w:cs="Arial"/>
                </w:rPr>
                <m:t>t-1</m:t>
              </m:r>
            </m:sub>
          </m:sSub>
          <m:r>
            <w:rPr>
              <w:rFonts w:ascii="Cambria Math" w:eastAsiaTheme="minorEastAsia" w:hAnsi="Cambria Math" w:cs="Arial"/>
            </w:rPr>
            <m:t>+</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σi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RQ</m:t>
              </m:r>
            </m:e>
            <m:sub>
              <m:r>
                <m:rPr>
                  <m:sty m:val="p"/>
                </m:rPr>
                <w:rPr>
                  <w:rFonts w:ascii="Cambria Math" w:eastAsiaTheme="minorEastAsia" w:hAnsi="Cambria Math" w:cs="Arial"/>
                </w:rPr>
                <m:t>t-1</m:t>
              </m:r>
            </m:sub>
          </m:sSub>
          <m:r>
            <w:rPr>
              <w:rFonts w:ascii="Cambria Math" w:eastAsiaTheme="minorEastAsia" w:hAnsi="Cambria Math" w:cs="Arial"/>
            </w:rPr>
            <m:t>+</m:t>
          </m:r>
          <m:sSub>
            <m:sSubPr>
              <m:ctrlPr>
                <w:rPr>
                  <w:rFonts w:ascii="Cambria Math" w:eastAsiaTheme="minorEastAsia" w:hAnsi="Cambria Math" w:cs="Arial"/>
                </w:rPr>
              </m:ctrlPr>
            </m:sSubPr>
            <m:e>
              <m:r>
                <m:rPr>
                  <m:sty m:val="p"/>
                </m:rPr>
                <w:rPr>
                  <w:rFonts w:ascii="Cambria Math" w:eastAsiaTheme="minorEastAsia" w:hAnsi="Cambria Math" w:cs="Arial"/>
                </w:rPr>
                <m:t>δ</m:t>
              </m:r>
            </m:e>
            <m:sub>
              <m:r>
                <m:rPr>
                  <m:sty m:val="p"/>
                </m:rPr>
                <w:rPr>
                  <w:rFonts w:ascii="Cambria Math" w:eastAsiaTheme="minorEastAsia" w:hAnsi="Cambria Math" w:cs="Arial"/>
                </w:rPr>
                <m:t>0</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GDPPC</m:t>
              </m:r>
            </m:e>
            <m:sub>
              <m:r>
                <w:rPr>
                  <w:rFonts w:ascii="Cambria Math" w:hAnsi="Cambria Math" w:cs="Arial"/>
                </w:rPr>
                <m:t>t-1</m:t>
              </m:r>
            </m:sub>
          </m:sSub>
          <m:r>
            <m:rPr>
              <m:sty m:val="p"/>
            </m:rPr>
            <w:rPr>
              <w:rFonts w:ascii="Cambria Math"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δ</m:t>
              </m:r>
            </m:e>
            <m:sub>
              <m:r>
                <m:rPr>
                  <m:sty m:val="p"/>
                </m:rPr>
                <w:rPr>
                  <w:rFonts w:ascii="Cambria Math" w:eastAsiaTheme="minorEastAsia" w:hAnsi="Cambria Math" w:cs="Arial"/>
                </w:rPr>
                <m:t>1</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DDP</m:t>
              </m:r>
            </m:e>
            <m:sub>
              <m:r>
                <w:rPr>
                  <w:rFonts w:ascii="Cambria Math" w:hAnsi="Cambria Math" w:cs="Arial"/>
                </w:rPr>
                <m:t>t-1</m:t>
              </m:r>
            </m:sub>
          </m:sSub>
          <m:r>
            <w:rPr>
              <w:rFonts w:ascii="Cambria Math"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δ</m:t>
              </m:r>
            </m:e>
            <m:sub>
              <m:r>
                <m:rPr>
                  <m:sty m:val="p"/>
                </m:rPr>
                <w:rPr>
                  <w:rFonts w:ascii="Cambria Math" w:eastAsiaTheme="minorEastAsia" w:hAnsi="Cambria Math" w:cs="Arial"/>
                </w:rPr>
                <m:t>2</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ATM</m:t>
              </m:r>
            </m:e>
            <m:sub>
              <m:r>
                <w:rPr>
                  <w:rFonts w:ascii="Cambria Math" w:hAnsi="Cambria Math" w:cs="Arial"/>
                </w:rPr>
                <m:t>t-1</m:t>
              </m:r>
            </m:sub>
          </m:sSub>
          <m:sSub>
            <m:sSubPr>
              <m:ctrlPr>
                <w:rPr>
                  <w:rFonts w:ascii="Cambria Math" w:eastAsiaTheme="minorEastAsia" w:hAnsi="Cambria Math" w:cs="Arial"/>
                </w:rPr>
              </m:ctrlPr>
            </m:sSubPr>
            <m:e>
              <m:r>
                <w:rPr>
                  <w:rFonts w:ascii="Cambria Math" w:hAnsi="Cambria Math" w:cs="Arial"/>
                </w:rPr>
                <m:t xml:space="preserve">+ </m:t>
              </m:r>
              <m:r>
                <m:rPr>
                  <m:sty m:val="p"/>
                </m:rPr>
                <w:rPr>
                  <w:rFonts w:ascii="Cambria Math" w:eastAsiaTheme="minorEastAsia" w:hAnsi="Cambria Math" w:cs="Arial"/>
                </w:rPr>
                <m:t>δ</m:t>
              </m:r>
            </m:e>
            <m:sub>
              <m:r>
                <m:rPr>
                  <m:sty m:val="p"/>
                </m:rPr>
                <w:rPr>
                  <w:rFonts w:ascii="Cambria Math" w:eastAsiaTheme="minorEastAsia" w:hAnsi="Cambria Math" w:cs="Arial"/>
                </w:rPr>
                <m:t>2</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POS</m:t>
              </m:r>
            </m:e>
            <m:sub>
              <m:r>
                <w:rPr>
                  <w:rFonts w:ascii="Cambria Math" w:hAnsi="Cambria Math" w:cs="Arial"/>
                </w:rPr>
                <m:t>t-1</m:t>
              </m:r>
            </m:sub>
          </m:sSub>
          <m:r>
            <w:rPr>
              <w:rFonts w:ascii="Cambria Math" w:hAnsi="Cambria Math" w:cs="Arial"/>
            </w:rPr>
            <m:t>+</m:t>
          </m:r>
          <m:sSub>
            <m:sSubPr>
              <m:ctrlPr>
                <w:rPr>
                  <w:rFonts w:ascii="Cambria Math" w:eastAsiaTheme="minorEastAsia" w:hAnsi="Cambria Math" w:cs="Arial"/>
                </w:rPr>
              </m:ctrlPr>
            </m:sSubPr>
            <m:e>
              <m:r>
                <w:rPr>
                  <w:rFonts w:ascii="Cambria Math" w:hAnsi="Cambria Math" w:cs="Arial"/>
                </w:rPr>
                <m:t xml:space="preserve">+ </m:t>
              </m:r>
              <m:r>
                <m:rPr>
                  <m:sty m:val="p"/>
                </m:rPr>
                <w:rPr>
                  <w:rFonts w:ascii="Cambria Math" w:eastAsiaTheme="minorEastAsia" w:hAnsi="Cambria Math" w:cs="Arial"/>
                </w:rPr>
                <m:t>δ</m:t>
              </m:r>
            </m:e>
            <m:sub>
              <m:r>
                <m:rPr>
                  <m:sty m:val="p"/>
                </m:rPr>
                <w:rPr>
                  <w:rFonts w:ascii="Cambria Math" w:eastAsiaTheme="minorEastAsia" w:hAnsi="Cambria Math" w:cs="Arial"/>
                </w:rPr>
                <m:t>2</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PGR</m:t>
              </m:r>
            </m:e>
            <m:sub>
              <m:r>
                <w:rPr>
                  <w:rFonts w:ascii="Cambria Math" w:hAnsi="Cambria Math" w:cs="Arial"/>
                </w:rPr>
                <m:t>t-1</m:t>
              </m:r>
            </m:sub>
          </m:sSub>
          <m:r>
            <w:rPr>
              <w:rFonts w:ascii="Cambria Math" w:hAnsi="Cambria Math" w:cs="Arial"/>
            </w:rPr>
            <m:t>+</m:t>
          </m:r>
          <m:sSub>
            <m:sSubPr>
              <m:ctrlPr>
                <w:rPr>
                  <w:rFonts w:ascii="Cambria Math" w:eastAsiaTheme="minorEastAsia" w:hAnsi="Cambria Math" w:cs="Arial"/>
                </w:rPr>
              </m:ctrlPr>
            </m:sSubPr>
            <m:e>
              <m:r>
                <w:rPr>
                  <w:rFonts w:ascii="Cambria Math" w:hAnsi="Cambria Math" w:cs="Arial"/>
                </w:rPr>
                <m:t xml:space="preserve">+ </m:t>
              </m:r>
              <m:r>
                <m:rPr>
                  <m:sty m:val="p"/>
                </m:rPr>
                <w:rPr>
                  <w:rFonts w:ascii="Cambria Math" w:eastAsiaTheme="minorEastAsia" w:hAnsi="Cambria Math" w:cs="Arial"/>
                </w:rPr>
                <m:t>δ</m:t>
              </m:r>
            </m:e>
            <m:sub>
              <m:r>
                <m:rPr>
                  <m:sty m:val="p"/>
                </m:rPr>
                <w:rPr>
                  <w:rFonts w:ascii="Cambria Math" w:eastAsiaTheme="minorEastAsia" w:hAnsi="Cambria Math" w:cs="Arial"/>
                </w:rPr>
                <m:t>2</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RQ</m:t>
              </m:r>
            </m:e>
            <m:sub>
              <m:r>
                <w:rPr>
                  <w:rFonts w:ascii="Cambria Math" w:hAnsi="Cambria Math" w:cs="Arial"/>
                </w:rPr>
                <m:t>t-1</m:t>
              </m:r>
            </m:sub>
          </m:sSub>
          <m:r>
            <w:rPr>
              <w:rFonts w:ascii="Cambria Math" w:hAnsi="Cambria Math" w:cs="Arial"/>
            </w:rPr>
            <m:t xml:space="preserve"> ε………………………………</m:t>
          </m:r>
          <m:d>
            <m:dPr>
              <m:ctrlPr>
                <w:rPr>
                  <w:rFonts w:ascii="Cambria Math" w:hAnsi="Cambria Math" w:cs="Arial"/>
                  <w:i/>
                </w:rPr>
              </m:ctrlPr>
            </m:dPr>
            <m:e>
              <m:r>
                <w:rPr>
                  <w:rFonts w:ascii="Cambria Math" w:hAnsi="Cambria Math" w:cs="Arial"/>
                </w:rPr>
                <m:t>vii</m:t>
              </m:r>
              <m:ctrlPr>
                <w:rPr>
                  <w:rFonts w:ascii="Cambria Math" w:hAnsi="Cambria Math" w:cs="Arial"/>
                </w:rPr>
              </m:ctrlPr>
            </m:e>
          </m:d>
        </m:oMath>
      </m:oMathPara>
    </w:p>
    <w:p w14:paraId="5C5D284F" w14:textId="7D2EE77E" w:rsidR="00435BFF" w:rsidRPr="000B05CC" w:rsidRDefault="00435BFF" w:rsidP="00435BFF">
      <w:pPr>
        <w:spacing w:line="24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Where:</w:t>
      </w:r>
    </w:p>
    <w:p w14:paraId="76C183A0" w14:textId="148CA02C" w:rsidR="006B0B19" w:rsidRPr="000B05CC" w:rsidRDefault="00435BFF" w:rsidP="00782F72">
      <w:pPr>
        <w:spacing w:line="240" w:lineRule="auto"/>
        <w:jc w:val="both"/>
        <w:rPr>
          <w:rFonts w:ascii="Arial" w:eastAsia="Times New Roman" w:hAnsi="Arial" w:cs="Arial"/>
        </w:rPr>
        <w:sectPr w:rsidR="006B0B19" w:rsidRPr="000B05CC" w:rsidSect="00782F72">
          <w:type w:val="continuous"/>
          <w:pgSz w:w="11906" w:h="16838" w:code="9"/>
          <w:pgMar w:top="1440" w:right="1440" w:bottom="1440" w:left="1440" w:header="720" w:footer="720" w:gutter="0"/>
          <w:cols w:num="2" w:space="720"/>
          <w:docGrid w:linePitch="360"/>
        </w:sectPr>
      </w:pPr>
      <w:r w:rsidRPr="000B05CC">
        <w:rPr>
          <w:rFonts w:ascii="Arial" w:eastAsia="Times New Roman" w:hAnsi="Arial" w:cs="Arial"/>
          <w:kern w:val="0"/>
          <w14:ligatures w14:val="none"/>
        </w:rPr>
        <w:t xml:space="preserve">GDPPC=Gross domestic product per capita, DDP= Direct debit payment, ATM= Automated teller machine, POS= Point of Sales, PGR=population growth rate, RQ= Regulation Quality, </w:t>
      </w:r>
      <m:oMath>
        <m:sSub>
          <m:sSubPr>
            <m:ctrlPr>
              <w:rPr>
                <w:rFonts w:ascii="Cambria Math" w:eastAsiaTheme="minorEastAsia" w:hAnsi="Cambria Math" w:cs="Arial"/>
              </w:rPr>
            </m:ctrlPr>
          </m:sSubPr>
          <m:e>
            <m:r>
              <m:rPr>
                <m:sty m:val="p"/>
              </m:rPr>
              <w:rPr>
                <w:rFonts w:ascii="Cambria Math" w:eastAsiaTheme="minorEastAsia" w:hAnsi="Cambria Math" w:cs="Arial"/>
              </w:rPr>
              <m:t>β</m:t>
            </m:r>
          </m:e>
          <m:sub>
            <m:r>
              <m:rPr>
                <m:sty m:val="p"/>
              </m:rPr>
              <w:rPr>
                <w:rFonts w:ascii="Cambria Math" w:eastAsiaTheme="minorEastAsia" w:hAnsi="Cambria Math" w:cs="Arial"/>
              </w:rPr>
              <m:t>0</m:t>
            </m:r>
          </m:sub>
        </m:sSub>
        <m:r>
          <w:rPr>
            <w:rFonts w:ascii="Cambria Math" w:eastAsiaTheme="minorEastAsia" w:hAnsi="Cambria Math" w:cs="Arial"/>
          </w:rPr>
          <m:t>=</m:t>
        </m:r>
      </m:oMath>
      <w:r w:rsidRPr="000B05CC">
        <w:rPr>
          <w:rFonts w:ascii="Arial" w:eastAsia="Times New Roman" w:hAnsi="Arial" w:cs="Arial"/>
        </w:rPr>
        <w:t xml:space="preserve"> Regression constant, </w:t>
      </w:r>
      <m:oMath>
        <m:sSub>
          <m:sSubPr>
            <m:ctrlPr>
              <w:rPr>
                <w:rFonts w:ascii="Cambria Math" w:eastAsiaTheme="minorEastAsia" w:hAnsi="Cambria Math" w:cs="Arial"/>
              </w:rPr>
            </m:ctrlPr>
          </m:sSubPr>
          <m:e>
            <m:r>
              <m:rPr>
                <m:sty m:val="p"/>
              </m:rPr>
              <w:rPr>
                <w:rFonts w:ascii="Cambria Math" w:eastAsiaTheme="minorEastAsia" w:hAnsi="Cambria Math" w:cs="Arial"/>
              </w:rPr>
              <m:t>δ</m:t>
            </m:r>
          </m:e>
          <m:sub>
            <m:r>
              <m:rPr>
                <m:sty m:val="p"/>
              </m:rPr>
              <w:rPr>
                <w:rFonts w:ascii="Cambria Math" w:eastAsiaTheme="minorEastAsia" w:hAnsi="Cambria Math" w:cs="Arial"/>
              </w:rPr>
              <m:t>1</m:t>
            </m:r>
          </m:sub>
        </m:sSub>
      </m:oMath>
      <w:r w:rsidRPr="000B05CC">
        <w:rPr>
          <w:rFonts w:ascii="Arial" w:eastAsia="Times New Roman" w:hAnsi="Arial" w:cs="Arial"/>
        </w:rPr>
        <w:t xml:space="preserve">= Coefficient of variables, </w:t>
      </w:r>
      <m:oMath>
        <m:r>
          <w:rPr>
            <w:rFonts w:ascii="Cambria Math" w:hAnsi="Cambria Math" w:cs="Arial"/>
          </w:rPr>
          <m:t xml:space="preserve"> ε</m:t>
        </m:r>
      </m:oMath>
      <w:r w:rsidRPr="000B05CC">
        <w:rPr>
          <w:rFonts w:ascii="Arial" w:eastAsia="Times New Roman" w:hAnsi="Arial" w:cs="Arial"/>
        </w:rPr>
        <w:t>= Error ter</w:t>
      </w:r>
      <w:r w:rsidR="00082698" w:rsidRPr="000B05CC">
        <w:rPr>
          <w:rFonts w:ascii="Arial" w:eastAsia="Times New Roman" w:hAnsi="Arial" w:cs="Arial"/>
        </w:rPr>
        <w:t>.</w:t>
      </w:r>
    </w:p>
    <w:p w14:paraId="20DB5F8D" w14:textId="77777777" w:rsidR="000B05CC" w:rsidRDefault="000B05CC" w:rsidP="00CD33D4">
      <w:pPr>
        <w:autoSpaceDE w:val="0"/>
        <w:autoSpaceDN w:val="0"/>
        <w:adjustRightInd w:val="0"/>
        <w:spacing w:after="0" w:line="360" w:lineRule="auto"/>
        <w:jc w:val="both"/>
        <w:rPr>
          <w:rFonts w:ascii="Arial" w:hAnsi="Arial" w:cs="Arial"/>
          <w:b/>
        </w:rPr>
      </w:pPr>
      <w:bookmarkStart w:id="2" w:name="_Hlk185592981"/>
    </w:p>
    <w:p w14:paraId="2367B80D" w14:textId="14767E63" w:rsidR="00CD33D4" w:rsidRPr="000B05CC" w:rsidRDefault="00CD33D4" w:rsidP="00CD33D4">
      <w:pPr>
        <w:autoSpaceDE w:val="0"/>
        <w:autoSpaceDN w:val="0"/>
        <w:adjustRightInd w:val="0"/>
        <w:spacing w:after="0" w:line="360" w:lineRule="auto"/>
        <w:jc w:val="both"/>
        <w:rPr>
          <w:rFonts w:ascii="Arial" w:hAnsi="Arial" w:cs="Arial"/>
          <w:b/>
        </w:rPr>
      </w:pPr>
      <w:r w:rsidRPr="000B05CC">
        <w:rPr>
          <w:rFonts w:ascii="Arial" w:hAnsi="Arial" w:cs="Arial"/>
          <w:b/>
        </w:rPr>
        <w:t>3.</w:t>
      </w:r>
      <w:r w:rsidR="00271545" w:rsidRPr="000B05CC">
        <w:rPr>
          <w:rFonts w:ascii="Arial" w:hAnsi="Arial" w:cs="Arial"/>
          <w:b/>
        </w:rPr>
        <w:t>2</w:t>
      </w:r>
      <w:r w:rsidRPr="000B05CC">
        <w:rPr>
          <w:rFonts w:ascii="Arial" w:hAnsi="Arial" w:cs="Arial"/>
          <w:b/>
        </w:rPr>
        <w:t xml:space="preserve"> </w:t>
      </w:r>
      <w:bookmarkStart w:id="3" w:name="_Hlk185595290"/>
      <w:r w:rsidRPr="000B05CC">
        <w:rPr>
          <w:rFonts w:ascii="Arial" w:hAnsi="Arial" w:cs="Arial"/>
          <w:b/>
        </w:rPr>
        <w:t>DESCRIPTION OF MODEL VARIABLES</w:t>
      </w:r>
      <w:bookmarkEnd w:id="3"/>
    </w:p>
    <w:bookmarkEnd w:id="2"/>
    <w:p w14:paraId="2FC9F4FD" w14:textId="02C80598" w:rsidR="00CD33D4" w:rsidRPr="000B05CC" w:rsidRDefault="006B0B19" w:rsidP="00CD33D4">
      <w:pPr>
        <w:spacing w:line="240" w:lineRule="auto"/>
        <w:jc w:val="both"/>
        <w:rPr>
          <w:rFonts w:ascii="Arial" w:eastAsia="Times New Roman" w:hAnsi="Arial" w:cs="Arial"/>
          <w:kern w:val="0"/>
          <w14:ligatures w14:val="none"/>
        </w:rPr>
      </w:pPr>
      <w:r w:rsidRPr="000B05CC">
        <w:rPr>
          <w:rFonts w:ascii="Arial" w:hAnsi="Arial" w:cs="Arial"/>
          <w:bCs/>
        </w:rPr>
        <w:t>Table</w:t>
      </w:r>
      <w:r w:rsidR="00CD33D4" w:rsidRPr="000B05CC">
        <w:rPr>
          <w:rFonts w:ascii="Arial" w:hAnsi="Arial" w:cs="Arial"/>
          <w:bCs/>
        </w:rPr>
        <w:t xml:space="preserve"> 4 below </w:t>
      </w:r>
      <w:r w:rsidRPr="000B05CC">
        <w:rPr>
          <w:rFonts w:ascii="Arial" w:hAnsi="Arial" w:cs="Arial"/>
          <w:bCs/>
        </w:rPr>
        <w:t>describes</w:t>
      </w:r>
      <w:r w:rsidR="00CD33D4" w:rsidRPr="000B05CC">
        <w:rPr>
          <w:rFonts w:ascii="Arial" w:hAnsi="Arial" w:cs="Arial"/>
          <w:bCs/>
        </w:rPr>
        <w:t xml:space="preserve"> the model variables for this </w:t>
      </w:r>
      <w:r w:rsidR="00A769BA" w:rsidRPr="000B05CC">
        <w:rPr>
          <w:rFonts w:ascii="Arial" w:hAnsi="Arial" w:cs="Arial"/>
          <w:bCs/>
        </w:rPr>
        <w:t>study.</w:t>
      </w:r>
    </w:p>
    <w:tbl>
      <w:tblPr>
        <w:tblStyle w:val="TableGrid"/>
        <w:tblW w:w="9765" w:type="dxa"/>
        <w:tblInd w:w="-185" w:type="dxa"/>
        <w:tblLayout w:type="fixed"/>
        <w:tblLook w:val="04A0" w:firstRow="1" w:lastRow="0" w:firstColumn="1" w:lastColumn="0" w:noHBand="0" w:noVBand="1"/>
      </w:tblPr>
      <w:tblGrid>
        <w:gridCol w:w="2198"/>
        <w:gridCol w:w="3027"/>
        <w:gridCol w:w="2672"/>
        <w:gridCol w:w="1868"/>
      </w:tblGrid>
      <w:tr w:rsidR="00CD33D4" w:rsidRPr="000B05CC" w14:paraId="4C0561DE" w14:textId="77777777" w:rsidTr="000B05CC">
        <w:trPr>
          <w:trHeight w:val="539"/>
        </w:trPr>
        <w:tc>
          <w:tcPr>
            <w:tcW w:w="2198" w:type="dxa"/>
          </w:tcPr>
          <w:p w14:paraId="71C852EB"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Variables</w:t>
            </w:r>
          </w:p>
        </w:tc>
        <w:tc>
          <w:tcPr>
            <w:tcW w:w="3027" w:type="dxa"/>
          </w:tcPr>
          <w:p w14:paraId="2D21E660"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Definition</w:t>
            </w:r>
          </w:p>
        </w:tc>
        <w:tc>
          <w:tcPr>
            <w:tcW w:w="2672" w:type="dxa"/>
          </w:tcPr>
          <w:p w14:paraId="088FC506"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Adopted</w:t>
            </w:r>
          </w:p>
        </w:tc>
        <w:tc>
          <w:tcPr>
            <w:tcW w:w="1868" w:type="dxa"/>
          </w:tcPr>
          <w:p w14:paraId="0E8629FC" w14:textId="77777777" w:rsidR="00CD33D4" w:rsidRPr="000B05CC" w:rsidRDefault="00CD33D4" w:rsidP="00CD33D4">
            <w:pPr>
              <w:autoSpaceDE w:val="0"/>
              <w:autoSpaceDN w:val="0"/>
              <w:adjustRightInd w:val="0"/>
              <w:jc w:val="center"/>
              <w:rPr>
                <w:rFonts w:ascii="Arial" w:hAnsi="Arial" w:cs="Arial"/>
                <w:b/>
                <w:bCs/>
              </w:rPr>
            </w:pPr>
            <w:proofErr w:type="spellStart"/>
            <w:r w:rsidRPr="000B05CC">
              <w:rPr>
                <w:rFonts w:ascii="Arial" w:hAnsi="Arial" w:cs="Arial"/>
                <w:b/>
                <w:bCs/>
                <w:i/>
              </w:rPr>
              <w:t>Apriori</w:t>
            </w:r>
            <w:proofErr w:type="spellEnd"/>
            <w:r w:rsidRPr="000B05CC">
              <w:rPr>
                <w:rFonts w:ascii="Arial" w:hAnsi="Arial" w:cs="Arial"/>
                <w:b/>
                <w:bCs/>
              </w:rPr>
              <w:t xml:space="preserve"> Expectations</w:t>
            </w:r>
          </w:p>
        </w:tc>
      </w:tr>
      <w:tr w:rsidR="00CD33D4" w:rsidRPr="000B05CC" w14:paraId="5AE87F0E" w14:textId="77777777" w:rsidTr="000B05CC">
        <w:trPr>
          <w:trHeight w:val="229"/>
        </w:trPr>
        <w:tc>
          <w:tcPr>
            <w:tcW w:w="9765" w:type="dxa"/>
            <w:gridSpan w:val="4"/>
          </w:tcPr>
          <w:p w14:paraId="058859C5" w14:textId="77777777" w:rsidR="00CD33D4" w:rsidRPr="000B05CC" w:rsidRDefault="00CD33D4" w:rsidP="00CD33D4">
            <w:pPr>
              <w:autoSpaceDE w:val="0"/>
              <w:autoSpaceDN w:val="0"/>
              <w:adjustRightInd w:val="0"/>
              <w:jc w:val="center"/>
              <w:rPr>
                <w:rFonts w:ascii="Arial" w:hAnsi="Arial" w:cs="Arial"/>
                <w:b/>
                <w:bCs/>
                <w:iCs/>
              </w:rPr>
            </w:pPr>
            <w:r w:rsidRPr="000B05CC">
              <w:rPr>
                <w:rFonts w:ascii="Arial" w:hAnsi="Arial" w:cs="Arial"/>
                <w:b/>
                <w:bCs/>
                <w:iCs/>
              </w:rPr>
              <w:t>Dependent Variable</w:t>
            </w:r>
          </w:p>
        </w:tc>
      </w:tr>
      <w:tr w:rsidR="00CD33D4" w:rsidRPr="000B05CC" w14:paraId="158D43E7" w14:textId="77777777" w:rsidTr="000B05CC">
        <w:trPr>
          <w:trHeight w:val="940"/>
        </w:trPr>
        <w:tc>
          <w:tcPr>
            <w:tcW w:w="2198" w:type="dxa"/>
          </w:tcPr>
          <w:p w14:paraId="245F2789"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GDP Per capita</w:t>
            </w:r>
          </w:p>
        </w:tc>
        <w:tc>
          <w:tcPr>
            <w:tcW w:w="3027" w:type="dxa"/>
          </w:tcPr>
          <w:p w14:paraId="717C7860" w14:textId="77777777" w:rsidR="00CD33D4" w:rsidRPr="000B05CC" w:rsidRDefault="00CD33D4" w:rsidP="00CD33D4">
            <w:pPr>
              <w:autoSpaceDE w:val="0"/>
              <w:autoSpaceDN w:val="0"/>
              <w:adjustRightInd w:val="0"/>
              <w:jc w:val="both"/>
              <w:rPr>
                <w:rFonts w:ascii="Arial" w:hAnsi="Arial" w:cs="Arial"/>
                <w:bCs/>
              </w:rPr>
            </w:pPr>
            <w:r w:rsidRPr="000B05CC">
              <w:rPr>
                <w:rFonts w:ascii="Arial" w:eastAsia="Times New Roman" w:hAnsi="Arial" w:cs="Arial"/>
                <w:kern w:val="0"/>
                <w14:ligatures w14:val="none"/>
              </w:rPr>
              <w:t>It is computed by dividing a nation's total GDP by its population.</w:t>
            </w:r>
          </w:p>
        </w:tc>
        <w:tc>
          <w:tcPr>
            <w:tcW w:w="2672" w:type="dxa"/>
          </w:tcPr>
          <w:p w14:paraId="4F22F143"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 xml:space="preserve">World Bank, (2024), </w:t>
            </w:r>
            <w:proofErr w:type="spellStart"/>
            <w:r w:rsidRPr="000B05CC">
              <w:rPr>
                <w:rFonts w:ascii="Arial" w:hAnsi="Arial" w:cs="Arial"/>
              </w:rPr>
              <w:t>Mugableh</w:t>
            </w:r>
            <w:proofErr w:type="spellEnd"/>
            <w:r w:rsidRPr="000B05CC">
              <w:rPr>
                <w:rFonts w:ascii="Arial" w:hAnsi="Arial" w:cs="Arial"/>
              </w:rPr>
              <w:t xml:space="preserve"> and </w:t>
            </w:r>
            <w:proofErr w:type="spellStart"/>
            <w:r w:rsidRPr="000B05CC">
              <w:rPr>
                <w:rFonts w:ascii="Arial" w:hAnsi="Arial" w:cs="Arial"/>
              </w:rPr>
              <w:t>Hammouri</w:t>
            </w:r>
            <w:proofErr w:type="spellEnd"/>
            <w:r w:rsidRPr="000B05CC">
              <w:rPr>
                <w:rFonts w:ascii="Arial" w:hAnsi="Arial" w:cs="Arial"/>
              </w:rPr>
              <w:t xml:space="preserve"> (2022), Suleiman, </w:t>
            </w:r>
            <w:proofErr w:type="spellStart"/>
            <w:r w:rsidRPr="000B05CC">
              <w:rPr>
                <w:rFonts w:ascii="Arial" w:hAnsi="Arial" w:cs="Arial"/>
              </w:rPr>
              <w:t>Nwala</w:t>
            </w:r>
            <w:proofErr w:type="spellEnd"/>
            <w:r w:rsidRPr="000B05CC">
              <w:rPr>
                <w:rFonts w:ascii="Arial" w:hAnsi="Arial" w:cs="Arial"/>
              </w:rPr>
              <w:t xml:space="preserve"> and Jacob (2023)</w:t>
            </w:r>
          </w:p>
        </w:tc>
        <w:tc>
          <w:tcPr>
            <w:tcW w:w="1868" w:type="dxa"/>
          </w:tcPr>
          <w:p w14:paraId="0A8E70E2" w14:textId="77777777" w:rsidR="00CD33D4" w:rsidRPr="000B05CC" w:rsidRDefault="00CD33D4" w:rsidP="00CD33D4">
            <w:pPr>
              <w:autoSpaceDE w:val="0"/>
              <w:autoSpaceDN w:val="0"/>
              <w:adjustRightInd w:val="0"/>
              <w:jc w:val="center"/>
              <w:rPr>
                <w:rFonts w:ascii="Arial" w:hAnsi="Arial" w:cs="Arial"/>
                <w:bCs/>
              </w:rPr>
            </w:pPr>
          </w:p>
        </w:tc>
      </w:tr>
      <w:tr w:rsidR="00CD33D4" w:rsidRPr="000B05CC" w14:paraId="371A20B0" w14:textId="77777777" w:rsidTr="000B05CC">
        <w:trPr>
          <w:trHeight w:val="174"/>
        </w:trPr>
        <w:tc>
          <w:tcPr>
            <w:tcW w:w="9765" w:type="dxa"/>
            <w:gridSpan w:val="4"/>
          </w:tcPr>
          <w:p w14:paraId="6772B86D"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Independent Variables</w:t>
            </w:r>
          </w:p>
        </w:tc>
      </w:tr>
      <w:tr w:rsidR="00CD33D4" w:rsidRPr="000B05CC" w14:paraId="4CD11255" w14:textId="77777777" w:rsidTr="000B05CC">
        <w:trPr>
          <w:trHeight w:val="394"/>
        </w:trPr>
        <w:tc>
          <w:tcPr>
            <w:tcW w:w="2198" w:type="dxa"/>
          </w:tcPr>
          <w:p w14:paraId="0064D9C8"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Automated teller machine</w:t>
            </w:r>
          </w:p>
        </w:tc>
        <w:tc>
          <w:tcPr>
            <w:tcW w:w="3027" w:type="dxa"/>
          </w:tcPr>
          <w:p w14:paraId="380378F7"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Total number of ATMs per 100,000</w:t>
            </w:r>
          </w:p>
        </w:tc>
        <w:tc>
          <w:tcPr>
            <w:tcW w:w="2672" w:type="dxa"/>
          </w:tcPr>
          <w:p w14:paraId="7844751E"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rPr>
              <w:t xml:space="preserve">World Bank (2024). </w:t>
            </w:r>
            <w:proofErr w:type="spellStart"/>
            <w:r w:rsidRPr="000B05CC">
              <w:rPr>
                <w:rFonts w:ascii="Arial" w:hAnsi="Arial" w:cs="Arial"/>
              </w:rPr>
              <w:t>Mugableh</w:t>
            </w:r>
            <w:proofErr w:type="spellEnd"/>
            <w:r w:rsidRPr="000B05CC">
              <w:rPr>
                <w:rFonts w:ascii="Arial" w:hAnsi="Arial" w:cs="Arial"/>
              </w:rPr>
              <w:t xml:space="preserve"> and </w:t>
            </w:r>
            <w:proofErr w:type="spellStart"/>
            <w:r w:rsidRPr="000B05CC">
              <w:rPr>
                <w:rFonts w:ascii="Arial" w:hAnsi="Arial" w:cs="Arial"/>
              </w:rPr>
              <w:t>Hammouri</w:t>
            </w:r>
            <w:proofErr w:type="spellEnd"/>
            <w:r w:rsidRPr="000B05CC">
              <w:rPr>
                <w:rFonts w:ascii="Arial" w:hAnsi="Arial" w:cs="Arial"/>
              </w:rPr>
              <w:t xml:space="preserve"> (2022)</w:t>
            </w:r>
          </w:p>
        </w:tc>
        <w:tc>
          <w:tcPr>
            <w:tcW w:w="1868" w:type="dxa"/>
          </w:tcPr>
          <w:p w14:paraId="754E02DF"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Positive (+)</w:t>
            </w:r>
          </w:p>
        </w:tc>
      </w:tr>
      <w:tr w:rsidR="00CD33D4" w:rsidRPr="000B05CC" w14:paraId="16A8C7DF" w14:textId="77777777" w:rsidTr="000B05CC">
        <w:trPr>
          <w:trHeight w:val="940"/>
        </w:trPr>
        <w:tc>
          <w:tcPr>
            <w:tcW w:w="2198" w:type="dxa"/>
          </w:tcPr>
          <w:p w14:paraId="0BB92152"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Point of sales</w:t>
            </w:r>
          </w:p>
        </w:tc>
        <w:tc>
          <w:tcPr>
            <w:tcW w:w="3027" w:type="dxa"/>
          </w:tcPr>
          <w:p w14:paraId="5840037B"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Number of transactions at POS terminal on cards issued in the United Kingdom</w:t>
            </w:r>
          </w:p>
        </w:tc>
        <w:tc>
          <w:tcPr>
            <w:tcW w:w="2672" w:type="dxa"/>
          </w:tcPr>
          <w:p w14:paraId="2AD26478"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 xml:space="preserve">Statista.com, </w:t>
            </w:r>
            <w:r w:rsidRPr="000B05CC">
              <w:rPr>
                <w:rFonts w:ascii="Arial" w:hAnsi="Arial" w:cs="Arial"/>
                <w:color w:val="393939"/>
                <w:kern w:val="0"/>
              </w:rPr>
              <w:t xml:space="preserve">Friedman &amp; Johnson, (2019), </w:t>
            </w:r>
            <w:r w:rsidRPr="000B05CC">
              <w:rPr>
                <w:rFonts w:ascii="Arial" w:hAnsi="Arial" w:cs="Arial"/>
              </w:rPr>
              <w:t xml:space="preserve">Suleiman, </w:t>
            </w:r>
            <w:proofErr w:type="spellStart"/>
            <w:r w:rsidRPr="000B05CC">
              <w:rPr>
                <w:rFonts w:ascii="Arial" w:hAnsi="Arial" w:cs="Arial"/>
              </w:rPr>
              <w:t>Nwala</w:t>
            </w:r>
            <w:proofErr w:type="spellEnd"/>
            <w:r w:rsidRPr="000B05CC">
              <w:rPr>
                <w:rFonts w:ascii="Arial" w:hAnsi="Arial" w:cs="Arial"/>
              </w:rPr>
              <w:t xml:space="preserve"> and Jacob (2023).</w:t>
            </w:r>
          </w:p>
        </w:tc>
        <w:tc>
          <w:tcPr>
            <w:tcW w:w="1868" w:type="dxa"/>
          </w:tcPr>
          <w:p w14:paraId="646520D0"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Positive (+)</w:t>
            </w:r>
          </w:p>
        </w:tc>
      </w:tr>
      <w:tr w:rsidR="00CD33D4" w:rsidRPr="000B05CC" w14:paraId="5BB6F252" w14:textId="77777777" w:rsidTr="000B05CC">
        <w:trPr>
          <w:trHeight w:val="803"/>
        </w:trPr>
        <w:tc>
          <w:tcPr>
            <w:tcW w:w="2198" w:type="dxa"/>
          </w:tcPr>
          <w:p w14:paraId="64087699"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Direct Debit Card Payment</w:t>
            </w:r>
          </w:p>
        </w:tc>
        <w:tc>
          <w:tcPr>
            <w:tcW w:w="3027" w:type="dxa"/>
          </w:tcPr>
          <w:p w14:paraId="33BABB73" w14:textId="77777777" w:rsidR="00CD33D4" w:rsidRPr="000B05CC" w:rsidRDefault="00CD33D4" w:rsidP="00CD33D4">
            <w:pPr>
              <w:autoSpaceDE w:val="0"/>
              <w:autoSpaceDN w:val="0"/>
              <w:adjustRightInd w:val="0"/>
              <w:jc w:val="both"/>
              <w:rPr>
                <w:rFonts w:ascii="Arial" w:hAnsi="Arial" w:cs="Arial"/>
              </w:rPr>
            </w:pPr>
            <w:r w:rsidRPr="000B05CC">
              <w:rPr>
                <w:rFonts w:ascii="Arial" w:hAnsi="Arial" w:cs="Arial"/>
                <w:shd w:val="clear" w:color="auto" w:fill="FFFFFF"/>
              </w:rPr>
              <w:t>Volume of direct debit payments through the Bacs system in the United Kingdom</w:t>
            </w:r>
          </w:p>
        </w:tc>
        <w:tc>
          <w:tcPr>
            <w:tcW w:w="2672" w:type="dxa"/>
          </w:tcPr>
          <w:p w14:paraId="1DB60BE3"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Staista.com</w:t>
            </w:r>
          </w:p>
        </w:tc>
        <w:tc>
          <w:tcPr>
            <w:tcW w:w="1868" w:type="dxa"/>
          </w:tcPr>
          <w:p w14:paraId="6BF2C686"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Positive (+)</w:t>
            </w:r>
          </w:p>
        </w:tc>
      </w:tr>
      <w:tr w:rsidR="00CD33D4" w:rsidRPr="000B05CC" w14:paraId="53810039" w14:textId="77777777" w:rsidTr="000B05CC">
        <w:trPr>
          <w:trHeight w:val="376"/>
        </w:trPr>
        <w:tc>
          <w:tcPr>
            <w:tcW w:w="9765" w:type="dxa"/>
            <w:gridSpan w:val="4"/>
          </w:tcPr>
          <w:p w14:paraId="147B2682"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Control Variable</w:t>
            </w:r>
          </w:p>
        </w:tc>
      </w:tr>
      <w:tr w:rsidR="00CD33D4" w:rsidRPr="000B05CC" w14:paraId="267B401F" w14:textId="77777777" w:rsidTr="000B05CC">
        <w:trPr>
          <w:trHeight w:val="977"/>
        </w:trPr>
        <w:tc>
          <w:tcPr>
            <w:tcW w:w="2198" w:type="dxa"/>
          </w:tcPr>
          <w:p w14:paraId="16F270FD"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Population growth rate</w:t>
            </w:r>
          </w:p>
        </w:tc>
        <w:tc>
          <w:tcPr>
            <w:tcW w:w="3027" w:type="dxa"/>
          </w:tcPr>
          <w:p w14:paraId="6DE54B10" w14:textId="77777777" w:rsidR="00CD33D4" w:rsidRPr="000B05CC" w:rsidRDefault="00CD33D4" w:rsidP="00CD33D4">
            <w:pPr>
              <w:rPr>
                <w:rFonts w:ascii="Arial" w:eastAsia="Times New Roman" w:hAnsi="Arial" w:cs="Arial"/>
                <w:kern w:val="0"/>
                <w14:ligatures w14:val="none"/>
              </w:rPr>
            </w:pPr>
            <w:r w:rsidRPr="000B05CC">
              <w:rPr>
                <w:rFonts w:ascii="Arial" w:eastAsia="Times New Roman" w:hAnsi="Arial" w:cs="Arial"/>
                <w:kern w:val="0"/>
                <w14:ligatures w14:val="none"/>
              </w:rPr>
              <w:t>The exponential rise of a midyear population from one year to the next is represented as a percentage.</w:t>
            </w:r>
          </w:p>
        </w:tc>
        <w:tc>
          <w:tcPr>
            <w:tcW w:w="2672" w:type="dxa"/>
          </w:tcPr>
          <w:p w14:paraId="107D84A6"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WDI, (2024)</w:t>
            </w:r>
          </w:p>
        </w:tc>
        <w:tc>
          <w:tcPr>
            <w:tcW w:w="1868" w:type="dxa"/>
          </w:tcPr>
          <w:p w14:paraId="3A569412"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Negative (-)</w:t>
            </w:r>
          </w:p>
        </w:tc>
      </w:tr>
      <w:tr w:rsidR="00CD33D4" w:rsidRPr="000B05CC" w14:paraId="70CEC40D" w14:textId="77777777" w:rsidTr="000B05CC">
        <w:trPr>
          <w:trHeight w:val="935"/>
        </w:trPr>
        <w:tc>
          <w:tcPr>
            <w:tcW w:w="2198" w:type="dxa"/>
          </w:tcPr>
          <w:p w14:paraId="6157A6F9" w14:textId="77777777" w:rsidR="00CD33D4" w:rsidRPr="000B05CC" w:rsidRDefault="00CD33D4" w:rsidP="00CD33D4">
            <w:pPr>
              <w:autoSpaceDE w:val="0"/>
              <w:autoSpaceDN w:val="0"/>
              <w:adjustRightInd w:val="0"/>
              <w:jc w:val="center"/>
              <w:rPr>
                <w:rFonts w:ascii="Arial" w:hAnsi="Arial" w:cs="Arial"/>
              </w:rPr>
            </w:pPr>
            <w:r w:rsidRPr="000B05CC">
              <w:rPr>
                <w:rFonts w:ascii="Arial" w:hAnsi="Arial" w:cs="Arial"/>
              </w:rPr>
              <w:t>Regulatory Quality</w:t>
            </w:r>
          </w:p>
        </w:tc>
        <w:tc>
          <w:tcPr>
            <w:tcW w:w="3027" w:type="dxa"/>
          </w:tcPr>
          <w:p w14:paraId="7AAD83C2" w14:textId="77777777" w:rsidR="00CD33D4" w:rsidRPr="000B05CC" w:rsidRDefault="00CD33D4" w:rsidP="00CD33D4">
            <w:pPr>
              <w:rPr>
                <w:rFonts w:ascii="Arial" w:eastAsia="Times New Roman" w:hAnsi="Arial" w:cs="Arial"/>
                <w:kern w:val="0"/>
                <w14:ligatures w14:val="none"/>
              </w:rPr>
            </w:pPr>
            <w:r w:rsidRPr="000B05CC">
              <w:rPr>
                <w:rFonts w:ascii="Arial" w:eastAsia="Times New Roman" w:hAnsi="Arial" w:cs="Arial"/>
                <w:kern w:val="0"/>
                <w14:ligatures w14:val="none"/>
              </w:rPr>
              <w:t>Measures the government's capacity to develop and implement appropriate policies and regulations.</w:t>
            </w:r>
          </w:p>
        </w:tc>
        <w:tc>
          <w:tcPr>
            <w:tcW w:w="2672" w:type="dxa"/>
          </w:tcPr>
          <w:p w14:paraId="6DA4997E"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IFS, (2024)</w:t>
            </w:r>
          </w:p>
        </w:tc>
        <w:tc>
          <w:tcPr>
            <w:tcW w:w="1868" w:type="dxa"/>
          </w:tcPr>
          <w:p w14:paraId="5EA165E4"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Positive (+)</w:t>
            </w:r>
          </w:p>
        </w:tc>
      </w:tr>
    </w:tbl>
    <w:p w14:paraId="23579D9F" w14:textId="396BAB94" w:rsidR="00F54248" w:rsidRPr="000B05CC" w:rsidRDefault="00782F72" w:rsidP="00435BFF">
      <w:pPr>
        <w:spacing w:line="240" w:lineRule="auto"/>
        <w:jc w:val="both"/>
        <w:rPr>
          <w:rFonts w:ascii="Arial" w:eastAsia="Times New Roman" w:hAnsi="Arial" w:cs="Arial"/>
          <w:b/>
          <w:bCs/>
          <w:kern w:val="0"/>
          <w14:ligatures w14:val="none"/>
        </w:rPr>
      </w:pPr>
      <w:r w:rsidRPr="000B05CC">
        <w:rPr>
          <w:rFonts w:ascii="Arial" w:eastAsia="Times New Roman" w:hAnsi="Arial" w:cs="Arial"/>
          <w:b/>
          <w:bCs/>
          <w:kern w:val="0"/>
          <w14:ligatures w14:val="none"/>
        </w:rPr>
        <w:t>Source: Authors Compilation</w:t>
      </w:r>
    </w:p>
    <w:p w14:paraId="26D50F1E" w14:textId="77777777" w:rsidR="00F54248" w:rsidRPr="000B05CC" w:rsidRDefault="00271545" w:rsidP="00435BFF">
      <w:pPr>
        <w:spacing w:line="240" w:lineRule="auto"/>
        <w:jc w:val="both"/>
        <w:rPr>
          <w:rFonts w:ascii="Arial" w:eastAsia="Times New Roman" w:hAnsi="Arial" w:cs="Arial"/>
          <w:b/>
          <w:bCs/>
          <w:kern w:val="0"/>
          <w14:ligatures w14:val="none"/>
        </w:rPr>
      </w:pPr>
      <w:r w:rsidRPr="000B05CC">
        <w:rPr>
          <w:rFonts w:ascii="Arial" w:eastAsia="Times New Roman" w:hAnsi="Arial" w:cs="Arial"/>
          <w:b/>
          <w:bCs/>
          <w:kern w:val="0"/>
          <w14:ligatures w14:val="none"/>
        </w:rPr>
        <w:t>4. RESULTS</w:t>
      </w:r>
      <w:r w:rsidR="000C07FB" w:rsidRPr="000B05CC">
        <w:rPr>
          <w:rFonts w:ascii="Arial" w:eastAsia="Times New Roman" w:hAnsi="Arial" w:cs="Arial"/>
          <w:b/>
          <w:bCs/>
          <w:kern w:val="0"/>
          <w14:ligatures w14:val="none"/>
        </w:rPr>
        <w:t xml:space="preserve">   </w:t>
      </w:r>
    </w:p>
    <w:p w14:paraId="69D078F2" w14:textId="09203759" w:rsidR="00F54248" w:rsidRPr="000B05CC" w:rsidRDefault="00F54248" w:rsidP="00435BFF">
      <w:pPr>
        <w:spacing w:line="24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Table 4 shows the measure of central tendency, dispersion, and element of test for normality.</w:t>
      </w:r>
    </w:p>
    <w:p w14:paraId="06773B87" w14:textId="789B4D8E" w:rsidR="00F54248" w:rsidRPr="000B05CC" w:rsidRDefault="00F54248" w:rsidP="00F54248">
      <w:pPr>
        <w:spacing w:line="240" w:lineRule="auto"/>
        <w:jc w:val="center"/>
        <w:rPr>
          <w:rFonts w:ascii="Arial" w:eastAsia="Times New Roman" w:hAnsi="Arial" w:cs="Arial"/>
          <w:b/>
          <w:bCs/>
          <w:kern w:val="0"/>
          <w14:ligatures w14:val="none"/>
        </w:rPr>
      </w:pPr>
      <w:r w:rsidRPr="000B05CC">
        <w:rPr>
          <w:rFonts w:ascii="Arial" w:eastAsia="Times New Roman" w:hAnsi="Arial" w:cs="Arial"/>
          <w:b/>
          <w:bCs/>
          <w:kern w:val="0"/>
          <w14:ligatures w14:val="none"/>
        </w:rPr>
        <w:t>Table 4 Summary of Descriptive Statistics</w:t>
      </w:r>
    </w:p>
    <w:tbl>
      <w:tblPr>
        <w:tblStyle w:val="PlainTable2"/>
        <w:tblW w:w="5101" w:type="pct"/>
        <w:tblLayout w:type="fixed"/>
        <w:tblLook w:val="04A0" w:firstRow="1" w:lastRow="0" w:firstColumn="1" w:lastColumn="0" w:noHBand="0" w:noVBand="1"/>
      </w:tblPr>
      <w:tblGrid>
        <w:gridCol w:w="867"/>
        <w:gridCol w:w="956"/>
        <w:gridCol w:w="969"/>
        <w:gridCol w:w="1031"/>
        <w:gridCol w:w="1042"/>
        <w:gridCol w:w="1042"/>
        <w:gridCol w:w="759"/>
        <w:gridCol w:w="1328"/>
        <w:gridCol w:w="1214"/>
      </w:tblGrid>
      <w:tr w:rsidR="00F54248" w:rsidRPr="000B05CC" w14:paraId="666B577C" w14:textId="77777777" w:rsidTr="00F5424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1" w:type="pct"/>
          </w:tcPr>
          <w:p w14:paraId="56B1B961"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VAR</w:t>
            </w:r>
          </w:p>
        </w:tc>
        <w:tc>
          <w:tcPr>
            <w:tcW w:w="519" w:type="pct"/>
          </w:tcPr>
          <w:p w14:paraId="7B21A303"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MEAN</w:t>
            </w:r>
          </w:p>
        </w:tc>
        <w:tc>
          <w:tcPr>
            <w:tcW w:w="526" w:type="pct"/>
          </w:tcPr>
          <w:p w14:paraId="5477B60E"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MEDIAN</w:t>
            </w:r>
          </w:p>
        </w:tc>
        <w:tc>
          <w:tcPr>
            <w:tcW w:w="560" w:type="pct"/>
          </w:tcPr>
          <w:p w14:paraId="0F901C9E"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MAX</w:t>
            </w:r>
          </w:p>
        </w:tc>
        <w:tc>
          <w:tcPr>
            <w:tcW w:w="566" w:type="pct"/>
          </w:tcPr>
          <w:p w14:paraId="26A69199"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MINI</w:t>
            </w:r>
          </w:p>
        </w:tc>
        <w:tc>
          <w:tcPr>
            <w:tcW w:w="566" w:type="pct"/>
          </w:tcPr>
          <w:p w14:paraId="5F2C56E6"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STD DEV.</w:t>
            </w:r>
          </w:p>
        </w:tc>
        <w:tc>
          <w:tcPr>
            <w:tcW w:w="412" w:type="pct"/>
          </w:tcPr>
          <w:p w14:paraId="430E97DC"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CV</w:t>
            </w:r>
          </w:p>
        </w:tc>
        <w:tc>
          <w:tcPr>
            <w:tcW w:w="721" w:type="pct"/>
          </w:tcPr>
          <w:p w14:paraId="21E4B8C0"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SKEWNESS</w:t>
            </w:r>
          </w:p>
        </w:tc>
        <w:tc>
          <w:tcPr>
            <w:tcW w:w="659" w:type="pct"/>
          </w:tcPr>
          <w:p w14:paraId="5E9071D1"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KURTOSIS</w:t>
            </w:r>
          </w:p>
        </w:tc>
      </w:tr>
      <w:tr w:rsidR="00F54248" w:rsidRPr="000B05CC" w14:paraId="33EE69F0" w14:textId="77777777" w:rsidTr="00F5424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00" w:type="pct"/>
            <w:gridSpan w:val="9"/>
          </w:tcPr>
          <w:p w14:paraId="3F0813DA"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UNITED KINGDOM</w:t>
            </w:r>
          </w:p>
        </w:tc>
      </w:tr>
      <w:tr w:rsidR="00F54248" w:rsidRPr="000B05CC" w14:paraId="44B7493A" w14:textId="77777777" w:rsidTr="00F54248">
        <w:trPr>
          <w:trHeight w:val="251"/>
        </w:trPr>
        <w:tc>
          <w:tcPr>
            <w:cnfStyle w:val="001000000000" w:firstRow="0" w:lastRow="0" w:firstColumn="1" w:lastColumn="0" w:oddVBand="0" w:evenVBand="0" w:oddHBand="0" w:evenHBand="0" w:firstRowFirstColumn="0" w:firstRowLastColumn="0" w:lastRowFirstColumn="0" w:lastRowLastColumn="0"/>
            <w:tcW w:w="471" w:type="pct"/>
          </w:tcPr>
          <w:p w14:paraId="5C62EA90"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GDPPC</w:t>
            </w:r>
          </w:p>
        </w:tc>
        <w:tc>
          <w:tcPr>
            <w:tcW w:w="519" w:type="pct"/>
          </w:tcPr>
          <w:p w14:paraId="59CD7000"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0.503425</w:t>
            </w:r>
          </w:p>
        </w:tc>
        <w:tc>
          <w:tcPr>
            <w:tcW w:w="526" w:type="pct"/>
          </w:tcPr>
          <w:p w14:paraId="394E9A19"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1.112856</w:t>
            </w:r>
          </w:p>
        </w:tc>
        <w:tc>
          <w:tcPr>
            <w:tcW w:w="560" w:type="pct"/>
          </w:tcPr>
          <w:p w14:paraId="177A92B7"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8.763986</w:t>
            </w:r>
          </w:p>
        </w:tc>
        <w:tc>
          <w:tcPr>
            <w:tcW w:w="566" w:type="pct"/>
          </w:tcPr>
          <w:p w14:paraId="545B43F5"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-10.68717</w:t>
            </w:r>
          </w:p>
        </w:tc>
        <w:tc>
          <w:tcPr>
            <w:tcW w:w="566" w:type="pct"/>
          </w:tcPr>
          <w:p w14:paraId="4C4AE0CD"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3.945209</w:t>
            </w:r>
          </w:p>
        </w:tc>
        <w:tc>
          <w:tcPr>
            <w:tcW w:w="412" w:type="pct"/>
          </w:tcPr>
          <w:p w14:paraId="6F9EE74B"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7.8429</w:t>
            </w:r>
          </w:p>
        </w:tc>
        <w:tc>
          <w:tcPr>
            <w:tcW w:w="721" w:type="pct"/>
          </w:tcPr>
          <w:p w14:paraId="3E1C2BBF"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-1.057525</w:t>
            </w:r>
          </w:p>
        </w:tc>
        <w:tc>
          <w:tcPr>
            <w:tcW w:w="659" w:type="pct"/>
          </w:tcPr>
          <w:p w14:paraId="59C70FD5"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5.915591</w:t>
            </w:r>
          </w:p>
        </w:tc>
      </w:tr>
      <w:tr w:rsidR="00F54248" w:rsidRPr="000B05CC" w14:paraId="21EE6E34" w14:textId="77777777" w:rsidTr="00F54248">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71" w:type="pct"/>
          </w:tcPr>
          <w:p w14:paraId="468110A9"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ATM</w:t>
            </w:r>
          </w:p>
        </w:tc>
        <w:tc>
          <w:tcPr>
            <w:tcW w:w="519" w:type="pct"/>
          </w:tcPr>
          <w:p w14:paraId="6068EE05"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117.8112</w:t>
            </w:r>
          </w:p>
        </w:tc>
        <w:tc>
          <w:tcPr>
            <w:tcW w:w="526" w:type="pct"/>
          </w:tcPr>
          <w:p w14:paraId="348032B9"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123.4200</w:t>
            </w:r>
          </w:p>
        </w:tc>
        <w:tc>
          <w:tcPr>
            <w:tcW w:w="560" w:type="pct"/>
          </w:tcPr>
          <w:p w14:paraId="3526B52E"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131.2900</w:t>
            </w:r>
          </w:p>
        </w:tc>
        <w:tc>
          <w:tcPr>
            <w:tcW w:w="566" w:type="pct"/>
          </w:tcPr>
          <w:p w14:paraId="2901749D"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95.15000</w:t>
            </w:r>
          </w:p>
        </w:tc>
        <w:tc>
          <w:tcPr>
            <w:tcW w:w="566" w:type="pct"/>
          </w:tcPr>
          <w:p w14:paraId="37E368C7"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13.19136</w:t>
            </w:r>
          </w:p>
        </w:tc>
        <w:tc>
          <w:tcPr>
            <w:tcW w:w="412" w:type="pct"/>
          </w:tcPr>
          <w:p w14:paraId="2A37678C"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0.1119</w:t>
            </w:r>
          </w:p>
        </w:tc>
        <w:tc>
          <w:tcPr>
            <w:tcW w:w="721" w:type="pct"/>
          </w:tcPr>
          <w:p w14:paraId="2A8C23C0"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-0.818411</w:t>
            </w:r>
          </w:p>
        </w:tc>
        <w:tc>
          <w:tcPr>
            <w:tcW w:w="659" w:type="pct"/>
          </w:tcPr>
          <w:p w14:paraId="5D4457F0"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2.047245</w:t>
            </w:r>
          </w:p>
        </w:tc>
      </w:tr>
      <w:tr w:rsidR="00F54248" w:rsidRPr="000B05CC" w14:paraId="65BC4EEC" w14:textId="77777777" w:rsidTr="00F54248">
        <w:trPr>
          <w:trHeight w:val="251"/>
        </w:trPr>
        <w:tc>
          <w:tcPr>
            <w:cnfStyle w:val="001000000000" w:firstRow="0" w:lastRow="0" w:firstColumn="1" w:lastColumn="0" w:oddVBand="0" w:evenVBand="0" w:oddHBand="0" w:evenHBand="0" w:firstRowFirstColumn="0" w:firstRowLastColumn="0" w:lastRowFirstColumn="0" w:lastRowLastColumn="0"/>
            <w:tcW w:w="471" w:type="pct"/>
          </w:tcPr>
          <w:p w14:paraId="53067677"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POS</w:t>
            </w:r>
          </w:p>
        </w:tc>
        <w:tc>
          <w:tcPr>
            <w:tcW w:w="519" w:type="pct"/>
          </w:tcPr>
          <w:p w14:paraId="39FB8833"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14.37412</w:t>
            </w:r>
          </w:p>
        </w:tc>
        <w:tc>
          <w:tcPr>
            <w:tcW w:w="526" w:type="pct"/>
          </w:tcPr>
          <w:p w14:paraId="01A4E59F"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12.66000</w:t>
            </w:r>
          </w:p>
        </w:tc>
        <w:tc>
          <w:tcPr>
            <w:tcW w:w="560" w:type="pct"/>
          </w:tcPr>
          <w:p w14:paraId="2E09B71D"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24.49000</w:t>
            </w:r>
          </w:p>
        </w:tc>
        <w:tc>
          <w:tcPr>
            <w:tcW w:w="566" w:type="pct"/>
          </w:tcPr>
          <w:p w14:paraId="45C2AFC6"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5.310000</w:t>
            </w:r>
          </w:p>
        </w:tc>
        <w:tc>
          <w:tcPr>
            <w:tcW w:w="566" w:type="pct"/>
          </w:tcPr>
          <w:p w14:paraId="58DE14E9"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6.363847</w:t>
            </w:r>
          </w:p>
        </w:tc>
        <w:tc>
          <w:tcPr>
            <w:tcW w:w="412" w:type="pct"/>
          </w:tcPr>
          <w:p w14:paraId="5AD505DC"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0.4427</w:t>
            </w:r>
          </w:p>
        </w:tc>
        <w:tc>
          <w:tcPr>
            <w:tcW w:w="721" w:type="pct"/>
          </w:tcPr>
          <w:p w14:paraId="394EB33F"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0.251928</w:t>
            </w:r>
          </w:p>
        </w:tc>
        <w:tc>
          <w:tcPr>
            <w:tcW w:w="659" w:type="pct"/>
          </w:tcPr>
          <w:p w14:paraId="1B3F4810"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1.630663</w:t>
            </w:r>
          </w:p>
        </w:tc>
      </w:tr>
      <w:tr w:rsidR="00F54248" w:rsidRPr="000B05CC" w14:paraId="42D75166" w14:textId="77777777" w:rsidTr="00F5424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71" w:type="pct"/>
          </w:tcPr>
          <w:p w14:paraId="042CAE05"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DDP</w:t>
            </w:r>
          </w:p>
        </w:tc>
        <w:tc>
          <w:tcPr>
            <w:tcW w:w="519" w:type="pct"/>
          </w:tcPr>
          <w:p w14:paraId="411CBA14"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3.890000</w:t>
            </w:r>
          </w:p>
        </w:tc>
        <w:tc>
          <w:tcPr>
            <w:tcW w:w="526" w:type="pct"/>
          </w:tcPr>
          <w:p w14:paraId="061B56F4"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3.910000</w:t>
            </w:r>
          </w:p>
        </w:tc>
        <w:tc>
          <w:tcPr>
            <w:tcW w:w="560" w:type="pct"/>
          </w:tcPr>
          <w:p w14:paraId="61E37F44"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4.830000</w:t>
            </w:r>
          </w:p>
        </w:tc>
        <w:tc>
          <w:tcPr>
            <w:tcW w:w="566" w:type="pct"/>
          </w:tcPr>
          <w:p w14:paraId="6F964F7B"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2.960000</w:t>
            </w:r>
          </w:p>
        </w:tc>
        <w:tc>
          <w:tcPr>
            <w:tcW w:w="566" w:type="pct"/>
          </w:tcPr>
          <w:p w14:paraId="74742495"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0.639365</w:t>
            </w:r>
          </w:p>
        </w:tc>
        <w:tc>
          <w:tcPr>
            <w:tcW w:w="412" w:type="pct"/>
          </w:tcPr>
          <w:p w14:paraId="26AC4E8F"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0.1642</w:t>
            </w:r>
          </w:p>
        </w:tc>
        <w:tc>
          <w:tcPr>
            <w:tcW w:w="721" w:type="pct"/>
          </w:tcPr>
          <w:p w14:paraId="3B4E831D"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0.035632</w:t>
            </w:r>
          </w:p>
        </w:tc>
        <w:tc>
          <w:tcPr>
            <w:tcW w:w="659" w:type="pct"/>
          </w:tcPr>
          <w:p w14:paraId="4E08CE18"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1.544656</w:t>
            </w:r>
          </w:p>
        </w:tc>
      </w:tr>
      <w:tr w:rsidR="00F54248" w:rsidRPr="000B05CC" w14:paraId="5CEFA4FE" w14:textId="77777777" w:rsidTr="00F54248">
        <w:trPr>
          <w:trHeight w:val="234"/>
        </w:trPr>
        <w:tc>
          <w:tcPr>
            <w:cnfStyle w:val="001000000000" w:firstRow="0" w:lastRow="0" w:firstColumn="1" w:lastColumn="0" w:oddVBand="0" w:evenVBand="0" w:oddHBand="0" w:evenHBand="0" w:firstRowFirstColumn="0" w:firstRowLastColumn="0" w:lastRowFirstColumn="0" w:lastRowLastColumn="0"/>
            <w:tcW w:w="471" w:type="pct"/>
          </w:tcPr>
          <w:p w14:paraId="595A985C"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PGR</w:t>
            </w:r>
          </w:p>
        </w:tc>
        <w:tc>
          <w:tcPr>
            <w:tcW w:w="519" w:type="pct"/>
          </w:tcPr>
          <w:p w14:paraId="0393E741"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0.684012</w:t>
            </w:r>
          </w:p>
        </w:tc>
        <w:tc>
          <w:tcPr>
            <w:tcW w:w="526" w:type="pct"/>
          </w:tcPr>
          <w:p w14:paraId="5C1B5651"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0.756391</w:t>
            </w:r>
          </w:p>
        </w:tc>
        <w:tc>
          <w:tcPr>
            <w:tcW w:w="560" w:type="pct"/>
          </w:tcPr>
          <w:p w14:paraId="1FCB59FD"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1.134448</w:t>
            </w:r>
          </w:p>
        </w:tc>
        <w:tc>
          <w:tcPr>
            <w:tcW w:w="566" w:type="pct"/>
          </w:tcPr>
          <w:p w14:paraId="5747FC5A"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-0.081937</w:t>
            </w:r>
          </w:p>
        </w:tc>
        <w:tc>
          <w:tcPr>
            <w:tcW w:w="566" w:type="pct"/>
          </w:tcPr>
          <w:p w14:paraId="7FA8E06F"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0.249342</w:t>
            </w:r>
          </w:p>
        </w:tc>
        <w:tc>
          <w:tcPr>
            <w:tcW w:w="412" w:type="pct"/>
          </w:tcPr>
          <w:p w14:paraId="0CB6F711"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0.3640</w:t>
            </w:r>
          </w:p>
        </w:tc>
        <w:tc>
          <w:tcPr>
            <w:tcW w:w="721" w:type="pct"/>
          </w:tcPr>
          <w:p w14:paraId="6230FAA6"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-1.594862</w:t>
            </w:r>
          </w:p>
        </w:tc>
        <w:tc>
          <w:tcPr>
            <w:tcW w:w="659" w:type="pct"/>
          </w:tcPr>
          <w:p w14:paraId="0C0CAA58"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6.817077</w:t>
            </w:r>
          </w:p>
        </w:tc>
      </w:tr>
      <w:tr w:rsidR="00F54248" w:rsidRPr="000B05CC" w14:paraId="04A5AAF1" w14:textId="77777777" w:rsidTr="00F54248">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71" w:type="pct"/>
          </w:tcPr>
          <w:p w14:paraId="709998DC"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RQ</w:t>
            </w:r>
          </w:p>
        </w:tc>
        <w:tc>
          <w:tcPr>
            <w:tcW w:w="519" w:type="pct"/>
          </w:tcPr>
          <w:p w14:paraId="4F8A2209"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1.678492</w:t>
            </w:r>
          </w:p>
        </w:tc>
        <w:tc>
          <w:tcPr>
            <w:tcW w:w="526" w:type="pct"/>
          </w:tcPr>
          <w:p w14:paraId="0148A5B0"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1.705334</w:t>
            </w:r>
          </w:p>
        </w:tc>
        <w:tc>
          <w:tcPr>
            <w:tcW w:w="560" w:type="pct"/>
          </w:tcPr>
          <w:p w14:paraId="5B09126C"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1.868066</w:t>
            </w:r>
          </w:p>
        </w:tc>
        <w:tc>
          <w:tcPr>
            <w:tcW w:w="566" w:type="pct"/>
          </w:tcPr>
          <w:p w14:paraId="0614B000"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1.452375</w:t>
            </w:r>
          </w:p>
        </w:tc>
        <w:tc>
          <w:tcPr>
            <w:tcW w:w="566" w:type="pct"/>
          </w:tcPr>
          <w:p w14:paraId="62B0AB1E"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0.126731</w:t>
            </w:r>
          </w:p>
        </w:tc>
        <w:tc>
          <w:tcPr>
            <w:tcW w:w="412" w:type="pct"/>
          </w:tcPr>
          <w:p w14:paraId="2EA183CD"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0.0755</w:t>
            </w:r>
          </w:p>
        </w:tc>
        <w:tc>
          <w:tcPr>
            <w:tcW w:w="721" w:type="pct"/>
          </w:tcPr>
          <w:p w14:paraId="054A2A84"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-0.290596</w:t>
            </w:r>
          </w:p>
        </w:tc>
        <w:tc>
          <w:tcPr>
            <w:tcW w:w="659" w:type="pct"/>
          </w:tcPr>
          <w:p w14:paraId="094DB1AB"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1.955306</w:t>
            </w:r>
          </w:p>
        </w:tc>
      </w:tr>
    </w:tbl>
    <w:p w14:paraId="28F6BAF4" w14:textId="71E97978" w:rsidR="006B0B19" w:rsidRPr="000B05CC" w:rsidRDefault="00F54248" w:rsidP="00082698">
      <w:pPr>
        <w:spacing w:line="240" w:lineRule="auto"/>
        <w:jc w:val="both"/>
        <w:rPr>
          <w:rFonts w:ascii="Arial" w:eastAsia="Times New Roman" w:hAnsi="Arial" w:cs="Arial"/>
          <w:b/>
          <w:bCs/>
          <w:kern w:val="0"/>
          <w14:ligatures w14:val="none"/>
        </w:rPr>
      </w:pPr>
      <w:r w:rsidRPr="000B05CC">
        <w:rPr>
          <w:rFonts w:ascii="Arial" w:eastAsia="Times New Roman" w:hAnsi="Arial" w:cs="Arial"/>
          <w:b/>
          <w:bCs/>
          <w:kern w:val="0"/>
          <w14:ligatures w14:val="none"/>
        </w:rPr>
        <w:t xml:space="preserve">Source: Author’s compilation for </w:t>
      </w:r>
      <w:proofErr w:type="spellStart"/>
      <w:r w:rsidRPr="000B05CC">
        <w:rPr>
          <w:rFonts w:ascii="Arial" w:eastAsia="Times New Roman" w:hAnsi="Arial" w:cs="Arial"/>
          <w:b/>
          <w:bCs/>
          <w:kern w:val="0"/>
          <w14:ligatures w14:val="none"/>
        </w:rPr>
        <w:t>Eviews</w:t>
      </w:r>
      <w:proofErr w:type="spellEnd"/>
    </w:p>
    <w:p w14:paraId="69F176E5" w14:textId="691D6D4B" w:rsidR="006C5ED0" w:rsidRPr="000B05CC" w:rsidRDefault="00F54248" w:rsidP="00F54248">
      <w:pPr>
        <w:spacing w:line="240" w:lineRule="auto"/>
        <w:jc w:val="center"/>
        <w:rPr>
          <w:rFonts w:ascii="Arial" w:eastAsia="Times New Roman" w:hAnsi="Arial" w:cs="Arial"/>
          <w:b/>
          <w:bCs/>
          <w:kern w:val="0"/>
          <w14:ligatures w14:val="none"/>
        </w:rPr>
      </w:pPr>
      <w:r w:rsidRPr="000B05CC">
        <w:rPr>
          <w:rFonts w:ascii="Arial" w:eastAsia="Times New Roman" w:hAnsi="Arial" w:cs="Arial"/>
          <w:b/>
          <w:bCs/>
          <w:kern w:val="0"/>
          <w14:ligatures w14:val="none"/>
        </w:rPr>
        <w:t>Table 5 Summary of Correlation Matrix</w:t>
      </w:r>
    </w:p>
    <w:tbl>
      <w:tblPr>
        <w:tblStyle w:val="PlainTable2"/>
        <w:tblW w:w="9422" w:type="dxa"/>
        <w:tblLook w:val="04A0" w:firstRow="1" w:lastRow="0" w:firstColumn="1" w:lastColumn="0" w:noHBand="0" w:noVBand="1"/>
      </w:tblPr>
      <w:tblGrid>
        <w:gridCol w:w="1425"/>
        <w:gridCol w:w="1342"/>
        <w:gridCol w:w="1333"/>
        <w:gridCol w:w="1332"/>
        <w:gridCol w:w="1332"/>
        <w:gridCol w:w="1332"/>
        <w:gridCol w:w="1326"/>
      </w:tblGrid>
      <w:tr w:rsidR="00F54248" w:rsidRPr="000B05CC" w14:paraId="5C91BB69" w14:textId="77777777" w:rsidTr="00F54248">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767" w:type="dxa"/>
            <w:gridSpan w:val="2"/>
            <w:hideMark/>
          </w:tcPr>
          <w:p w14:paraId="6D2632F2" w14:textId="77777777" w:rsidR="00F54248" w:rsidRPr="000B05CC" w:rsidRDefault="00F54248" w:rsidP="006E16B7">
            <w:pPr>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Correlation Matrix</w:t>
            </w:r>
          </w:p>
        </w:tc>
        <w:tc>
          <w:tcPr>
            <w:tcW w:w="1333" w:type="dxa"/>
            <w:hideMark/>
          </w:tcPr>
          <w:p w14:paraId="6D7D4E58"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B337D7A"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0161A6BD"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1A46460D"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14FA2CB4"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7D823A7F" w14:textId="77777777" w:rsidTr="00F5424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25" w:type="dxa"/>
            <w:hideMark/>
          </w:tcPr>
          <w:p w14:paraId="5DCF8E50" w14:textId="77777777" w:rsidR="00F54248" w:rsidRPr="000B05CC" w:rsidRDefault="00F54248" w:rsidP="006E16B7">
            <w:pPr>
              <w:rPr>
                <w:rFonts w:ascii="Arial" w:eastAsia="Times New Roman" w:hAnsi="Arial" w:cs="Arial"/>
                <w:color w:val="000000"/>
                <w:sz w:val="16"/>
                <w:szCs w:val="16"/>
              </w:rPr>
            </w:pPr>
            <w:r w:rsidRPr="000B05CC">
              <w:rPr>
                <w:rFonts w:ascii="Arial" w:eastAsia="Times New Roman" w:hAnsi="Arial" w:cs="Arial"/>
                <w:color w:val="000000"/>
                <w:sz w:val="16"/>
                <w:szCs w:val="16"/>
              </w:rPr>
              <w:t>Variables</w:t>
            </w:r>
          </w:p>
        </w:tc>
        <w:tc>
          <w:tcPr>
            <w:tcW w:w="1342" w:type="dxa"/>
            <w:hideMark/>
          </w:tcPr>
          <w:p w14:paraId="7E936914"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GDPPC </w:t>
            </w:r>
          </w:p>
        </w:tc>
        <w:tc>
          <w:tcPr>
            <w:tcW w:w="1333" w:type="dxa"/>
            <w:hideMark/>
          </w:tcPr>
          <w:p w14:paraId="7833122F"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ATM </w:t>
            </w:r>
          </w:p>
        </w:tc>
        <w:tc>
          <w:tcPr>
            <w:tcW w:w="1332" w:type="dxa"/>
            <w:hideMark/>
          </w:tcPr>
          <w:p w14:paraId="5A4D80E5"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POS </w:t>
            </w:r>
          </w:p>
        </w:tc>
        <w:tc>
          <w:tcPr>
            <w:tcW w:w="1332" w:type="dxa"/>
            <w:hideMark/>
          </w:tcPr>
          <w:p w14:paraId="6A56B9B7"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DDP </w:t>
            </w:r>
          </w:p>
        </w:tc>
        <w:tc>
          <w:tcPr>
            <w:tcW w:w="1332" w:type="dxa"/>
            <w:hideMark/>
          </w:tcPr>
          <w:p w14:paraId="1C1F8A3C"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PGR </w:t>
            </w:r>
          </w:p>
        </w:tc>
        <w:tc>
          <w:tcPr>
            <w:tcW w:w="1326" w:type="dxa"/>
            <w:hideMark/>
          </w:tcPr>
          <w:p w14:paraId="0106D0BB" w14:textId="77777777" w:rsidR="00F54248" w:rsidRPr="000B05CC" w:rsidRDefault="00F54248" w:rsidP="006E16B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RQ</w:t>
            </w:r>
          </w:p>
        </w:tc>
      </w:tr>
      <w:tr w:rsidR="00F54248" w:rsidRPr="000B05CC" w14:paraId="1CF08BA3" w14:textId="77777777" w:rsidTr="00F54248">
        <w:trPr>
          <w:trHeight w:val="107"/>
        </w:trPr>
        <w:tc>
          <w:tcPr>
            <w:cnfStyle w:val="001000000000" w:firstRow="0" w:lastRow="0" w:firstColumn="1" w:lastColumn="0" w:oddVBand="0" w:evenVBand="0" w:oddHBand="0" w:evenHBand="0" w:firstRowFirstColumn="0" w:firstRowLastColumn="0" w:lastRowFirstColumn="0" w:lastRowLastColumn="0"/>
            <w:tcW w:w="1425" w:type="dxa"/>
            <w:hideMark/>
          </w:tcPr>
          <w:p w14:paraId="080B0C8F"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GDPPC </w:t>
            </w:r>
          </w:p>
          <w:p w14:paraId="2AED70B0"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7208E64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3" w:type="dxa"/>
            <w:hideMark/>
          </w:tcPr>
          <w:p w14:paraId="5A762F0B"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02F7945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6F026AD3"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4AC91AB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2012A4D7"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064A9517"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64643AE"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009F707D"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7FAB0BB3"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5FECDD3E"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5140EBD2" w14:textId="77777777" w:rsidTr="00F5424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5329A635"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ATM </w:t>
            </w:r>
          </w:p>
          <w:p w14:paraId="7FDA2FB8"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70659855"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-0.106</w:t>
            </w:r>
          </w:p>
          <w:p w14:paraId="0491E3B4"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(0.69)</w:t>
            </w:r>
          </w:p>
        </w:tc>
        <w:tc>
          <w:tcPr>
            <w:tcW w:w="1333" w:type="dxa"/>
            <w:hideMark/>
          </w:tcPr>
          <w:p w14:paraId="6BD9166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p w14:paraId="023C649A"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61EC2802"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BC7BA2F"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83E654D"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0CC13F13"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6C9D785E"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701F9E63"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080C4011"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590288A4"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49B055F9" w14:textId="77777777" w:rsidTr="00F54248">
        <w:trPr>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42A3B4E0"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POS </w:t>
            </w:r>
          </w:p>
          <w:p w14:paraId="1D5ECA32"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587FAB5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0.648</w:t>
            </w:r>
          </w:p>
          <w:p w14:paraId="34DC236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(0.00)</w:t>
            </w:r>
          </w:p>
        </w:tc>
        <w:tc>
          <w:tcPr>
            <w:tcW w:w="1333" w:type="dxa"/>
            <w:hideMark/>
          </w:tcPr>
          <w:p w14:paraId="7C46421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-0.454</w:t>
            </w:r>
          </w:p>
          <w:p w14:paraId="2E623DE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(0.07)</w:t>
            </w:r>
          </w:p>
        </w:tc>
        <w:tc>
          <w:tcPr>
            <w:tcW w:w="1332" w:type="dxa"/>
            <w:hideMark/>
          </w:tcPr>
          <w:p w14:paraId="09ECAC3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5796AA44"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4A0EE41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850598F"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D88A6AD"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7E6F31FB"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0ADD633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6A333620"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37A43D7F" w14:textId="77777777" w:rsidTr="00F5424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0CDEFDF6"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DDP </w:t>
            </w:r>
          </w:p>
          <w:p w14:paraId="61C18B4D"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5909E702"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0.109</w:t>
            </w:r>
          </w:p>
          <w:p w14:paraId="6BF00FFD"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(0.68)</w:t>
            </w:r>
          </w:p>
        </w:tc>
        <w:tc>
          <w:tcPr>
            <w:tcW w:w="1333" w:type="dxa"/>
            <w:hideMark/>
          </w:tcPr>
          <w:p w14:paraId="73A25C1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-0.583</w:t>
            </w:r>
          </w:p>
          <w:p w14:paraId="36B2B518"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(0.01)</w:t>
            </w:r>
          </w:p>
        </w:tc>
        <w:tc>
          <w:tcPr>
            <w:tcW w:w="1332" w:type="dxa"/>
            <w:hideMark/>
          </w:tcPr>
          <w:p w14:paraId="00DA272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0.714</w:t>
            </w:r>
          </w:p>
          <w:p w14:paraId="4C1B9C17"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(0.00)</w:t>
            </w:r>
          </w:p>
        </w:tc>
        <w:tc>
          <w:tcPr>
            <w:tcW w:w="1332" w:type="dxa"/>
            <w:hideMark/>
          </w:tcPr>
          <w:p w14:paraId="5A3FF14D"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p w14:paraId="6218FF32"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4031467"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5329B32"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717896AB"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A38FF3B"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11805372" w14:textId="77777777" w:rsidTr="00F54248">
        <w:trPr>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32D7FA6B"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PGR </w:t>
            </w:r>
          </w:p>
          <w:p w14:paraId="22AEA713"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214C5354"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-0.125</w:t>
            </w:r>
          </w:p>
          <w:p w14:paraId="082585AD"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(0.63)</w:t>
            </w:r>
          </w:p>
        </w:tc>
        <w:tc>
          <w:tcPr>
            <w:tcW w:w="1333" w:type="dxa"/>
            <w:hideMark/>
          </w:tcPr>
          <w:p w14:paraId="2285EE4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-0.215</w:t>
            </w:r>
          </w:p>
          <w:p w14:paraId="0711F42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(0.41)</w:t>
            </w:r>
          </w:p>
        </w:tc>
        <w:tc>
          <w:tcPr>
            <w:tcW w:w="1332" w:type="dxa"/>
            <w:hideMark/>
          </w:tcPr>
          <w:p w14:paraId="56CF588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-0.104</w:t>
            </w:r>
          </w:p>
          <w:p w14:paraId="6B83F1E8"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(0.69)</w:t>
            </w:r>
          </w:p>
        </w:tc>
        <w:tc>
          <w:tcPr>
            <w:tcW w:w="1332" w:type="dxa"/>
            <w:hideMark/>
          </w:tcPr>
          <w:p w14:paraId="3FE43A55"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-0.255</w:t>
            </w:r>
          </w:p>
          <w:p w14:paraId="319E9BD5"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(0.32)</w:t>
            </w:r>
          </w:p>
        </w:tc>
        <w:tc>
          <w:tcPr>
            <w:tcW w:w="1332" w:type="dxa"/>
            <w:hideMark/>
          </w:tcPr>
          <w:p w14:paraId="2CCD02C3"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4FEFB82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3A78645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7AD6173"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6F4B3D16" w14:textId="77777777" w:rsidTr="00F5424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030DE7A7"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RQ</w:t>
            </w:r>
          </w:p>
          <w:p w14:paraId="477C9DBA"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12BBBAEC"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0.191</w:t>
            </w:r>
          </w:p>
          <w:p w14:paraId="46FEABC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(0.46)</w:t>
            </w:r>
          </w:p>
        </w:tc>
        <w:tc>
          <w:tcPr>
            <w:tcW w:w="1333" w:type="dxa"/>
            <w:hideMark/>
          </w:tcPr>
          <w:p w14:paraId="330FD18C"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0.517</w:t>
            </w:r>
          </w:p>
          <w:p w14:paraId="00E6B7D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(0.03)</w:t>
            </w:r>
          </w:p>
        </w:tc>
        <w:tc>
          <w:tcPr>
            <w:tcW w:w="1332" w:type="dxa"/>
            <w:hideMark/>
          </w:tcPr>
          <w:p w14:paraId="2E2652C6"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-0.310</w:t>
            </w:r>
          </w:p>
          <w:p w14:paraId="0F422FDB"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(0.23)</w:t>
            </w:r>
          </w:p>
        </w:tc>
        <w:tc>
          <w:tcPr>
            <w:tcW w:w="1332" w:type="dxa"/>
            <w:hideMark/>
          </w:tcPr>
          <w:p w14:paraId="79328CD4"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-0.573</w:t>
            </w:r>
          </w:p>
          <w:p w14:paraId="2351A647"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(0.02)</w:t>
            </w:r>
          </w:p>
        </w:tc>
        <w:tc>
          <w:tcPr>
            <w:tcW w:w="1332" w:type="dxa"/>
            <w:hideMark/>
          </w:tcPr>
          <w:p w14:paraId="0E64BA67"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0.438</w:t>
            </w:r>
          </w:p>
          <w:p w14:paraId="494FB545"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(0.08)</w:t>
            </w:r>
          </w:p>
        </w:tc>
        <w:tc>
          <w:tcPr>
            <w:tcW w:w="1326" w:type="dxa"/>
            <w:hideMark/>
          </w:tcPr>
          <w:p w14:paraId="11E9E638"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p w14:paraId="5531B721"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bl>
    <w:p w14:paraId="09A53FEE" w14:textId="7388B2E9" w:rsidR="00082698" w:rsidRPr="000B05CC" w:rsidRDefault="00F54248" w:rsidP="000B05CC">
      <w:pPr>
        <w:spacing w:line="240" w:lineRule="auto"/>
        <w:jc w:val="both"/>
        <w:rPr>
          <w:rFonts w:ascii="Arial" w:eastAsia="Times New Roman" w:hAnsi="Arial" w:cs="Arial"/>
          <w:b/>
          <w:bCs/>
          <w:kern w:val="0"/>
          <w14:ligatures w14:val="none"/>
        </w:rPr>
      </w:pPr>
      <w:r w:rsidRPr="000B05CC">
        <w:rPr>
          <w:rFonts w:ascii="Arial" w:hAnsi="Arial" w:cs="Arial"/>
          <w:b/>
          <w:bCs/>
        </w:rPr>
        <w:t>Source:</w:t>
      </w:r>
      <w:r w:rsidR="00A769BA" w:rsidRPr="000B05CC">
        <w:rPr>
          <w:rFonts w:ascii="Arial" w:hAnsi="Arial" w:cs="Arial"/>
          <w:b/>
          <w:bCs/>
        </w:rPr>
        <w:t xml:space="preserve"> </w:t>
      </w:r>
      <w:r w:rsidR="00A769BA" w:rsidRPr="000B05CC">
        <w:rPr>
          <w:rFonts w:ascii="Arial" w:eastAsia="Times New Roman" w:hAnsi="Arial" w:cs="Arial"/>
          <w:b/>
          <w:bCs/>
          <w:kern w:val="0"/>
          <w14:ligatures w14:val="none"/>
        </w:rPr>
        <w:t xml:space="preserve">Author’s compilation for </w:t>
      </w:r>
      <w:proofErr w:type="spellStart"/>
      <w:r w:rsidR="00A769BA" w:rsidRPr="000B05CC">
        <w:rPr>
          <w:rFonts w:ascii="Arial" w:eastAsia="Times New Roman" w:hAnsi="Arial" w:cs="Arial"/>
          <w:b/>
          <w:bCs/>
          <w:kern w:val="0"/>
          <w14:ligatures w14:val="none"/>
        </w:rPr>
        <w:t>Eview</w:t>
      </w:r>
      <w:proofErr w:type="spellEnd"/>
    </w:p>
    <w:p w14:paraId="674F5653" w14:textId="6EB3FAB1" w:rsidR="00A769BA" w:rsidRPr="000B05CC" w:rsidRDefault="00A769BA" w:rsidP="00A769BA">
      <w:pPr>
        <w:spacing w:line="240" w:lineRule="auto"/>
        <w:jc w:val="center"/>
        <w:rPr>
          <w:rFonts w:ascii="Arial" w:eastAsia="Times New Roman" w:hAnsi="Arial" w:cs="Arial"/>
          <w:b/>
          <w:bCs/>
          <w:kern w:val="0"/>
          <w14:ligatures w14:val="none"/>
        </w:rPr>
      </w:pPr>
      <w:r w:rsidRPr="000B05CC">
        <w:rPr>
          <w:rFonts w:ascii="Arial" w:eastAsia="Times New Roman" w:hAnsi="Arial" w:cs="Arial"/>
          <w:b/>
          <w:bCs/>
          <w:kern w:val="0"/>
          <w14:ligatures w14:val="none"/>
        </w:rPr>
        <w:t xml:space="preserve">Table 6 </w:t>
      </w:r>
      <w:r w:rsidRPr="000B05CC">
        <w:rPr>
          <w:rFonts w:ascii="Arial" w:hAnsi="Arial" w:cs="Arial"/>
          <w:b/>
          <w:bCs/>
        </w:rPr>
        <w:t>Augmented Dickey-Fuller Unit Root Test.</w:t>
      </w:r>
    </w:p>
    <w:tbl>
      <w:tblPr>
        <w:tblStyle w:val="PlainTable2"/>
        <w:tblW w:w="9360" w:type="dxa"/>
        <w:tblLook w:val="04A0" w:firstRow="1" w:lastRow="0" w:firstColumn="1" w:lastColumn="0" w:noHBand="0" w:noVBand="1"/>
      </w:tblPr>
      <w:tblGrid>
        <w:gridCol w:w="1980"/>
        <w:gridCol w:w="1530"/>
        <w:gridCol w:w="1260"/>
        <w:gridCol w:w="1170"/>
        <w:gridCol w:w="990"/>
        <w:gridCol w:w="1170"/>
        <w:gridCol w:w="1260"/>
      </w:tblGrid>
      <w:tr w:rsidR="00A769BA" w:rsidRPr="000B05CC" w14:paraId="521F2EB5" w14:textId="77777777" w:rsidTr="00A769B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80" w:type="dxa"/>
          </w:tcPr>
          <w:p w14:paraId="131EF2D9" w14:textId="77777777" w:rsidR="00A769BA" w:rsidRPr="000B05CC" w:rsidRDefault="00A769BA" w:rsidP="006E16B7">
            <w:pPr>
              <w:spacing w:line="276" w:lineRule="auto"/>
              <w:jc w:val="center"/>
              <w:rPr>
                <w:rFonts w:ascii="Arial" w:hAnsi="Arial" w:cs="Arial"/>
                <w:b w:val="0"/>
                <w:bCs w:val="0"/>
                <w:sz w:val="16"/>
                <w:szCs w:val="16"/>
                <w:lang w:val="en-GB"/>
              </w:rPr>
            </w:pPr>
            <w:r w:rsidRPr="000B05CC">
              <w:rPr>
                <w:rFonts w:ascii="Arial" w:hAnsi="Arial" w:cs="Arial"/>
                <w:sz w:val="16"/>
                <w:szCs w:val="16"/>
                <w:lang w:val="en-GB"/>
              </w:rPr>
              <w:t>Series</w:t>
            </w:r>
          </w:p>
        </w:tc>
        <w:tc>
          <w:tcPr>
            <w:tcW w:w="1530" w:type="dxa"/>
          </w:tcPr>
          <w:p w14:paraId="255724A2" w14:textId="77777777" w:rsidR="00A769BA" w:rsidRPr="000B05CC" w:rsidRDefault="00A769BA" w:rsidP="006E16B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ADF T-Stat</w:t>
            </w:r>
          </w:p>
        </w:tc>
        <w:tc>
          <w:tcPr>
            <w:tcW w:w="3420" w:type="dxa"/>
            <w:gridSpan w:val="3"/>
          </w:tcPr>
          <w:p w14:paraId="1B251E5D" w14:textId="77777777" w:rsidR="00A769BA" w:rsidRPr="000B05CC" w:rsidRDefault="00A769BA" w:rsidP="006E16B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Critical Values</w:t>
            </w:r>
          </w:p>
        </w:tc>
        <w:tc>
          <w:tcPr>
            <w:tcW w:w="1170" w:type="dxa"/>
          </w:tcPr>
          <w:p w14:paraId="7A0AA282" w14:textId="77777777" w:rsidR="00A769BA" w:rsidRPr="000B05CC" w:rsidRDefault="00A769BA" w:rsidP="006E16B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P Value</w:t>
            </w:r>
          </w:p>
        </w:tc>
        <w:tc>
          <w:tcPr>
            <w:tcW w:w="1260" w:type="dxa"/>
          </w:tcPr>
          <w:p w14:paraId="0509556F" w14:textId="77777777" w:rsidR="00A769BA" w:rsidRPr="000B05CC" w:rsidRDefault="00A769BA" w:rsidP="006E16B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Order</w:t>
            </w:r>
          </w:p>
        </w:tc>
      </w:tr>
      <w:tr w:rsidR="00A769BA" w:rsidRPr="000B05CC" w14:paraId="02FD4130" w14:textId="77777777" w:rsidTr="00A769B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980" w:type="dxa"/>
          </w:tcPr>
          <w:p w14:paraId="114FB61D" w14:textId="77777777" w:rsidR="00A769BA" w:rsidRPr="000B05CC" w:rsidRDefault="00A769BA" w:rsidP="006E16B7">
            <w:pPr>
              <w:spacing w:line="276" w:lineRule="auto"/>
              <w:jc w:val="center"/>
              <w:rPr>
                <w:rFonts w:ascii="Arial" w:hAnsi="Arial" w:cs="Arial"/>
                <w:b w:val="0"/>
                <w:bCs w:val="0"/>
                <w:sz w:val="16"/>
                <w:szCs w:val="16"/>
                <w:lang w:val="en-GB"/>
              </w:rPr>
            </w:pPr>
          </w:p>
        </w:tc>
        <w:tc>
          <w:tcPr>
            <w:tcW w:w="1530" w:type="dxa"/>
          </w:tcPr>
          <w:p w14:paraId="3A0A40A4"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1260" w:type="dxa"/>
          </w:tcPr>
          <w:p w14:paraId="365E9FB5"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0B05CC">
              <w:rPr>
                <w:rFonts w:ascii="Arial" w:hAnsi="Arial" w:cs="Arial"/>
                <w:b/>
                <w:bCs/>
                <w:sz w:val="16"/>
                <w:szCs w:val="16"/>
                <w:lang w:val="en-GB"/>
              </w:rPr>
              <w:t>1%</w:t>
            </w:r>
          </w:p>
        </w:tc>
        <w:tc>
          <w:tcPr>
            <w:tcW w:w="1170" w:type="dxa"/>
          </w:tcPr>
          <w:p w14:paraId="6721AB35"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0B05CC">
              <w:rPr>
                <w:rFonts w:ascii="Arial" w:hAnsi="Arial" w:cs="Arial"/>
                <w:b/>
                <w:bCs/>
                <w:sz w:val="16"/>
                <w:szCs w:val="16"/>
                <w:lang w:val="en-GB"/>
              </w:rPr>
              <w:t>5%</w:t>
            </w:r>
          </w:p>
        </w:tc>
        <w:tc>
          <w:tcPr>
            <w:tcW w:w="990" w:type="dxa"/>
          </w:tcPr>
          <w:p w14:paraId="11B202E6"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0B05CC">
              <w:rPr>
                <w:rFonts w:ascii="Arial" w:hAnsi="Arial" w:cs="Arial"/>
                <w:b/>
                <w:bCs/>
                <w:sz w:val="16"/>
                <w:szCs w:val="16"/>
                <w:lang w:val="en-GB"/>
              </w:rPr>
              <w:t>10%</w:t>
            </w:r>
          </w:p>
        </w:tc>
        <w:tc>
          <w:tcPr>
            <w:tcW w:w="1170" w:type="dxa"/>
          </w:tcPr>
          <w:p w14:paraId="7525E195"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1260" w:type="dxa"/>
          </w:tcPr>
          <w:p w14:paraId="494BFB87"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r>
      <w:tr w:rsidR="00A769BA" w:rsidRPr="000B05CC" w14:paraId="5DBD111C" w14:textId="77777777" w:rsidTr="00A769BA">
        <w:trPr>
          <w:trHeight w:val="245"/>
        </w:trPr>
        <w:tc>
          <w:tcPr>
            <w:cnfStyle w:val="001000000000" w:firstRow="0" w:lastRow="0" w:firstColumn="1" w:lastColumn="0" w:oddVBand="0" w:evenVBand="0" w:oddHBand="0" w:evenHBand="0" w:firstRowFirstColumn="0" w:firstRowLastColumn="0" w:lastRowFirstColumn="0" w:lastRowLastColumn="0"/>
            <w:tcW w:w="1980" w:type="dxa"/>
          </w:tcPr>
          <w:p w14:paraId="48BA8B6E"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GDPPC </w:t>
            </w:r>
          </w:p>
        </w:tc>
        <w:tc>
          <w:tcPr>
            <w:tcW w:w="1530" w:type="dxa"/>
          </w:tcPr>
          <w:p w14:paraId="3783CF42"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-5.50344</w:t>
            </w:r>
          </w:p>
        </w:tc>
        <w:tc>
          <w:tcPr>
            <w:tcW w:w="1260" w:type="dxa"/>
          </w:tcPr>
          <w:p w14:paraId="56B2EEB7"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-4.00443</w:t>
            </w:r>
          </w:p>
        </w:tc>
        <w:tc>
          <w:tcPr>
            <w:tcW w:w="1170" w:type="dxa"/>
          </w:tcPr>
          <w:p w14:paraId="297CD738"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-3.09889</w:t>
            </w:r>
          </w:p>
        </w:tc>
        <w:tc>
          <w:tcPr>
            <w:tcW w:w="990" w:type="dxa"/>
          </w:tcPr>
          <w:p w14:paraId="35595909"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-2.68044</w:t>
            </w:r>
          </w:p>
        </w:tc>
        <w:tc>
          <w:tcPr>
            <w:tcW w:w="1170" w:type="dxa"/>
          </w:tcPr>
          <w:p w14:paraId="3FB97201"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0.000</w:t>
            </w:r>
          </w:p>
        </w:tc>
        <w:tc>
          <w:tcPr>
            <w:tcW w:w="1260" w:type="dxa"/>
          </w:tcPr>
          <w:p w14:paraId="485771FF"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44632182" w14:textId="77777777" w:rsidTr="00A769B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980" w:type="dxa"/>
          </w:tcPr>
          <w:p w14:paraId="39465855"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ATM  </w:t>
            </w:r>
          </w:p>
        </w:tc>
        <w:tc>
          <w:tcPr>
            <w:tcW w:w="1530" w:type="dxa"/>
          </w:tcPr>
          <w:p w14:paraId="5AB783B4"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-6.095442</w:t>
            </w:r>
          </w:p>
        </w:tc>
        <w:tc>
          <w:tcPr>
            <w:tcW w:w="1260" w:type="dxa"/>
          </w:tcPr>
          <w:p w14:paraId="4D446D87"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-4.88643</w:t>
            </w:r>
          </w:p>
        </w:tc>
        <w:tc>
          <w:tcPr>
            <w:tcW w:w="1170" w:type="dxa"/>
          </w:tcPr>
          <w:p w14:paraId="552AA56A"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-3.82898</w:t>
            </w:r>
          </w:p>
        </w:tc>
        <w:tc>
          <w:tcPr>
            <w:tcW w:w="990" w:type="dxa"/>
          </w:tcPr>
          <w:p w14:paraId="6018B763"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-3.36298</w:t>
            </w:r>
          </w:p>
        </w:tc>
        <w:tc>
          <w:tcPr>
            <w:tcW w:w="1170" w:type="dxa"/>
          </w:tcPr>
          <w:p w14:paraId="2F402FAD"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0.037</w:t>
            </w:r>
          </w:p>
        </w:tc>
        <w:tc>
          <w:tcPr>
            <w:tcW w:w="1260" w:type="dxa"/>
          </w:tcPr>
          <w:p w14:paraId="4C71CA1A"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0563D909" w14:textId="77777777" w:rsidTr="00A769BA">
        <w:trPr>
          <w:trHeight w:val="269"/>
        </w:trPr>
        <w:tc>
          <w:tcPr>
            <w:cnfStyle w:val="001000000000" w:firstRow="0" w:lastRow="0" w:firstColumn="1" w:lastColumn="0" w:oddVBand="0" w:evenVBand="0" w:oddHBand="0" w:evenHBand="0" w:firstRowFirstColumn="0" w:firstRowLastColumn="0" w:lastRowFirstColumn="0" w:lastRowLastColumn="0"/>
            <w:tcW w:w="1980" w:type="dxa"/>
          </w:tcPr>
          <w:p w14:paraId="2A095ECE"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POS  </w:t>
            </w:r>
          </w:p>
        </w:tc>
        <w:tc>
          <w:tcPr>
            <w:tcW w:w="1530" w:type="dxa"/>
          </w:tcPr>
          <w:p w14:paraId="4486D1DD"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-4.365088</w:t>
            </w:r>
          </w:p>
        </w:tc>
        <w:tc>
          <w:tcPr>
            <w:tcW w:w="1260" w:type="dxa"/>
          </w:tcPr>
          <w:p w14:paraId="032DDAA3"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-3.95915</w:t>
            </w:r>
          </w:p>
        </w:tc>
        <w:tc>
          <w:tcPr>
            <w:tcW w:w="1170" w:type="dxa"/>
          </w:tcPr>
          <w:p w14:paraId="11296068"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-3.08100</w:t>
            </w:r>
          </w:p>
        </w:tc>
        <w:tc>
          <w:tcPr>
            <w:tcW w:w="990" w:type="dxa"/>
          </w:tcPr>
          <w:p w14:paraId="7B642A4E"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-2.68133</w:t>
            </w:r>
          </w:p>
        </w:tc>
        <w:tc>
          <w:tcPr>
            <w:tcW w:w="1170" w:type="dxa"/>
          </w:tcPr>
          <w:p w14:paraId="4CB7EFD7"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0.004</w:t>
            </w:r>
          </w:p>
        </w:tc>
        <w:tc>
          <w:tcPr>
            <w:tcW w:w="1260" w:type="dxa"/>
          </w:tcPr>
          <w:p w14:paraId="4778EE89"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37E20BB1" w14:textId="77777777" w:rsidTr="00A769B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980" w:type="dxa"/>
          </w:tcPr>
          <w:p w14:paraId="6289EAE2"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DDP  </w:t>
            </w:r>
          </w:p>
        </w:tc>
        <w:tc>
          <w:tcPr>
            <w:tcW w:w="1530" w:type="dxa"/>
          </w:tcPr>
          <w:p w14:paraId="6004DE47"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-4.914096</w:t>
            </w:r>
          </w:p>
        </w:tc>
        <w:tc>
          <w:tcPr>
            <w:tcW w:w="1260" w:type="dxa"/>
          </w:tcPr>
          <w:p w14:paraId="35D04580"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-4.68643</w:t>
            </w:r>
          </w:p>
        </w:tc>
        <w:tc>
          <w:tcPr>
            <w:tcW w:w="1170" w:type="dxa"/>
          </w:tcPr>
          <w:p w14:paraId="12071512"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-3.82898</w:t>
            </w:r>
          </w:p>
        </w:tc>
        <w:tc>
          <w:tcPr>
            <w:tcW w:w="990" w:type="dxa"/>
          </w:tcPr>
          <w:p w14:paraId="34C017A6"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-3.36298</w:t>
            </w:r>
          </w:p>
        </w:tc>
        <w:tc>
          <w:tcPr>
            <w:tcW w:w="1170" w:type="dxa"/>
          </w:tcPr>
          <w:p w14:paraId="4858196A"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0.020</w:t>
            </w:r>
          </w:p>
        </w:tc>
        <w:tc>
          <w:tcPr>
            <w:tcW w:w="1260" w:type="dxa"/>
          </w:tcPr>
          <w:p w14:paraId="76D3D6BD"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0728C706" w14:textId="77777777" w:rsidTr="00A769BA">
        <w:trPr>
          <w:trHeight w:val="263"/>
        </w:trPr>
        <w:tc>
          <w:tcPr>
            <w:cnfStyle w:val="001000000000" w:firstRow="0" w:lastRow="0" w:firstColumn="1" w:lastColumn="0" w:oddVBand="0" w:evenVBand="0" w:oddHBand="0" w:evenHBand="0" w:firstRowFirstColumn="0" w:firstRowLastColumn="0" w:lastRowFirstColumn="0" w:lastRowLastColumn="0"/>
            <w:tcW w:w="1980" w:type="dxa"/>
          </w:tcPr>
          <w:p w14:paraId="75E76907"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PGR  </w:t>
            </w:r>
          </w:p>
        </w:tc>
        <w:tc>
          <w:tcPr>
            <w:tcW w:w="1530" w:type="dxa"/>
          </w:tcPr>
          <w:p w14:paraId="49B528AE"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-4.106946</w:t>
            </w:r>
          </w:p>
        </w:tc>
        <w:tc>
          <w:tcPr>
            <w:tcW w:w="1260" w:type="dxa"/>
          </w:tcPr>
          <w:p w14:paraId="45E66DDB"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-4.00443</w:t>
            </w:r>
          </w:p>
        </w:tc>
        <w:tc>
          <w:tcPr>
            <w:tcW w:w="1170" w:type="dxa"/>
          </w:tcPr>
          <w:p w14:paraId="341151D0"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-3.09889</w:t>
            </w:r>
          </w:p>
        </w:tc>
        <w:tc>
          <w:tcPr>
            <w:tcW w:w="990" w:type="dxa"/>
          </w:tcPr>
          <w:p w14:paraId="177C5794"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-2.69044</w:t>
            </w:r>
          </w:p>
        </w:tc>
        <w:tc>
          <w:tcPr>
            <w:tcW w:w="1170" w:type="dxa"/>
          </w:tcPr>
          <w:p w14:paraId="18389964"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0.008</w:t>
            </w:r>
          </w:p>
        </w:tc>
        <w:tc>
          <w:tcPr>
            <w:tcW w:w="1260" w:type="dxa"/>
          </w:tcPr>
          <w:p w14:paraId="4E6155E3"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182BFA10" w14:textId="77777777" w:rsidTr="00A769BA">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980" w:type="dxa"/>
          </w:tcPr>
          <w:p w14:paraId="4267F7B0"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RQ</w:t>
            </w:r>
          </w:p>
        </w:tc>
        <w:tc>
          <w:tcPr>
            <w:tcW w:w="1530" w:type="dxa"/>
          </w:tcPr>
          <w:p w14:paraId="2995F1DB"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-4.107626</w:t>
            </w:r>
          </w:p>
        </w:tc>
        <w:tc>
          <w:tcPr>
            <w:tcW w:w="1260" w:type="dxa"/>
          </w:tcPr>
          <w:p w14:paraId="786C2D01"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-3.95915</w:t>
            </w:r>
          </w:p>
        </w:tc>
        <w:tc>
          <w:tcPr>
            <w:tcW w:w="1170" w:type="dxa"/>
          </w:tcPr>
          <w:p w14:paraId="69078662"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-3.08100</w:t>
            </w:r>
          </w:p>
        </w:tc>
        <w:tc>
          <w:tcPr>
            <w:tcW w:w="990" w:type="dxa"/>
          </w:tcPr>
          <w:p w14:paraId="60BB43BA"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-2.68133</w:t>
            </w:r>
          </w:p>
        </w:tc>
        <w:tc>
          <w:tcPr>
            <w:tcW w:w="1170" w:type="dxa"/>
          </w:tcPr>
          <w:p w14:paraId="0B222684"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0.009</w:t>
            </w:r>
          </w:p>
        </w:tc>
        <w:tc>
          <w:tcPr>
            <w:tcW w:w="1260" w:type="dxa"/>
          </w:tcPr>
          <w:p w14:paraId="382C57AB"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bl>
    <w:p w14:paraId="3FEE3DDD" w14:textId="2C262355" w:rsidR="00CF4F50" w:rsidRPr="000B05CC" w:rsidRDefault="00A769BA" w:rsidP="00435BFF">
      <w:pPr>
        <w:spacing w:line="240" w:lineRule="auto"/>
        <w:jc w:val="both"/>
        <w:rPr>
          <w:rFonts w:ascii="Arial" w:eastAsia="Times New Roman" w:hAnsi="Arial" w:cs="Arial"/>
          <w:b/>
          <w:bCs/>
          <w:kern w:val="0"/>
          <w14:ligatures w14:val="none"/>
        </w:rPr>
      </w:pPr>
      <w:r w:rsidRPr="000B05CC">
        <w:rPr>
          <w:rFonts w:ascii="Arial" w:hAnsi="Arial" w:cs="Arial"/>
          <w:b/>
          <w:bCs/>
        </w:rPr>
        <w:t xml:space="preserve">Source: </w:t>
      </w:r>
      <w:r w:rsidRPr="000B05CC">
        <w:rPr>
          <w:rFonts w:ascii="Arial" w:eastAsia="Times New Roman" w:hAnsi="Arial" w:cs="Arial"/>
          <w:b/>
          <w:bCs/>
          <w:kern w:val="0"/>
          <w14:ligatures w14:val="none"/>
        </w:rPr>
        <w:t xml:space="preserve">Author’s compilation for </w:t>
      </w:r>
      <w:proofErr w:type="spellStart"/>
      <w:r w:rsidRPr="000B05CC">
        <w:rPr>
          <w:rFonts w:ascii="Arial" w:eastAsia="Times New Roman" w:hAnsi="Arial" w:cs="Arial"/>
          <w:b/>
          <w:bCs/>
          <w:kern w:val="0"/>
          <w14:ligatures w14:val="none"/>
        </w:rPr>
        <w:t>Eviews</w:t>
      </w:r>
      <w:proofErr w:type="spellEnd"/>
    </w:p>
    <w:p w14:paraId="265E69D6" w14:textId="77777777" w:rsidR="000B05CC" w:rsidRDefault="000B05CC" w:rsidP="00807446">
      <w:pPr>
        <w:spacing w:line="240" w:lineRule="auto"/>
        <w:jc w:val="center"/>
        <w:rPr>
          <w:rFonts w:ascii="Arial" w:eastAsia="Times New Roman" w:hAnsi="Arial" w:cs="Arial"/>
          <w:b/>
          <w:bCs/>
          <w:kern w:val="0"/>
          <w14:ligatures w14:val="none"/>
        </w:rPr>
      </w:pPr>
    </w:p>
    <w:p w14:paraId="4E020C90" w14:textId="77777777" w:rsidR="000B05CC" w:rsidRDefault="000B05CC" w:rsidP="00807446">
      <w:pPr>
        <w:spacing w:line="240" w:lineRule="auto"/>
        <w:jc w:val="center"/>
        <w:rPr>
          <w:rFonts w:ascii="Arial" w:eastAsia="Times New Roman" w:hAnsi="Arial" w:cs="Arial"/>
          <w:b/>
          <w:bCs/>
          <w:kern w:val="0"/>
          <w14:ligatures w14:val="none"/>
        </w:rPr>
      </w:pPr>
    </w:p>
    <w:p w14:paraId="48C4D2D3" w14:textId="77777777" w:rsidR="000B05CC" w:rsidRDefault="000B05CC" w:rsidP="00807446">
      <w:pPr>
        <w:spacing w:line="240" w:lineRule="auto"/>
        <w:jc w:val="center"/>
        <w:rPr>
          <w:rFonts w:ascii="Arial" w:eastAsia="Times New Roman" w:hAnsi="Arial" w:cs="Arial"/>
          <w:b/>
          <w:bCs/>
          <w:kern w:val="0"/>
          <w14:ligatures w14:val="none"/>
        </w:rPr>
      </w:pPr>
    </w:p>
    <w:p w14:paraId="3273BB6A" w14:textId="77777777" w:rsidR="000B05CC" w:rsidRDefault="000B05CC" w:rsidP="00807446">
      <w:pPr>
        <w:spacing w:line="240" w:lineRule="auto"/>
        <w:jc w:val="center"/>
        <w:rPr>
          <w:rFonts w:ascii="Arial" w:eastAsia="Times New Roman" w:hAnsi="Arial" w:cs="Arial"/>
          <w:b/>
          <w:bCs/>
          <w:kern w:val="0"/>
          <w14:ligatures w14:val="none"/>
        </w:rPr>
      </w:pPr>
    </w:p>
    <w:p w14:paraId="4903A229" w14:textId="77777777" w:rsidR="000B05CC" w:rsidRDefault="000B05CC" w:rsidP="00807446">
      <w:pPr>
        <w:spacing w:line="240" w:lineRule="auto"/>
        <w:jc w:val="center"/>
        <w:rPr>
          <w:rFonts w:ascii="Arial" w:eastAsia="Times New Roman" w:hAnsi="Arial" w:cs="Arial"/>
          <w:b/>
          <w:bCs/>
          <w:kern w:val="0"/>
          <w14:ligatures w14:val="none"/>
        </w:rPr>
      </w:pPr>
    </w:p>
    <w:p w14:paraId="03611B08" w14:textId="1CE99B9D" w:rsidR="00807446" w:rsidRPr="000B05CC" w:rsidRDefault="00807446" w:rsidP="00807446">
      <w:pPr>
        <w:spacing w:line="240" w:lineRule="auto"/>
        <w:jc w:val="center"/>
        <w:rPr>
          <w:rFonts w:ascii="Arial" w:eastAsia="Times New Roman" w:hAnsi="Arial" w:cs="Arial"/>
          <w:b/>
          <w:bCs/>
          <w:kern w:val="0"/>
          <w14:ligatures w14:val="none"/>
        </w:rPr>
      </w:pPr>
      <w:r w:rsidRPr="000B05CC">
        <w:rPr>
          <w:rFonts w:ascii="Arial" w:eastAsia="Times New Roman" w:hAnsi="Arial" w:cs="Arial"/>
          <w:b/>
          <w:bCs/>
          <w:kern w:val="0"/>
          <w14:ligatures w14:val="none"/>
        </w:rPr>
        <w:t xml:space="preserve">Table </w:t>
      </w:r>
      <w:r w:rsidR="00CB0C0B" w:rsidRPr="000B05CC">
        <w:rPr>
          <w:rFonts w:ascii="Arial" w:eastAsia="Times New Roman" w:hAnsi="Arial" w:cs="Arial"/>
          <w:b/>
          <w:bCs/>
          <w:kern w:val="0"/>
          <w14:ligatures w14:val="none"/>
        </w:rPr>
        <w:t>7</w:t>
      </w:r>
      <w:r w:rsidRPr="000B05CC">
        <w:rPr>
          <w:rFonts w:ascii="Arial" w:eastAsia="Times New Roman" w:hAnsi="Arial" w:cs="Arial"/>
          <w:b/>
          <w:bCs/>
          <w:kern w:val="0"/>
          <w14:ligatures w14:val="none"/>
        </w:rPr>
        <w:t xml:space="preserve"> Summary of ARDL Estimates</w:t>
      </w:r>
    </w:p>
    <w:tbl>
      <w:tblPr>
        <w:tblStyle w:val="TableGrid"/>
        <w:tblW w:w="9346" w:type="dxa"/>
        <w:tblInd w:w="-95" w:type="dxa"/>
        <w:tblLayout w:type="fixed"/>
        <w:tblLook w:val="04A0" w:firstRow="1" w:lastRow="0" w:firstColumn="1" w:lastColumn="0" w:noHBand="0" w:noVBand="1"/>
      </w:tblPr>
      <w:tblGrid>
        <w:gridCol w:w="2246"/>
        <w:gridCol w:w="1257"/>
        <w:gridCol w:w="1167"/>
        <w:gridCol w:w="1261"/>
        <w:gridCol w:w="1257"/>
        <w:gridCol w:w="1167"/>
        <w:gridCol w:w="991"/>
      </w:tblGrid>
      <w:tr w:rsidR="00807446" w:rsidRPr="000B05CC" w14:paraId="403CAA31" w14:textId="77777777" w:rsidTr="006E16B7">
        <w:trPr>
          <w:trHeight w:val="217"/>
        </w:trPr>
        <w:tc>
          <w:tcPr>
            <w:tcW w:w="9346" w:type="dxa"/>
            <w:gridSpan w:val="7"/>
          </w:tcPr>
          <w:p w14:paraId="12F44661" w14:textId="77777777" w:rsidR="00807446" w:rsidRPr="000B05CC" w:rsidRDefault="00807446" w:rsidP="006E16B7">
            <w:pPr>
              <w:jc w:val="center"/>
              <w:rPr>
                <w:rFonts w:ascii="Arial" w:hAnsi="Arial" w:cs="Arial"/>
                <w:sz w:val="16"/>
                <w:szCs w:val="16"/>
                <w:lang w:val="en-GB"/>
              </w:rPr>
            </w:pPr>
            <w:r w:rsidRPr="000B05CC">
              <w:rPr>
                <w:rFonts w:ascii="Arial" w:hAnsi="Arial" w:cs="Arial"/>
                <w:b/>
                <w:bCs/>
                <w:sz w:val="16"/>
                <w:szCs w:val="16"/>
                <w:lang w:val="en-GB"/>
              </w:rPr>
              <w:t>UNITED KINGDOM</w:t>
            </w:r>
            <w:r w:rsidRPr="000B05CC">
              <w:rPr>
                <w:rFonts w:ascii="Arial" w:hAnsi="Arial" w:cs="Arial"/>
                <w:sz w:val="16"/>
                <w:szCs w:val="16"/>
                <w:lang w:val="en-GB"/>
              </w:rPr>
              <w:t xml:space="preserve"> </w:t>
            </w:r>
          </w:p>
        </w:tc>
      </w:tr>
      <w:tr w:rsidR="00807446" w:rsidRPr="000B05CC" w14:paraId="7D1BCC52" w14:textId="77777777" w:rsidTr="006E16B7">
        <w:trPr>
          <w:trHeight w:val="242"/>
        </w:trPr>
        <w:tc>
          <w:tcPr>
            <w:tcW w:w="9346" w:type="dxa"/>
            <w:gridSpan w:val="7"/>
          </w:tcPr>
          <w:p w14:paraId="7259E10E" w14:textId="77777777" w:rsidR="00807446" w:rsidRPr="000B05CC" w:rsidRDefault="00807446" w:rsidP="006E16B7">
            <w:pPr>
              <w:rPr>
                <w:rFonts w:ascii="Arial" w:hAnsi="Arial" w:cs="Arial"/>
                <w:b/>
                <w:bCs/>
                <w:sz w:val="16"/>
                <w:szCs w:val="16"/>
              </w:rPr>
            </w:pPr>
            <w:r w:rsidRPr="000B05CC">
              <w:rPr>
                <w:rFonts w:ascii="Arial" w:hAnsi="Arial" w:cs="Arial"/>
                <w:b/>
                <w:bCs/>
                <w:sz w:val="16"/>
                <w:szCs w:val="16"/>
                <w:lang w:val="en-GB"/>
              </w:rPr>
              <w:t>DEPENDENT VARIABLE – GDPPC</w:t>
            </w:r>
          </w:p>
        </w:tc>
      </w:tr>
      <w:tr w:rsidR="00807446" w:rsidRPr="000B05CC" w14:paraId="1A5D61D9" w14:textId="77777777" w:rsidTr="006E16B7">
        <w:trPr>
          <w:trHeight w:val="217"/>
        </w:trPr>
        <w:tc>
          <w:tcPr>
            <w:tcW w:w="2246" w:type="dxa"/>
          </w:tcPr>
          <w:p w14:paraId="2E7A57E8"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Var</w:t>
            </w:r>
          </w:p>
        </w:tc>
        <w:tc>
          <w:tcPr>
            <w:tcW w:w="1257" w:type="dxa"/>
          </w:tcPr>
          <w:p w14:paraId="268B2B56"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POS</w:t>
            </w:r>
          </w:p>
        </w:tc>
        <w:tc>
          <w:tcPr>
            <w:tcW w:w="1167" w:type="dxa"/>
          </w:tcPr>
          <w:p w14:paraId="440A43BB"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ATMs</w:t>
            </w:r>
          </w:p>
          <w:p w14:paraId="58D52D55" w14:textId="77777777" w:rsidR="00807446" w:rsidRPr="000B05CC" w:rsidRDefault="00807446" w:rsidP="006E16B7">
            <w:pPr>
              <w:jc w:val="center"/>
              <w:rPr>
                <w:rFonts w:ascii="Arial" w:hAnsi="Arial" w:cs="Arial"/>
                <w:b/>
                <w:bCs/>
                <w:sz w:val="16"/>
                <w:szCs w:val="16"/>
                <w:lang w:val="en-GB"/>
              </w:rPr>
            </w:pPr>
          </w:p>
        </w:tc>
        <w:tc>
          <w:tcPr>
            <w:tcW w:w="1261" w:type="dxa"/>
          </w:tcPr>
          <w:p w14:paraId="0538EBE7"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DDP</w:t>
            </w:r>
          </w:p>
        </w:tc>
        <w:tc>
          <w:tcPr>
            <w:tcW w:w="1257" w:type="dxa"/>
          </w:tcPr>
          <w:p w14:paraId="73BE9E1C"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PGR</w:t>
            </w:r>
          </w:p>
          <w:p w14:paraId="72C483EA" w14:textId="77777777" w:rsidR="00807446" w:rsidRPr="000B05CC" w:rsidRDefault="00807446" w:rsidP="006E16B7">
            <w:pPr>
              <w:jc w:val="center"/>
              <w:rPr>
                <w:rFonts w:ascii="Arial" w:hAnsi="Arial" w:cs="Arial"/>
                <w:b/>
                <w:bCs/>
                <w:sz w:val="16"/>
                <w:szCs w:val="16"/>
                <w:lang w:val="en-GB"/>
              </w:rPr>
            </w:pPr>
          </w:p>
        </w:tc>
        <w:tc>
          <w:tcPr>
            <w:tcW w:w="1167" w:type="dxa"/>
          </w:tcPr>
          <w:p w14:paraId="7805B000"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RQ</w:t>
            </w:r>
          </w:p>
        </w:tc>
        <w:tc>
          <w:tcPr>
            <w:tcW w:w="991" w:type="dxa"/>
          </w:tcPr>
          <w:p w14:paraId="0D3DE3EB" w14:textId="77777777" w:rsidR="00807446" w:rsidRPr="000B05CC" w:rsidRDefault="00807446" w:rsidP="006E16B7">
            <w:pPr>
              <w:rPr>
                <w:rFonts w:ascii="Arial" w:hAnsi="Arial" w:cs="Arial"/>
                <w:sz w:val="16"/>
                <w:szCs w:val="16"/>
                <w:lang w:val="en-GB"/>
              </w:rPr>
            </w:pPr>
          </w:p>
        </w:tc>
      </w:tr>
      <w:tr w:rsidR="00807446" w:rsidRPr="000B05CC" w14:paraId="6BA1A83D" w14:textId="77777777" w:rsidTr="006E16B7">
        <w:trPr>
          <w:trHeight w:val="217"/>
        </w:trPr>
        <w:tc>
          <w:tcPr>
            <w:tcW w:w="2246" w:type="dxa"/>
          </w:tcPr>
          <w:p w14:paraId="0B7F9382" w14:textId="77777777" w:rsidR="00807446" w:rsidRPr="000B05CC" w:rsidRDefault="00807446" w:rsidP="006E16B7">
            <w:pPr>
              <w:jc w:val="center"/>
              <w:rPr>
                <w:rFonts w:ascii="Arial" w:hAnsi="Arial" w:cs="Arial"/>
                <w:b/>
                <w:bCs/>
                <w:sz w:val="16"/>
                <w:szCs w:val="16"/>
              </w:rPr>
            </w:pPr>
            <w:proofErr w:type="spellStart"/>
            <w:r w:rsidRPr="000B05CC">
              <w:rPr>
                <w:rFonts w:ascii="Arial" w:hAnsi="Arial" w:cs="Arial"/>
                <w:b/>
                <w:bCs/>
                <w:sz w:val="16"/>
                <w:szCs w:val="16"/>
              </w:rPr>
              <w:t>Coeff</w:t>
            </w:r>
            <w:proofErr w:type="spellEnd"/>
          </w:p>
          <w:p w14:paraId="384A9541" w14:textId="77777777" w:rsidR="00807446" w:rsidRPr="000B05CC" w:rsidRDefault="00807446" w:rsidP="006E16B7">
            <w:pPr>
              <w:jc w:val="center"/>
              <w:rPr>
                <w:rFonts w:ascii="Arial" w:hAnsi="Arial" w:cs="Arial"/>
                <w:b/>
                <w:bCs/>
                <w:sz w:val="16"/>
                <w:szCs w:val="16"/>
              </w:rPr>
            </w:pPr>
            <w:proofErr w:type="spellStart"/>
            <w:proofErr w:type="gramStart"/>
            <w:r w:rsidRPr="000B05CC">
              <w:rPr>
                <w:rFonts w:ascii="Arial" w:hAnsi="Arial" w:cs="Arial"/>
                <w:b/>
                <w:bCs/>
                <w:sz w:val="16"/>
                <w:szCs w:val="16"/>
              </w:rPr>
              <w:t>T.stat</w:t>
            </w:r>
            <w:proofErr w:type="spellEnd"/>
            <w:proofErr w:type="gramEnd"/>
          </w:p>
          <w:p w14:paraId="204CACD7" w14:textId="77777777" w:rsidR="00807446" w:rsidRPr="000B05CC" w:rsidRDefault="00807446" w:rsidP="006E16B7">
            <w:pPr>
              <w:jc w:val="center"/>
              <w:rPr>
                <w:rFonts w:ascii="Arial" w:hAnsi="Arial" w:cs="Arial"/>
                <w:b/>
                <w:bCs/>
                <w:sz w:val="16"/>
                <w:szCs w:val="16"/>
              </w:rPr>
            </w:pPr>
            <w:proofErr w:type="spellStart"/>
            <w:r w:rsidRPr="000B05CC">
              <w:rPr>
                <w:rFonts w:ascii="Arial" w:hAnsi="Arial" w:cs="Arial"/>
                <w:b/>
                <w:bCs/>
                <w:sz w:val="16"/>
                <w:szCs w:val="16"/>
              </w:rPr>
              <w:t>P.val</w:t>
            </w:r>
            <w:proofErr w:type="spellEnd"/>
          </w:p>
        </w:tc>
        <w:tc>
          <w:tcPr>
            <w:tcW w:w="1257" w:type="dxa"/>
          </w:tcPr>
          <w:p w14:paraId="388F7FDC"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5.74</w:t>
            </w:r>
          </w:p>
          <w:p w14:paraId="7428E6E5"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2.92</w:t>
            </w:r>
          </w:p>
          <w:p w14:paraId="602EE66F"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(0.04)</w:t>
            </w:r>
          </w:p>
        </w:tc>
        <w:tc>
          <w:tcPr>
            <w:tcW w:w="1167" w:type="dxa"/>
          </w:tcPr>
          <w:p w14:paraId="024B2B49"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-0.24</w:t>
            </w:r>
          </w:p>
          <w:p w14:paraId="18C845C5"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-0.23</w:t>
            </w:r>
          </w:p>
          <w:p w14:paraId="56295D86"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(0.83)</w:t>
            </w:r>
          </w:p>
        </w:tc>
        <w:tc>
          <w:tcPr>
            <w:tcW w:w="1261" w:type="dxa"/>
          </w:tcPr>
          <w:p w14:paraId="0BF5CF0D"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-10.78</w:t>
            </w:r>
          </w:p>
          <w:p w14:paraId="7014D261"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-2.33</w:t>
            </w:r>
          </w:p>
          <w:p w14:paraId="69D7B6F7"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(0.10)</w:t>
            </w:r>
          </w:p>
        </w:tc>
        <w:tc>
          <w:tcPr>
            <w:tcW w:w="1257" w:type="dxa"/>
          </w:tcPr>
          <w:p w14:paraId="139318F2"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3.34</w:t>
            </w:r>
          </w:p>
          <w:p w14:paraId="0D30AF05"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7.95</w:t>
            </w:r>
          </w:p>
          <w:p w14:paraId="1FB701A6"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(0.00)</w:t>
            </w:r>
          </w:p>
        </w:tc>
        <w:tc>
          <w:tcPr>
            <w:tcW w:w="1167" w:type="dxa"/>
          </w:tcPr>
          <w:p w14:paraId="4AC704F0"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7.40</w:t>
            </w:r>
          </w:p>
          <w:p w14:paraId="5015378A"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5.96</w:t>
            </w:r>
          </w:p>
          <w:p w14:paraId="5900867E"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(0.01)</w:t>
            </w:r>
          </w:p>
        </w:tc>
        <w:tc>
          <w:tcPr>
            <w:tcW w:w="991" w:type="dxa"/>
          </w:tcPr>
          <w:p w14:paraId="0434760E" w14:textId="77777777" w:rsidR="00807446" w:rsidRPr="000B05CC" w:rsidRDefault="00807446" w:rsidP="006E16B7">
            <w:pPr>
              <w:jc w:val="center"/>
              <w:rPr>
                <w:rFonts w:ascii="Arial" w:hAnsi="Arial" w:cs="Arial"/>
                <w:b/>
                <w:bCs/>
                <w:sz w:val="16"/>
                <w:szCs w:val="16"/>
              </w:rPr>
            </w:pPr>
          </w:p>
        </w:tc>
      </w:tr>
      <w:tr w:rsidR="00807446" w:rsidRPr="000B05CC" w14:paraId="2C0B3A00" w14:textId="77777777" w:rsidTr="006E16B7">
        <w:trPr>
          <w:trHeight w:val="217"/>
        </w:trPr>
        <w:tc>
          <w:tcPr>
            <w:tcW w:w="5931" w:type="dxa"/>
            <w:gridSpan w:val="4"/>
          </w:tcPr>
          <w:p w14:paraId="33C00BFF" w14:textId="77777777" w:rsidR="00807446" w:rsidRPr="000B05CC" w:rsidRDefault="00807446" w:rsidP="006E16B7">
            <w:pPr>
              <w:jc w:val="center"/>
              <w:rPr>
                <w:rFonts w:ascii="Arial" w:hAnsi="Arial" w:cs="Arial"/>
                <w:b/>
                <w:bCs/>
                <w:sz w:val="16"/>
                <w:szCs w:val="16"/>
              </w:rPr>
            </w:pPr>
          </w:p>
        </w:tc>
        <w:tc>
          <w:tcPr>
            <w:tcW w:w="3415" w:type="dxa"/>
            <w:gridSpan w:val="3"/>
          </w:tcPr>
          <w:p w14:paraId="6998F566"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lang w:val="en-GB"/>
              </w:rPr>
              <w:t>Stability &amp; Reliability Test</w:t>
            </w:r>
          </w:p>
        </w:tc>
      </w:tr>
      <w:tr w:rsidR="00807446" w:rsidRPr="000B05CC" w14:paraId="56A0352C" w14:textId="77777777" w:rsidTr="006E16B7">
        <w:trPr>
          <w:trHeight w:val="217"/>
        </w:trPr>
        <w:tc>
          <w:tcPr>
            <w:tcW w:w="2246" w:type="dxa"/>
          </w:tcPr>
          <w:p w14:paraId="45BCD3B6"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R</w:t>
            </w:r>
            <w:r w:rsidRPr="000B05CC">
              <w:rPr>
                <w:rFonts w:ascii="Arial" w:hAnsi="Arial" w:cs="Arial"/>
                <w:b/>
                <w:bCs/>
                <w:sz w:val="16"/>
                <w:szCs w:val="16"/>
                <w:vertAlign w:val="superscript"/>
              </w:rPr>
              <w:t>2</w:t>
            </w:r>
          </w:p>
        </w:tc>
        <w:tc>
          <w:tcPr>
            <w:tcW w:w="1257" w:type="dxa"/>
          </w:tcPr>
          <w:p w14:paraId="7812D26B"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F–STAT</w:t>
            </w:r>
          </w:p>
        </w:tc>
        <w:tc>
          <w:tcPr>
            <w:tcW w:w="1167" w:type="dxa"/>
          </w:tcPr>
          <w:p w14:paraId="051F42E5"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FPSS</w:t>
            </w:r>
          </w:p>
        </w:tc>
        <w:tc>
          <w:tcPr>
            <w:tcW w:w="1261" w:type="dxa"/>
          </w:tcPr>
          <w:p w14:paraId="1B55ED96" w14:textId="77777777" w:rsidR="00807446" w:rsidRPr="000B05CC" w:rsidRDefault="00807446" w:rsidP="006E16B7">
            <w:pPr>
              <w:jc w:val="center"/>
              <w:rPr>
                <w:rFonts w:ascii="Arial" w:hAnsi="Arial" w:cs="Arial"/>
                <w:b/>
                <w:bCs/>
                <w:sz w:val="16"/>
                <w:szCs w:val="16"/>
              </w:rPr>
            </w:pPr>
            <w:proofErr w:type="spellStart"/>
            <w:r w:rsidRPr="000B05CC">
              <w:rPr>
                <w:rFonts w:ascii="Arial" w:hAnsi="Arial" w:cs="Arial"/>
                <w:b/>
                <w:bCs/>
                <w:sz w:val="16"/>
                <w:szCs w:val="16"/>
              </w:rPr>
              <w:t>ECMt</w:t>
            </w:r>
            <w:proofErr w:type="spellEnd"/>
            <w:r w:rsidRPr="000B05CC">
              <w:rPr>
                <w:rFonts w:ascii="Arial" w:hAnsi="Arial" w:cs="Arial"/>
                <w:b/>
                <w:bCs/>
                <w:sz w:val="16"/>
                <w:szCs w:val="16"/>
              </w:rPr>
              <w:t>–1</w:t>
            </w:r>
          </w:p>
        </w:tc>
        <w:tc>
          <w:tcPr>
            <w:tcW w:w="1257" w:type="dxa"/>
          </w:tcPr>
          <w:p w14:paraId="4A885547"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LM</w:t>
            </w:r>
          </w:p>
        </w:tc>
        <w:tc>
          <w:tcPr>
            <w:tcW w:w="1167" w:type="dxa"/>
          </w:tcPr>
          <w:p w14:paraId="6B3C7110"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HET</w:t>
            </w:r>
          </w:p>
        </w:tc>
        <w:tc>
          <w:tcPr>
            <w:tcW w:w="991" w:type="dxa"/>
          </w:tcPr>
          <w:p w14:paraId="08CA5EB7"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RESET</w:t>
            </w:r>
          </w:p>
        </w:tc>
      </w:tr>
      <w:tr w:rsidR="00807446" w:rsidRPr="000B05CC" w14:paraId="30F8281D" w14:textId="77777777" w:rsidTr="006E16B7">
        <w:trPr>
          <w:trHeight w:val="443"/>
        </w:trPr>
        <w:tc>
          <w:tcPr>
            <w:tcW w:w="2246" w:type="dxa"/>
          </w:tcPr>
          <w:p w14:paraId="5B24B6A5"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94%</w:t>
            </w:r>
          </w:p>
        </w:tc>
        <w:tc>
          <w:tcPr>
            <w:tcW w:w="1257" w:type="dxa"/>
          </w:tcPr>
          <w:p w14:paraId="2A7FB3BB"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8.16</w:t>
            </w:r>
          </w:p>
          <w:p w14:paraId="001ED3F8"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(0.04)</w:t>
            </w:r>
          </w:p>
        </w:tc>
        <w:tc>
          <w:tcPr>
            <w:tcW w:w="1167" w:type="dxa"/>
          </w:tcPr>
          <w:p w14:paraId="39B68C10"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4.14</w:t>
            </w:r>
          </w:p>
        </w:tc>
        <w:tc>
          <w:tcPr>
            <w:tcW w:w="1261" w:type="dxa"/>
          </w:tcPr>
          <w:p w14:paraId="2B2819C8"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-2.54</w:t>
            </w:r>
          </w:p>
          <w:p w14:paraId="3C71D8F6"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(0.00)</w:t>
            </w:r>
          </w:p>
        </w:tc>
        <w:tc>
          <w:tcPr>
            <w:tcW w:w="1257" w:type="dxa"/>
          </w:tcPr>
          <w:p w14:paraId="769D1DE5"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9.63</w:t>
            </w:r>
          </w:p>
          <w:p w14:paraId="0490D3CE"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(0.21)</w:t>
            </w:r>
          </w:p>
        </w:tc>
        <w:tc>
          <w:tcPr>
            <w:tcW w:w="1167" w:type="dxa"/>
          </w:tcPr>
          <w:p w14:paraId="431A31D2"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9.76</w:t>
            </w:r>
          </w:p>
          <w:p w14:paraId="5EF610AA"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(0.13)</w:t>
            </w:r>
          </w:p>
        </w:tc>
        <w:tc>
          <w:tcPr>
            <w:tcW w:w="991" w:type="dxa"/>
          </w:tcPr>
          <w:p w14:paraId="20EA3F9F"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0.36</w:t>
            </w:r>
          </w:p>
          <w:p w14:paraId="559785E3"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(0.75)</w:t>
            </w:r>
          </w:p>
        </w:tc>
      </w:tr>
    </w:tbl>
    <w:p w14:paraId="386CA26E" w14:textId="44D076C8" w:rsidR="00807446" w:rsidRPr="000B05CC" w:rsidRDefault="00D848B3" w:rsidP="00435BFF">
      <w:pPr>
        <w:spacing w:line="240" w:lineRule="auto"/>
        <w:jc w:val="both"/>
        <w:rPr>
          <w:rFonts w:ascii="Arial" w:eastAsia="Times New Roman" w:hAnsi="Arial" w:cs="Arial"/>
          <w:b/>
          <w:bCs/>
          <w:kern w:val="0"/>
          <w14:ligatures w14:val="none"/>
        </w:rPr>
      </w:pPr>
      <w:r w:rsidRPr="000B05CC">
        <w:rPr>
          <w:rFonts w:ascii="Arial" w:hAnsi="Arial" w:cs="Arial"/>
          <w:b/>
          <w:bCs/>
        </w:rPr>
        <w:t xml:space="preserve">Source: </w:t>
      </w:r>
      <w:r w:rsidRPr="000B05CC">
        <w:rPr>
          <w:rFonts w:ascii="Arial" w:eastAsia="Times New Roman" w:hAnsi="Arial" w:cs="Arial"/>
          <w:b/>
          <w:bCs/>
          <w:kern w:val="0"/>
          <w14:ligatures w14:val="none"/>
        </w:rPr>
        <w:t xml:space="preserve">Author’s compilation for </w:t>
      </w:r>
      <w:proofErr w:type="spellStart"/>
      <w:r w:rsidRPr="000B05CC">
        <w:rPr>
          <w:rFonts w:ascii="Arial" w:eastAsia="Times New Roman" w:hAnsi="Arial" w:cs="Arial"/>
          <w:b/>
          <w:bCs/>
          <w:kern w:val="0"/>
          <w14:ligatures w14:val="none"/>
        </w:rPr>
        <w:t>Eviews</w:t>
      </w:r>
      <w:proofErr w:type="spellEnd"/>
    </w:p>
    <w:p w14:paraId="03C6E9E8" w14:textId="77777777" w:rsidR="00782F72" w:rsidRPr="000B05CC" w:rsidRDefault="00782F72" w:rsidP="00807446">
      <w:pPr>
        <w:spacing w:after="0" w:line="360" w:lineRule="auto"/>
        <w:jc w:val="both"/>
        <w:rPr>
          <w:rFonts w:ascii="Arial" w:eastAsia="Times New Roman" w:hAnsi="Arial" w:cs="Arial"/>
          <w:kern w:val="0"/>
          <w14:ligatures w14:val="none"/>
        </w:rPr>
        <w:sectPr w:rsidR="00782F72" w:rsidRPr="000B05CC" w:rsidSect="00782F72">
          <w:type w:val="continuous"/>
          <w:pgSz w:w="11906" w:h="16838" w:code="9"/>
          <w:pgMar w:top="1440" w:right="1440" w:bottom="1440" w:left="1440" w:header="720" w:footer="720" w:gutter="0"/>
          <w:cols w:space="720"/>
          <w:docGrid w:linePitch="360"/>
        </w:sectPr>
      </w:pPr>
    </w:p>
    <w:p w14:paraId="53CBEC8D" w14:textId="26269A6C" w:rsidR="00807446" w:rsidRPr="000B05CC" w:rsidRDefault="00807446" w:rsidP="00807446">
      <w:pPr>
        <w:spacing w:after="0" w:line="36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 xml:space="preserve">Table 4 above displays the descriptive statistics. </w:t>
      </w:r>
      <w:r w:rsidRPr="000B05CC">
        <w:rPr>
          <w:rFonts w:ascii="Arial" w:hAnsi="Arial" w:cs="Arial"/>
          <w:color w:val="000000"/>
        </w:rPr>
        <w:t xml:space="preserve">of the time series results in the United Kingdom from 2007-2023. </w:t>
      </w:r>
      <w:r w:rsidRPr="000B05CC">
        <w:rPr>
          <w:rFonts w:ascii="Arial" w:hAnsi="Arial" w:cs="Arial"/>
        </w:rPr>
        <w:t xml:space="preserve">The standard measures of central tendency like the mean, and median are reported, and the results showed that </w:t>
      </w:r>
      <w:r w:rsidRPr="000B05CC">
        <w:rPr>
          <w:rFonts w:ascii="Arial" w:hAnsi="Arial" w:cs="Arial"/>
          <w:color w:val="000000"/>
        </w:rPr>
        <w:t xml:space="preserve">ATM had both the highest mean value of 117.81 and a median of 123.42. with a maximum of 131.29 and a minimum of 95.15. The population growth rate has the lowest mean value of 0.68 and a median of 0.75 with a maximum of 1.13 and a minimum of -0.08. The standard deviation which measures the dispersion of distribution showed that ATM had a standard deviation of (13.19, POS, 6.36; DDP, 0.63; PGR, 0.25; RQ, 0.12) respectively as it tends to hover around the mean. However, the result showed that GDPPC, ATM, PGR, and RQ were all negatively skewed (-1.06, -2.93, -1.59, and -0.29) respectively. While POS and DDP were positively skewed at 0.12 and 0.03 respectively, indicating the degree of the departure from symmetry. For the Kurtosis, GDP per capita, and PGR were leptokurtic, while POS, ATM, DDP, and RQ were all platykurtic around the mean. </w:t>
      </w:r>
      <w:r w:rsidRPr="000B05CC">
        <w:rPr>
          <w:rFonts w:ascii="Arial" w:eastAsia="Times New Roman" w:hAnsi="Arial" w:cs="Arial"/>
          <w:kern w:val="0"/>
          <w14:ligatures w14:val="none"/>
        </w:rPr>
        <w:t>The coefficient of variance, which measures the dispersion of a probability distribution, is normally distributed because it tends to stay close to the mean.</w:t>
      </w:r>
    </w:p>
    <w:p w14:paraId="23B5C541" w14:textId="77777777" w:rsidR="006269DF" w:rsidRPr="000B05CC" w:rsidRDefault="006269DF" w:rsidP="00807446">
      <w:pPr>
        <w:spacing w:after="0" w:line="360" w:lineRule="auto"/>
        <w:jc w:val="both"/>
        <w:rPr>
          <w:rFonts w:ascii="Arial" w:hAnsi="Arial" w:cs="Arial"/>
          <w:color w:val="000000"/>
        </w:rPr>
      </w:pPr>
    </w:p>
    <w:p w14:paraId="4E3DEFC7" w14:textId="7CDE7FDC" w:rsidR="00807446" w:rsidRPr="000B05CC" w:rsidRDefault="00807446" w:rsidP="00807446">
      <w:pPr>
        <w:spacing w:after="0" w:line="360" w:lineRule="auto"/>
        <w:jc w:val="both"/>
        <w:rPr>
          <w:rFonts w:ascii="Arial" w:eastAsia="Times New Roman" w:hAnsi="Arial" w:cs="Arial"/>
          <w:kern w:val="0"/>
          <w14:ligatures w14:val="none"/>
        </w:rPr>
      </w:pPr>
      <w:r w:rsidRPr="000B05CC">
        <w:rPr>
          <w:rFonts w:ascii="Arial" w:hAnsi="Arial" w:cs="Arial"/>
          <w:color w:val="000000"/>
        </w:rPr>
        <w:t xml:space="preserve">Table </w:t>
      </w:r>
      <w:r w:rsidR="00CB0C0B" w:rsidRPr="000B05CC">
        <w:rPr>
          <w:rFonts w:ascii="Arial" w:hAnsi="Arial" w:cs="Arial"/>
          <w:color w:val="000000"/>
        </w:rPr>
        <w:t>5 highlights</w:t>
      </w:r>
      <w:r w:rsidRPr="000B05CC">
        <w:rPr>
          <w:rFonts w:ascii="Arial" w:hAnsi="Arial" w:cs="Arial"/>
          <w:color w:val="000000"/>
        </w:rPr>
        <w:t xml:space="preserve"> key relationships between financial technology and GDP per capita. ATMs and population growth rates both have a significant negative correlation with GDP per capita, indicating that higher ATMs or population growth can lead to lower GDP per capita in the UK. In contrast, point-of-sale systems, direct debit payments, and regulatory quality are positively associated with GDP per capita, emphasizing their role in driving economic growth. </w:t>
      </w:r>
      <w:r w:rsidRPr="000B05CC">
        <w:rPr>
          <w:rFonts w:ascii="Arial" w:eastAsia="Times New Roman" w:hAnsi="Arial" w:cs="Arial"/>
          <w:kern w:val="0"/>
          <w14:ligatures w14:val="none"/>
        </w:rPr>
        <w:t xml:space="preserve">This indicates that increasing POS, DDP, and RQ will result in higher GDP per capita, and vice versa. However, under multicollinearity conditions, two variables are </w:t>
      </w:r>
      <w:r w:rsidR="00CF1223" w:rsidRPr="000B05CC">
        <w:rPr>
          <w:rFonts w:ascii="Arial" w:eastAsia="Times New Roman" w:hAnsi="Arial" w:cs="Arial"/>
          <w:kern w:val="0"/>
          <w14:ligatures w14:val="none"/>
        </w:rPr>
        <w:t>considered</w:t>
      </w:r>
      <w:r w:rsidRPr="000B05CC">
        <w:rPr>
          <w:rFonts w:ascii="Arial" w:eastAsia="Times New Roman" w:hAnsi="Arial" w:cs="Arial"/>
          <w:kern w:val="0"/>
          <w14:ligatures w14:val="none"/>
        </w:rPr>
        <w:t xml:space="preserve"> perfectly collinear if their correlation coefficients are +/-1.0. Thus, the preceding results demonstrated that the correlational matrices do not show any signs of multicollinearity.</w:t>
      </w:r>
    </w:p>
    <w:p w14:paraId="387F7EB7" w14:textId="77777777" w:rsidR="00807446" w:rsidRPr="000B05CC" w:rsidRDefault="00807446" w:rsidP="00807446">
      <w:pPr>
        <w:spacing w:after="0" w:line="360" w:lineRule="auto"/>
        <w:jc w:val="both"/>
        <w:rPr>
          <w:rFonts w:ascii="Arial" w:eastAsia="Times New Roman" w:hAnsi="Arial" w:cs="Arial"/>
          <w:kern w:val="0"/>
          <w:sz w:val="10"/>
          <w:szCs w:val="10"/>
          <w14:ligatures w14:val="none"/>
        </w:rPr>
      </w:pPr>
    </w:p>
    <w:p w14:paraId="6E7E0B27" w14:textId="5D9B60AD" w:rsidR="00807446" w:rsidRPr="000B05CC" w:rsidRDefault="00807446" w:rsidP="00807446">
      <w:pPr>
        <w:spacing w:after="0" w:line="36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 xml:space="preserve">Table </w:t>
      </w:r>
      <w:r w:rsidR="00CB0C0B" w:rsidRPr="000B05CC">
        <w:rPr>
          <w:rFonts w:ascii="Arial" w:eastAsia="Times New Roman" w:hAnsi="Arial" w:cs="Arial"/>
          <w:kern w:val="0"/>
          <w14:ligatures w14:val="none"/>
        </w:rPr>
        <w:t>6</w:t>
      </w:r>
      <w:r w:rsidRPr="000B05CC">
        <w:rPr>
          <w:rFonts w:ascii="Arial" w:eastAsia="Times New Roman" w:hAnsi="Arial" w:cs="Arial"/>
          <w:kern w:val="0"/>
          <w14:ligatures w14:val="none"/>
        </w:rPr>
        <w:t xml:space="preserve"> shows the results of a unit root test performed on time series data. Because the ARDL estimate technique requires variables to be integrated of order </w:t>
      </w:r>
      <w:proofErr w:type="gramStart"/>
      <w:r w:rsidRPr="000B05CC">
        <w:rPr>
          <w:rFonts w:ascii="Arial" w:eastAsia="Times New Roman" w:hAnsi="Arial" w:cs="Arial"/>
          <w:kern w:val="0"/>
          <w14:ligatures w14:val="none"/>
        </w:rPr>
        <w:t>I(</w:t>
      </w:r>
      <w:proofErr w:type="gramEnd"/>
      <w:r w:rsidRPr="000B05CC">
        <w:rPr>
          <w:rFonts w:ascii="Arial" w:eastAsia="Times New Roman" w:hAnsi="Arial" w:cs="Arial"/>
          <w:kern w:val="0"/>
          <w14:ligatures w14:val="none"/>
        </w:rPr>
        <w:t xml:space="preserve">0) or I(1) and does not support order two I(2) variables, it was critical to analyze the series' unit root features. The results show that all variables are of order </w:t>
      </w:r>
      <w:proofErr w:type="gramStart"/>
      <w:r w:rsidRPr="000B05CC">
        <w:rPr>
          <w:rFonts w:ascii="Arial" w:eastAsia="Times New Roman" w:hAnsi="Arial" w:cs="Arial"/>
          <w:kern w:val="0"/>
          <w14:ligatures w14:val="none"/>
        </w:rPr>
        <w:t>I(</w:t>
      </w:r>
      <w:proofErr w:type="gramEnd"/>
      <w:r w:rsidRPr="000B05CC">
        <w:rPr>
          <w:rFonts w:ascii="Arial" w:eastAsia="Times New Roman" w:hAnsi="Arial" w:cs="Arial"/>
          <w:kern w:val="0"/>
          <w14:ligatures w14:val="none"/>
        </w:rPr>
        <w:t xml:space="preserve">1), indicating their eligibility for study using the ARDL method. </w:t>
      </w:r>
      <w:r w:rsidRPr="000B05CC">
        <w:rPr>
          <w:rFonts w:ascii="Arial" w:hAnsi="Arial" w:cs="Arial"/>
          <w:lang w:val="en-GB"/>
        </w:rPr>
        <w:t xml:space="preserve">By this, the null hypothesis of </w:t>
      </w:r>
      <w:proofErr w:type="gramStart"/>
      <w:r w:rsidRPr="000B05CC">
        <w:rPr>
          <w:rFonts w:ascii="Arial" w:hAnsi="Arial" w:cs="Arial"/>
          <w:lang w:val="en-GB"/>
        </w:rPr>
        <w:t>I(</w:t>
      </w:r>
      <w:proofErr w:type="gramEnd"/>
      <w:r w:rsidRPr="000B05CC">
        <w:rPr>
          <w:rFonts w:ascii="Arial" w:hAnsi="Arial" w:cs="Arial"/>
          <w:lang w:val="en-GB"/>
        </w:rPr>
        <w:t xml:space="preserve">2) is rejected for all the variables at the 0.05 percent significance level. However, the results justify </w:t>
      </w:r>
      <w:r w:rsidR="00FF679B" w:rsidRPr="000B05CC">
        <w:rPr>
          <w:rFonts w:ascii="Arial" w:hAnsi="Arial" w:cs="Arial"/>
          <w:lang w:val="en-GB"/>
        </w:rPr>
        <w:t>using</w:t>
      </w:r>
      <w:r w:rsidRPr="000B05CC">
        <w:rPr>
          <w:rFonts w:ascii="Arial" w:hAnsi="Arial" w:cs="Arial"/>
          <w:lang w:val="en-GB"/>
        </w:rPr>
        <w:t xml:space="preserve"> the ARDL estimator without worries about data misspecification and spuriousness.</w:t>
      </w:r>
    </w:p>
    <w:p w14:paraId="6412FCA1" w14:textId="77777777" w:rsidR="006269DF" w:rsidRPr="000B05CC" w:rsidRDefault="006269DF" w:rsidP="006269DF">
      <w:pPr>
        <w:autoSpaceDE w:val="0"/>
        <w:autoSpaceDN w:val="0"/>
        <w:adjustRightInd w:val="0"/>
        <w:spacing w:after="0" w:line="360" w:lineRule="auto"/>
        <w:jc w:val="both"/>
        <w:rPr>
          <w:rFonts w:ascii="Arial" w:hAnsi="Arial" w:cs="Arial"/>
          <w:color w:val="000000"/>
          <w:sz w:val="10"/>
          <w:szCs w:val="10"/>
        </w:rPr>
      </w:pPr>
    </w:p>
    <w:p w14:paraId="638D786F" w14:textId="67DEBCE8" w:rsidR="00782F72" w:rsidRPr="000B05CC" w:rsidRDefault="006269DF" w:rsidP="00082698">
      <w:pPr>
        <w:autoSpaceDE w:val="0"/>
        <w:autoSpaceDN w:val="0"/>
        <w:adjustRightInd w:val="0"/>
        <w:spacing w:after="0" w:line="360" w:lineRule="auto"/>
        <w:jc w:val="both"/>
        <w:rPr>
          <w:rFonts w:ascii="Arial" w:hAnsi="Arial" w:cs="Arial"/>
          <w:lang w:val="en-GB"/>
        </w:rPr>
      </w:pPr>
      <w:r w:rsidRPr="000B05CC">
        <w:rPr>
          <w:rFonts w:ascii="Arial" w:hAnsi="Arial" w:cs="Arial"/>
          <w:color w:val="000000"/>
        </w:rPr>
        <w:t xml:space="preserve">The ARDL results indicate that point of sales (POS) transactions </w:t>
      </w:r>
      <w:r w:rsidR="00FF679B" w:rsidRPr="000B05CC">
        <w:rPr>
          <w:rFonts w:ascii="Arial" w:hAnsi="Arial" w:cs="Arial"/>
          <w:color w:val="000000"/>
        </w:rPr>
        <w:t xml:space="preserve">positively and significantly </w:t>
      </w:r>
      <w:r w:rsidR="00D16548" w:rsidRPr="000B05CC">
        <w:rPr>
          <w:rFonts w:ascii="Arial" w:hAnsi="Arial" w:cs="Arial"/>
          <w:color w:val="000000"/>
        </w:rPr>
        <w:t>affects</w:t>
      </w:r>
      <w:r w:rsidRPr="000B05CC">
        <w:rPr>
          <w:rFonts w:ascii="Arial" w:hAnsi="Arial" w:cs="Arial"/>
          <w:color w:val="000000"/>
        </w:rPr>
        <w:t xml:space="preserve"> GDP per capita (POS/GDPPC: </w:t>
      </w:r>
      <w:proofErr w:type="spellStart"/>
      <w:r w:rsidRPr="000B05CC">
        <w:rPr>
          <w:rFonts w:ascii="Arial" w:hAnsi="Arial" w:cs="Arial"/>
          <w:color w:val="000000"/>
        </w:rPr>
        <w:t>Coeff</w:t>
      </w:r>
      <w:proofErr w:type="spellEnd"/>
      <w:r w:rsidR="00D16548">
        <w:rPr>
          <w:rFonts w:ascii="Arial" w:hAnsi="Arial" w:cs="Arial"/>
          <w:color w:val="000000"/>
        </w:rPr>
        <w:t>=</w:t>
      </w:r>
      <w:r w:rsidRPr="000B05CC">
        <w:rPr>
          <w:rFonts w:ascii="Arial" w:hAnsi="Arial" w:cs="Arial"/>
          <w:color w:val="000000"/>
        </w:rPr>
        <w:t xml:space="preserve"> 5.74, P-</w:t>
      </w:r>
      <w:proofErr w:type="spellStart"/>
      <w:r w:rsidRPr="000B05CC">
        <w:rPr>
          <w:rFonts w:ascii="Arial" w:hAnsi="Arial" w:cs="Arial"/>
          <w:color w:val="000000"/>
        </w:rPr>
        <w:t>val</w:t>
      </w:r>
      <w:proofErr w:type="spellEnd"/>
      <w:r w:rsidR="00D16548">
        <w:rPr>
          <w:rFonts w:ascii="Arial" w:hAnsi="Arial" w:cs="Arial"/>
          <w:color w:val="000000"/>
        </w:rPr>
        <w:t>=</w:t>
      </w:r>
      <w:r w:rsidRPr="000B05CC">
        <w:rPr>
          <w:rFonts w:ascii="Arial" w:hAnsi="Arial" w:cs="Arial"/>
          <w:color w:val="000000"/>
        </w:rPr>
        <w:t xml:space="preserve"> 0.04). This means that an increase in POS transactions leads to a notable rise in GDP per capita in the United Kingdom. In contrast, Automated Teller Machines (ATMs) and Direct Debit payments negatively impact GDP per capita, though these effects are not significant (ATMs/GDPPC: </w:t>
      </w:r>
      <w:proofErr w:type="spellStart"/>
      <w:r w:rsidRPr="000B05CC">
        <w:rPr>
          <w:rFonts w:ascii="Arial" w:hAnsi="Arial" w:cs="Arial"/>
          <w:color w:val="000000"/>
        </w:rPr>
        <w:t>Coeff</w:t>
      </w:r>
      <w:proofErr w:type="spellEnd"/>
      <w:r w:rsidR="00D16548">
        <w:rPr>
          <w:rFonts w:ascii="Arial" w:hAnsi="Arial" w:cs="Arial"/>
          <w:color w:val="000000"/>
        </w:rPr>
        <w:t xml:space="preserve"> =</w:t>
      </w:r>
      <w:r w:rsidRPr="000B05CC">
        <w:rPr>
          <w:rFonts w:ascii="Arial" w:hAnsi="Arial" w:cs="Arial"/>
          <w:color w:val="000000"/>
        </w:rPr>
        <w:t xml:space="preserve"> -0.24, P-</w:t>
      </w:r>
      <w:proofErr w:type="spellStart"/>
      <w:r w:rsidRPr="000B05CC">
        <w:rPr>
          <w:rFonts w:ascii="Arial" w:hAnsi="Arial" w:cs="Arial"/>
          <w:color w:val="000000"/>
        </w:rPr>
        <w:t>val</w:t>
      </w:r>
      <w:proofErr w:type="spellEnd"/>
      <w:r w:rsidR="00D16548">
        <w:rPr>
          <w:rFonts w:ascii="Arial" w:hAnsi="Arial" w:cs="Arial"/>
          <w:color w:val="000000"/>
        </w:rPr>
        <w:t>=</w:t>
      </w:r>
      <w:r w:rsidRPr="000B05CC">
        <w:rPr>
          <w:rFonts w:ascii="Arial" w:hAnsi="Arial" w:cs="Arial"/>
          <w:color w:val="000000"/>
        </w:rPr>
        <w:t xml:space="preserve"> 0.83; DDP/GDPPC: </w:t>
      </w:r>
      <w:proofErr w:type="spellStart"/>
      <w:r w:rsidRPr="000B05CC">
        <w:rPr>
          <w:rFonts w:ascii="Arial" w:hAnsi="Arial" w:cs="Arial"/>
          <w:color w:val="000000"/>
        </w:rPr>
        <w:t>Coeff</w:t>
      </w:r>
      <w:proofErr w:type="spellEnd"/>
      <w:r w:rsidR="00D16548">
        <w:rPr>
          <w:rFonts w:ascii="Arial" w:hAnsi="Arial" w:cs="Arial"/>
          <w:color w:val="000000"/>
        </w:rPr>
        <w:t>=</w:t>
      </w:r>
      <w:r w:rsidRPr="000B05CC">
        <w:rPr>
          <w:rFonts w:ascii="Arial" w:hAnsi="Arial" w:cs="Arial"/>
          <w:color w:val="000000"/>
        </w:rPr>
        <w:t xml:space="preserve"> -10.78, P-</w:t>
      </w:r>
      <w:proofErr w:type="spellStart"/>
      <w:r w:rsidRPr="000B05CC">
        <w:rPr>
          <w:rFonts w:ascii="Arial" w:hAnsi="Arial" w:cs="Arial"/>
          <w:color w:val="000000"/>
        </w:rPr>
        <w:t>val</w:t>
      </w:r>
      <w:proofErr w:type="spellEnd"/>
      <w:r w:rsidR="00D16548">
        <w:rPr>
          <w:rFonts w:ascii="Arial" w:hAnsi="Arial" w:cs="Arial"/>
          <w:color w:val="000000"/>
        </w:rPr>
        <w:t>=</w:t>
      </w:r>
      <w:r w:rsidRPr="000B05CC">
        <w:rPr>
          <w:rFonts w:ascii="Arial" w:hAnsi="Arial" w:cs="Arial"/>
          <w:color w:val="000000"/>
        </w:rPr>
        <w:t xml:space="preserve"> 0.10). </w:t>
      </w:r>
      <w:r w:rsidRPr="000B05CC">
        <w:rPr>
          <w:rFonts w:ascii="Arial" w:hAnsi="Arial" w:cs="Arial"/>
          <w:lang w:val="en-GB"/>
        </w:rPr>
        <w:t xml:space="preserve">This indicated that an increase in ATMs and DDP </w:t>
      </w:r>
      <w:r w:rsidR="00D16548">
        <w:rPr>
          <w:rFonts w:ascii="Arial" w:hAnsi="Arial" w:cs="Arial"/>
          <w:lang w:val="en-GB"/>
        </w:rPr>
        <w:t>transactions</w:t>
      </w:r>
      <w:r w:rsidRPr="000B05CC">
        <w:rPr>
          <w:rFonts w:ascii="Arial" w:hAnsi="Arial" w:cs="Arial"/>
          <w:lang w:val="en-GB"/>
        </w:rPr>
        <w:t xml:space="preserve"> would result in a decrease in GDP per capita in the United Kingdom. For the moderating variables, the findings showed a positive and significant (PGR/GDPPC= </w:t>
      </w:r>
      <w:proofErr w:type="spellStart"/>
      <w:r w:rsidRPr="000B05CC">
        <w:rPr>
          <w:rFonts w:ascii="Arial" w:hAnsi="Arial" w:cs="Arial"/>
          <w:lang w:val="en-GB"/>
        </w:rPr>
        <w:t>Coeff</w:t>
      </w:r>
      <w:proofErr w:type="spellEnd"/>
      <w:r w:rsidRPr="000B05CC">
        <w:rPr>
          <w:rFonts w:ascii="Arial" w:hAnsi="Arial" w:cs="Arial"/>
          <w:lang w:val="en-GB"/>
        </w:rPr>
        <w:t>: 3.34, P-</w:t>
      </w:r>
      <w:proofErr w:type="spellStart"/>
      <w:r w:rsidRPr="000B05CC">
        <w:rPr>
          <w:rFonts w:ascii="Arial" w:hAnsi="Arial" w:cs="Arial"/>
          <w:lang w:val="en-GB"/>
        </w:rPr>
        <w:t>val</w:t>
      </w:r>
      <w:proofErr w:type="spellEnd"/>
      <w:r w:rsidR="00D16548">
        <w:rPr>
          <w:rFonts w:ascii="Arial" w:hAnsi="Arial" w:cs="Arial"/>
          <w:lang w:val="en-GB"/>
        </w:rPr>
        <w:t>=</w:t>
      </w:r>
      <w:r w:rsidRPr="000B05CC">
        <w:rPr>
          <w:rFonts w:ascii="Arial" w:hAnsi="Arial" w:cs="Arial"/>
          <w:lang w:val="en-GB"/>
        </w:rPr>
        <w:t xml:space="preserve"> 0.00; RQ/GDPPC= </w:t>
      </w:r>
      <w:proofErr w:type="spellStart"/>
      <w:r w:rsidRPr="000B05CC">
        <w:rPr>
          <w:rFonts w:ascii="Arial" w:hAnsi="Arial" w:cs="Arial"/>
          <w:lang w:val="en-GB"/>
        </w:rPr>
        <w:t>Coeff</w:t>
      </w:r>
      <w:proofErr w:type="spellEnd"/>
      <w:r w:rsidRPr="000B05CC">
        <w:rPr>
          <w:rFonts w:ascii="Arial" w:hAnsi="Arial" w:cs="Arial"/>
          <w:lang w:val="en-GB"/>
        </w:rPr>
        <w:t>: 7.40, P-</w:t>
      </w:r>
      <w:proofErr w:type="spellStart"/>
      <w:r w:rsidRPr="000B05CC">
        <w:rPr>
          <w:rFonts w:ascii="Arial" w:hAnsi="Arial" w:cs="Arial"/>
          <w:lang w:val="en-GB"/>
        </w:rPr>
        <w:t>val</w:t>
      </w:r>
      <w:proofErr w:type="spellEnd"/>
      <w:r w:rsidR="00D16548">
        <w:rPr>
          <w:rFonts w:ascii="Arial" w:hAnsi="Arial" w:cs="Arial"/>
          <w:lang w:val="en-GB"/>
        </w:rPr>
        <w:t>=</w:t>
      </w:r>
      <w:r w:rsidRPr="000B05CC">
        <w:rPr>
          <w:rFonts w:ascii="Arial" w:hAnsi="Arial" w:cs="Arial"/>
          <w:lang w:val="en-GB"/>
        </w:rPr>
        <w:t xml:space="preserve"> 0.01) influence on GDP per capita. Using t</w:t>
      </w:r>
      <w:r w:rsidRPr="000B05CC">
        <w:rPr>
          <w:rFonts w:ascii="Arial" w:hAnsi="Arial" w:cs="Arial"/>
        </w:rPr>
        <w:t xml:space="preserve">he </w:t>
      </w:r>
      <w:r w:rsidRPr="000B05CC">
        <w:rPr>
          <w:rFonts w:ascii="Arial" w:hAnsi="Arial" w:cs="Arial"/>
          <w:lang w:val="en-GB"/>
        </w:rPr>
        <w:t xml:space="preserve">ARDL </w:t>
      </w:r>
      <w:r w:rsidRPr="000B05CC">
        <w:rPr>
          <w:rFonts w:ascii="Arial" w:hAnsi="Arial" w:cs="Arial"/>
        </w:rPr>
        <w:t>bound test approach confirm</w:t>
      </w:r>
      <w:r w:rsidRPr="000B05CC">
        <w:rPr>
          <w:rFonts w:ascii="Arial" w:hAnsi="Arial" w:cs="Arial"/>
          <w:lang w:val="en-GB"/>
        </w:rPr>
        <w:t>ed</w:t>
      </w:r>
      <w:r w:rsidRPr="000B05CC">
        <w:rPr>
          <w:rFonts w:ascii="Arial" w:hAnsi="Arial" w:cs="Arial"/>
        </w:rPr>
        <w:t xml:space="preserve"> the existence of no </w:t>
      </w:r>
      <w:r w:rsidRPr="000B05CC">
        <w:rPr>
          <w:rFonts w:ascii="Arial" w:hAnsi="Arial" w:cs="Arial"/>
          <w:lang w:val="en-GB"/>
        </w:rPr>
        <w:t xml:space="preserve">long-run </w:t>
      </w:r>
      <w:r w:rsidRPr="000B05CC">
        <w:rPr>
          <w:rFonts w:ascii="Arial" w:hAnsi="Arial" w:cs="Arial"/>
        </w:rPr>
        <w:t>cointegration between</w:t>
      </w:r>
      <w:r w:rsidRPr="000B05CC">
        <w:rPr>
          <w:rFonts w:ascii="Arial" w:hAnsi="Arial" w:cs="Arial"/>
          <w:lang w:val="en-GB"/>
        </w:rPr>
        <w:t xml:space="preserve"> observed independent variables and GDP per capita, as the FPSS (GDPPC &lt; 4.14) is less than the 1(0) and I (1) respectively. The short-run parameter of interest error correction terms (ECT). This shows how the system adjusts toward long-run equilibrium at the speed of 254% for GDPPC. </w:t>
      </w:r>
      <w:r w:rsidRPr="000B05CC">
        <w:rPr>
          <w:rFonts w:ascii="Arial" w:hAnsi="Arial" w:cs="Arial"/>
        </w:rPr>
        <w:t>In terms of velocity of return to equilibrium from short</w:t>
      </w:r>
      <w:r w:rsidRPr="000B05CC">
        <w:rPr>
          <w:rFonts w:ascii="Arial" w:hAnsi="Arial" w:cs="Arial"/>
          <w:lang w:val="en-GB"/>
        </w:rPr>
        <w:t>-</w:t>
      </w:r>
      <w:r w:rsidRPr="000B05CC">
        <w:rPr>
          <w:rFonts w:ascii="Arial" w:hAnsi="Arial" w:cs="Arial"/>
        </w:rPr>
        <w:t xml:space="preserve">run deviations, </w:t>
      </w:r>
      <w:r w:rsidRPr="000B05CC">
        <w:rPr>
          <w:rFonts w:ascii="Arial" w:hAnsi="Arial" w:cs="Arial"/>
          <w:lang w:val="en-GB"/>
        </w:rPr>
        <w:t>it will take</w:t>
      </w:r>
      <w:r w:rsidRPr="000B05CC">
        <w:rPr>
          <w:rFonts w:ascii="Arial" w:hAnsi="Arial" w:cs="Arial"/>
        </w:rPr>
        <w:t xml:space="preserve"> </w:t>
      </w:r>
      <w:r w:rsidRPr="000B05CC">
        <w:rPr>
          <w:rFonts w:ascii="Arial" w:hAnsi="Arial" w:cs="Arial"/>
          <w:lang w:val="en-GB"/>
        </w:rPr>
        <w:t xml:space="preserve">less than a year for GDPPC to return to equilibrium. </w:t>
      </w:r>
      <w:r w:rsidRPr="000B05CC">
        <w:rPr>
          <w:rFonts w:ascii="Arial" w:hAnsi="Arial" w:cs="Arial"/>
        </w:rPr>
        <w:t xml:space="preserve">The diagnostic tests prove that the </w:t>
      </w:r>
      <w:r w:rsidRPr="000B05CC">
        <w:rPr>
          <w:rFonts w:ascii="Arial" w:hAnsi="Arial" w:cs="Arial"/>
          <w:lang w:val="en-GB"/>
        </w:rPr>
        <w:t>ARDL model</w:t>
      </w:r>
      <w:r w:rsidRPr="000B05CC">
        <w:rPr>
          <w:rFonts w:ascii="Arial" w:hAnsi="Arial" w:cs="Arial"/>
        </w:rPr>
        <w:t xml:space="preserve"> have a good fit (</w:t>
      </w:r>
      <w:r w:rsidRPr="000B05CC">
        <w:rPr>
          <w:rFonts w:ascii="Arial" w:hAnsi="Arial" w:cs="Arial"/>
          <w:lang w:val="en-GB"/>
        </w:rPr>
        <w:t>GDPPC</w:t>
      </w:r>
      <w:r w:rsidRPr="000B05CC">
        <w:rPr>
          <w:rFonts w:ascii="Arial" w:hAnsi="Arial" w:cs="Arial"/>
        </w:rPr>
        <w:t xml:space="preserve"> R</w:t>
      </w:r>
      <w:r w:rsidRPr="000B05CC">
        <w:rPr>
          <w:rFonts w:ascii="Arial" w:hAnsi="Arial" w:cs="Arial"/>
          <w:vertAlign w:val="superscript"/>
          <w:lang w:val="en-GB"/>
        </w:rPr>
        <w:t>2</w:t>
      </w:r>
      <w:r w:rsidRPr="000B05CC">
        <w:rPr>
          <w:rFonts w:ascii="Arial" w:hAnsi="Arial" w:cs="Arial"/>
        </w:rPr>
        <w:t xml:space="preserve"> =</w:t>
      </w:r>
      <w:r w:rsidRPr="000B05CC">
        <w:rPr>
          <w:rFonts w:ascii="Arial" w:hAnsi="Arial" w:cs="Arial"/>
          <w:lang w:val="en-GB"/>
        </w:rPr>
        <w:t xml:space="preserve"> 94</w:t>
      </w:r>
      <w:r w:rsidRPr="000B05CC">
        <w:rPr>
          <w:rFonts w:ascii="Arial" w:hAnsi="Arial" w:cs="Arial"/>
        </w:rPr>
        <w:t xml:space="preserve">%), </w:t>
      </w:r>
      <w:r w:rsidRPr="000B05CC">
        <w:rPr>
          <w:rFonts w:ascii="Arial" w:hAnsi="Arial" w:cs="Arial"/>
          <w:lang w:val="en-GB"/>
        </w:rPr>
        <w:t xml:space="preserve">is </w:t>
      </w:r>
      <w:r w:rsidRPr="000B05CC">
        <w:rPr>
          <w:rFonts w:ascii="Arial" w:hAnsi="Arial" w:cs="Arial"/>
        </w:rPr>
        <w:t>stable (RESET</w:t>
      </w:r>
      <w:r w:rsidRPr="000B05CC">
        <w:rPr>
          <w:rFonts w:ascii="Arial" w:hAnsi="Arial" w:cs="Arial"/>
          <w:lang w:val="en-GB"/>
        </w:rPr>
        <w:t xml:space="preserve"> p</w:t>
      </w:r>
      <w:r w:rsidRPr="000B05CC">
        <w:rPr>
          <w:rFonts w:ascii="Arial" w:hAnsi="Arial" w:cs="Arial"/>
        </w:rPr>
        <w:t>-</w:t>
      </w:r>
      <w:r w:rsidRPr="000B05CC">
        <w:rPr>
          <w:rFonts w:ascii="Arial" w:hAnsi="Arial" w:cs="Arial"/>
          <w:lang w:val="en-GB"/>
        </w:rPr>
        <w:t xml:space="preserve">value: GDPPC </w:t>
      </w:r>
      <w:r w:rsidRPr="000B05CC">
        <w:rPr>
          <w:rFonts w:ascii="Arial" w:hAnsi="Arial" w:cs="Arial"/>
        </w:rPr>
        <w:t xml:space="preserve">= </w:t>
      </w:r>
      <w:r w:rsidRPr="000B05CC">
        <w:rPr>
          <w:rFonts w:ascii="Arial" w:hAnsi="Arial" w:cs="Arial"/>
          <w:lang w:val="en-GB"/>
        </w:rPr>
        <w:t>0.75</w:t>
      </w:r>
      <w:r w:rsidRPr="000B05CC">
        <w:rPr>
          <w:rFonts w:ascii="Arial" w:hAnsi="Arial" w:cs="Arial"/>
        </w:rPr>
        <w:t>), have no autocorrelated residual (LM p-value</w:t>
      </w:r>
      <w:r w:rsidRPr="000B05CC">
        <w:rPr>
          <w:rFonts w:ascii="Arial" w:hAnsi="Arial" w:cs="Arial"/>
          <w:lang w:val="en-GB"/>
        </w:rPr>
        <w:t>:</w:t>
      </w:r>
      <w:r w:rsidRPr="000B05CC">
        <w:rPr>
          <w:rFonts w:ascii="Arial" w:hAnsi="Arial" w:cs="Arial"/>
        </w:rPr>
        <w:t xml:space="preserve"> </w:t>
      </w:r>
      <w:r w:rsidRPr="000B05CC">
        <w:rPr>
          <w:rFonts w:ascii="Arial" w:hAnsi="Arial" w:cs="Arial"/>
          <w:lang w:val="en-GB"/>
        </w:rPr>
        <w:t>GDPPC</w:t>
      </w:r>
      <w:r w:rsidRPr="000B05CC">
        <w:rPr>
          <w:rFonts w:ascii="Arial" w:hAnsi="Arial" w:cs="Arial"/>
        </w:rPr>
        <w:t xml:space="preserve">= </w:t>
      </w:r>
      <w:r w:rsidRPr="000B05CC">
        <w:rPr>
          <w:rFonts w:ascii="Arial" w:hAnsi="Arial" w:cs="Arial"/>
          <w:lang w:val="en-GB"/>
        </w:rPr>
        <w:t>0.21</w:t>
      </w:r>
      <w:r w:rsidRPr="000B05CC">
        <w:rPr>
          <w:rFonts w:ascii="Arial" w:hAnsi="Arial" w:cs="Arial"/>
        </w:rPr>
        <w:t>) and the variance of the residual is constant (HET p</w:t>
      </w:r>
      <w:r w:rsidRPr="000B05CC">
        <w:rPr>
          <w:rFonts w:ascii="Arial" w:hAnsi="Arial" w:cs="Arial"/>
          <w:lang w:val="en-GB"/>
        </w:rPr>
        <w:t>-</w:t>
      </w:r>
      <w:r w:rsidRPr="000B05CC">
        <w:rPr>
          <w:rFonts w:ascii="Arial" w:hAnsi="Arial" w:cs="Arial"/>
        </w:rPr>
        <w:t>value</w:t>
      </w:r>
      <w:r w:rsidRPr="000B05CC">
        <w:rPr>
          <w:rFonts w:ascii="Arial" w:hAnsi="Arial" w:cs="Arial"/>
          <w:lang w:val="en-GB"/>
        </w:rPr>
        <w:t>: GDPPC</w:t>
      </w:r>
      <w:r w:rsidRPr="000B05CC">
        <w:rPr>
          <w:rFonts w:ascii="Arial" w:hAnsi="Arial" w:cs="Arial"/>
        </w:rPr>
        <w:t xml:space="preserve">= </w:t>
      </w:r>
      <w:r w:rsidRPr="000B05CC">
        <w:rPr>
          <w:rFonts w:ascii="Arial" w:hAnsi="Arial" w:cs="Arial"/>
          <w:lang w:val="en-GB"/>
        </w:rPr>
        <w:t>0.13</w:t>
      </w:r>
      <w:r w:rsidRPr="000B05CC">
        <w:rPr>
          <w:rFonts w:ascii="Arial" w:hAnsi="Arial" w:cs="Arial"/>
        </w:rPr>
        <w:t>)</w:t>
      </w:r>
      <w:r w:rsidRPr="000B05CC">
        <w:rPr>
          <w:rFonts w:ascii="Arial" w:hAnsi="Arial" w:cs="Arial"/>
          <w:lang w:val="en-GB"/>
        </w:rPr>
        <w:t>.</w:t>
      </w:r>
    </w:p>
    <w:p w14:paraId="6CBB05C0" w14:textId="3DC90339" w:rsidR="00CB0C0B" w:rsidRPr="000B05CC" w:rsidRDefault="00CB0C0B" w:rsidP="00435BFF">
      <w:pPr>
        <w:spacing w:line="240" w:lineRule="auto"/>
        <w:jc w:val="both"/>
        <w:rPr>
          <w:rFonts w:ascii="Arial" w:hAnsi="Arial" w:cs="Arial"/>
          <w:b/>
          <w:bCs/>
          <w:lang w:val="en-GB"/>
        </w:rPr>
      </w:pPr>
      <w:r w:rsidRPr="000B05CC">
        <w:rPr>
          <w:rFonts w:ascii="Arial" w:hAnsi="Arial" w:cs="Arial"/>
          <w:b/>
          <w:bCs/>
          <w:lang w:val="en-GB"/>
        </w:rPr>
        <w:t>5 Conclusion</w:t>
      </w:r>
    </w:p>
    <w:p w14:paraId="0108157E" w14:textId="23924908" w:rsidR="00782F72" w:rsidRPr="000B05CC" w:rsidRDefault="00B96FAC" w:rsidP="00082698">
      <w:pPr>
        <w:autoSpaceDE w:val="0"/>
        <w:autoSpaceDN w:val="0"/>
        <w:adjustRightInd w:val="0"/>
        <w:spacing w:after="0" w:line="360" w:lineRule="auto"/>
        <w:jc w:val="both"/>
        <w:rPr>
          <w:rFonts w:ascii="Arial" w:hAnsi="Arial" w:cs="Arial"/>
          <w:color w:val="000000"/>
        </w:rPr>
        <w:sectPr w:rsidR="00782F72" w:rsidRPr="000B05CC" w:rsidSect="00782F72">
          <w:type w:val="continuous"/>
          <w:pgSz w:w="11906" w:h="16838" w:code="9"/>
          <w:pgMar w:top="1440" w:right="1440" w:bottom="1440" w:left="1440" w:header="720" w:footer="720" w:gutter="0"/>
          <w:cols w:num="2" w:space="720"/>
          <w:docGrid w:linePitch="360"/>
        </w:sectPr>
      </w:pPr>
      <w:r w:rsidRPr="000B05CC">
        <w:rPr>
          <w:rFonts w:ascii="Arial" w:hAnsi="Arial" w:cs="Arial"/>
          <w:color w:val="000000"/>
        </w:rPr>
        <w:t>Financial technology has the remarkable potential to stimulate economic growth by facilitating financial inclusion, enhancing efficiencies, and fostering innovation. However, it's crucial to recognize that its effects can vary. Policymakers and financial institutions must diligently evaluate the specific impacts of various fintech innovations. By doing so, they can harness the positive contributions of fintech to stimulate economic advancement while effectively addressing and mitigating any potential drawbacks.</w:t>
      </w:r>
      <w:r w:rsidRPr="000B05CC">
        <w:rPr>
          <w:rFonts w:ascii="Arial" w:hAnsi="Arial" w:cs="Arial"/>
          <w:b/>
          <w:bCs/>
          <w:color w:val="000000"/>
        </w:rPr>
        <w:t xml:space="preserve"> </w:t>
      </w:r>
      <w:r w:rsidRPr="000B05CC">
        <w:rPr>
          <w:rFonts w:ascii="Arial" w:hAnsi="Arial" w:cs="Arial"/>
          <w:color w:val="000000"/>
        </w:rPr>
        <w:t>The post-crisis fintech boom of 2007-2008 was a transformative milestone that distinguished earlier phases of fintech evolution from today’s dynamic landscape. This crisis acted as a catalyst for unprecedented growth in fintech in the years that followed, usually labeled fintech 3.0.</w:t>
      </w:r>
      <w:r w:rsidRPr="000B05CC">
        <w:rPr>
          <w:rFonts w:ascii="Arial" w:hAnsi="Arial" w:cs="Arial"/>
          <w:b/>
          <w:bCs/>
          <w:color w:val="000000"/>
        </w:rPr>
        <w:t xml:space="preserve"> </w:t>
      </w:r>
      <w:r w:rsidRPr="000B05CC">
        <w:rPr>
          <w:rFonts w:ascii="Arial" w:hAnsi="Arial" w:cs="Arial"/>
          <w:color w:val="000000"/>
        </w:rPr>
        <w:t>However, t</w:t>
      </w:r>
      <w:r w:rsidRPr="000B05CC">
        <w:rPr>
          <w:rFonts w:ascii="Arial" w:hAnsi="Arial" w:cs="Arial"/>
        </w:rPr>
        <w:t xml:space="preserve">his study explored the impact of financial technology on economic growth in the United Kingdom from 2007-2023. These periods captured both the post-economic crisis era of 2007 and post COVID-19 era. Financial technology was measured using the number of ATMs per 100,000, the number of POS transactions, and the number of debit card transactions, while economic growth was measured by GDP per capita. The empirical findings of this research give a more robust value addition to the empirical body of literature in this area of research. The study findings revealed that point of sales </w:t>
      </w:r>
      <w:r w:rsidR="00FF679B" w:rsidRPr="000B05CC">
        <w:rPr>
          <w:rFonts w:ascii="Arial" w:hAnsi="Arial" w:cs="Arial"/>
        </w:rPr>
        <w:t>positively and significantly impact</w:t>
      </w:r>
      <w:r w:rsidRPr="000B05CC">
        <w:rPr>
          <w:rFonts w:ascii="Arial" w:hAnsi="Arial" w:cs="Arial"/>
        </w:rPr>
        <w:t xml:space="preserve"> GDP per capita in the United Kingdom. This is in line with our </w:t>
      </w:r>
      <w:proofErr w:type="spellStart"/>
      <w:r w:rsidRPr="000B05CC">
        <w:rPr>
          <w:rFonts w:ascii="Arial" w:hAnsi="Arial" w:cs="Arial"/>
          <w:i/>
          <w:iCs/>
        </w:rPr>
        <w:t>apriori</w:t>
      </w:r>
      <w:proofErr w:type="spellEnd"/>
      <w:r w:rsidRPr="000B05CC">
        <w:rPr>
          <w:rFonts w:ascii="Arial" w:hAnsi="Arial" w:cs="Arial"/>
        </w:rPr>
        <w:t xml:space="preserve"> expectations. For both Automated teller machines and debit card transactions, our results showed negative and non-significant impact exits with GDP per capita in the UK which is not in line with our </w:t>
      </w:r>
      <w:proofErr w:type="spellStart"/>
      <w:r w:rsidRPr="000B05CC">
        <w:rPr>
          <w:rFonts w:ascii="Arial" w:hAnsi="Arial" w:cs="Arial"/>
          <w:i/>
          <w:iCs/>
        </w:rPr>
        <w:t>apriori</w:t>
      </w:r>
      <w:proofErr w:type="spellEnd"/>
      <w:r w:rsidRPr="000B05CC">
        <w:rPr>
          <w:rFonts w:ascii="Arial" w:hAnsi="Arial" w:cs="Arial"/>
          <w:i/>
          <w:iCs/>
        </w:rPr>
        <w:t xml:space="preserve"> </w:t>
      </w:r>
      <w:r w:rsidRPr="000B05CC">
        <w:rPr>
          <w:rFonts w:ascii="Arial" w:hAnsi="Arial" w:cs="Arial"/>
        </w:rPr>
        <w:t xml:space="preserve">expectations. The conclusions drawn in this study are considered significant as they open new research frontiers in understanding the degree to which financial technology policies are considered relevant policy initiatives. </w:t>
      </w:r>
      <w:r w:rsidR="00D61AFE" w:rsidRPr="000B05CC">
        <w:rPr>
          <w:rFonts w:ascii="Arial" w:hAnsi="Arial" w:cs="Arial"/>
          <w:color w:val="000000"/>
        </w:rPr>
        <w:t xml:space="preserve">Based on the result, </w:t>
      </w:r>
      <w:r w:rsidR="00497C21" w:rsidRPr="000B05CC">
        <w:rPr>
          <w:rFonts w:ascii="Arial" w:hAnsi="Arial" w:cs="Arial"/>
          <w:color w:val="000000"/>
        </w:rPr>
        <w:t xml:space="preserve">it is recommended that to maximize the operational efficiency of the point of sales (POS) system regulatory agencies (FCA) and digital financial service providers must continue to integrate newer innovations and prioritize the security of customer information which improves and enhances customer satisfaction, thereby boosting economic returns. </w:t>
      </w:r>
      <w:proofErr w:type="gramStart"/>
      <w:r w:rsidR="00C57C81" w:rsidRPr="000B05CC">
        <w:rPr>
          <w:rFonts w:ascii="Arial" w:hAnsi="Arial" w:cs="Arial"/>
          <w:color w:val="000000"/>
        </w:rPr>
        <w:t>Also</w:t>
      </w:r>
      <w:proofErr w:type="gramEnd"/>
      <w:r w:rsidR="00C57C81" w:rsidRPr="000B05CC">
        <w:rPr>
          <w:rFonts w:ascii="Arial" w:hAnsi="Arial" w:cs="Arial"/>
          <w:color w:val="000000"/>
        </w:rPr>
        <w:t xml:space="preserve"> t</w:t>
      </w:r>
      <w:r w:rsidR="00497C21" w:rsidRPr="000B05CC">
        <w:rPr>
          <w:rFonts w:ascii="Arial" w:hAnsi="Arial" w:cs="Arial"/>
          <w:color w:val="000000"/>
        </w:rPr>
        <w:t>o</w:t>
      </w:r>
      <w:r w:rsidR="00497C21" w:rsidRPr="000B05CC">
        <w:rPr>
          <w:rFonts w:ascii="Arial" w:hAnsi="Arial" w:cs="Arial"/>
          <w:b/>
          <w:bCs/>
          <w:color w:val="000000"/>
        </w:rPr>
        <w:t xml:space="preserve"> </w:t>
      </w:r>
      <w:r w:rsidR="00497C21" w:rsidRPr="000B05CC">
        <w:rPr>
          <w:rFonts w:ascii="Arial" w:hAnsi="Arial" w:cs="Arial"/>
          <w:color w:val="000000"/>
        </w:rPr>
        <w:t>ensure optimization, government agencies must encourage investors and financial institutions through tax breaks to provide fee-free ATMs across the United Kingdom. This will increase the number of fee-free ATMs available thereby enhancing economic growth.</w:t>
      </w:r>
      <w:r w:rsidR="00C57C81" w:rsidRPr="000B05CC">
        <w:rPr>
          <w:rFonts w:ascii="Arial" w:hAnsi="Arial" w:cs="Arial"/>
          <w:color w:val="000000"/>
        </w:rPr>
        <w:t xml:space="preserve"> Lastly, r</w:t>
      </w:r>
      <w:r w:rsidR="00497C21" w:rsidRPr="000B05CC">
        <w:rPr>
          <w:rFonts w:ascii="Arial" w:hAnsi="Arial" w:cs="Arial"/>
          <w:color w:val="000000"/>
        </w:rPr>
        <w:t xml:space="preserve">egulatory agencies must provide regulations that encourage </w:t>
      </w:r>
      <w:proofErr w:type="spellStart"/>
      <w:r w:rsidR="00497C21" w:rsidRPr="000B05CC">
        <w:rPr>
          <w:rFonts w:ascii="Arial" w:hAnsi="Arial" w:cs="Arial"/>
          <w:color w:val="000000"/>
        </w:rPr>
        <w:t>cardless</w:t>
      </w:r>
      <w:proofErr w:type="spellEnd"/>
      <w:r w:rsidR="00497C21" w:rsidRPr="000B05CC">
        <w:rPr>
          <w:rFonts w:ascii="Arial" w:hAnsi="Arial" w:cs="Arial"/>
          <w:color w:val="000000"/>
        </w:rPr>
        <w:t xml:space="preserve"> policies as well as stimulate innovative competition within the fintech payment industry in the United Kingdom.</w:t>
      </w:r>
    </w:p>
    <w:p w14:paraId="7D294F65" w14:textId="77777777" w:rsidR="00782F72" w:rsidRPr="000B05CC" w:rsidRDefault="00782F72" w:rsidP="00435BFF">
      <w:pPr>
        <w:spacing w:line="240" w:lineRule="auto"/>
        <w:jc w:val="both"/>
        <w:rPr>
          <w:rFonts w:ascii="Arial" w:hAnsi="Arial" w:cs="Arial"/>
          <w:b/>
          <w:bCs/>
        </w:rPr>
      </w:pPr>
    </w:p>
    <w:p w14:paraId="7F32B91E" w14:textId="455230DC" w:rsidR="00586986" w:rsidRPr="000B05CC" w:rsidRDefault="00CB0C0B" w:rsidP="00435BFF">
      <w:pPr>
        <w:spacing w:line="240" w:lineRule="auto"/>
        <w:jc w:val="both"/>
        <w:rPr>
          <w:rFonts w:ascii="Arial" w:hAnsi="Arial" w:cs="Arial"/>
          <w:b/>
          <w:bCs/>
        </w:rPr>
      </w:pPr>
      <w:r w:rsidRPr="000B05CC">
        <w:rPr>
          <w:rFonts w:ascii="Arial" w:hAnsi="Arial" w:cs="Arial"/>
          <w:b/>
          <w:bCs/>
        </w:rPr>
        <w:t xml:space="preserve">DISCLAIMER (ARTIFICIAL INTELLIGENCE) </w:t>
      </w:r>
    </w:p>
    <w:p w14:paraId="6D566C07" w14:textId="17B11301" w:rsidR="00CB0C0B" w:rsidRPr="000B05CC" w:rsidRDefault="00CB0C0B" w:rsidP="00D848B3">
      <w:pPr>
        <w:spacing w:line="276" w:lineRule="auto"/>
        <w:jc w:val="both"/>
        <w:rPr>
          <w:rFonts w:ascii="Arial" w:hAnsi="Arial" w:cs="Arial"/>
        </w:rPr>
      </w:pPr>
      <w:r w:rsidRPr="000B05CC">
        <w:rPr>
          <w:rFonts w:ascii="Arial" w:hAnsi="Arial" w:cs="Arial"/>
        </w:rPr>
        <w:t>Authors hereby declare that NO generative AI technologies such as Large Language Models (</w:t>
      </w:r>
      <w:proofErr w:type="spellStart"/>
      <w:r w:rsidRPr="000B05CC">
        <w:rPr>
          <w:rFonts w:ascii="Arial" w:hAnsi="Arial" w:cs="Arial"/>
        </w:rPr>
        <w:t>ChatGPT</w:t>
      </w:r>
      <w:proofErr w:type="spellEnd"/>
      <w:r w:rsidRPr="000B05CC">
        <w:rPr>
          <w:rFonts w:ascii="Arial" w:hAnsi="Arial" w:cs="Arial"/>
        </w:rPr>
        <w:t xml:space="preserve">, COPILOT, </w:t>
      </w:r>
      <w:proofErr w:type="spellStart"/>
      <w:r w:rsidRPr="000B05CC">
        <w:rPr>
          <w:rFonts w:ascii="Arial" w:hAnsi="Arial" w:cs="Arial"/>
        </w:rPr>
        <w:t>etc</w:t>
      </w:r>
      <w:proofErr w:type="spellEnd"/>
      <w:r w:rsidRPr="000B05CC">
        <w:rPr>
          <w:rFonts w:ascii="Arial" w:hAnsi="Arial" w:cs="Arial"/>
        </w:rPr>
        <w:t xml:space="preserve">) and text-to-image generators have been used during the writing or editing of this manuscript. </w:t>
      </w:r>
    </w:p>
    <w:p w14:paraId="1A274A8A" w14:textId="77777777" w:rsidR="003D7635" w:rsidRDefault="003D7635" w:rsidP="00BD68FE">
      <w:pPr>
        <w:spacing w:line="240" w:lineRule="auto"/>
        <w:jc w:val="both"/>
        <w:rPr>
          <w:rFonts w:ascii="Arial" w:hAnsi="Arial" w:cs="Arial"/>
          <w:b/>
          <w:bCs/>
        </w:rPr>
      </w:pPr>
    </w:p>
    <w:p w14:paraId="2CB23780" w14:textId="77777777" w:rsidR="003D7635" w:rsidRDefault="003D7635" w:rsidP="00BD68FE">
      <w:pPr>
        <w:spacing w:line="240" w:lineRule="auto"/>
        <w:jc w:val="both"/>
        <w:rPr>
          <w:rFonts w:ascii="Arial" w:hAnsi="Arial" w:cs="Arial"/>
          <w:b/>
          <w:bCs/>
        </w:rPr>
      </w:pPr>
    </w:p>
    <w:p w14:paraId="65A6A9A0" w14:textId="77777777" w:rsidR="003D7635" w:rsidRDefault="003D7635" w:rsidP="00BD68FE">
      <w:pPr>
        <w:spacing w:line="240" w:lineRule="auto"/>
        <w:jc w:val="both"/>
        <w:rPr>
          <w:rFonts w:ascii="Arial" w:hAnsi="Arial" w:cs="Arial"/>
          <w:b/>
          <w:bCs/>
        </w:rPr>
      </w:pPr>
    </w:p>
    <w:p w14:paraId="4251CC0B" w14:textId="4C07E345" w:rsidR="00BD68FE" w:rsidRPr="000B05CC" w:rsidRDefault="00CF4F50" w:rsidP="00BD68FE">
      <w:pPr>
        <w:spacing w:line="240" w:lineRule="auto"/>
        <w:jc w:val="both"/>
        <w:rPr>
          <w:rFonts w:ascii="Arial" w:hAnsi="Arial" w:cs="Arial"/>
          <w:b/>
          <w:bCs/>
        </w:rPr>
      </w:pPr>
      <w:r w:rsidRPr="000B05CC">
        <w:rPr>
          <w:rFonts w:ascii="Arial" w:hAnsi="Arial" w:cs="Arial"/>
          <w:b/>
          <w:bCs/>
        </w:rPr>
        <w:t>REFERENCES</w:t>
      </w:r>
    </w:p>
    <w:p w14:paraId="570D9C5C" w14:textId="77777777" w:rsidR="00BD68FE" w:rsidRPr="000B05CC" w:rsidRDefault="00BD68FE" w:rsidP="00B85ED0">
      <w:pPr>
        <w:autoSpaceDE w:val="0"/>
        <w:autoSpaceDN w:val="0"/>
        <w:adjustRightInd w:val="0"/>
        <w:spacing w:after="0" w:line="240" w:lineRule="auto"/>
        <w:jc w:val="both"/>
        <w:rPr>
          <w:rFonts w:ascii="Arial" w:hAnsi="Arial" w:cs="Arial"/>
          <w:color w:val="333333"/>
          <w:kern w:val="0"/>
        </w:rPr>
      </w:pPr>
      <w:proofErr w:type="spellStart"/>
      <w:r w:rsidRPr="000B05CC">
        <w:rPr>
          <w:rFonts w:ascii="Arial" w:hAnsi="Arial" w:cs="Arial"/>
          <w:color w:val="333333"/>
          <w:kern w:val="0"/>
        </w:rPr>
        <w:t>Ahassan</w:t>
      </w:r>
      <w:proofErr w:type="spellEnd"/>
      <w:r w:rsidRPr="000B05CC">
        <w:rPr>
          <w:rFonts w:ascii="Arial" w:hAnsi="Arial" w:cs="Arial"/>
          <w:color w:val="333333"/>
          <w:kern w:val="0"/>
        </w:rPr>
        <w:t xml:space="preserve"> T.F., </w:t>
      </w:r>
      <w:proofErr w:type="spellStart"/>
      <w:r w:rsidRPr="000B05CC">
        <w:rPr>
          <w:rFonts w:ascii="Arial" w:hAnsi="Arial" w:cs="Arial"/>
          <w:color w:val="333333"/>
          <w:kern w:val="0"/>
        </w:rPr>
        <w:t>Blokhina</w:t>
      </w:r>
      <w:proofErr w:type="spellEnd"/>
      <w:r w:rsidRPr="000B05CC">
        <w:rPr>
          <w:rFonts w:ascii="Arial" w:hAnsi="Arial" w:cs="Arial"/>
          <w:color w:val="333333"/>
          <w:kern w:val="0"/>
        </w:rPr>
        <w:t xml:space="preserve"> T., &amp; </w:t>
      </w:r>
      <w:proofErr w:type="spellStart"/>
      <w:r w:rsidRPr="000B05CC">
        <w:rPr>
          <w:rFonts w:ascii="Arial" w:hAnsi="Arial" w:cs="Arial"/>
          <w:color w:val="333333"/>
          <w:kern w:val="0"/>
        </w:rPr>
        <w:t>Kouadio</w:t>
      </w:r>
      <w:proofErr w:type="spellEnd"/>
      <w:r w:rsidRPr="000B05CC">
        <w:rPr>
          <w:rFonts w:ascii="Arial" w:hAnsi="Arial" w:cs="Arial"/>
          <w:color w:val="333333"/>
          <w:kern w:val="0"/>
        </w:rPr>
        <w:t xml:space="preserve"> J.A. (2021) Financial Innovation: The Impact of Mobile </w:t>
      </w:r>
      <w:r w:rsidRPr="000B05CC">
        <w:rPr>
          <w:rFonts w:ascii="Arial" w:hAnsi="Arial" w:cs="Arial"/>
          <w:color w:val="333333"/>
          <w:kern w:val="0"/>
        </w:rPr>
        <w:tab/>
        <w:t xml:space="preserve">Money on Innovative Economic Growth. Proceeding of the International Science and </w:t>
      </w:r>
      <w:r w:rsidRPr="000B05CC">
        <w:rPr>
          <w:rFonts w:ascii="Arial" w:hAnsi="Arial" w:cs="Arial"/>
          <w:color w:val="333333"/>
          <w:kern w:val="0"/>
        </w:rPr>
        <w:tab/>
        <w:t xml:space="preserve">Technology. Smart Innovation, Systems and Technologies, 227(6), 27-38. </w:t>
      </w:r>
      <w:r w:rsidRPr="000B05CC">
        <w:rPr>
          <w:rFonts w:ascii="Arial" w:hAnsi="Arial" w:cs="Arial"/>
          <w:color w:val="333333"/>
          <w:kern w:val="0"/>
        </w:rPr>
        <w:tab/>
        <w:t>https://doi.org/10.1007/978-981-16-0953-4_3</w:t>
      </w:r>
    </w:p>
    <w:p w14:paraId="40345182" w14:textId="77777777" w:rsidR="00BD68FE" w:rsidRPr="000B05CC" w:rsidRDefault="00BD68FE" w:rsidP="00B85ED0">
      <w:pPr>
        <w:autoSpaceDE w:val="0"/>
        <w:autoSpaceDN w:val="0"/>
        <w:adjustRightInd w:val="0"/>
        <w:spacing w:after="0" w:line="240" w:lineRule="auto"/>
        <w:jc w:val="both"/>
        <w:rPr>
          <w:rFonts w:ascii="Arial" w:hAnsi="Arial" w:cs="Arial"/>
          <w:color w:val="333333"/>
          <w:kern w:val="0"/>
        </w:rPr>
      </w:pPr>
      <w:proofErr w:type="spellStart"/>
      <w:r w:rsidRPr="000B05CC">
        <w:rPr>
          <w:rFonts w:ascii="Arial" w:hAnsi="Arial" w:cs="Arial"/>
          <w:color w:val="333333"/>
          <w:kern w:val="0"/>
        </w:rPr>
        <w:t>Ahassan</w:t>
      </w:r>
      <w:proofErr w:type="spellEnd"/>
      <w:r w:rsidRPr="000B05CC">
        <w:rPr>
          <w:rFonts w:ascii="Arial" w:hAnsi="Arial" w:cs="Arial"/>
          <w:color w:val="333333"/>
          <w:kern w:val="0"/>
        </w:rPr>
        <w:t xml:space="preserve"> T.F., </w:t>
      </w:r>
      <w:proofErr w:type="spellStart"/>
      <w:r w:rsidRPr="000B05CC">
        <w:rPr>
          <w:rFonts w:ascii="Arial" w:hAnsi="Arial" w:cs="Arial"/>
          <w:color w:val="333333"/>
          <w:kern w:val="0"/>
        </w:rPr>
        <w:t>Blokhina</w:t>
      </w:r>
      <w:proofErr w:type="spellEnd"/>
      <w:r w:rsidRPr="000B05CC">
        <w:rPr>
          <w:rFonts w:ascii="Arial" w:hAnsi="Arial" w:cs="Arial"/>
          <w:color w:val="333333"/>
          <w:kern w:val="0"/>
        </w:rPr>
        <w:t xml:space="preserve"> T., &amp; </w:t>
      </w:r>
      <w:proofErr w:type="spellStart"/>
      <w:r w:rsidRPr="000B05CC">
        <w:rPr>
          <w:rFonts w:ascii="Arial" w:hAnsi="Arial" w:cs="Arial"/>
          <w:color w:val="333333"/>
          <w:kern w:val="0"/>
        </w:rPr>
        <w:t>Kouadio</w:t>
      </w:r>
      <w:proofErr w:type="spellEnd"/>
      <w:r w:rsidRPr="000B05CC">
        <w:rPr>
          <w:rFonts w:ascii="Arial" w:hAnsi="Arial" w:cs="Arial"/>
          <w:color w:val="333333"/>
          <w:kern w:val="0"/>
        </w:rPr>
        <w:t xml:space="preserve"> J.A. (2021) Financial Innovation: The Impact of Mobile </w:t>
      </w:r>
      <w:r w:rsidRPr="000B05CC">
        <w:rPr>
          <w:rFonts w:ascii="Arial" w:hAnsi="Arial" w:cs="Arial"/>
          <w:color w:val="333333"/>
          <w:kern w:val="0"/>
        </w:rPr>
        <w:tab/>
        <w:t xml:space="preserve">Money on Innovative Economic Growth. Proceeding of the International Science and </w:t>
      </w:r>
      <w:r w:rsidRPr="000B05CC">
        <w:rPr>
          <w:rFonts w:ascii="Arial" w:hAnsi="Arial" w:cs="Arial"/>
          <w:color w:val="333333"/>
          <w:kern w:val="0"/>
        </w:rPr>
        <w:tab/>
        <w:t xml:space="preserve">Technology. Smart Innovation, Systems and Technologies, 227(6), 27-38. </w:t>
      </w:r>
      <w:r w:rsidRPr="000B05CC">
        <w:rPr>
          <w:rFonts w:ascii="Arial" w:hAnsi="Arial" w:cs="Arial"/>
          <w:color w:val="333333"/>
          <w:kern w:val="0"/>
        </w:rPr>
        <w:tab/>
        <w:t>https://doi.org/10.1007/978-981-16-0953-4_3</w:t>
      </w:r>
    </w:p>
    <w:p w14:paraId="3227CB22" w14:textId="7DEE877A" w:rsidR="00BD68FE" w:rsidRPr="000B05CC" w:rsidRDefault="00BD68FE" w:rsidP="00B85ED0">
      <w:pPr>
        <w:autoSpaceDE w:val="0"/>
        <w:autoSpaceDN w:val="0"/>
        <w:adjustRightInd w:val="0"/>
        <w:spacing w:after="0" w:line="240" w:lineRule="auto"/>
        <w:jc w:val="both"/>
        <w:rPr>
          <w:rFonts w:ascii="Arial" w:hAnsi="Arial" w:cs="Arial"/>
          <w:kern w:val="0"/>
        </w:rPr>
      </w:pPr>
      <w:proofErr w:type="spellStart"/>
      <w:r w:rsidRPr="000B05CC">
        <w:rPr>
          <w:rFonts w:ascii="Arial" w:hAnsi="Arial" w:cs="Arial"/>
          <w:kern w:val="0"/>
        </w:rPr>
        <w:t>Akwam</w:t>
      </w:r>
      <w:proofErr w:type="spellEnd"/>
      <w:r w:rsidRPr="000B05CC">
        <w:rPr>
          <w:rFonts w:ascii="Arial" w:hAnsi="Arial" w:cs="Arial"/>
        </w:rPr>
        <w:t xml:space="preserve">, O.P., </w:t>
      </w:r>
      <w:proofErr w:type="spellStart"/>
      <w:r w:rsidRPr="000B05CC">
        <w:rPr>
          <w:rFonts w:ascii="Arial" w:hAnsi="Arial" w:cs="Arial"/>
          <w:kern w:val="0"/>
        </w:rPr>
        <w:t>Okaro</w:t>
      </w:r>
      <w:proofErr w:type="spellEnd"/>
      <w:r w:rsidRPr="000B05CC">
        <w:rPr>
          <w:rFonts w:ascii="Arial" w:hAnsi="Arial" w:cs="Arial"/>
        </w:rPr>
        <w:t xml:space="preserve">, C.O., &amp; </w:t>
      </w:r>
      <w:r w:rsidRPr="000B05CC">
        <w:rPr>
          <w:rFonts w:ascii="Arial" w:hAnsi="Arial" w:cs="Arial"/>
          <w:kern w:val="0"/>
        </w:rPr>
        <w:t>Okonkwo</w:t>
      </w:r>
      <w:r w:rsidRPr="000B05CC">
        <w:rPr>
          <w:rFonts w:ascii="Arial" w:hAnsi="Arial" w:cs="Arial"/>
        </w:rPr>
        <w:t xml:space="preserve">, I.V. (2023). </w:t>
      </w:r>
      <w:r w:rsidRPr="000B05CC">
        <w:rPr>
          <w:rFonts w:ascii="Arial" w:hAnsi="Arial" w:cs="Arial"/>
          <w:kern w:val="0"/>
        </w:rPr>
        <w:t xml:space="preserve">Financial Technology and Economic </w:t>
      </w:r>
      <w:r w:rsidRPr="000B05CC">
        <w:rPr>
          <w:rFonts w:ascii="Arial" w:hAnsi="Arial" w:cs="Arial"/>
          <w:kern w:val="0"/>
        </w:rPr>
        <w:tab/>
        <w:t xml:space="preserve">Growth </w:t>
      </w:r>
      <w:r w:rsidR="007D6D49">
        <w:rPr>
          <w:rFonts w:ascii="Arial" w:hAnsi="Arial" w:cs="Arial"/>
          <w:kern w:val="0"/>
        </w:rPr>
        <w:t>in</w:t>
      </w:r>
      <w:r w:rsidRPr="000B05CC">
        <w:rPr>
          <w:rFonts w:ascii="Arial" w:hAnsi="Arial" w:cs="Arial"/>
          <w:kern w:val="0"/>
        </w:rPr>
        <w:t xml:space="preserve"> Selected Sub-Saharan African. African Banking and Finance Review </w:t>
      </w:r>
      <w:r w:rsidR="007D6D49">
        <w:rPr>
          <w:rFonts w:ascii="Arial" w:hAnsi="Arial" w:cs="Arial"/>
          <w:kern w:val="0"/>
        </w:rPr>
        <w:tab/>
      </w:r>
      <w:r w:rsidRPr="000B05CC">
        <w:rPr>
          <w:rFonts w:ascii="Arial" w:hAnsi="Arial" w:cs="Arial"/>
          <w:kern w:val="0"/>
        </w:rPr>
        <w:t>Journal (ABFRJ) International, 2(2), 102-122.</w:t>
      </w:r>
    </w:p>
    <w:p w14:paraId="3BA8A833" w14:textId="77777777" w:rsidR="00BD68FE" w:rsidRPr="000B05CC" w:rsidRDefault="00BD68FE" w:rsidP="00B85ED0">
      <w:pPr>
        <w:autoSpaceDE w:val="0"/>
        <w:autoSpaceDN w:val="0"/>
        <w:adjustRightInd w:val="0"/>
        <w:spacing w:after="0" w:line="240" w:lineRule="auto"/>
        <w:jc w:val="both"/>
        <w:rPr>
          <w:rFonts w:ascii="Arial" w:hAnsi="Arial" w:cs="Arial"/>
          <w:color w:val="211D1E"/>
        </w:rPr>
      </w:pPr>
      <w:proofErr w:type="spellStart"/>
      <w:r w:rsidRPr="000B05CC">
        <w:rPr>
          <w:rFonts w:ascii="Arial" w:hAnsi="Arial" w:cs="Arial"/>
          <w:color w:val="211D1E"/>
        </w:rPr>
        <w:t>Arner</w:t>
      </w:r>
      <w:proofErr w:type="spellEnd"/>
      <w:r w:rsidRPr="000B05CC">
        <w:rPr>
          <w:rFonts w:ascii="Arial" w:hAnsi="Arial" w:cs="Arial"/>
          <w:color w:val="211D1E"/>
        </w:rPr>
        <w:t xml:space="preserve">, D. W., </w:t>
      </w:r>
      <w:proofErr w:type="spellStart"/>
      <w:r w:rsidRPr="000B05CC">
        <w:rPr>
          <w:rFonts w:ascii="Arial" w:hAnsi="Arial" w:cs="Arial"/>
          <w:color w:val="211D1E"/>
        </w:rPr>
        <w:t>Barberis</w:t>
      </w:r>
      <w:proofErr w:type="spellEnd"/>
      <w:r w:rsidRPr="000B05CC">
        <w:rPr>
          <w:rFonts w:ascii="Arial" w:hAnsi="Arial" w:cs="Arial"/>
          <w:color w:val="211D1E"/>
        </w:rPr>
        <w:t xml:space="preserve">, J., &amp; Buckley, R. P. (2016). The evolution of fintech: A new post-crisis </w:t>
      </w:r>
      <w:r w:rsidRPr="000B05CC">
        <w:rPr>
          <w:rFonts w:ascii="Arial" w:hAnsi="Arial" w:cs="Arial"/>
          <w:color w:val="211D1E"/>
        </w:rPr>
        <w:tab/>
        <w:t xml:space="preserve">paradigm? </w:t>
      </w:r>
      <w:r w:rsidRPr="000B05CC">
        <w:rPr>
          <w:rFonts w:ascii="Arial" w:hAnsi="Arial" w:cs="Arial"/>
          <w:i/>
          <w:iCs/>
          <w:color w:val="211D1E"/>
        </w:rPr>
        <w:t>Georgetown Journal of International Law, 47</w:t>
      </w:r>
      <w:r w:rsidRPr="000B05CC">
        <w:rPr>
          <w:rFonts w:ascii="Arial" w:hAnsi="Arial" w:cs="Arial"/>
          <w:color w:val="211D1E"/>
        </w:rPr>
        <w:t>(4), 1271-1319.</w:t>
      </w:r>
    </w:p>
    <w:p w14:paraId="504985FE" w14:textId="0430185A" w:rsidR="00BD68FE" w:rsidRPr="000B05CC" w:rsidRDefault="00BD68FE" w:rsidP="00B85ED0">
      <w:pPr>
        <w:spacing w:line="240" w:lineRule="auto"/>
        <w:jc w:val="both"/>
        <w:rPr>
          <w:rFonts w:ascii="Arial" w:hAnsi="Arial" w:cs="Arial"/>
          <w:shd w:val="clear" w:color="auto" w:fill="FFFFFF"/>
        </w:rPr>
      </w:pPr>
      <w:r w:rsidRPr="000B05CC">
        <w:rPr>
          <w:rFonts w:ascii="Arial" w:hAnsi="Arial" w:cs="Arial"/>
          <w:shd w:val="clear" w:color="auto" w:fill="FFFFFF"/>
        </w:rPr>
        <w:t xml:space="preserve">Bai, Q., and Z. Ding. 1998. “On Sustainable Development of Finance.” Studies of International </w:t>
      </w:r>
      <w:r w:rsidR="00B75D93">
        <w:rPr>
          <w:rFonts w:ascii="Arial" w:hAnsi="Arial" w:cs="Arial"/>
          <w:shd w:val="clear" w:color="auto" w:fill="FFFFFF"/>
        </w:rPr>
        <w:tab/>
      </w:r>
      <w:r w:rsidRPr="000B05CC">
        <w:rPr>
          <w:rFonts w:ascii="Arial" w:hAnsi="Arial" w:cs="Arial"/>
          <w:shd w:val="clear" w:color="auto" w:fill="FFFFFF"/>
        </w:rPr>
        <w:t>Finance (Chinese Version) 5:28–32.</w:t>
      </w:r>
    </w:p>
    <w:p w14:paraId="2FA63678" w14:textId="0A06939A" w:rsidR="00BD68FE" w:rsidRPr="000B05CC" w:rsidRDefault="00BD68FE" w:rsidP="00B85ED0">
      <w:pPr>
        <w:spacing w:line="240" w:lineRule="auto"/>
        <w:jc w:val="both"/>
        <w:rPr>
          <w:rFonts w:ascii="Arial" w:hAnsi="Arial" w:cs="Arial"/>
          <w:shd w:val="clear" w:color="auto" w:fill="FFFFFF"/>
        </w:rPr>
      </w:pPr>
      <w:r w:rsidRPr="000B05CC">
        <w:rPr>
          <w:rFonts w:ascii="Arial" w:hAnsi="Arial" w:cs="Arial"/>
          <w:shd w:val="clear" w:color="auto" w:fill="FFFFFF"/>
        </w:rPr>
        <w:t>Berman, A., &amp; Cano-</w:t>
      </w:r>
      <w:proofErr w:type="spellStart"/>
      <w:r w:rsidRPr="000B05CC">
        <w:rPr>
          <w:rFonts w:ascii="Arial" w:hAnsi="Arial" w:cs="Arial"/>
          <w:shd w:val="clear" w:color="auto" w:fill="FFFFFF"/>
        </w:rPr>
        <w:t>Kollmann</w:t>
      </w:r>
      <w:proofErr w:type="spellEnd"/>
      <w:r w:rsidRPr="000B05CC">
        <w:rPr>
          <w:rFonts w:ascii="Arial" w:hAnsi="Arial" w:cs="Arial"/>
          <w:shd w:val="clear" w:color="auto" w:fill="FFFFFF"/>
        </w:rPr>
        <w:t xml:space="preserve">, M., &amp; </w:t>
      </w:r>
      <w:proofErr w:type="spellStart"/>
      <w:r w:rsidRPr="000B05CC">
        <w:rPr>
          <w:rFonts w:ascii="Arial" w:hAnsi="Arial" w:cs="Arial"/>
          <w:shd w:val="clear" w:color="auto" w:fill="FFFFFF"/>
        </w:rPr>
        <w:t>Mudambi</w:t>
      </w:r>
      <w:proofErr w:type="spellEnd"/>
      <w:r w:rsidRPr="000B05CC">
        <w:rPr>
          <w:rFonts w:ascii="Arial" w:hAnsi="Arial" w:cs="Arial"/>
          <w:shd w:val="clear" w:color="auto" w:fill="FFFFFF"/>
        </w:rPr>
        <w:t xml:space="preserve">, R. (2022). </w:t>
      </w:r>
      <w:hyperlink r:id="rId14" w:history="1">
        <w:r w:rsidRPr="000B05CC">
          <w:rPr>
            <w:rStyle w:val="Hyperlink"/>
            <w:rFonts w:ascii="Arial" w:hAnsi="Arial" w:cs="Arial"/>
            <w:color w:val="auto"/>
            <w:u w:val="none"/>
          </w:rPr>
          <w:t xml:space="preserve">Innovation and entrepreneurial </w:t>
        </w:r>
        <w:r w:rsidRPr="000B05CC">
          <w:rPr>
            <w:rStyle w:val="Hyperlink"/>
            <w:rFonts w:ascii="Arial" w:hAnsi="Arial" w:cs="Arial"/>
            <w:color w:val="auto"/>
            <w:u w:val="none"/>
          </w:rPr>
          <w:tab/>
          <w:t>ecosystems: fintech in the financial services industry</w:t>
        </w:r>
      </w:hyperlink>
      <w:r w:rsidRPr="000B05CC">
        <w:rPr>
          <w:rFonts w:ascii="Arial" w:hAnsi="Arial" w:cs="Arial"/>
          <w:shd w:val="clear" w:color="auto" w:fill="FFFFFF"/>
        </w:rPr>
        <w:t xml:space="preserve">. </w:t>
      </w:r>
      <w:hyperlink r:id="rId15" w:history="1">
        <w:r w:rsidRPr="000B05CC">
          <w:rPr>
            <w:rStyle w:val="Hyperlink"/>
            <w:rFonts w:ascii="Arial" w:hAnsi="Arial" w:cs="Arial"/>
            <w:color w:val="auto"/>
            <w:u w:val="none"/>
          </w:rPr>
          <w:t>Review of Managerial Science</w:t>
        </w:r>
      </w:hyperlink>
      <w:r w:rsidRPr="000B05CC">
        <w:rPr>
          <w:rFonts w:ascii="Arial" w:hAnsi="Arial" w:cs="Arial"/>
          <w:shd w:val="clear" w:color="auto" w:fill="FFFFFF"/>
        </w:rPr>
        <w:t xml:space="preserve">, </w:t>
      </w:r>
      <w:r w:rsidR="00B75D93">
        <w:rPr>
          <w:rFonts w:ascii="Arial" w:hAnsi="Arial" w:cs="Arial"/>
          <w:shd w:val="clear" w:color="auto" w:fill="FFFFFF"/>
        </w:rPr>
        <w:tab/>
      </w:r>
      <w:r w:rsidRPr="000B05CC">
        <w:rPr>
          <w:rFonts w:ascii="Arial" w:hAnsi="Arial" w:cs="Arial"/>
          <w:shd w:val="clear" w:color="auto" w:fill="FFFFFF"/>
        </w:rPr>
        <w:t>Springer, 16(1), 45-64.</w:t>
      </w:r>
    </w:p>
    <w:p w14:paraId="1684613A" w14:textId="2CE902C9" w:rsidR="00BD68FE" w:rsidRPr="000B05CC" w:rsidRDefault="00BD68FE" w:rsidP="00B85ED0">
      <w:pPr>
        <w:spacing w:line="240" w:lineRule="auto"/>
        <w:jc w:val="both"/>
        <w:rPr>
          <w:rFonts w:ascii="Arial" w:hAnsi="Arial" w:cs="Arial"/>
          <w:color w:val="333333"/>
        </w:rPr>
      </w:pPr>
      <w:r w:rsidRPr="000B05CC">
        <w:rPr>
          <w:rFonts w:ascii="Arial" w:hAnsi="Arial" w:cs="Arial"/>
          <w:color w:val="333333"/>
        </w:rPr>
        <w:t>Berman, A., Cano-</w:t>
      </w:r>
      <w:proofErr w:type="spellStart"/>
      <w:r w:rsidRPr="000B05CC">
        <w:rPr>
          <w:rFonts w:ascii="Arial" w:hAnsi="Arial" w:cs="Arial"/>
          <w:color w:val="333333"/>
        </w:rPr>
        <w:t>Kollmann</w:t>
      </w:r>
      <w:proofErr w:type="spellEnd"/>
      <w:r w:rsidRPr="000B05CC">
        <w:rPr>
          <w:rFonts w:ascii="Arial" w:hAnsi="Arial" w:cs="Arial"/>
          <w:color w:val="333333"/>
        </w:rPr>
        <w:t xml:space="preserve">, M., &amp; </w:t>
      </w:r>
      <w:proofErr w:type="spellStart"/>
      <w:r w:rsidRPr="000B05CC">
        <w:rPr>
          <w:rFonts w:ascii="Arial" w:hAnsi="Arial" w:cs="Arial"/>
          <w:color w:val="333333"/>
        </w:rPr>
        <w:t>Mudambi</w:t>
      </w:r>
      <w:proofErr w:type="spellEnd"/>
      <w:r w:rsidRPr="000B05CC">
        <w:rPr>
          <w:rFonts w:ascii="Arial" w:hAnsi="Arial" w:cs="Arial"/>
          <w:color w:val="333333"/>
        </w:rPr>
        <w:t xml:space="preserve">, R. (2022). Innovation and entrepreneurial </w:t>
      </w:r>
      <w:r w:rsidR="00B75D93">
        <w:rPr>
          <w:rFonts w:ascii="Arial" w:hAnsi="Arial" w:cs="Arial"/>
          <w:color w:val="333333"/>
        </w:rPr>
        <w:tab/>
      </w:r>
      <w:r w:rsidRPr="000B05CC">
        <w:rPr>
          <w:rFonts w:ascii="Arial" w:hAnsi="Arial" w:cs="Arial"/>
          <w:color w:val="333333"/>
        </w:rPr>
        <w:t xml:space="preserve">ecosystems: </w:t>
      </w:r>
      <w:r w:rsidRPr="000B05CC">
        <w:rPr>
          <w:rFonts w:ascii="Arial" w:hAnsi="Arial" w:cs="Arial"/>
          <w:color w:val="333333"/>
        </w:rPr>
        <w:tab/>
        <w:t>FinTech in the financial services industry. </w:t>
      </w:r>
      <w:r w:rsidRPr="000B05CC">
        <w:rPr>
          <w:rStyle w:val="citationsource-journal"/>
          <w:rFonts w:ascii="Arial" w:hAnsi="Arial" w:cs="Arial"/>
          <w:i/>
          <w:iCs/>
          <w:color w:val="333333"/>
        </w:rPr>
        <w:t xml:space="preserve">Review of Managerial </w:t>
      </w:r>
      <w:r w:rsidR="00B75D93">
        <w:rPr>
          <w:rStyle w:val="citationsource-journal"/>
          <w:rFonts w:ascii="Arial" w:hAnsi="Arial" w:cs="Arial"/>
          <w:i/>
          <w:iCs/>
          <w:color w:val="333333"/>
        </w:rPr>
        <w:tab/>
      </w:r>
      <w:r w:rsidRPr="000B05CC">
        <w:rPr>
          <w:rStyle w:val="citationsource-journal"/>
          <w:rFonts w:ascii="Arial" w:hAnsi="Arial" w:cs="Arial"/>
          <w:i/>
          <w:iCs/>
          <w:color w:val="333333"/>
        </w:rPr>
        <w:t>Science</w:t>
      </w:r>
      <w:r w:rsidRPr="000B05CC">
        <w:rPr>
          <w:rFonts w:ascii="Arial" w:hAnsi="Arial" w:cs="Arial"/>
          <w:color w:val="333333"/>
        </w:rPr>
        <w:t xml:space="preserve">, 16(1), 45–64. </w:t>
      </w:r>
      <w:hyperlink r:id="rId16" w:history="1">
        <w:r w:rsidR="00B75D93" w:rsidRPr="008659BD">
          <w:rPr>
            <w:rStyle w:val="Hyperlink"/>
            <w:rFonts w:ascii="Arial" w:hAnsi="Arial" w:cs="Arial"/>
          </w:rPr>
          <w:t>https://doi.org/10.1007/s11846-020-00435-8</w:t>
        </w:r>
      </w:hyperlink>
    </w:p>
    <w:p w14:paraId="6F92BA6B" w14:textId="77777777" w:rsidR="00BD68FE" w:rsidRPr="000B05CC" w:rsidRDefault="00BD68FE" w:rsidP="00B85ED0">
      <w:pPr>
        <w:autoSpaceDE w:val="0"/>
        <w:autoSpaceDN w:val="0"/>
        <w:adjustRightInd w:val="0"/>
        <w:spacing w:after="0" w:line="240" w:lineRule="auto"/>
        <w:jc w:val="both"/>
        <w:rPr>
          <w:rFonts w:ascii="Arial" w:eastAsia="TimesNewRomanPSMT" w:hAnsi="Arial" w:cs="Arial"/>
          <w:kern w:val="0"/>
        </w:rPr>
      </w:pPr>
      <w:r w:rsidRPr="000B05CC">
        <w:rPr>
          <w:rFonts w:ascii="Arial" w:eastAsia="TimesNewRomanPSMT" w:hAnsi="Arial" w:cs="Arial"/>
          <w:kern w:val="0"/>
        </w:rPr>
        <w:t xml:space="preserve">Bu, Y., Yu, X., &amp; Li, H. (2022). The nonlinear impact of FinTech on the real economic growth: </w:t>
      </w:r>
      <w:r w:rsidRPr="000B05CC">
        <w:rPr>
          <w:rFonts w:ascii="Arial" w:eastAsia="TimesNewRomanPSMT" w:hAnsi="Arial" w:cs="Arial"/>
          <w:kern w:val="0"/>
        </w:rPr>
        <w:tab/>
        <w:t>evidence from China. Economics of Innovation and New Technology, 3(2), 1-18.</w:t>
      </w:r>
    </w:p>
    <w:p w14:paraId="6B069E98" w14:textId="77777777" w:rsidR="00BD68FE" w:rsidRPr="000B05CC" w:rsidRDefault="00BD68FE" w:rsidP="00B85ED0">
      <w:pPr>
        <w:pStyle w:val="Pa0"/>
        <w:spacing w:line="240" w:lineRule="auto"/>
        <w:jc w:val="both"/>
        <w:rPr>
          <w:rFonts w:ascii="Arial" w:hAnsi="Arial" w:cs="Arial"/>
          <w:sz w:val="22"/>
          <w:szCs w:val="22"/>
        </w:rPr>
      </w:pPr>
      <w:proofErr w:type="spellStart"/>
      <w:r w:rsidRPr="000B05CC">
        <w:rPr>
          <w:rFonts w:ascii="Arial" w:hAnsi="Arial" w:cs="Arial"/>
          <w:sz w:val="22"/>
          <w:szCs w:val="22"/>
        </w:rPr>
        <w:t>Ezie</w:t>
      </w:r>
      <w:proofErr w:type="spellEnd"/>
      <w:r w:rsidRPr="000B05CC">
        <w:rPr>
          <w:rFonts w:ascii="Arial" w:hAnsi="Arial" w:cs="Arial"/>
          <w:sz w:val="22"/>
          <w:szCs w:val="22"/>
        </w:rPr>
        <w:t xml:space="preserve">, O., </w:t>
      </w:r>
      <w:proofErr w:type="spellStart"/>
      <w:r w:rsidRPr="000B05CC">
        <w:rPr>
          <w:rFonts w:ascii="Arial" w:hAnsi="Arial" w:cs="Arial"/>
          <w:sz w:val="22"/>
          <w:szCs w:val="22"/>
        </w:rPr>
        <w:t>Oniore</w:t>
      </w:r>
      <w:proofErr w:type="spellEnd"/>
      <w:r w:rsidRPr="000B05CC">
        <w:rPr>
          <w:rFonts w:ascii="Arial" w:hAnsi="Arial" w:cs="Arial"/>
          <w:sz w:val="22"/>
          <w:szCs w:val="22"/>
        </w:rPr>
        <w:t xml:space="preserve">, J., &amp; </w:t>
      </w:r>
      <w:proofErr w:type="spellStart"/>
      <w:r w:rsidRPr="000B05CC">
        <w:rPr>
          <w:rFonts w:ascii="Arial" w:hAnsi="Arial" w:cs="Arial"/>
          <w:sz w:val="22"/>
          <w:szCs w:val="22"/>
        </w:rPr>
        <w:t>Ajaegbu</w:t>
      </w:r>
      <w:proofErr w:type="spellEnd"/>
      <w:r w:rsidRPr="000B05CC">
        <w:rPr>
          <w:rFonts w:ascii="Arial" w:hAnsi="Arial" w:cs="Arial"/>
          <w:sz w:val="22"/>
          <w:szCs w:val="22"/>
        </w:rPr>
        <w:t xml:space="preserve">, P.C., (2023). Financial Technology and Economic Growth in </w:t>
      </w:r>
      <w:r w:rsidRPr="000B05CC">
        <w:rPr>
          <w:rFonts w:ascii="Arial" w:hAnsi="Arial" w:cs="Arial"/>
          <w:sz w:val="22"/>
          <w:szCs w:val="22"/>
        </w:rPr>
        <w:tab/>
        <w:t xml:space="preserve">Nigeria: 2012Q1-2022Q4. </w:t>
      </w:r>
      <w:r w:rsidRPr="000B05CC">
        <w:rPr>
          <w:rFonts w:ascii="Arial" w:hAnsi="Arial" w:cs="Arial"/>
          <w:i/>
          <w:iCs/>
          <w:sz w:val="22"/>
          <w:szCs w:val="22"/>
        </w:rPr>
        <w:t xml:space="preserve">American Journal of Financial Technology and Innovation </w:t>
      </w:r>
      <w:r w:rsidRPr="000B05CC">
        <w:rPr>
          <w:rFonts w:ascii="Arial" w:hAnsi="Arial" w:cs="Arial"/>
          <w:i/>
          <w:iCs/>
          <w:sz w:val="22"/>
          <w:szCs w:val="22"/>
        </w:rPr>
        <w:tab/>
        <w:t>(AJFTI)</w:t>
      </w:r>
      <w:r w:rsidRPr="000B05CC">
        <w:rPr>
          <w:rFonts w:ascii="Arial" w:hAnsi="Arial" w:cs="Arial"/>
          <w:sz w:val="22"/>
          <w:szCs w:val="22"/>
        </w:rPr>
        <w:t>, 1(1), 35-45.</w:t>
      </w:r>
    </w:p>
    <w:p w14:paraId="77FF13A5" w14:textId="31C6A02F" w:rsidR="00BD68FE" w:rsidRPr="000B05CC" w:rsidRDefault="00BD68FE" w:rsidP="00BD68FE">
      <w:pPr>
        <w:spacing w:line="240" w:lineRule="auto"/>
        <w:jc w:val="both"/>
        <w:rPr>
          <w:rFonts w:ascii="Arial" w:hAnsi="Arial" w:cs="Arial"/>
        </w:rPr>
      </w:pPr>
      <w:r w:rsidRPr="000B05CC">
        <w:rPr>
          <w:rFonts w:ascii="Arial" w:hAnsi="Arial" w:cs="Arial"/>
        </w:rPr>
        <w:t xml:space="preserve">Friedman, R., &amp; Johnson, M. (2019). Point of Sale (POS) System. In </w:t>
      </w:r>
      <w:proofErr w:type="gramStart"/>
      <w:r w:rsidRPr="000B05CC">
        <w:rPr>
          <w:rFonts w:ascii="Arial" w:hAnsi="Arial" w:cs="Arial"/>
        </w:rPr>
        <w:t>The</w:t>
      </w:r>
      <w:proofErr w:type="gramEnd"/>
      <w:r w:rsidRPr="000B05CC">
        <w:rPr>
          <w:rFonts w:ascii="Arial" w:hAnsi="Arial" w:cs="Arial"/>
        </w:rPr>
        <w:t xml:space="preserve"> Palgrave </w:t>
      </w:r>
      <w:r w:rsidR="00B75D93">
        <w:rPr>
          <w:rFonts w:ascii="Arial" w:hAnsi="Arial" w:cs="Arial"/>
        </w:rPr>
        <w:tab/>
      </w:r>
      <w:r w:rsidRPr="000B05CC">
        <w:rPr>
          <w:rFonts w:ascii="Arial" w:hAnsi="Arial" w:cs="Arial"/>
        </w:rPr>
        <w:t xml:space="preserve">Encyclopedia of Interest Groups, Lobbying and Public Affairs (1-4). Palgrave </w:t>
      </w:r>
      <w:r w:rsidR="00B75D93">
        <w:rPr>
          <w:rFonts w:ascii="Arial" w:hAnsi="Arial" w:cs="Arial"/>
        </w:rPr>
        <w:tab/>
      </w:r>
      <w:r w:rsidRPr="000B05CC">
        <w:rPr>
          <w:rFonts w:ascii="Arial" w:hAnsi="Arial" w:cs="Arial"/>
        </w:rPr>
        <w:t>Macmillan, Cham. https://doi.org/10.1007/ 978-3-319-31816-5_83-1</w:t>
      </w:r>
    </w:p>
    <w:p w14:paraId="0FA18679" w14:textId="77777777" w:rsidR="00BD68FE" w:rsidRPr="000B05CC" w:rsidRDefault="00BD68FE" w:rsidP="00B85ED0">
      <w:pPr>
        <w:autoSpaceDE w:val="0"/>
        <w:autoSpaceDN w:val="0"/>
        <w:adjustRightInd w:val="0"/>
        <w:spacing w:after="0" w:line="240" w:lineRule="auto"/>
        <w:jc w:val="both"/>
        <w:rPr>
          <w:rFonts w:ascii="Arial" w:hAnsi="Arial" w:cs="Arial"/>
          <w:kern w:val="0"/>
        </w:rPr>
      </w:pPr>
      <w:r w:rsidRPr="000B05CC">
        <w:rPr>
          <w:rFonts w:ascii="Arial" w:hAnsi="Arial" w:cs="Arial"/>
          <w:kern w:val="0"/>
        </w:rPr>
        <w:t xml:space="preserve">Gomes, S., Lopes, J. M., &amp; Ferreira, L. The impact of the digital economy on economic growth: </w:t>
      </w:r>
      <w:r w:rsidRPr="000B05CC">
        <w:rPr>
          <w:rFonts w:ascii="Arial" w:hAnsi="Arial" w:cs="Arial"/>
          <w:kern w:val="0"/>
        </w:rPr>
        <w:tab/>
        <w:t xml:space="preserve">The </w:t>
      </w:r>
      <w:r w:rsidRPr="000B05CC">
        <w:rPr>
          <w:rFonts w:ascii="Arial" w:hAnsi="Arial" w:cs="Arial"/>
          <w:kern w:val="0"/>
        </w:rPr>
        <w:tab/>
        <w:t xml:space="preserve">case of OECD countries. </w:t>
      </w:r>
      <w:proofErr w:type="spellStart"/>
      <w:r w:rsidRPr="000B05CC">
        <w:rPr>
          <w:rFonts w:ascii="Arial" w:hAnsi="Arial" w:cs="Arial"/>
          <w:i/>
          <w:iCs/>
          <w:kern w:val="0"/>
        </w:rPr>
        <w:t>Revista</w:t>
      </w:r>
      <w:proofErr w:type="spellEnd"/>
      <w:r w:rsidRPr="000B05CC">
        <w:rPr>
          <w:rFonts w:ascii="Arial" w:hAnsi="Arial" w:cs="Arial"/>
          <w:i/>
          <w:iCs/>
          <w:kern w:val="0"/>
        </w:rPr>
        <w:t xml:space="preserve"> de </w:t>
      </w:r>
      <w:proofErr w:type="spellStart"/>
      <w:r w:rsidRPr="000B05CC">
        <w:rPr>
          <w:rFonts w:ascii="Arial" w:hAnsi="Arial" w:cs="Arial"/>
          <w:i/>
          <w:iCs/>
          <w:kern w:val="0"/>
        </w:rPr>
        <w:t>Administração</w:t>
      </w:r>
      <w:proofErr w:type="spellEnd"/>
      <w:r w:rsidRPr="000B05CC">
        <w:rPr>
          <w:rFonts w:ascii="Arial" w:hAnsi="Arial" w:cs="Arial"/>
          <w:i/>
          <w:iCs/>
          <w:kern w:val="0"/>
        </w:rPr>
        <w:t xml:space="preserve"> Mackenzie</w:t>
      </w:r>
      <w:r w:rsidRPr="000B05CC">
        <w:rPr>
          <w:rFonts w:ascii="Arial" w:hAnsi="Arial" w:cs="Arial"/>
          <w:kern w:val="0"/>
        </w:rPr>
        <w:t xml:space="preserve">, </w:t>
      </w:r>
      <w:r w:rsidRPr="000B05CC">
        <w:rPr>
          <w:rFonts w:ascii="Arial" w:hAnsi="Arial" w:cs="Arial"/>
          <w:i/>
          <w:iCs/>
          <w:kern w:val="0"/>
        </w:rPr>
        <w:t>23</w:t>
      </w:r>
      <w:r w:rsidRPr="000B05CC">
        <w:rPr>
          <w:rFonts w:ascii="Arial" w:hAnsi="Arial" w:cs="Arial"/>
          <w:kern w:val="0"/>
        </w:rPr>
        <w:t xml:space="preserve">(6), 1–31. </w:t>
      </w:r>
      <w:r w:rsidRPr="000B05CC">
        <w:rPr>
          <w:rFonts w:ascii="Arial" w:hAnsi="Arial" w:cs="Arial"/>
          <w:kern w:val="0"/>
        </w:rPr>
        <w:tab/>
      </w:r>
      <w:hyperlink r:id="rId17" w:history="1">
        <w:r w:rsidRPr="000B05CC">
          <w:rPr>
            <w:rStyle w:val="Hyperlink"/>
            <w:rFonts w:ascii="Arial" w:hAnsi="Arial" w:cs="Arial"/>
            <w:kern w:val="0"/>
          </w:rPr>
          <w:t>https://doi.org/</w:t>
        </w:r>
      </w:hyperlink>
      <w:r w:rsidRPr="000B05CC">
        <w:rPr>
          <w:rFonts w:ascii="Arial" w:hAnsi="Arial" w:cs="Arial"/>
          <w:kern w:val="0"/>
        </w:rPr>
        <w:t xml:space="preserve"> doi:10.1590/1678-6971/eRAMD220029.en</w:t>
      </w:r>
    </w:p>
    <w:p w14:paraId="42B0883A" w14:textId="77777777" w:rsidR="00BD68FE" w:rsidRPr="000B05CC" w:rsidRDefault="00BD68FE" w:rsidP="00B85ED0">
      <w:pPr>
        <w:autoSpaceDE w:val="0"/>
        <w:autoSpaceDN w:val="0"/>
        <w:adjustRightInd w:val="0"/>
        <w:spacing w:after="0" w:line="240" w:lineRule="auto"/>
        <w:jc w:val="both"/>
        <w:rPr>
          <w:rFonts w:ascii="Arial" w:hAnsi="Arial" w:cs="Arial"/>
          <w:kern w:val="0"/>
          <w:lang w:val="it-IT"/>
        </w:rPr>
      </w:pPr>
      <w:r w:rsidRPr="000B05CC">
        <w:rPr>
          <w:rFonts w:ascii="Arial" w:hAnsi="Arial" w:cs="Arial"/>
          <w:kern w:val="0"/>
        </w:rPr>
        <w:t xml:space="preserve">Gomes, S., Lopes, J. M., &amp; Ferreira, L. The impact of the digital economy on economic growth: </w:t>
      </w:r>
      <w:r w:rsidRPr="000B05CC">
        <w:rPr>
          <w:rFonts w:ascii="Arial" w:hAnsi="Arial" w:cs="Arial"/>
          <w:kern w:val="0"/>
        </w:rPr>
        <w:tab/>
        <w:t xml:space="preserve">The </w:t>
      </w:r>
      <w:r w:rsidRPr="000B05CC">
        <w:rPr>
          <w:rFonts w:ascii="Arial" w:hAnsi="Arial" w:cs="Arial"/>
          <w:kern w:val="0"/>
        </w:rPr>
        <w:tab/>
        <w:t xml:space="preserve">case of OECD countries. </w:t>
      </w:r>
      <w:r w:rsidRPr="000B05CC">
        <w:rPr>
          <w:rFonts w:ascii="Arial" w:hAnsi="Arial" w:cs="Arial"/>
          <w:i/>
          <w:iCs/>
          <w:kern w:val="0"/>
          <w:lang w:val="it-IT"/>
        </w:rPr>
        <w:t>Revista de Administração Mackenzie</w:t>
      </w:r>
      <w:r w:rsidRPr="000B05CC">
        <w:rPr>
          <w:rFonts w:ascii="Arial" w:hAnsi="Arial" w:cs="Arial"/>
          <w:kern w:val="0"/>
          <w:lang w:val="it-IT"/>
        </w:rPr>
        <w:t xml:space="preserve">, </w:t>
      </w:r>
      <w:r w:rsidRPr="000B05CC">
        <w:rPr>
          <w:rFonts w:ascii="Arial" w:hAnsi="Arial" w:cs="Arial"/>
          <w:i/>
          <w:iCs/>
          <w:kern w:val="0"/>
          <w:lang w:val="it-IT"/>
        </w:rPr>
        <w:t>23</w:t>
      </w:r>
      <w:r w:rsidRPr="000B05CC">
        <w:rPr>
          <w:rFonts w:ascii="Arial" w:hAnsi="Arial" w:cs="Arial"/>
          <w:kern w:val="0"/>
          <w:lang w:val="it-IT"/>
        </w:rPr>
        <w:t xml:space="preserve">(6), 1–31. </w:t>
      </w:r>
      <w:r w:rsidRPr="000B05CC">
        <w:rPr>
          <w:rFonts w:ascii="Arial" w:hAnsi="Arial" w:cs="Arial"/>
          <w:kern w:val="0"/>
          <w:lang w:val="it-IT"/>
        </w:rPr>
        <w:tab/>
      </w:r>
      <w:hyperlink r:id="rId18" w:history="1">
        <w:r w:rsidRPr="000B05CC">
          <w:rPr>
            <w:rStyle w:val="Hyperlink"/>
            <w:rFonts w:ascii="Arial" w:hAnsi="Arial" w:cs="Arial"/>
            <w:kern w:val="0"/>
            <w:lang w:val="it-IT"/>
          </w:rPr>
          <w:t>https://doi.org/</w:t>
        </w:r>
      </w:hyperlink>
      <w:r w:rsidRPr="000B05CC">
        <w:rPr>
          <w:rFonts w:ascii="Arial" w:hAnsi="Arial" w:cs="Arial"/>
          <w:kern w:val="0"/>
          <w:lang w:val="it-IT"/>
        </w:rPr>
        <w:t xml:space="preserve"> doi:10.1590/1678-6971/eRAMD220029.en</w:t>
      </w:r>
    </w:p>
    <w:p w14:paraId="096702B9" w14:textId="77777777" w:rsidR="00BD68FE" w:rsidRPr="000B05CC" w:rsidRDefault="00BD68FE" w:rsidP="00B85ED0">
      <w:pPr>
        <w:spacing w:line="240" w:lineRule="auto"/>
        <w:jc w:val="both"/>
        <w:rPr>
          <w:rFonts w:ascii="Arial" w:hAnsi="Arial" w:cs="Arial"/>
          <w:color w:val="333333"/>
        </w:rPr>
      </w:pPr>
      <w:r w:rsidRPr="000B05CC">
        <w:rPr>
          <w:rFonts w:ascii="Arial" w:hAnsi="Arial" w:cs="Arial"/>
          <w:color w:val="333333"/>
          <w:lang w:val="it-IT"/>
        </w:rPr>
        <w:t xml:space="preserve">Gurley, J. G., &amp; Shaw, E. S. (1967). </w:t>
      </w:r>
      <w:r w:rsidRPr="000B05CC">
        <w:rPr>
          <w:rFonts w:ascii="Arial" w:hAnsi="Arial" w:cs="Arial"/>
          <w:color w:val="333333"/>
        </w:rPr>
        <w:t>Financial structure and economic development. </w:t>
      </w:r>
      <w:r w:rsidRPr="000B05CC">
        <w:rPr>
          <w:rStyle w:val="citationsource-journal"/>
          <w:rFonts w:ascii="Arial" w:hAnsi="Arial" w:cs="Arial"/>
          <w:i/>
          <w:iCs/>
          <w:color w:val="333333"/>
        </w:rPr>
        <w:t xml:space="preserve">Economic </w:t>
      </w:r>
      <w:r w:rsidRPr="000B05CC">
        <w:rPr>
          <w:rStyle w:val="citationsource-journal"/>
          <w:rFonts w:ascii="Arial" w:hAnsi="Arial" w:cs="Arial"/>
          <w:i/>
          <w:iCs/>
          <w:color w:val="333333"/>
        </w:rPr>
        <w:tab/>
        <w:t>Development and Cultural Change</w:t>
      </w:r>
      <w:r w:rsidRPr="000B05CC">
        <w:rPr>
          <w:rFonts w:ascii="Arial" w:hAnsi="Arial" w:cs="Arial"/>
          <w:color w:val="333333"/>
        </w:rPr>
        <w:t xml:space="preserve">, 15(3), 257–268. </w:t>
      </w:r>
      <w:hyperlink r:id="rId19" w:history="1">
        <w:r w:rsidRPr="000B05CC">
          <w:rPr>
            <w:rStyle w:val="Hyperlink"/>
            <w:rFonts w:ascii="Arial" w:hAnsi="Arial" w:cs="Arial"/>
          </w:rPr>
          <w:t>https://doi.org/10.1086/450226</w:t>
        </w:r>
      </w:hyperlink>
    </w:p>
    <w:p w14:paraId="4FE02B07" w14:textId="77777777" w:rsidR="00BD68FE" w:rsidRPr="000B05CC" w:rsidRDefault="00BD68FE" w:rsidP="00B85ED0">
      <w:pPr>
        <w:spacing w:line="240" w:lineRule="auto"/>
        <w:jc w:val="both"/>
        <w:rPr>
          <w:rFonts w:ascii="Arial" w:hAnsi="Arial" w:cs="Arial"/>
          <w:color w:val="333333"/>
        </w:rPr>
      </w:pPr>
      <w:proofErr w:type="spellStart"/>
      <w:r w:rsidRPr="000B05CC">
        <w:rPr>
          <w:rFonts w:ascii="Arial" w:hAnsi="Arial" w:cs="Arial"/>
          <w:color w:val="333333"/>
        </w:rPr>
        <w:t>Handa</w:t>
      </w:r>
      <w:proofErr w:type="spellEnd"/>
      <w:r w:rsidRPr="000B05CC">
        <w:rPr>
          <w:rFonts w:ascii="Arial" w:hAnsi="Arial" w:cs="Arial"/>
          <w:color w:val="333333"/>
        </w:rPr>
        <w:t xml:space="preserve">, J., &amp; Khan, S. R. (2008). Financial development and economic growth: A symbiotic </w:t>
      </w:r>
      <w:r w:rsidRPr="000B05CC">
        <w:rPr>
          <w:rFonts w:ascii="Arial" w:hAnsi="Arial" w:cs="Arial"/>
          <w:color w:val="333333"/>
        </w:rPr>
        <w:tab/>
        <w:t>relationship. </w:t>
      </w:r>
      <w:r w:rsidRPr="000B05CC">
        <w:rPr>
          <w:rStyle w:val="citationsource-journal"/>
          <w:rFonts w:ascii="Arial" w:hAnsi="Arial" w:cs="Arial"/>
          <w:i/>
          <w:iCs/>
          <w:color w:val="333333"/>
        </w:rPr>
        <w:t>Applied Financial Economics</w:t>
      </w:r>
      <w:r w:rsidRPr="000B05CC">
        <w:rPr>
          <w:rFonts w:ascii="Arial" w:hAnsi="Arial" w:cs="Arial"/>
          <w:color w:val="333333"/>
        </w:rPr>
        <w:t xml:space="preserve">, 18(13), 1033–1049. </w:t>
      </w:r>
      <w:r w:rsidRPr="000B05CC">
        <w:rPr>
          <w:rFonts w:ascii="Arial" w:hAnsi="Arial" w:cs="Arial"/>
          <w:color w:val="333333"/>
        </w:rPr>
        <w:tab/>
      </w:r>
      <w:hyperlink r:id="rId20" w:history="1">
        <w:r w:rsidRPr="000B05CC">
          <w:rPr>
            <w:rStyle w:val="Hyperlink"/>
            <w:rFonts w:ascii="Arial" w:hAnsi="Arial" w:cs="Arial"/>
          </w:rPr>
          <w:t>https://doi.org/10.1080/09603100701477275</w:t>
        </w:r>
      </w:hyperlink>
    </w:p>
    <w:p w14:paraId="65DF91BE" w14:textId="5A6EC155" w:rsidR="00BD68FE" w:rsidRPr="000B05CC" w:rsidRDefault="00BD68FE" w:rsidP="00B85ED0">
      <w:pPr>
        <w:spacing w:line="240" w:lineRule="auto"/>
        <w:jc w:val="both"/>
        <w:rPr>
          <w:rFonts w:ascii="Arial" w:hAnsi="Arial" w:cs="Arial"/>
        </w:rPr>
      </w:pPr>
      <w:r w:rsidRPr="000B05CC">
        <w:rPr>
          <w:rFonts w:ascii="Arial" w:hAnsi="Arial" w:cs="Arial"/>
        </w:rPr>
        <w:t xml:space="preserve">He, D., R. </w:t>
      </w:r>
      <w:proofErr w:type="spellStart"/>
      <w:r w:rsidRPr="000B05CC">
        <w:rPr>
          <w:rFonts w:ascii="Arial" w:hAnsi="Arial" w:cs="Arial"/>
        </w:rPr>
        <w:t>Leckow</w:t>
      </w:r>
      <w:proofErr w:type="spellEnd"/>
      <w:r w:rsidRPr="000B05CC">
        <w:rPr>
          <w:rFonts w:ascii="Arial" w:hAnsi="Arial" w:cs="Arial"/>
        </w:rPr>
        <w:t xml:space="preserve">, V. </w:t>
      </w:r>
      <w:proofErr w:type="spellStart"/>
      <w:r w:rsidRPr="000B05CC">
        <w:rPr>
          <w:rFonts w:ascii="Arial" w:hAnsi="Arial" w:cs="Arial"/>
        </w:rPr>
        <w:t>Haksar</w:t>
      </w:r>
      <w:proofErr w:type="spellEnd"/>
      <w:r w:rsidRPr="000B05CC">
        <w:rPr>
          <w:rFonts w:ascii="Arial" w:hAnsi="Arial" w:cs="Arial"/>
        </w:rPr>
        <w:t>, T. Mancini-</w:t>
      </w:r>
      <w:proofErr w:type="spellStart"/>
      <w:r w:rsidRPr="000B05CC">
        <w:rPr>
          <w:rFonts w:ascii="Arial" w:hAnsi="Arial" w:cs="Arial"/>
        </w:rPr>
        <w:t>Griffoli</w:t>
      </w:r>
      <w:proofErr w:type="spellEnd"/>
      <w:r w:rsidRPr="000B05CC">
        <w:rPr>
          <w:rFonts w:ascii="Arial" w:hAnsi="Arial" w:cs="Arial"/>
        </w:rPr>
        <w:t xml:space="preserve">, N. Jenkinson, M. Kashima, T. </w:t>
      </w:r>
      <w:proofErr w:type="spellStart"/>
      <w:r w:rsidRPr="000B05CC">
        <w:rPr>
          <w:rFonts w:ascii="Arial" w:hAnsi="Arial" w:cs="Arial"/>
        </w:rPr>
        <w:t>Khiaonarong</w:t>
      </w:r>
      <w:proofErr w:type="spellEnd"/>
      <w:r w:rsidRPr="000B05CC">
        <w:rPr>
          <w:rFonts w:ascii="Arial" w:hAnsi="Arial" w:cs="Arial"/>
        </w:rPr>
        <w:t xml:space="preserve">, </w:t>
      </w:r>
      <w:r w:rsidR="00B75D93">
        <w:rPr>
          <w:rFonts w:ascii="Arial" w:hAnsi="Arial" w:cs="Arial"/>
        </w:rPr>
        <w:tab/>
      </w:r>
      <w:r w:rsidRPr="000B05CC">
        <w:rPr>
          <w:rFonts w:ascii="Arial" w:hAnsi="Arial" w:cs="Arial"/>
        </w:rPr>
        <w:t xml:space="preserve">C. Rochon, and H. </w:t>
      </w:r>
      <w:proofErr w:type="spellStart"/>
      <w:r w:rsidRPr="000B05CC">
        <w:rPr>
          <w:rFonts w:ascii="Arial" w:hAnsi="Arial" w:cs="Arial"/>
        </w:rPr>
        <w:t>Tourpe</w:t>
      </w:r>
      <w:proofErr w:type="spellEnd"/>
      <w:r w:rsidRPr="000B05CC">
        <w:rPr>
          <w:rFonts w:ascii="Arial" w:hAnsi="Arial" w:cs="Arial"/>
        </w:rPr>
        <w:t xml:space="preserve"> (2017). “Fintech and Financial Services: Initial </w:t>
      </w:r>
      <w:r w:rsidR="00B75D93">
        <w:rPr>
          <w:rFonts w:ascii="Arial" w:hAnsi="Arial" w:cs="Arial"/>
        </w:rPr>
        <w:tab/>
      </w:r>
      <w:r w:rsidRPr="000B05CC">
        <w:rPr>
          <w:rFonts w:ascii="Arial" w:hAnsi="Arial" w:cs="Arial"/>
        </w:rPr>
        <w:t xml:space="preserve">Considerations,” IMF </w:t>
      </w:r>
      <w:r w:rsidRPr="000B05CC">
        <w:rPr>
          <w:rFonts w:ascii="Arial" w:hAnsi="Arial" w:cs="Arial"/>
        </w:rPr>
        <w:tab/>
        <w:t xml:space="preserve">Staff Discussion Note No. 17/05 (Washington, DC: International </w:t>
      </w:r>
      <w:r w:rsidR="00B75D93">
        <w:rPr>
          <w:rFonts w:ascii="Arial" w:hAnsi="Arial" w:cs="Arial"/>
        </w:rPr>
        <w:tab/>
      </w:r>
      <w:r w:rsidRPr="000B05CC">
        <w:rPr>
          <w:rFonts w:ascii="Arial" w:hAnsi="Arial" w:cs="Arial"/>
        </w:rPr>
        <w:t>Monetary Fund).</w:t>
      </w:r>
    </w:p>
    <w:p w14:paraId="4CE71CEF" w14:textId="04C88468" w:rsidR="00BD68FE" w:rsidRPr="000B05CC" w:rsidRDefault="00BD68FE" w:rsidP="00B85ED0">
      <w:pPr>
        <w:autoSpaceDE w:val="0"/>
        <w:autoSpaceDN w:val="0"/>
        <w:adjustRightInd w:val="0"/>
        <w:spacing w:after="0" w:line="240" w:lineRule="auto"/>
        <w:jc w:val="both"/>
        <w:rPr>
          <w:rFonts w:ascii="Arial" w:eastAsia="TimesNewRomanPSMT" w:hAnsi="Arial" w:cs="Arial"/>
          <w:kern w:val="0"/>
        </w:rPr>
      </w:pPr>
      <w:r w:rsidRPr="000B05CC">
        <w:rPr>
          <w:rFonts w:ascii="Arial" w:eastAsia="TimesNewRomanPSMT" w:hAnsi="Arial" w:cs="Arial"/>
          <w:kern w:val="0"/>
        </w:rPr>
        <w:t xml:space="preserve">Jiang, X., Wang, X., Ren, J., &amp; </w:t>
      </w:r>
      <w:proofErr w:type="spellStart"/>
      <w:r w:rsidRPr="000B05CC">
        <w:rPr>
          <w:rFonts w:ascii="Arial" w:eastAsia="TimesNewRomanPSMT" w:hAnsi="Arial" w:cs="Arial"/>
          <w:kern w:val="0"/>
        </w:rPr>
        <w:t>Xie</w:t>
      </w:r>
      <w:proofErr w:type="spellEnd"/>
      <w:r w:rsidRPr="000B05CC">
        <w:rPr>
          <w:rFonts w:ascii="Arial" w:eastAsia="TimesNewRomanPSMT" w:hAnsi="Arial" w:cs="Arial"/>
          <w:kern w:val="0"/>
        </w:rPr>
        <w:t xml:space="preserve">, Z. (2021). The Nexus between digital finance and </w:t>
      </w:r>
      <w:r w:rsidR="00B75D93">
        <w:rPr>
          <w:rFonts w:ascii="Arial" w:eastAsia="TimesNewRomanPSMT" w:hAnsi="Arial" w:cs="Arial"/>
          <w:kern w:val="0"/>
        </w:rPr>
        <w:tab/>
      </w:r>
      <w:r w:rsidRPr="000B05CC">
        <w:rPr>
          <w:rFonts w:ascii="Arial" w:eastAsia="TimesNewRomanPSMT" w:hAnsi="Arial" w:cs="Arial"/>
          <w:kern w:val="0"/>
        </w:rPr>
        <w:t>economic development: evidence from China. Sustainability, 13(13), 72-89.</w:t>
      </w:r>
    </w:p>
    <w:p w14:paraId="594DE0C7" w14:textId="77777777" w:rsidR="00BD68FE" w:rsidRPr="000B05CC" w:rsidRDefault="00BD68FE" w:rsidP="00B85ED0">
      <w:pPr>
        <w:autoSpaceDE w:val="0"/>
        <w:autoSpaceDN w:val="0"/>
        <w:adjustRightInd w:val="0"/>
        <w:spacing w:after="0" w:line="240" w:lineRule="auto"/>
        <w:jc w:val="both"/>
        <w:rPr>
          <w:rFonts w:ascii="Arial" w:hAnsi="Arial" w:cs="Arial"/>
          <w:kern w:val="0"/>
        </w:rPr>
      </w:pPr>
      <w:proofErr w:type="spellStart"/>
      <w:r w:rsidRPr="000B05CC">
        <w:rPr>
          <w:rFonts w:ascii="Arial" w:hAnsi="Arial" w:cs="Arial"/>
          <w:kern w:val="0"/>
        </w:rPr>
        <w:t>Jiarong</w:t>
      </w:r>
      <w:proofErr w:type="spellEnd"/>
      <w:r w:rsidRPr="000B05CC">
        <w:rPr>
          <w:rFonts w:ascii="Arial" w:hAnsi="Arial" w:cs="Arial"/>
          <w:kern w:val="0"/>
        </w:rPr>
        <w:t xml:space="preserve">, H., </w:t>
      </w:r>
      <w:proofErr w:type="spellStart"/>
      <w:r w:rsidRPr="000B05CC">
        <w:rPr>
          <w:rFonts w:ascii="Arial" w:hAnsi="Arial" w:cs="Arial"/>
          <w:kern w:val="0"/>
        </w:rPr>
        <w:t>Yinggang</w:t>
      </w:r>
      <w:proofErr w:type="spellEnd"/>
      <w:r w:rsidRPr="000B05CC">
        <w:rPr>
          <w:rFonts w:ascii="Arial" w:hAnsi="Arial" w:cs="Arial"/>
          <w:kern w:val="0"/>
        </w:rPr>
        <w:t xml:space="preserve">, J., &amp; Song, W. (2023). The Impact of Fintech on Economic Growth in </w:t>
      </w:r>
      <w:r w:rsidRPr="000B05CC">
        <w:rPr>
          <w:rFonts w:ascii="Arial" w:hAnsi="Arial" w:cs="Arial"/>
          <w:kern w:val="0"/>
        </w:rPr>
        <w:tab/>
        <w:t>Singapore. Frontiers in Business, Economics and Management, 10(2), 330-340.</w:t>
      </w:r>
    </w:p>
    <w:p w14:paraId="1BB517F9" w14:textId="77777777" w:rsidR="00BD68FE" w:rsidRPr="000B05CC" w:rsidRDefault="00BD68FE" w:rsidP="00B85ED0">
      <w:pPr>
        <w:autoSpaceDE w:val="0"/>
        <w:autoSpaceDN w:val="0"/>
        <w:adjustRightInd w:val="0"/>
        <w:spacing w:after="0" w:line="240" w:lineRule="auto"/>
        <w:jc w:val="both"/>
        <w:rPr>
          <w:rFonts w:ascii="Arial" w:hAnsi="Arial" w:cs="Arial"/>
        </w:rPr>
      </w:pPr>
      <w:r w:rsidRPr="000B05CC">
        <w:rPr>
          <w:rFonts w:ascii="Arial" w:hAnsi="Arial" w:cs="Arial"/>
        </w:rPr>
        <w:t xml:space="preserve">Jorgenson, D. W., &amp; Vu, K. M. (2016). The ICT revolution, world economic growth, and policy </w:t>
      </w:r>
      <w:r w:rsidRPr="000B05CC">
        <w:rPr>
          <w:rFonts w:ascii="Arial" w:hAnsi="Arial" w:cs="Arial"/>
        </w:rPr>
        <w:tab/>
        <w:t>issues.</w:t>
      </w:r>
      <w:r w:rsidRPr="000B05CC">
        <w:rPr>
          <w:rFonts w:ascii="Arial" w:hAnsi="Arial" w:cs="Arial"/>
        </w:rPr>
        <w:tab/>
      </w:r>
      <w:r w:rsidRPr="000B05CC">
        <w:rPr>
          <w:rFonts w:ascii="Arial" w:hAnsi="Arial" w:cs="Arial"/>
          <w:i/>
          <w:iCs/>
        </w:rPr>
        <w:t>Telecommunications</w:t>
      </w:r>
      <w:r w:rsidRPr="000B05CC">
        <w:rPr>
          <w:rFonts w:ascii="Arial" w:hAnsi="Arial" w:cs="Arial"/>
          <w:i/>
          <w:iCs/>
        </w:rPr>
        <w:tab/>
        <w:t>Policy</w:t>
      </w:r>
      <w:r w:rsidRPr="000B05CC">
        <w:rPr>
          <w:rFonts w:ascii="Arial" w:hAnsi="Arial" w:cs="Arial"/>
        </w:rPr>
        <w:t>,</w:t>
      </w:r>
      <w:r w:rsidRPr="000B05CC">
        <w:rPr>
          <w:rFonts w:ascii="Arial" w:hAnsi="Arial" w:cs="Arial"/>
        </w:rPr>
        <w:tab/>
      </w:r>
      <w:r w:rsidRPr="000B05CC">
        <w:rPr>
          <w:rFonts w:ascii="Arial" w:hAnsi="Arial" w:cs="Arial"/>
          <w:i/>
          <w:iCs/>
        </w:rPr>
        <w:t>40</w:t>
      </w:r>
      <w:r w:rsidRPr="000B05CC">
        <w:rPr>
          <w:rFonts w:ascii="Arial" w:hAnsi="Arial" w:cs="Arial"/>
        </w:rPr>
        <w:t>(5),</w:t>
      </w:r>
      <w:r w:rsidRPr="000B05CC">
        <w:rPr>
          <w:rFonts w:ascii="Arial" w:hAnsi="Arial" w:cs="Arial"/>
        </w:rPr>
        <w:tab/>
        <w:t xml:space="preserve">383–397. </w:t>
      </w:r>
      <w:r w:rsidRPr="000B05CC">
        <w:rPr>
          <w:rFonts w:ascii="Arial" w:hAnsi="Arial" w:cs="Arial"/>
        </w:rPr>
        <w:tab/>
      </w:r>
      <w:hyperlink r:id="rId21" w:history="1">
        <w:r w:rsidRPr="000B05CC">
          <w:rPr>
            <w:rStyle w:val="Hyperlink"/>
            <w:rFonts w:ascii="Arial" w:hAnsi="Arial" w:cs="Arial"/>
          </w:rPr>
          <w:t>https://doi.org/10.1016/j.telpol.2016.01.002</w:t>
        </w:r>
      </w:hyperlink>
    </w:p>
    <w:p w14:paraId="0D657198" w14:textId="77777777" w:rsidR="00BD68FE" w:rsidRPr="000B05CC" w:rsidRDefault="00BD68FE" w:rsidP="00B85ED0">
      <w:pPr>
        <w:spacing w:line="240" w:lineRule="auto"/>
        <w:jc w:val="both"/>
        <w:rPr>
          <w:rFonts w:ascii="Arial" w:hAnsi="Arial" w:cs="Arial"/>
          <w:color w:val="333333"/>
        </w:rPr>
      </w:pPr>
      <w:r w:rsidRPr="000B05CC">
        <w:rPr>
          <w:rFonts w:ascii="Arial" w:hAnsi="Arial" w:cs="Arial"/>
          <w:color w:val="333333"/>
        </w:rPr>
        <w:t xml:space="preserve">Li, B., &amp; Xu, Z. (2021). Insights into financial technology (FinTech): A bibliometric and visual </w:t>
      </w:r>
      <w:r w:rsidRPr="000B05CC">
        <w:rPr>
          <w:rFonts w:ascii="Arial" w:hAnsi="Arial" w:cs="Arial"/>
          <w:color w:val="333333"/>
        </w:rPr>
        <w:tab/>
        <w:t>study. </w:t>
      </w:r>
      <w:r w:rsidRPr="000B05CC">
        <w:rPr>
          <w:rStyle w:val="citationsource-journal"/>
          <w:rFonts w:ascii="Arial" w:hAnsi="Arial" w:cs="Arial"/>
          <w:i/>
          <w:iCs/>
          <w:color w:val="333333"/>
        </w:rPr>
        <w:t>Financial Innovation</w:t>
      </w:r>
      <w:r w:rsidRPr="000B05CC">
        <w:rPr>
          <w:rFonts w:ascii="Arial" w:hAnsi="Arial" w:cs="Arial"/>
          <w:color w:val="333333"/>
        </w:rPr>
        <w:t xml:space="preserve">, 7(1), 1–28. </w:t>
      </w:r>
      <w:hyperlink r:id="rId22" w:history="1">
        <w:r w:rsidRPr="000B05CC">
          <w:rPr>
            <w:rStyle w:val="Hyperlink"/>
            <w:rFonts w:ascii="Arial" w:hAnsi="Arial" w:cs="Arial"/>
          </w:rPr>
          <w:t>https://doi.org/10.1186/s40854-021-00285-7</w:t>
        </w:r>
      </w:hyperlink>
    </w:p>
    <w:p w14:paraId="07C3884C" w14:textId="77777777" w:rsidR="00BD68FE" w:rsidRPr="000B05CC" w:rsidRDefault="00BD68FE" w:rsidP="00B85ED0">
      <w:pPr>
        <w:pStyle w:val="Default"/>
        <w:jc w:val="both"/>
        <w:rPr>
          <w:color w:val="auto"/>
          <w:sz w:val="22"/>
          <w:szCs w:val="22"/>
        </w:rPr>
      </w:pPr>
      <w:proofErr w:type="spellStart"/>
      <w:r w:rsidRPr="000B05CC">
        <w:rPr>
          <w:color w:val="auto"/>
          <w:sz w:val="22"/>
          <w:szCs w:val="22"/>
        </w:rPr>
        <w:t>Maknickienė</w:t>
      </w:r>
      <w:proofErr w:type="spellEnd"/>
      <w:r w:rsidRPr="000B05CC">
        <w:rPr>
          <w:color w:val="auto"/>
          <w:sz w:val="22"/>
          <w:szCs w:val="22"/>
        </w:rPr>
        <w:t xml:space="preserve">, N., &amp; </w:t>
      </w:r>
      <w:proofErr w:type="spellStart"/>
      <w:r w:rsidRPr="000B05CC">
        <w:rPr>
          <w:color w:val="auto"/>
          <w:sz w:val="22"/>
          <w:szCs w:val="22"/>
        </w:rPr>
        <w:t>Lapkovskaja</w:t>
      </w:r>
      <w:proofErr w:type="spellEnd"/>
      <w:r w:rsidRPr="000B05CC">
        <w:rPr>
          <w:color w:val="auto"/>
          <w:sz w:val="22"/>
          <w:szCs w:val="22"/>
        </w:rPr>
        <w:t xml:space="preserve">, J. (2024). An exploratory review of the fintech influence </w:t>
      </w:r>
      <w:r w:rsidRPr="000B05CC">
        <w:rPr>
          <w:color w:val="auto"/>
          <w:sz w:val="22"/>
          <w:szCs w:val="22"/>
        </w:rPr>
        <w:tab/>
        <w:t xml:space="preserve">field. </w:t>
      </w:r>
      <w:r w:rsidRPr="000B05CC">
        <w:rPr>
          <w:i/>
          <w:iCs/>
          <w:color w:val="auto"/>
          <w:sz w:val="22"/>
          <w:szCs w:val="22"/>
        </w:rPr>
        <w:t xml:space="preserve">Journal of Infrastructure, Policy, and Development, 8(4), 1-27. </w:t>
      </w:r>
      <w:r w:rsidRPr="000B05CC">
        <w:rPr>
          <w:i/>
          <w:iCs/>
          <w:color w:val="auto"/>
          <w:sz w:val="22"/>
          <w:szCs w:val="22"/>
        </w:rPr>
        <w:tab/>
      </w:r>
      <w:hyperlink r:id="rId23" w:history="1">
        <w:r w:rsidRPr="000B05CC">
          <w:rPr>
            <w:rStyle w:val="Hyperlink"/>
            <w:color w:val="auto"/>
            <w:sz w:val="22"/>
            <w:szCs w:val="22"/>
          </w:rPr>
          <w:t>https://doi.org/10.24294/jipd.v8i4.3410</w:t>
        </w:r>
      </w:hyperlink>
    </w:p>
    <w:p w14:paraId="7350884C" w14:textId="77777777" w:rsidR="00BD68FE" w:rsidRPr="000B05CC" w:rsidRDefault="00BD68FE" w:rsidP="00B85ED0">
      <w:pPr>
        <w:autoSpaceDE w:val="0"/>
        <w:autoSpaceDN w:val="0"/>
        <w:adjustRightInd w:val="0"/>
        <w:spacing w:after="0" w:line="240" w:lineRule="auto"/>
        <w:jc w:val="both"/>
        <w:rPr>
          <w:rFonts w:ascii="Arial" w:hAnsi="Arial" w:cs="Arial"/>
          <w:color w:val="211D1E"/>
        </w:rPr>
      </w:pPr>
      <w:r w:rsidRPr="000B05CC">
        <w:rPr>
          <w:rFonts w:ascii="Arial" w:hAnsi="Arial" w:cs="Arial"/>
          <w:color w:val="211D1E"/>
        </w:rPr>
        <w:t>McKinsey &amp; Company. (2018). Global fintech report.</w:t>
      </w:r>
    </w:p>
    <w:p w14:paraId="7389D0C1" w14:textId="27AF5537" w:rsidR="00BD68FE" w:rsidRPr="000B05CC" w:rsidRDefault="00EA277B" w:rsidP="00B85ED0">
      <w:pPr>
        <w:spacing w:line="240" w:lineRule="auto"/>
        <w:jc w:val="both"/>
        <w:rPr>
          <w:rFonts w:ascii="Arial" w:hAnsi="Arial" w:cs="Arial"/>
        </w:rPr>
      </w:pPr>
      <w:hyperlink r:id="rId24" w:tooltip="Mourad Mroua" w:history="1">
        <w:r w:rsidR="00BD68FE" w:rsidRPr="000B05CC">
          <w:rPr>
            <w:rStyle w:val="Hyperlink"/>
            <w:rFonts w:ascii="Arial" w:hAnsi="Arial" w:cs="Arial"/>
            <w:color w:val="auto"/>
            <w:u w:val="none"/>
            <w:shd w:val="clear" w:color="auto" w:fill="FFFFFF"/>
          </w:rPr>
          <w:t>Mroua, M.</w:t>
        </w:r>
      </w:hyperlink>
      <w:r w:rsidR="00BD68FE" w:rsidRPr="000B05CC">
        <w:rPr>
          <w:rFonts w:ascii="Arial" w:hAnsi="Arial" w:cs="Arial"/>
          <w:shd w:val="clear" w:color="auto" w:fill="FFFFFF"/>
        </w:rPr>
        <w:t> &amp; </w:t>
      </w:r>
      <w:hyperlink r:id="rId25" w:tooltip="Lotfi Trabelsi" w:history="1">
        <w:r w:rsidR="00BD68FE" w:rsidRPr="000B05CC">
          <w:rPr>
            <w:rStyle w:val="Hyperlink"/>
            <w:rFonts w:ascii="Arial" w:hAnsi="Arial" w:cs="Arial"/>
            <w:color w:val="auto"/>
            <w:u w:val="none"/>
            <w:shd w:val="clear" w:color="auto" w:fill="FFFFFF"/>
          </w:rPr>
          <w:t>Trabelsi, L.</w:t>
        </w:r>
      </w:hyperlink>
      <w:r w:rsidR="00BD68FE" w:rsidRPr="000B05CC">
        <w:rPr>
          <w:rFonts w:ascii="Arial" w:hAnsi="Arial" w:cs="Arial"/>
          <w:shd w:val="clear" w:color="auto" w:fill="FFFFFF"/>
        </w:rPr>
        <w:t xml:space="preserve"> (2020), "Causality and dynamic relationships between exchange rate </w:t>
      </w:r>
      <w:r w:rsidR="00B75D93">
        <w:rPr>
          <w:rFonts w:ascii="Arial" w:hAnsi="Arial" w:cs="Arial"/>
          <w:shd w:val="clear" w:color="auto" w:fill="FFFFFF"/>
        </w:rPr>
        <w:tab/>
      </w:r>
      <w:r w:rsidR="00BD68FE" w:rsidRPr="000B05CC">
        <w:rPr>
          <w:rFonts w:ascii="Arial" w:hAnsi="Arial" w:cs="Arial"/>
          <w:shd w:val="clear" w:color="auto" w:fill="FFFFFF"/>
        </w:rPr>
        <w:t xml:space="preserve">and stock market indices in BRICS countries: Panel/GMM and ARDL </w:t>
      </w:r>
      <w:r w:rsidR="00B75D93">
        <w:rPr>
          <w:rFonts w:ascii="Arial" w:hAnsi="Arial" w:cs="Arial"/>
          <w:shd w:val="clear" w:color="auto" w:fill="FFFFFF"/>
        </w:rPr>
        <w:tab/>
      </w:r>
      <w:r w:rsidR="00BD68FE" w:rsidRPr="000B05CC">
        <w:rPr>
          <w:rFonts w:ascii="Arial" w:hAnsi="Arial" w:cs="Arial"/>
          <w:shd w:val="clear" w:color="auto" w:fill="FFFFFF"/>
        </w:rPr>
        <w:t>analyses", </w:t>
      </w:r>
      <w:hyperlink r:id="rId26" w:history="1">
        <w:r w:rsidR="00BD68FE" w:rsidRPr="000B05CC">
          <w:rPr>
            <w:rStyle w:val="Hyperlink"/>
            <w:rFonts w:ascii="Arial" w:hAnsi="Arial" w:cs="Arial"/>
            <w:color w:val="auto"/>
            <w:u w:val="none"/>
          </w:rPr>
          <w:t xml:space="preserve">Journal of </w:t>
        </w:r>
        <w:r w:rsidR="00BD68FE" w:rsidRPr="000B05CC">
          <w:rPr>
            <w:rStyle w:val="Hyperlink"/>
            <w:rFonts w:ascii="Arial" w:hAnsi="Arial" w:cs="Arial"/>
            <w:color w:val="auto"/>
            <w:u w:val="none"/>
          </w:rPr>
          <w:tab/>
          <w:t>Economics, Finance, and Administrative Science</w:t>
        </w:r>
      </w:hyperlink>
      <w:r w:rsidR="00BD68FE" w:rsidRPr="000B05CC">
        <w:rPr>
          <w:rFonts w:ascii="Arial" w:hAnsi="Arial" w:cs="Arial"/>
          <w:shd w:val="clear" w:color="auto" w:fill="FFFFFF"/>
        </w:rPr>
        <w:t xml:space="preserve"> 2(50), 395-</w:t>
      </w:r>
      <w:r w:rsidR="00BD68FE" w:rsidRPr="000B05CC">
        <w:rPr>
          <w:rFonts w:ascii="Arial" w:hAnsi="Arial" w:cs="Arial"/>
          <w:shd w:val="clear" w:color="auto" w:fill="FFFFFF"/>
        </w:rPr>
        <w:tab/>
        <w:t>412. </w:t>
      </w:r>
      <w:hyperlink r:id="rId27" w:tooltip="DOI: https://doi.org/10.1108/JEFAS-04-2019-0054" w:history="1">
        <w:r w:rsidR="00BD68FE" w:rsidRPr="000B05CC">
          <w:rPr>
            <w:rStyle w:val="Hyperlink"/>
            <w:rFonts w:ascii="Arial" w:hAnsi="Arial" w:cs="Arial"/>
            <w:color w:val="auto"/>
            <w:u w:val="none"/>
            <w:shd w:val="clear" w:color="auto" w:fill="FFFFFF"/>
          </w:rPr>
          <w:t>https://doi.org/10.1108/JEFAS-04-2019-0054</w:t>
        </w:r>
      </w:hyperlink>
      <w:r w:rsidR="00BD68FE" w:rsidRPr="000B05CC">
        <w:rPr>
          <w:rFonts w:ascii="Arial" w:hAnsi="Arial" w:cs="Arial"/>
        </w:rPr>
        <w:t xml:space="preserve"> </w:t>
      </w:r>
    </w:p>
    <w:p w14:paraId="091A73C7" w14:textId="77777777" w:rsidR="00BD68FE" w:rsidRPr="000B05CC" w:rsidRDefault="00BD68FE" w:rsidP="00B85ED0">
      <w:pPr>
        <w:autoSpaceDE w:val="0"/>
        <w:autoSpaceDN w:val="0"/>
        <w:adjustRightInd w:val="0"/>
        <w:spacing w:after="0" w:line="240" w:lineRule="auto"/>
        <w:jc w:val="both"/>
        <w:rPr>
          <w:rFonts w:ascii="Arial" w:hAnsi="Arial" w:cs="Arial"/>
        </w:rPr>
      </w:pPr>
      <w:proofErr w:type="spellStart"/>
      <w:r w:rsidRPr="000B05CC">
        <w:rPr>
          <w:rFonts w:ascii="Arial" w:hAnsi="Arial" w:cs="Arial"/>
        </w:rPr>
        <w:t>Mugableh</w:t>
      </w:r>
      <w:proofErr w:type="spellEnd"/>
      <w:r w:rsidRPr="000B05CC">
        <w:rPr>
          <w:rFonts w:ascii="Arial" w:hAnsi="Arial" w:cs="Arial"/>
        </w:rPr>
        <w:t xml:space="preserve">, M.I., &amp; </w:t>
      </w:r>
      <w:proofErr w:type="spellStart"/>
      <w:r w:rsidRPr="000B05CC">
        <w:rPr>
          <w:rFonts w:ascii="Arial" w:hAnsi="Arial" w:cs="Arial"/>
        </w:rPr>
        <w:t>Hammouri</w:t>
      </w:r>
      <w:proofErr w:type="spellEnd"/>
      <w:r w:rsidRPr="000B05CC">
        <w:rPr>
          <w:rFonts w:ascii="Arial" w:hAnsi="Arial" w:cs="Arial"/>
        </w:rPr>
        <w:t xml:space="preserve">, M.A. (2022). Exploring </w:t>
      </w:r>
      <w:proofErr w:type="gramStart"/>
      <w:r w:rsidRPr="000B05CC">
        <w:rPr>
          <w:rFonts w:ascii="Arial" w:hAnsi="Arial" w:cs="Arial"/>
        </w:rPr>
        <w:t>The</w:t>
      </w:r>
      <w:proofErr w:type="gramEnd"/>
      <w:r w:rsidRPr="000B05CC">
        <w:rPr>
          <w:rFonts w:ascii="Arial" w:hAnsi="Arial" w:cs="Arial"/>
        </w:rPr>
        <w:t xml:space="preserve"> Impact of Financial Technology on </w:t>
      </w:r>
      <w:r w:rsidRPr="000B05CC">
        <w:rPr>
          <w:rFonts w:ascii="Arial" w:hAnsi="Arial" w:cs="Arial"/>
        </w:rPr>
        <w:tab/>
        <w:t xml:space="preserve">Economic Growth in Jordan. </w:t>
      </w:r>
      <w:proofErr w:type="spellStart"/>
      <w:r w:rsidRPr="000B05CC">
        <w:rPr>
          <w:rFonts w:ascii="Arial" w:hAnsi="Arial" w:cs="Arial"/>
        </w:rPr>
        <w:t>Webology</w:t>
      </w:r>
      <w:proofErr w:type="spellEnd"/>
      <w:r w:rsidRPr="000B05CC">
        <w:rPr>
          <w:rFonts w:ascii="Arial" w:hAnsi="Arial" w:cs="Arial"/>
        </w:rPr>
        <w:t>, 19(3), 286-293.</w:t>
      </w:r>
    </w:p>
    <w:p w14:paraId="56D84FEA" w14:textId="77777777" w:rsidR="00BD68FE" w:rsidRPr="000B05CC" w:rsidRDefault="00BD68FE" w:rsidP="00B85ED0">
      <w:pPr>
        <w:spacing w:line="240" w:lineRule="auto"/>
        <w:jc w:val="both"/>
        <w:rPr>
          <w:rFonts w:ascii="Arial" w:eastAsia="Times New Roman" w:hAnsi="Arial" w:cs="Arial"/>
          <w:kern w:val="0"/>
          <w14:ligatures w14:val="none"/>
        </w:rPr>
      </w:pPr>
      <w:r w:rsidRPr="000B05CC">
        <w:rPr>
          <w:rFonts w:ascii="Arial" w:hAnsi="Arial" w:cs="Arial"/>
          <w:shd w:val="clear" w:color="auto" w:fill="FFFFFF"/>
        </w:rPr>
        <w:t xml:space="preserve">Ngong, C.A., Thaddeus, K.J., &amp; </w:t>
      </w:r>
      <w:proofErr w:type="spellStart"/>
      <w:r w:rsidRPr="000B05CC">
        <w:rPr>
          <w:rFonts w:ascii="Arial" w:hAnsi="Arial" w:cs="Arial"/>
          <w:shd w:val="clear" w:color="auto" w:fill="FFFFFF"/>
        </w:rPr>
        <w:t>Onwumere</w:t>
      </w:r>
      <w:proofErr w:type="spellEnd"/>
      <w:r w:rsidRPr="000B05CC">
        <w:rPr>
          <w:rFonts w:ascii="Arial" w:hAnsi="Arial" w:cs="Arial"/>
          <w:shd w:val="clear" w:color="auto" w:fill="FFFFFF"/>
        </w:rPr>
        <w:t>, J.UJ. (2024). Financial technology and economic</w:t>
      </w:r>
      <w:r w:rsidRPr="000B05CC">
        <w:rPr>
          <w:rFonts w:ascii="Arial" w:hAnsi="Arial" w:cs="Arial"/>
        </w:rPr>
        <w:t xml:space="preserve"> </w:t>
      </w:r>
      <w:r w:rsidRPr="000B05CC">
        <w:rPr>
          <w:rFonts w:ascii="Arial" w:hAnsi="Arial" w:cs="Arial"/>
        </w:rPr>
        <w:tab/>
      </w:r>
      <w:r w:rsidRPr="000B05CC">
        <w:rPr>
          <w:rFonts w:ascii="Arial" w:hAnsi="Arial" w:cs="Arial"/>
          <w:shd w:val="clear" w:color="auto" w:fill="FFFFFF"/>
        </w:rPr>
        <w:t>growth nexus in the East African</w:t>
      </w:r>
      <w:r w:rsidRPr="000B05CC">
        <w:rPr>
          <w:rFonts w:ascii="Arial" w:hAnsi="Arial" w:cs="Arial"/>
        </w:rPr>
        <w:t xml:space="preserve"> </w:t>
      </w:r>
      <w:r w:rsidRPr="000B05CC">
        <w:rPr>
          <w:rFonts w:ascii="Arial" w:hAnsi="Arial" w:cs="Arial"/>
          <w:shd w:val="clear" w:color="auto" w:fill="FFFFFF"/>
        </w:rPr>
        <w:t xml:space="preserve">community states. Journal of Economics, Finance, </w:t>
      </w:r>
      <w:r w:rsidRPr="000B05CC">
        <w:rPr>
          <w:rFonts w:ascii="Arial" w:hAnsi="Arial" w:cs="Arial"/>
          <w:shd w:val="clear" w:color="auto" w:fill="FFFFFF"/>
        </w:rPr>
        <w:tab/>
        <w:t xml:space="preserve">and </w:t>
      </w:r>
      <w:r w:rsidRPr="000B05CC">
        <w:rPr>
          <w:rFonts w:ascii="Arial" w:hAnsi="Arial" w:cs="Arial"/>
          <w:shd w:val="clear" w:color="auto" w:fill="FFFFFF"/>
        </w:rPr>
        <w:tab/>
        <w:t xml:space="preserve">Administrative Science,3(4), </w:t>
      </w:r>
      <w:r w:rsidRPr="000B05CC">
        <w:rPr>
          <w:rFonts w:ascii="Arial" w:eastAsia="Times New Roman" w:hAnsi="Arial" w:cs="Arial"/>
          <w:kern w:val="0"/>
          <w14:ligatures w14:val="none"/>
        </w:rPr>
        <w:t>1-14.DOI 10.1108/JEFAS-01-2022-0009</w:t>
      </w:r>
    </w:p>
    <w:p w14:paraId="437EADCF" w14:textId="77777777" w:rsidR="00BD68FE" w:rsidRPr="000B05CC" w:rsidRDefault="00BD68FE" w:rsidP="00B85ED0">
      <w:pPr>
        <w:pStyle w:val="Default"/>
        <w:jc w:val="both"/>
        <w:rPr>
          <w:color w:val="auto"/>
          <w:sz w:val="22"/>
          <w:szCs w:val="22"/>
        </w:rPr>
      </w:pPr>
      <w:r w:rsidRPr="000B05CC">
        <w:rPr>
          <w:color w:val="auto"/>
          <w:sz w:val="22"/>
          <w:szCs w:val="22"/>
        </w:rPr>
        <w:t xml:space="preserve">Ozturk, L., &amp; Ullah, S. (2022). Digital financial inclusion matters for economic growth and </w:t>
      </w:r>
      <w:r w:rsidRPr="000B05CC">
        <w:rPr>
          <w:color w:val="auto"/>
          <w:sz w:val="22"/>
          <w:szCs w:val="22"/>
        </w:rPr>
        <w:tab/>
        <w:t xml:space="preserve">environmental sustainability in OBRI economies. An empirical analysis. Resources, </w:t>
      </w:r>
      <w:r w:rsidRPr="000B05CC">
        <w:rPr>
          <w:color w:val="auto"/>
          <w:sz w:val="22"/>
          <w:szCs w:val="22"/>
        </w:rPr>
        <w:tab/>
        <w:t xml:space="preserve">Conservation &amp; Recycling, 185(2), 1-8. </w:t>
      </w:r>
      <w:r w:rsidRPr="000B05CC">
        <w:rPr>
          <w:color w:val="auto"/>
          <w:sz w:val="22"/>
          <w:szCs w:val="22"/>
        </w:rPr>
        <w:tab/>
        <w:t xml:space="preserve">https://doi.org/10.1016/j.resconrec.2022.106489 </w:t>
      </w:r>
    </w:p>
    <w:p w14:paraId="6DDEA3F4" w14:textId="77777777" w:rsidR="00BD68FE" w:rsidRPr="000B05CC" w:rsidRDefault="00BD68FE" w:rsidP="00B85ED0">
      <w:pPr>
        <w:spacing w:after="0" w:line="240" w:lineRule="auto"/>
        <w:ind w:left="720" w:hanging="720"/>
        <w:jc w:val="both"/>
        <w:rPr>
          <w:rFonts w:ascii="Arial" w:hAnsi="Arial" w:cs="Arial"/>
        </w:rPr>
      </w:pPr>
      <w:r w:rsidRPr="000B05CC">
        <w:rPr>
          <w:rFonts w:ascii="Arial" w:hAnsi="Arial" w:cs="Arial"/>
          <w:lang w:val="it-IT"/>
        </w:rPr>
        <w:t xml:space="preserve">Pesaran M.H., Sin Y., Smith, R., J. (2001). </w:t>
      </w:r>
      <w:r w:rsidRPr="000B05CC">
        <w:rPr>
          <w:rFonts w:ascii="Arial" w:hAnsi="Arial" w:cs="Arial"/>
        </w:rPr>
        <w:t xml:space="preserve">Bound testing approaches to the analysis of level relationships. </w:t>
      </w:r>
      <w:r w:rsidRPr="000B05CC">
        <w:rPr>
          <w:rFonts w:ascii="Arial" w:hAnsi="Arial" w:cs="Arial"/>
          <w:i/>
        </w:rPr>
        <w:t>Journal of Applied Econometrics</w:t>
      </w:r>
      <w:r w:rsidRPr="000B05CC">
        <w:rPr>
          <w:rFonts w:ascii="Arial" w:hAnsi="Arial" w:cs="Arial"/>
        </w:rPr>
        <w:t xml:space="preserve">, </w:t>
      </w:r>
      <w:r w:rsidRPr="000B05CC">
        <w:rPr>
          <w:rFonts w:ascii="Arial" w:hAnsi="Arial" w:cs="Arial"/>
          <w:i/>
        </w:rPr>
        <w:t>16</w:t>
      </w:r>
      <w:r w:rsidRPr="000B05CC">
        <w:rPr>
          <w:rFonts w:ascii="Arial" w:hAnsi="Arial" w:cs="Arial"/>
        </w:rPr>
        <w:t>(3), 289-326.</w:t>
      </w:r>
    </w:p>
    <w:p w14:paraId="1144CBF8" w14:textId="77777777" w:rsidR="00BD68FE" w:rsidRPr="000B05CC" w:rsidRDefault="00BD68FE" w:rsidP="00B85ED0">
      <w:pPr>
        <w:spacing w:after="0" w:line="240" w:lineRule="auto"/>
        <w:ind w:left="720" w:hanging="720"/>
        <w:jc w:val="both"/>
        <w:rPr>
          <w:rFonts w:ascii="Arial" w:hAnsi="Arial" w:cs="Arial"/>
        </w:rPr>
      </w:pPr>
      <w:proofErr w:type="spellStart"/>
      <w:r w:rsidRPr="000B05CC">
        <w:rPr>
          <w:rFonts w:ascii="Arial" w:hAnsi="Arial" w:cs="Arial"/>
        </w:rPr>
        <w:t>Pesaran</w:t>
      </w:r>
      <w:proofErr w:type="spellEnd"/>
      <w:r w:rsidRPr="000B05CC">
        <w:rPr>
          <w:rFonts w:ascii="Arial" w:hAnsi="Arial" w:cs="Arial"/>
        </w:rPr>
        <w:t xml:space="preserve">, M.H., &amp; </w:t>
      </w:r>
      <w:proofErr w:type="spellStart"/>
      <w:r w:rsidRPr="000B05CC">
        <w:rPr>
          <w:rFonts w:ascii="Arial" w:hAnsi="Arial" w:cs="Arial"/>
        </w:rPr>
        <w:t>Pesaran</w:t>
      </w:r>
      <w:proofErr w:type="spellEnd"/>
      <w:r w:rsidRPr="000B05CC">
        <w:rPr>
          <w:rFonts w:ascii="Arial" w:hAnsi="Arial" w:cs="Arial"/>
        </w:rPr>
        <w:t xml:space="preserve">, B. (1997). </w:t>
      </w:r>
      <w:r w:rsidRPr="000B05CC">
        <w:rPr>
          <w:rFonts w:ascii="Arial" w:hAnsi="Arial" w:cs="Arial"/>
          <w:i/>
        </w:rPr>
        <w:t xml:space="preserve">Working with </w:t>
      </w:r>
      <w:proofErr w:type="spellStart"/>
      <w:r w:rsidRPr="000B05CC">
        <w:rPr>
          <w:rFonts w:ascii="Arial" w:hAnsi="Arial" w:cs="Arial"/>
          <w:i/>
        </w:rPr>
        <w:t>Microfit</w:t>
      </w:r>
      <w:proofErr w:type="spellEnd"/>
      <w:r w:rsidRPr="000B05CC">
        <w:rPr>
          <w:rFonts w:ascii="Arial" w:hAnsi="Arial" w:cs="Arial"/>
          <w:i/>
        </w:rPr>
        <w:t xml:space="preserve"> 4.0: Interactive Econometric Analysis</w:t>
      </w:r>
      <w:r w:rsidRPr="000B05CC">
        <w:rPr>
          <w:rFonts w:ascii="Arial" w:hAnsi="Arial" w:cs="Arial"/>
        </w:rPr>
        <w:t>. Oxford, Oxford University Press.</w:t>
      </w:r>
    </w:p>
    <w:p w14:paraId="1751942E" w14:textId="0C64D65B" w:rsidR="00BD68FE" w:rsidRPr="000B05CC" w:rsidRDefault="00BD68FE" w:rsidP="00B85ED0">
      <w:pPr>
        <w:autoSpaceDE w:val="0"/>
        <w:autoSpaceDN w:val="0"/>
        <w:adjustRightInd w:val="0"/>
        <w:spacing w:after="0" w:line="240" w:lineRule="auto"/>
        <w:jc w:val="both"/>
        <w:rPr>
          <w:rFonts w:ascii="Arial" w:hAnsi="Arial" w:cs="Arial"/>
          <w:i/>
          <w:iCs/>
        </w:rPr>
      </w:pPr>
      <w:r w:rsidRPr="000B05CC">
        <w:rPr>
          <w:rFonts w:ascii="Arial" w:hAnsi="Arial" w:cs="Arial"/>
        </w:rPr>
        <w:t xml:space="preserve">Ravikumar T, </w:t>
      </w:r>
      <w:proofErr w:type="spellStart"/>
      <w:r w:rsidRPr="000B05CC">
        <w:rPr>
          <w:rFonts w:ascii="Arial" w:hAnsi="Arial" w:cs="Arial"/>
        </w:rPr>
        <w:t>Suresha</w:t>
      </w:r>
      <w:proofErr w:type="spellEnd"/>
      <w:r w:rsidRPr="000B05CC">
        <w:rPr>
          <w:rFonts w:ascii="Arial" w:hAnsi="Arial" w:cs="Arial"/>
        </w:rPr>
        <w:t xml:space="preserve">. B, Sriram. M, Rajesh. R (2019). Impact of Digital Payments on </w:t>
      </w:r>
      <w:r w:rsidRPr="000B05CC">
        <w:rPr>
          <w:rFonts w:ascii="Arial" w:hAnsi="Arial" w:cs="Arial"/>
        </w:rPr>
        <w:tab/>
        <w:t xml:space="preserve">Economic </w:t>
      </w:r>
      <w:r w:rsidRPr="000B05CC">
        <w:rPr>
          <w:rFonts w:ascii="Arial" w:hAnsi="Arial" w:cs="Arial"/>
        </w:rPr>
        <w:tab/>
        <w:t xml:space="preserve">Growth: Evidence from India. International Journal of Innovative Technology and Exploring </w:t>
      </w:r>
      <w:r w:rsidRPr="000B05CC">
        <w:rPr>
          <w:rFonts w:ascii="Arial" w:hAnsi="Arial" w:cs="Arial"/>
        </w:rPr>
        <w:tab/>
        <w:t xml:space="preserve">Engineering (IJITEE), 8(12), 553-557. </w:t>
      </w:r>
      <w:r w:rsidRPr="000B05CC">
        <w:rPr>
          <w:rFonts w:ascii="Arial" w:hAnsi="Arial" w:cs="Arial"/>
          <w:i/>
          <w:iCs/>
        </w:rPr>
        <w:t xml:space="preserve">DOI: </w:t>
      </w:r>
      <w:r w:rsidR="00B75D93">
        <w:rPr>
          <w:rFonts w:ascii="Arial" w:hAnsi="Arial" w:cs="Arial"/>
          <w:i/>
          <w:iCs/>
        </w:rPr>
        <w:tab/>
      </w:r>
      <w:r w:rsidRPr="000B05CC">
        <w:rPr>
          <w:rFonts w:ascii="Arial" w:hAnsi="Arial" w:cs="Arial"/>
          <w:i/>
          <w:iCs/>
        </w:rPr>
        <w:t>10.35940/</w:t>
      </w:r>
      <w:proofErr w:type="gramStart"/>
      <w:r w:rsidRPr="000B05CC">
        <w:rPr>
          <w:rFonts w:ascii="Arial" w:hAnsi="Arial" w:cs="Arial"/>
          <w:i/>
          <w:iCs/>
        </w:rPr>
        <w:t>ijitee.</w:t>
      </w:r>
      <w:r w:rsidRPr="000B05CC">
        <w:rPr>
          <w:rFonts w:ascii="Arial" w:hAnsi="Arial" w:cs="Arial"/>
          <w:i/>
          <w:iCs/>
          <w:color w:val="212121"/>
        </w:rPr>
        <w:t>L</w:t>
      </w:r>
      <w:proofErr w:type="gramEnd"/>
      <w:r w:rsidRPr="000B05CC">
        <w:rPr>
          <w:rFonts w:ascii="Arial" w:hAnsi="Arial" w:cs="Arial"/>
          <w:i/>
          <w:iCs/>
          <w:color w:val="212121"/>
        </w:rPr>
        <w:t>3432</w:t>
      </w:r>
      <w:r w:rsidRPr="000B05CC">
        <w:rPr>
          <w:rFonts w:ascii="Arial" w:hAnsi="Arial" w:cs="Arial"/>
          <w:i/>
          <w:iCs/>
        </w:rPr>
        <w:t>.1081219</w:t>
      </w:r>
    </w:p>
    <w:p w14:paraId="2FAE6D32" w14:textId="13801D74" w:rsidR="00BD68FE" w:rsidRPr="000B05CC" w:rsidRDefault="00BD68FE" w:rsidP="00B85ED0">
      <w:pPr>
        <w:spacing w:line="240" w:lineRule="auto"/>
        <w:jc w:val="both"/>
        <w:rPr>
          <w:rFonts w:ascii="Arial" w:hAnsi="Arial" w:cs="Arial"/>
          <w:shd w:val="clear" w:color="auto" w:fill="FFFFFF"/>
        </w:rPr>
      </w:pPr>
      <w:r w:rsidRPr="000B05CC">
        <w:rPr>
          <w:rFonts w:ascii="Arial" w:hAnsi="Arial" w:cs="Arial"/>
          <w:shd w:val="clear" w:color="auto" w:fill="FFFFFF"/>
        </w:rPr>
        <w:t xml:space="preserve">Romer, P. (1990). Endogenous technological change. Journal of Political Economy, 98(5), Part </w:t>
      </w:r>
      <w:r w:rsidR="00B75D93">
        <w:rPr>
          <w:rFonts w:ascii="Arial" w:hAnsi="Arial" w:cs="Arial"/>
          <w:shd w:val="clear" w:color="auto" w:fill="FFFFFF"/>
        </w:rPr>
        <w:tab/>
      </w:r>
      <w:r w:rsidRPr="000B05CC">
        <w:rPr>
          <w:rFonts w:ascii="Arial" w:hAnsi="Arial" w:cs="Arial"/>
          <w:shd w:val="clear" w:color="auto" w:fill="FFFFFF"/>
        </w:rPr>
        <w:t>2, S71-</w:t>
      </w:r>
      <w:r w:rsidRPr="000B05CC">
        <w:rPr>
          <w:rFonts w:ascii="Arial" w:hAnsi="Arial" w:cs="Arial"/>
          <w:shd w:val="clear" w:color="auto" w:fill="FFFFFF"/>
        </w:rPr>
        <w:tab/>
        <w:t>S102.https://doi.org/10.1086/261725</w:t>
      </w:r>
    </w:p>
    <w:p w14:paraId="519FF1C0" w14:textId="77777777" w:rsidR="00BD68FE" w:rsidRPr="000B05CC" w:rsidRDefault="00BD68FE" w:rsidP="00B85ED0">
      <w:pPr>
        <w:autoSpaceDE w:val="0"/>
        <w:autoSpaceDN w:val="0"/>
        <w:adjustRightInd w:val="0"/>
        <w:spacing w:after="0" w:line="240" w:lineRule="auto"/>
        <w:jc w:val="both"/>
        <w:rPr>
          <w:rFonts w:ascii="Arial" w:hAnsi="Arial" w:cs="Arial"/>
          <w:color w:val="211D1E"/>
        </w:rPr>
      </w:pPr>
      <w:r w:rsidRPr="000B05CC">
        <w:rPr>
          <w:rFonts w:ascii="Arial" w:hAnsi="Arial" w:cs="Arial"/>
          <w:color w:val="211D1E"/>
        </w:rPr>
        <w:t xml:space="preserve">Romer, P. M. (1986). Increasing returns and long-run growth. </w:t>
      </w:r>
      <w:r w:rsidRPr="000B05CC">
        <w:rPr>
          <w:rFonts w:ascii="Arial" w:hAnsi="Arial" w:cs="Arial"/>
          <w:i/>
          <w:iCs/>
          <w:color w:val="211D1E"/>
        </w:rPr>
        <w:t xml:space="preserve">Journal of Political Economy, </w:t>
      </w:r>
      <w:r w:rsidRPr="000B05CC">
        <w:rPr>
          <w:rFonts w:ascii="Arial" w:hAnsi="Arial" w:cs="Arial"/>
          <w:i/>
          <w:iCs/>
          <w:color w:val="211D1E"/>
        </w:rPr>
        <w:tab/>
        <w:t>94</w:t>
      </w:r>
      <w:r w:rsidRPr="000B05CC">
        <w:rPr>
          <w:rFonts w:ascii="Arial" w:hAnsi="Arial" w:cs="Arial"/>
          <w:color w:val="211D1E"/>
        </w:rPr>
        <w:t xml:space="preserve">(5), </w:t>
      </w:r>
      <w:r w:rsidRPr="000B05CC">
        <w:rPr>
          <w:rFonts w:ascii="Arial" w:hAnsi="Arial" w:cs="Arial"/>
          <w:color w:val="211D1E"/>
        </w:rPr>
        <w:tab/>
        <w:t>1002-1037.</w:t>
      </w:r>
    </w:p>
    <w:p w14:paraId="000A43BF" w14:textId="77777777" w:rsidR="00BD68FE" w:rsidRPr="000B05CC" w:rsidRDefault="00BD68FE" w:rsidP="00B85ED0">
      <w:pPr>
        <w:autoSpaceDE w:val="0"/>
        <w:autoSpaceDN w:val="0"/>
        <w:adjustRightInd w:val="0"/>
        <w:spacing w:after="0" w:line="240" w:lineRule="auto"/>
        <w:jc w:val="both"/>
        <w:rPr>
          <w:rStyle w:val="Hyperlink"/>
          <w:rFonts w:ascii="Arial" w:hAnsi="Arial" w:cs="Arial"/>
          <w:kern w:val="0"/>
        </w:rPr>
      </w:pPr>
      <w:r w:rsidRPr="000B05CC">
        <w:rPr>
          <w:rFonts w:ascii="Arial" w:hAnsi="Arial" w:cs="Arial"/>
          <w:kern w:val="0"/>
        </w:rPr>
        <w:t xml:space="preserve">Salahuddin, M., &amp; </w:t>
      </w:r>
      <w:proofErr w:type="spellStart"/>
      <w:r w:rsidRPr="000B05CC">
        <w:rPr>
          <w:rFonts w:ascii="Arial" w:hAnsi="Arial" w:cs="Arial"/>
          <w:kern w:val="0"/>
        </w:rPr>
        <w:t>Alam</w:t>
      </w:r>
      <w:proofErr w:type="spellEnd"/>
      <w:r w:rsidRPr="000B05CC">
        <w:rPr>
          <w:rFonts w:ascii="Arial" w:hAnsi="Arial" w:cs="Arial"/>
          <w:kern w:val="0"/>
        </w:rPr>
        <w:t xml:space="preserve">, K. (2016). Information and Communication Technology, electricity </w:t>
      </w:r>
      <w:r w:rsidRPr="000B05CC">
        <w:rPr>
          <w:rFonts w:ascii="Arial" w:hAnsi="Arial" w:cs="Arial"/>
          <w:kern w:val="0"/>
        </w:rPr>
        <w:tab/>
        <w:t xml:space="preserve">consumption and economic growth in OECD countries: A panel data analysis. </w:t>
      </w:r>
      <w:r w:rsidRPr="000B05CC">
        <w:rPr>
          <w:rFonts w:ascii="Arial" w:hAnsi="Arial" w:cs="Arial"/>
          <w:kern w:val="0"/>
        </w:rPr>
        <w:tab/>
      </w:r>
      <w:r w:rsidRPr="000B05CC">
        <w:rPr>
          <w:rFonts w:ascii="Arial" w:hAnsi="Arial" w:cs="Arial"/>
          <w:i/>
          <w:iCs/>
          <w:kern w:val="0"/>
        </w:rPr>
        <w:t>International Journal of Electrical Power &amp; Energy Systems</w:t>
      </w:r>
      <w:r w:rsidRPr="000B05CC">
        <w:rPr>
          <w:rFonts w:ascii="Arial" w:hAnsi="Arial" w:cs="Arial"/>
          <w:kern w:val="0"/>
        </w:rPr>
        <w:t xml:space="preserve">, </w:t>
      </w:r>
      <w:r w:rsidRPr="000B05CC">
        <w:rPr>
          <w:rFonts w:ascii="Arial" w:hAnsi="Arial" w:cs="Arial"/>
          <w:i/>
          <w:iCs/>
          <w:kern w:val="0"/>
        </w:rPr>
        <w:t>76</w:t>
      </w:r>
      <w:r w:rsidRPr="000B05CC">
        <w:rPr>
          <w:rFonts w:ascii="Arial" w:hAnsi="Arial" w:cs="Arial"/>
          <w:kern w:val="0"/>
        </w:rPr>
        <w:t xml:space="preserve">, 185–193. </w:t>
      </w:r>
      <w:r w:rsidRPr="000B05CC">
        <w:rPr>
          <w:rFonts w:ascii="Arial" w:hAnsi="Arial" w:cs="Arial"/>
          <w:kern w:val="0"/>
        </w:rPr>
        <w:tab/>
      </w:r>
      <w:hyperlink r:id="rId28" w:history="1">
        <w:r w:rsidRPr="000B05CC">
          <w:rPr>
            <w:rStyle w:val="Hyperlink"/>
            <w:rFonts w:ascii="Arial" w:hAnsi="Arial" w:cs="Arial"/>
            <w:kern w:val="0"/>
          </w:rPr>
          <w:t>https://doi.org/10.1016/j.ijepes.2015.11.005</w:t>
        </w:r>
      </w:hyperlink>
    </w:p>
    <w:p w14:paraId="24D5A691" w14:textId="77777777" w:rsidR="00BD68FE" w:rsidRPr="000B05CC" w:rsidRDefault="00BD68FE" w:rsidP="00B85ED0">
      <w:pPr>
        <w:pStyle w:val="Pa9"/>
        <w:spacing w:line="240" w:lineRule="auto"/>
        <w:jc w:val="both"/>
        <w:rPr>
          <w:rFonts w:ascii="Arial" w:hAnsi="Arial" w:cs="Arial"/>
          <w:color w:val="211D1E"/>
          <w:sz w:val="22"/>
          <w:szCs w:val="22"/>
        </w:rPr>
      </w:pPr>
      <w:proofErr w:type="spellStart"/>
      <w:r w:rsidRPr="000B05CC">
        <w:rPr>
          <w:rFonts w:ascii="Arial" w:hAnsi="Arial" w:cs="Arial"/>
          <w:color w:val="211D1E"/>
          <w:sz w:val="22"/>
          <w:szCs w:val="22"/>
        </w:rPr>
        <w:t>Schueffel</w:t>
      </w:r>
      <w:proofErr w:type="spellEnd"/>
      <w:r w:rsidRPr="000B05CC">
        <w:rPr>
          <w:rFonts w:ascii="Arial" w:hAnsi="Arial" w:cs="Arial"/>
          <w:color w:val="211D1E"/>
          <w:sz w:val="22"/>
          <w:szCs w:val="22"/>
        </w:rPr>
        <w:t xml:space="preserve">, P. (2016). Taming the Beast: A scientific definition of fintech. </w:t>
      </w:r>
      <w:r w:rsidRPr="000B05CC">
        <w:rPr>
          <w:rFonts w:ascii="Arial" w:hAnsi="Arial" w:cs="Arial"/>
          <w:i/>
          <w:iCs/>
          <w:color w:val="211D1E"/>
          <w:sz w:val="22"/>
          <w:szCs w:val="22"/>
        </w:rPr>
        <w:t xml:space="preserve">Journal of Innovation </w:t>
      </w:r>
      <w:r w:rsidRPr="000B05CC">
        <w:rPr>
          <w:rFonts w:ascii="Arial" w:hAnsi="Arial" w:cs="Arial"/>
          <w:i/>
          <w:iCs/>
          <w:color w:val="211D1E"/>
          <w:sz w:val="22"/>
          <w:szCs w:val="22"/>
        </w:rPr>
        <w:tab/>
        <w:t>Management, 4</w:t>
      </w:r>
      <w:r w:rsidRPr="000B05CC">
        <w:rPr>
          <w:rFonts w:ascii="Arial" w:hAnsi="Arial" w:cs="Arial"/>
          <w:color w:val="211D1E"/>
          <w:sz w:val="22"/>
          <w:szCs w:val="22"/>
        </w:rPr>
        <w:t xml:space="preserve">(4), 32-54. </w:t>
      </w:r>
    </w:p>
    <w:p w14:paraId="3363DAA6" w14:textId="76800A6D" w:rsidR="00BD68FE" w:rsidRPr="000B05CC" w:rsidRDefault="00BD68FE" w:rsidP="00B85ED0">
      <w:pPr>
        <w:spacing w:line="240" w:lineRule="auto"/>
        <w:jc w:val="both"/>
        <w:rPr>
          <w:rFonts w:ascii="Arial" w:hAnsi="Arial" w:cs="Arial"/>
        </w:rPr>
      </w:pPr>
      <w:r w:rsidRPr="000B05CC">
        <w:rPr>
          <w:rFonts w:ascii="Arial" w:hAnsi="Arial" w:cs="Arial"/>
        </w:rPr>
        <w:t xml:space="preserve">Schumpeter, J. (1912). The Theory of Economic Development (Cambridge, MA: Harvard </w:t>
      </w:r>
      <w:r w:rsidR="00B75D93">
        <w:rPr>
          <w:rFonts w:ascii="Arial" w:hAnsi="Arial" w:cs="Arial"/>
        </w:rPr>
        <w:tab/>
      </w:r>
      <w:r w:rsidRPr="000B05CC">
        <w:rPr>
          <w:rFonts w:ascii="Arial" w:hAnsi="Arial" w:cs="Arial"/>
        </w:rPr>
        <w:t>University Press).</w:t>
      </w:r>
    </w:p>
    <w:p w14:paraId="18C7EED8" w14:textId="77777777" w:rsidR="00BD68FE" w:rsidRPr="000B05CC" w:rsidRDefault="00BD68FE" w:rsidP="00B85ED0">
      <w:pPr>
        <w:pStyle w:val="Default"/>
        <w:jc w:val="both"/>
        <w:rPr>
          <w:sz w:val="22"/>
          <w:szCs w:val="22"/>
        </w:rPr>
      </w:pPr>
      <w:proofErr w:type="spellStart"/>
      <w:r w:rsidRPr="000B05CC">
        <w:rPr>
          <w:sz w:val="22"/>
          <w:szCs w:val="22"/>
        </w:rPr>
        <w:t>Serhan</w:t>
      </w:r>
      <w:proofErr w:type="spellEnd"/>
      <w:r w:rsidRPr="000B05CC">
        <w:rPr>
          <w:sz w:val="22"/>
          <w:szCs w:val="22"/>
        </w:rPr>
        <w:t xml:space="preserve">, C. (2024). Is Schumpeter Right? Fintech and Economic Growth. International </w:t>
      </w:r>
      <w:r w:rsidRPr="000B05CC">
        <w:rPr>
          <w:sz w:val="22"/>
          <w:szCs w:val="22"/>
        </w:rPr>
        <w:tab/>
        <w:t xml:space="preserve">Monetary </w:t>
      </w:r>
      <w:r w:rsidRPr="000B05CC">
        <w:rPr>
          <w:sz w:val="22"/>
          <w:szCs w:val="22"/>
        </w:rPr>
        <w:tab/>
        <w:t>Fund, 2024 International Monetary Fund WP/24/20 1-15</w:t>
      </w:r>
    </w:p>
    <w:p w14:paraId="49229475" w14:textId="77777777" w:rsidR="00BD68FE" w:rsidRPr="000B05CC" w:rsidRDefault="00BD68FE" w:rsidP="00B85ED0">
      <w:pPr>
        <w:autoSpaceDE w:val="0"/>
        <w:autoSpaceDN w:val="0"/>
        <w:adjustRightInd w:val="0"/>
        <w:spacing w:after="0" w:line="240" w:lineRule="auto"/>
        <w:jc w:val="both"/>
        <w:rPr>
          <w:rFonts w:ascii="Arial" w:hAnsi="Arial" w:cs="Arial"/>
          <w:color w:val="000080"/>
          <w:kern w:val="0"/>
        </w:rPr>
      </w:pPr>
      <w:r w:rsidRPr="000B05CC">
        <w:rPr>
          <w:rFonts w:ascii="Arial" w:hAnsi="Arial" w:cs="Arial"/>
          <w:color w:val="000000"/>
          <w:kern w:val="0"/>
        </w:rPr>
        <w:t>Solow, R. M. (</w:t>
      </w:r>
      <w:r w:rsidRPr="000B05CC">
        <w:rPr>
          <w:rFonts w:ascii="Arial" w:hAnsi="Arial" w:cs="Arial"/>
          <w:color w:val="000080"/>
          <w:kern w:val="0"/>
        </w:rPr>
        <w:t>1956</w:t>
      </w:r>
      <w:r w:rsidRPr="000B05CC">
        <w:rPr>
          <w:rFonts w:ascii="Arial" w:hAnsi="Arial" w:cs="Arial"/>
          <w:color w:val="000000"/>
          <w:kern w:val="0"/>
        </w:rPr>
        <w:t xml:space="preserve">). A contribution to the theory of economic growth. </w:t>
      </w:r>
      <w:r w:rsidRPr="000B05CC">
        <w:rPr>
          <w:rFonts w:ascii="Arial" w:hAnsi="Arial" w:cs="Arial"/>
          <w:i/>
          <w:iCs/>
          <w:color w:val="000000"/>
          <w:kern w:val="0"/>
        </w:rPr>
        <w:t xml:space="preserve">The Quarterly Journal </w:t>
      </w:r>
      <w:r w:rsidRPr="000B05CC">
        <w:rPr>
          <w:rFonts w:ascii="Arial" w:hAnsi="Arial" w:cs="Arial"/>
          <w:i/>
          <w:iCs/>
          <w:color w:val="000000"/>
          <w:kern w:val="0"/>
        </w:rPr>
        <w:tab/>
        <w:t xml:space="preserve">of </w:t>
      </w:r>
      <w:r w:rsidRPr="000B05CC">
        <w:rPr>
          <w:rFonts w:ascii="Arial" w:hAnsi="Arial" w:cs="Arial"/>
          <w:i/>
          <w:iCs/>
          <w:color w:val="000000"/>
          <w:kern w:val="0"/>
        </w:rPr>
        <w:tab/>
        <w:t>Economics</w:t>
      </w:r>
      <w:r w:rsidRPr="000B05CC">
        <w:rPr>
          <w:rFonts w:ascii="Arial" w:hAnsi="Arial" w:cs="Arial"/>
          <w:color w:val="000000"/>
          <w:kern w:val="0"/>
        </w:rPr>
        <w:t>, 70(1), 65–94. doi:</w:t>
      </w:r>
      <w:r w:rsidRPr="000B05CC">
        <w:rPr>
          <w:rFonts w:ascii="Arial" w:hAnsi="Arial" w:cs="Arial"/>
          <w:color w:val="000080"/>
          <w:kern w:val="0"/>
        </w:rPr>
        <w:t>10.2307/1884513</w:t>
      </w:r>
    </w:p>
    <w:p w14:paraId="4EA62AFD" w14:textId="77777777" w:rsidR="00BD68FE" w:rsidRPr="000B05CC" w:rsidRDefault="00BD68FE" w:rsidP="00B85ED0">
      <w:pPr>
        <w:spacing w:line="240" w:lineRule="auto"/>
        <w:jc w:val="both"/>
        <w:rPr>
          <w:rFonts w:ascii="Arial" w:hAnsi="Arial" w:cs="Arial"/>
          <w:kern w:val="0"/>
        </w:rPr>
      </w:pPr>
      <w:proofErr w:type="spellStart"/>
      <w:r w:rsidRPr="000B05CC">
        <w:rPr>
          <w:rFonts w:ascii="Arial" w:hAnsi="Arial" w:cs="Arial"/>
          <w:kern w:val="0"/>
        </w:rPr>
        <w:t>Utami</w:t>
      </w:r>
      <w:proofErr w:type="spellEnd"/>
      <w:r w:rsidRPr="000B05CC">
        <w:rPr>
          <w:rFonts w:ascii="Arial" w:hAnsi="Arial" w:cs="Arial"/>
          <w:kern w:val="0"/>
        </w:rPr>
        <w:t xml:space="preserve">, Y. (2022). Analysis of the Impact of Financial Technology (Fintech) on the Indonesian </w:t>
      </w:r>
      <w:r w:rsidRPr="000B05CC">
        <w:rPr>
          <w:rFonts w:ascii="Arial" w:hAnsi="Arial" w:cs="Arial"/>
          <w:kern w:val="0"/>
        </w:rPr>
        <w:tab/>
        <w:t xml:space="preserve">Economy in the New Normal Era. </w:t>
      </w:r>
      <w:r w:rsidRPr="000B05CC">
        <w:rPr>
          <w:rFonts w:ascii="Arial" w:hAnsi="Arial" w:cs="Arial"/>
          <w:i/>
          <w:iCs/>
          <w:kern w:val="0"/>
        </w:rPr>
        <w:t xml:space="preserve">International Journal of Economics, Business, and </w:t>
      </w:r>
      <w:r w:rsidRPr="000B05CC">
        <w:rPr>
          <w:rFonts w:ascii="Arial" w:hAnsi="Arial" w:cs="Arial"/>
          <w:i/>
          <w:iCs/>
          <w:kern w:val="0"/>
        </w:rPr>
        <w:tab/>
        <w:t>Accounting Research</w:t>
      </w:r>
      <w:r w:rsidRPr="000B05CC">
        <w:rPr>
          <w:rFonts w:ascii="Arial" w:hAnsi="Arial" w:cs="Arial"/>
          <w:kern w:val="0"/>
        </w:rPr>
        <w:t>, 6(4), 1-6.</w:t>
      </w:r>
    </w:p>
    <w:p w14:paraId="57CC079F" w14:textId="77777777" w:rsidR="00BD68FE" w:rsidRPr="000B05CC" w:rsidRDefault="00BD68FE" w:rsidP="00B85ED0">
      <w:pPr>
        <w:autoSpaceDE w:val="0"/>
        <w:autoSpaceDN w:val="0"/>
        <w:adjustRightInd w:val="0"/>
        <w:spacing w:after="0" w:line="240" w:lineRule="auto"/>
        <w:jc w:val="both"/>
        <w:rPr>
          <w:rFonts w:ascii="Arial" w:hAnsi="Arial" w:cs="Arial"/>
        </w:rPr>
      </w:pPr>
      <w:r w:rsidRPr="000B05CC">
        <w:rPr>
          <w:rFonts w:ascii="Arial" w:hAnsi="Arial" w:cs="Arial"/>
        </w:rPr>
        <w:t xml:space="preserve">World Bank. 2022. World Development Report 2022: Finance for an Equitable Recovery. </w:t>
      </w:r>
      <w:r w:rsidRPr="000B05CC">
        <w:rPr>
          <w:rFonts w:ascii="Arial" w:hAnsi="Arial" w:cs="Arial"/>
        </w:rPr>
        <w:tab/>
        <w:t>Washington, DC: World Bank.</w:t>
      </w:r>
    </w:p>
    <w:p w14:paraId="494D4530" w14:textId="77777777" w:rsidR="00BD68FE" w:rsidRPr="000B05CC" w:rsidRDefault="00BD68FE" w:rsidP="00B85ED0">
      <w:pPr>
        <w:autoSpaceDE w:val="0"/>
        <w:autoSpaceDN w:val="0"/>
        <w:adjustRightInd w:val="0"/>
        <w:spacing w:after="0" w:line="240" w:lineRule="auto"/>
        <w:jc w:val="both"/>
        <w:rPr>
          <w:rFonts w:ascii="Arial" w:eastAsia="TimesNewRomanPSMT" w:hAnsi="Arial" w:cs="Arial"/>
          <w:kern w:val="0"/>
        </w:rPr>
      </w:pPr>
      <w:proofErr w:type="spellStart"/>
      <w:r w:rsidRPr="000B05CC">
        <w:rPr>
          <w:rFonts w:ascii="Arial" w:hAnsi="Arial" w:cs="Arial"/>
          <w:kern w:val="0"/>
        </w:rPr>
        <w:t>Zhiwei</w:t>
      </w:r>
      <w:proofErr w:type="spellEnd"/>
      <w:r w:rsidRPr="000B05CC">
        <w:rPr>
          <w:rFonts w:ascii="Arial" w:hAnsi="Arial" w:cs="Arial"/>
          <w:kern w:val="0"/>
        </w:rPr>
        <w:t xml:space="preserve">, J. (2023). The Impact of Financial Technology on GDP and Home Prices: Evidence </w:t>
      </w:r>
      <w:r w:rsidRPr="000B05CC">
        <w:rPr>
          <w:rFonts w:ascii="Arial" w:hAnsi="Arial" w:cs="Arial"/>
          <w:kern w:val="0"/>
        </w:rPr>
        <w:tab/>
        <w:t>from China.</w:t>
      </w:r>
      <w:r w:rsidRPr="000B05CC">
        <w:rPr>
          <w:rFonts w:ascii="Arial" w:eastAsia="TimesNewRomanPSMT" w:hAnsi="Arial" w:cs="Arial"/>
          <w:kern w:val="0"/>
        </w:rPr>
        <w:t xml:space="preserve"> BCP Business &amp; Management, 50(23), 116-121.</w:t>
      </w:r>
    </w:p>
    <w:p w14:paraId="1F001330" w14:textId="77777777" w:rsidR="00BD68FE" w:rsidRPr="000B05CC" w:rsidRDefault="00BD68FE" w:rsidP="00B85ED0">
      <w:pPr>
        <w:spacing w:line="240" w:lineRule="auto"/>
        <w:jc w:val="both"/>
        <w:rPr>
          <w:rFonts w:ascii="Arial" w:hAnsi="Arial" w:cs="Arial"/>
        </w:rPr>
      </w:pPr>
    </w:p>
    <w:sectPr w:rsidR="00BD68FE" w:rsidRPr="000B05CC" w:rsidSect="00782F7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1DE1" w14:textId="77777777" w:rsidR="00EA277B" w:rsidRDefault="00EA277B" w:rsidP="00A13888">
      <w:pPr>
        <w:spacing w:after="0" w:line="240" w:lineRule="auto"/>
      </w:pPr>
      <w:r>
        <w:separator/>
      </w:r>
    </w:p>
  </w:endnote>
  <w:endnote w:type="continuationSeparator" w:id="0">
    <w:p w14:paraId="0A9ED3F4" w14:textId="77777777" w:rsidR="00EA277B" w:rsidRDefault="00EA277B" w:rsidP="00A1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2ED1" w14:textId="77777777" w:rsidR="00A13888" w:rsidRDefault="00A13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41CB" w14:textId="77777777" w:rsidR="00A13888" w:rsidRDefault="00A13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A7F1" w14:textId="77777777" w:rsidR="00A13888" w:rsidRDefault="00A1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5F34B" w14:textId="77777777" w:rsidR="00EA277B" w:rsidRDefault="00EA277B" w:rsidP="00A13888">
      <w:pPr>
        <w:spacing w:after="0" w:line="240" w:lineRule="auto"/>
      </w:pPr>
      <w:r>
        <w:separator/>
      </w:r>
    </w:p>
  </w:footnote>
  <w:footnote w:type="continuationSeparator" w:id="0">
    <w:p w14:paraId="213F2AC7" w14:textId="77777777" w:rsidR="00EA277B" w:rsidRDefault="00EA277B" w:rsidP="00A1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1728" w14:textId="6EABE788" w:rsidR="00A13888" w:rsidRDefault="00A13888">
    <w:pPr>
      <w:pStyle w:val="Header"/>
    </w:pPr>
    <w:r>
      <w:rPr>
        <w:noProof/>
      </w:rPr>
      <w:pict w14:anchorId="4DCDE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3104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445F" w14:textId="7686C098" w:rsidR="00A13888" w:rsidRDefault="00A13888">
    <w:pPr>
      <w:pStyle w:val="Header"/>
    </w:pPr>
    <w:r>
      <w:rPr>
        <w:noProof/>
      </w:rPr>
      <w:pict w14:anchorId="7D1DA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3104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8533" w14:textId="157AB9BB" w:rsidR="00A13888" w:rsidRDefault="00A13888">
    <w:pPr>
      <w:pStyle w:val="Header"/>
    </w:pPr>
    <w:r>
      <w:rPr>
        <w:noProof/>
      </w:rPr>
      <w:pict w14:anchorId="07D51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3104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34935"/>
    <w:multiLevelType w:val="hybridMultilevel"/>
    <w:tmpl w:val="E822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CB"/>
    <w:rsid w:val="0003543F"/>
    <w:rsid w:val="00064D7A"/>
    <w:rsid w:val="000806CE"/>
    <w:rsid w:val="00082698"/>
    <w:rsid w:val="00090AED"/>
    <w:rsid w:val="000B05CC"/>
    <w:rsid w:val="000C07FB"/>
    <w:rsid w:val="000C6C93"/>
    <w:rsid w:val="000E43F4"/>
    <w:rsid w:val="000F4BD1"/>
    <w:rsid w:val="001471CF"/>
    <w:rsid w:val="001704A3"/>
    <w:rsid w:val="001779DC"/>
    <w:rsid w:val="001D0EA3"/>
    <w:rsid w:val="001D503B"/>
    <w:rsid w:val="00216158"/>
    <w:rsid w:val="00271545"/>
    <w:rsid w:val="002A6B63"/>
    <w:rsid w:val="002B229E"/>
    <w:rsid w:val="002E0B2B"/>
    <w:rsid w:val="002E5FF5"/>
    <w:rsid w:val="00314FF7"/>
    <w:rsid w:val="00323686"/>
    <w:rsid w:val="00377CB1"/>
    <w:rsid w:val="003C2D2F"/>
    <w:rsid w:val="003D7635"/>
    <w:rsid w:val="00403B67"/>
    <w:rsid w:val="0043101B"/>
    <w:rsid w:val="00435BFF"/>
    <w:rsid w:val="00436629"/>
    <w:rsid w:val="00497C21"/>
    <w:rsid w:val="004A74CC"/>
    <w:rsid w:val="004D2B74"/>
    <w:rsid w:val="004F552F"/>
    <w:rsid w:val="00586986"/>
    <w:rsid w:val="005F5DD5"/>
    <w:rsid w:val="00613973"/>
    <w:rsid w:val="006259B1"/>
    <w:rsid w:val="006269DF"/>
    <w:rsid w:val="0065390F"/>
    <w:rsid w:val="006548CB"/>
    <w:rsid w:val="00655161"/>
    <w:rsid w:val="0069601F"/>
    <w:rsid w:val="006B0B19"/>
    <w:rsid w:val="006B3BB2"/>
    <w:rsid w:val="006C5ED0"/>
    <w:rsid w:val="006C6275"/>
    <w:rsid w:val="007143C8"/>
    <w:rsid w:val="00762E7B"/>
    <w:rsid w:val="00782F72"/>
    <w:rsid w:val="007C5388"/>
    <w:rsid w:val="007D6D49"/>
    <w:rsid w:val="007E6AD4"/>
    <w:rsid w:val="007F04B2"/>
    <w:rsid w:val="00807446"/>
    <w:rsid w:val="00883312"/>
    <w:rsid w:val="00884315"/>
    <w:rsid w:val="008A0211"/>
    <w:rsid w:val="008F15C4"/>
    <w:rsid w:val="00927B93"/>
    <w:rsid w:val="00965561"/>
    <w:rsid w:val="00982563"/>
    <w:rsid w:val="009A2E3D"/>
    <w:rsid w:val="009C5475"/>
    <w:rsid w:val="009E05E4"/>
    <w:rsid w:val="00A13888"/>
    <w:rsid w:val="00A504CE"/>
    <w:rsid w:val="00A52111"/>
    <w:rsid w:val="00A769BA"/>
    <w:rsid w:val="00AA039E"/>
    <w:rsid w:val="00AB5EFE"/>
    <w:rsid w:val="00AC5E9A"/>
    <w:rsid w:val="00B244CA"/>
    <w:rsid w:val="00B53BCF"/>
    <w:rsid w:val="00B751A8"/>
    <w:rsid w:val="00B75D93"/>
    <w:rsid w:val="00B82D3D"/>
    <w:rsid w:val="00B85ED0"/>
    <w:rsid w:val="00B96FAC"/>
    <w:rsid w:val="00B97588"/>
    <w:rsid w:val="00BD3753"/>
    <w:rsid w:val="00BD68FE"/>
    <w:rsid w:val="00C168CB"/>
    <w:rsid w:val="00C57C81"/>
    <w:rsid w:val="00C61ED7"/>
    <w:rsid w:val="00CB0C0B"/>
    <w:rsid w:val="00CB5D41"/>
    <w:rsid w:val="00CD33D4"/>
    <w:rsid w:val="00CF1223"/>
    <w:rsid w:val="00CF4F50"/>
    <w:rsid w:val="00D16548"/>
    <w:rsid w:val="00D61AFE"/>
    <w:rsid w:val="00D62EC9"/>
    <w:rsid w:val="00D83489"/>
    <w:rsid w:val="00D848B3"/>
    <w:rsid w:val="00D86FA6"/>
    <w:rsid w:val="00DE612E"/>
    <w:rsid w:val="00DF6B32"/>
    <w:rsid w:val="00E4781A"/>
    <w:rsid w:val="00E85120"/>
    <w:rsid w:val="00EA277B"/>
    <w:rsid w:val="00F136B8"/>
    <w:rsid w:val="00F31370"/>
    <w:rsid w:val="00F5143E"/>
    <w:rsid w:val="00F54248"/>
    <w:rsid w:val="00F96B08"/>
    <w:rsid w:val="00FF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04770E"/>
  <w15:chartTrackingRefBased/>
  <w15:docId w15:val="{F7D9CB8B-9C07-422D-9637-5845A5F8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8CB"/>
    <w:rPr>
      <w:rFonts w:eastAsiaTheme="majorEastAsia" w:cstheme="majorBidi"/>
      <w:color w:val="272727" w:themeColor="text1" w:themeTint="D8"/>
    </w:rPr>
  </w:style>
  <w:style w:type="paragraph" w:styleId="Title">
    <w:name w:val="Title"/>
    <w:basedOn w:val="Normal"/>
    <w:next w:val="Normal"/>
    <w:link w:val="TitleChar"/>
    <w:uiPriority w:val="10"/>
    <w:qFormat/>
    <w:rsid w:val="00654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8CB"/>
    <w:pPr>
      <w:spacing w:before="160"/>
      <w:jc w:val="center"/>
    </w:pPr>
    <w:rPr>
      <w:i/>
      <w:iCs/>
      <w:color w:val="404040" w:themeColor="text1" w:themeTint="BF"/>
    </w:rPr>
  </w:style>
  <w:style w:type="character" w:customStyle="1" w:styleId="QuoteChar">
    <w:name w:val="Quote Char"/>
    <w:basedOn w:val="DefaultParagraphFont"/>
    <w:link w:val="Quote"/>
    <w:uiPriority w:val="29"/>
    <w:rsid w:val="006548CB"/>
    <w:rPr>
      <w:i/>
      <w:iCs/>
      <w:color w:val="404040" w:themeColor="text1" w:themeTint="BF"/>
    </w:rPr>
  </w:style>
  <w:style w:type="paragraph" w:styleId="ListParagraph">
    <w:name w:val="List Paragraph"/>
    <w:basedOn w:val="Normal"/>
    <w:uiPriority w:val="34"/>
    <w:qFormat/>
    <w:rsid w:val="006548CB"/>
    <w:pPr>
      <w:ind w:left="720"/>
      <w:contextualSpacing/>
    </w:pPr>
  </w:style>
  <w:style w:type="character" w:styleId="IntenseEmphasis">
    <w:name w:val="Intense Emphasis"/>
    <w:basedOn w:val="DefaultParagraphFont"/>
    <w:uiPriority w:val="21"/>
    <w:qFormat/>
    <w:rsid w:val="006548CB"/>
    <w:rPr>
      <w:i/>
      <w:iCs/>
      <w:color w:val="0F4761" w:themeColor="accent1" w:themeShade="BF"/>
    </w:rPr>
  </w:style>
  <w:style w:type="paragraph" w:styleId="IntenseQuote">
    <w:name w:val="Intense Quote"/>
    <w:basedOn w:val="Normal"/>
    <w:next w:val="Normal"/>
    <w:link w:val="IntenseQuoteChar"/>
    <w:uiPriority w:val="30"/>
    <w:qFormat/>
    <w:rsid w:val="00654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8CB"/>
    <w:rPr>
      <w:i/>
      <w:iCs/>
      <w:color w:val="0F4761" w:themeColor="accent1" w:themeShade="BF"/>
    </w:rPr>
  </w:style>
  <w:style w:type="character" w:styleId="IntenseReference">
    <w:name w:val="Intense Reference"/>
    <w:basedOn w:val="DefaultParagraphFont"/>
    <w:uiPriority w:val="32"/>
    <w:qFormat/>
    <w:rsid w:val="006548CB"/>
    <w:rPr>
      <w:b/>
      <w:bCs/>
      <w:smallCaps/>
      <w:color w:val="0F4761" w:themeColor="accent1" w:themeShade="BF"/>
      <w:spacing w:val="5"/>
    </w:rPr>
  </w:style>
  <w:style w:type="table" w:styleId="PlainTable4">
    <w:name w:val="Plain Table 4"/>
    <w:basedOn w:val="TableNormal"/>
    <w:uiPriority w:val="44"/>
    <w:rsid w:val="00762E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76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04CE"/>
    <w:pPr>
      <w:autoSpaceDE w:val="0"/>
      <w:autoSpaceDN w:val="0"/>
      <w:adjustRightInd w:val="0"/>
      <w:spacing w:after="0" w:line="240" w:lineRule="auto"/>
    </w:pPr>
    <w:rPr>
      <w:rFonts w:ascii="Arial" w:hAnsi="Arial" w:cs="Arial"/>
      <w:color w:val="000000"/>
      <w:kern w:val="0"/>
      <w:sz w:val="24"/>
      <w:szCs w:val="24"/>
    </w:rPr>
  </w:style>
  <w:style w:type="table" w:styleId="PlainTable2">
    <w:name w:val="Plain Table 2"/>
    <w:basedOn w:val="TableNormal"/>
    <w:uiPriority w:val="42"/>
    <w:rsid w:val="006960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CD33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CD33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F54248"/>
    <w:pPr>
      <w:spacing w:after="0" w:line="240" w:lineRule="auto"/>
    </w:pPr>
    <w:rPr>
      <w:rFonts w:ascii="Calibri" w:eastAsia="Calibri"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F54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0">
    <w:name w:val="Pa0"/>
    <w:basedOn w:val="Default"/>
    <w:next w:val="Default"/>
    <w:uiPriority w:val="99"/>
    <w:rsid w:val="009E05E4"/>
    <w:pPr>
      <w:spacing w:line="201" w:lineRule="atLeast"/>
    </w:pPr>
    <w:rPr>
      <w:rFonts w:ascii="Garamond" w:hAnsi="Garamond" w:cstheme="minorBidi"/>
      <w:color w:val="auto"/>
    </w:rPr>
  </w:style>
  <w:style w:type="paragraph" w:customStyle="1" w:styleId="Pa9">
    <w:name w:val="Pa9"/>
    <w:basedOn w:val="Default"/>
    <w:next w:val="Default"/>
    <w:uiPriority w:val="99"/>
    <w:rsid w:val="009E05E4"/>
    <w:pPr>
      <w:spacing w:line="201" w:lineRule="atLeast"/>
    </w:pPr>
    <w:rPr>
      <w:rFonts w:ascii="Garamond" w:hAnsi="Garamond" w:cstheme="minorBidi"/>
      <w:color w:val="auto"/>
    </w:rPr>
  </w:style>
  <w:style w:type="character" w:styleId="Hyperlink">
    <w:name w:val="Hyperlink"/>
    <w:basedOn w:val="DefaultParagraphFont"/>
    <w:uiPriority w:val="99"/>
    <w:unhideWhenUsed/>
    <w:rsid w:val="001D503B"/>
    <w:rPr>
      <w:color w:val="0000FF"/>
      <w:u w:val="single"/>
    </w:rPr>
  </w:style>
  <w:style w:type="character" w:customStyle="1" w:styleId="citationsource-journal">
    <w:name w:val="citation_source-journal"/>
    <w:basedOn w:val="DefaultParagraphFont"/>
    <w:rsid w:val="001704A3"/>
  </w:style>
  <w:style w:type="character" w:styleId="UnresolvedMention">
    <w:name w:val="Unresolved Mention"/>
    <w:basedOn w:val="DefaultParagraphFont"/>
    <w:uiPriority w:val="99"/>
    <w:semiHidden/>
    <w:unhideWhenUsed/>
    <w:rsid w:val="008A0211"/>
    <w:rPr>
      <w:color w:val="605E5C"/>
      <w:shd w:val="clear" w:color="auto" w:fill="E1DFDD"/>
    </w:rPr>
  </w:style>
  <w:style w:type="paragraph" w:styleId="Header">
    <w:name w:val="header"/>
    <w:basedOn w:val="Normal"/>
    <w:link w:val="HeaderChar"/>
    <w:uiPriority w:val="99"/>
    <w:unhideWhenUsed/>
    <w:rsid w:val="00A13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888"/>
  </w:style>
  <w:style w:type="paragraph" w:styleId="Footer">
    <w:name w:val="footer"/>
    <w:basedOn w:val="Normal"/>
    <w:link w:val="FooterChar"/>
    <w:uiPriority w:val="99"/>
    <w:unhideWhenUsed/>
    <w:rsid w:val="00A13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 TargetMode="External"/><Relationship Id="rId26" Type="http://schemas.openxmlformats.org/officeDocument/2006/relationships/hyperlink" Target="https://www.emerald.com/insight/publication/issn/2218-0648" TargetMode="External"/><Relationship Id="rId3" Type="http://schemas.openxmlformats.org/officeDocument/2006/relationships/styles" Target="styles.xml"/><Relationship Id="rId21" Type="http://schemas.openxmlformats.org/officeDocument/2006/relationships/hyperlink" Target="https://doi.org/10.1016/j.telpol.2016.01.00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 TargetMode="External"/><Relationship Id="rId25" Type="http://schemas.openxmlformats.org/officeDocument/2006/relationships/hyperlink" Target="https://www.emerald.com/insight/search?q=Lotfi%20Trabelsi" TargetMode="External"/><Relationship Id="rId2" Type="http://schemas.openxmlformats.org/officeDocument/2006/relationships/numbering" Target="numbering.xml"/><Relationship Id="rId16" Type="http://schemas.openxmlformats.org/officeDocument/2006/relationships/hyperlink" Target="https://doi.org/10.1007/s11846-020-00435-8" TargetMode="External"/><Relationship Id="rId20" Type="http://schemas.openxmlformats.org/officeDocument/2006/relationships/hyperlink" Target="https://doi.org/10.1080/0960310070147727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merald.com/insight/search?q=Mourad%20Mroua" TargetMode="External"/><Relationship Id="rId5" Type="http://schemas.openxmlformats.org/officeDocument/2006/relationships/webSettings" Target="webSettings.xml"/><Relationship Id="rId15" Type="http://schemas.openxmlformats.org/officeDocument/2006/relationships/hyperlink" Target="https://ideas.repec.org/s/spr/rvmgts.html" TargetMode="External"/><Relationship Id="rId23" Type="http://schemas.openxmlformats.org/officeDocument/2006/relationships/hyperlink" Target="https://doi.org/10.24294/jipd.v8i4.3410" TargetMode="External"/><Relationship Id="rId28" Type="http://schemas.openxmlformats.org/officeDocument/2006/relationships/hyperlink" Target="https://doi.org/10.1016/j.ijepes.2015.11.005" TargetMode="External"/><Relationship Id="rId10" Type="http://schemas.openxmlformats.org/officeDocument/2006/relationships/footer" Target="footer1.xml"/><Relationship Id="rId19" Type="http://schemas.openxmlformats.org/officeDocument/2006/relationships/hyperlink" Target="https://doi.org/10.1086/4502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deas.repec.org/a/spr/rvmgts/v16y2022i1d10.1007_s11846-020-00435-8.html" TargetMode="External"/><Relationship Id="rId22" Type="http://schemas.openxmlformats.org/officeDocument/2006/relationships/hyperlink" Target="https://doi.org/10.1186/s40854-021-00285-7" TargetMode="External"/><Relationship Id="rId27" Type="http://schemas.openxmlformats.org/officeDocument/2006/relationships/hyperlink" Target="https://doi.org/10.1108/JEFAS-04-2019-005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2766-E585-43B4-BB99-ADBFD2EB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16240</TotalTime>
  <Pages>8</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Eleje</dc:creator>
  <cp:keywords/>
  <dc:description/>
  <cp:lastModifiedBy>SDI 1167</cp:lastModifiedBy>
  <cp:revision>50</cp:revision>
  <dcterms:created xsi:type="dcterms:W3CDTF">2024-12-20T23:05:00Z</dcterms:created>
  <dcterms:modified xsi:type="dcterms:W3CDTF">2025-02-11T10:50:00Z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e6ef7d63-7d7c-44f7-8e42-ba0c394ce3ab</vt:lpwstr>
  </property>
</Properties>
</file>