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5CB5" w14:textId="77777777" w:rsidR="00122B84" w:rsidRPr="00BA48BC" w:rsidRDefault="00122B84" w:rsidP="00122B84">
      <w:pPr>
        <w:jc w:val="center"/>
        <w:rPr>
          <w:rFonts w:ascii="Times New Roman" w:hAnsi="Times New Roman" w:cs="Times New Roman"/>
          <w:b/>
          <w:sz w:val="24"/>
          <w:szCs w:val="24"/>
        </w:rPr>
      </w:pPr>
      <w:r w:rsidRPr="00BA48BC">
        <w:rPr>
          <w:rFonts w:ascii="Times New Roman" w:hAnsi="Times New Roman" w:cs="Times New Roman"/>
          <w:b/>
          <w:sz w:val="24"/>
          <w:szCs w:val="24"/>
        </w:rPr>
        <w:t>Customer satisfaction towards the Farmer Producer Companies’ products/ services in Telangana and Andhra Pradesh, India</w:t>
      </w:r>
    </w:p>
    <w:p w14:paraId="2674C7D8" w14:textId="77777777" w:rsidR="004C6381" w:rsidRDefault="004C6381" w:rsidP="00761E7B">
      <w:pPr>
        <w:jc w:val="center"/>
        <w:rPr>
          <w:rFonts w:ascii="Times New Roman" w:hAnsi="Times New Roman" w:cs="Times New Roman"/>
          <w:b/>
          <w:sz w:val="24"/>
          <w:szCs w:val="24"/>
        </w:rPr>
      </w:pPr>
    </w:p>
    <w:p w14:paraId="0D49DABC" w14:textId="77777777" w:rsidR="004C6381" w:rsidRDefault="004C6381" w:rsidP="00761E7B">
      <w:pPr>
        <w:jc w:val="center"/>
        <w:rPr>
          <w:rFonts w:ascii="Times New Roman" w:hAnsi="Times New Roman" w:cs="Times New Roman"/>
          <w:b/>
          <w:sz w:val="24"/>
          <w:szCs w:val="24"/>
        </w:rPr>
      </w:pPr>
    </w:p>
    <w:p w14:paraId="4BE71E82" w14:textId="692360EA" w:rsidR="00761E7B" w:rsidRPr="00BA48BC" w:rsidRDefault="00DB163C" w:rsidP="00761E7B">
      <w:pPr>
        <w:jc w:val="center"/>
        <w:rPr>
          <w:rFonts w:ascii="Times New Roman" w:hAnsi="Times New Roman" w:cs="Times New Roman"/>
          <w:b/>
          <w:sz w:val="24"/>
          <w:szCs w:val="24"/>
        </w:rPr>
      </w:pPr>
      <w:r w:rsidRPr="00BA48BC">
        <w:rPr>
          <w:rFonts w:ascii="Times New Roman" w:hAnsi="Times New Roman" w:cs="Times New Roman"/>
          <w:b/>
          <w:sz w:val="24"/>
          <w:szCs w:val="24"/>
        </w:rPr>
        <w:t>ABSTRACT</w:t>
      </w:r>
    </w:p>
    <w:p w14:paraId="7C8A4840" w14:textId="77777777" w:rsidR="00464B43" w:rsidRPr="00BA48BC" w:rsidRDefault="00220446" w:rsidP="0018005F">
      <w:pPr>
        <w:ind w:firstLine="720"/>
        <w:rPr>
          <w:rFonts w:ascii="Times New Roman" w:hAnsi="Times New Roman" w:cs="Times New Roman"/>
          <w:sz w:val="24"/>
        </w:rPr>
      </w:pPr>
      <w:r w:rsidRPr="00BA48BC">
        <w:rPr>
          <w:rFonts w:ascii="Times New Roman" w:hAnsi="Times New Roman" w:cs="Times New Roman"/>
          <w:sz w:val="24"/>
          <w:szCs w:val="24"/>
        </w:rPr>
        <w:t>The present study assess</w:t>
      </w:r>
      <w:r w:rsidR="000D2E51" w:rsidRPr="00BA48BC">
        <w:rPr>
          <w:rFonts w:ascii="Times New Roman" w:hAnsi="Times New Roman" w:cs="Times New Roman"/>
          <w:sz w:val="24"/>
          <w:szCs w:val="24"/>
        </w:rPr>
        <w:t>ed</w:t>
      </w:r>
      <w:r w:rsidRPr="00BA48BC">
        <w:rPr>
          <w:rFonts w:ascii="Times New Roman" w:hAnsi="Times New Roman" w:cs="Times New Roman"/>
          <w:sz w:val="24"/>
          <w:szCs w:val="24"/>
        </w:rPr>
        <w:t xml:space="preserve"> the customer satisfaction towards the products and services of Farmer Producer Companies (FPCs)</w:t>
      </w:r>
      <w:r w:rsidR="00E23ADF" w:rsidRPr="00BA48BC">
        <w:rPr>
          <w:rFonts w:ascii="Times New Roman" w:hAnsi="Times New Roman" w:cs="Times New Roman"/>
          <w:sz w:val="24"/>
          <w:szCs w:val="24"/>
        </w:rPr>
        <w:t xml:space="preserve"> in the states of Telangana and Andhra Pradesh, India</w:t>
      </w:r>
      <w:r w:rsidRPr="00BA48BC">
        <w:rPr>
          <w:rFonts w:ascii="Times New Roman" w:hAnsi="Times New Roman" w:cs="Times New Roman"/>
          <w:sz w:val="24"/>
          <w:szCs w:val="24"/>
        </w:rPr>
        <w:t xml:space="preserve">. </w:t>
      </w:r>
      <w:r w:rsidR="00464B43" w:rsidRPr="00BA48BC">
        <w:rPr>
          <w:rFonts w:ascii="Times New Roman" w:hAnsi="Times New Roman" w:cs="Times New Roman"/>
          <w:sz w:val="24"/>
          <w:szCs w:val="24"/>
        </w:rPr>
        <w:t xml:space="preserve">A total of 8 FPCs were selected purposively from </w:t>
      </w:r>
      <w:r w:rsidR="0064439C" w:rsidRPr="00BA48BC">
        <w:rPr>
          <w:rFonts w:ascii="Times New Roman" w:hAnsi="Times New Roman" w:cs="Times New Roman"/>
          <w:sz w:val="24"/>
          <w:szCs w:val="24"/>
        </w:rPr>
        <w:t>both crop (4</w:t>
      </w:r>
      <w:r w:rsidR="00225ADC" w:rsidRPr="00BA48BC">
        <w:rPr>
          <w:rFonts w:ascii="Times New Roman" w:hAnsi="Times New Roman" w:cs="Times New Roman"/>
          <w:sz w:val="24"/>
          <w:szCs w:val="24"/>
        </w:rPr>
        <w:t xml:space="preserve"> nos.</w:t>
      </w:r>
      <w:r w:rsidR="0064439C" w:rsidRPr="00BA48BC">
        <w:rPr>
          <w:rFonts w:ascii="Times New Roman" w:hAnsi="Times New Roman" w:cs="Times New Roman"/>
          <w:sz w:val="24"/>
          <w:szCs w:val="24"/>
        </w:rPr>
        <w:t xml:space="preserve">) and dairy sectors (4 </w:t>
      </w:r>
      <w:r w:rsidR="00225ADC" w:rsidRPr="00BA48BC">
        <w:rPr>
          <w:rFonts w:ascii="Times New Roman" w:hAnsi="Times New Roman" w:cs="Times New Roman"/>
          <w:sz w:val="24"/>
          <w:szCs w:val="24"/>
        </w:rPr>
        <w:t>nos.</w:t>
      </w:r>
      <w:r w:rsidR="0064439C" w:rsidRPr="00BA48BC">
        <w:rPr>
          <w:rFonts w:ascii="Times New Roman" w:hAnsi="Times New Roman" w:cs="Times New Roman"/>
          <w:sz w:val="24"/>
          <w:szCs w:val="24"/>
        </w:rPr>
        <w:t xml:space="preserve">) of </w:t>
      </w:r>
      <w:r w:rsidR="00AE27D5" w:rsidRPr="00BA48BC">
        <w:rPr>
          <w:rFonts w:ascii="Times New Roman" w:hAnsi="Times New Roman" w:cs="Times New Roman"/>
          <w:sz w:val="24"/>
          <w:szCs w:val="24"/>
        </w:rPr>
        <w:t>both the</w:t>
      </w:r>
      <w:r w:rsidR="0064439C" w:rsidRPr="00BA48BC">
        <w:rPr>
          <w:rFonts w:ascii="Times New Roman" w:hAnsi="Times New Roman" w:cs="Times New Roman"/>
          <w:sz w:val="24"/>
          <w:szCs w:val="24"/>
        </w:rPr>
        <w:t xml:space="preserve"> states.</w:t>
      </w:r>
      <w:r w:rsidR="006513EC" w:rsidRPr="00BA48BC">
        <w:rPr>
          <w:rFonts w:ascii="Times New Roman" w:hAnsi="Times New Roman" w:cs="Times New Roman"/>
          <w:sz w:val="24"/>
          <w:szCs w:val="24"/>
        </w:rPr>
        <w:t xml:space="preserve"> </w:t>
      </w:r>
      <w:r w:rsidR="007456F8" w:rsidRPr="00BA48BC">
        <w:rPr>
          <w:rFonts w:ascii="Times New Roman" w:hAnsi="Times New Roman" w:cs="Times New Roman"/>
          <w:sz w:val="24"/>
          <w:szCs w:val="24"/>
        </w:rPr>
        <w:t xml:space="preserve">A customer satisfaction index was developed using SERVQUAL framework for the </w:t>
      </w:r>
      <w:r w:rsidR="003B17B7" w:rsidRPr="00BA48BC">
        <w:rPr>
          <w:rFonts w:ascii="Times New Roman" w:hAnsi="Times New Roman" w:cs="Times New Roman"/>
          <w:sz w:val="24"/>
          <w:szCs w:val="24"/>
        </w:rPr>
        <w:t>present study</w:t>
      </w:r>
      <w:r w:rsidR="006B6FFD" w:rsidRPr="00BA48BC">
        <w:rPr>
          <w:rFonts w:ascii="Times New Roman" w:hAnsi="Times New Roman" w:cs="Times New Roman"/>
          <w:sz w:val="24"/>
          <w:szCs w:val="24"/>
        </w:rPr>
        <w:t>. D</w:t>
      </w:r>
      <w:r w:rsidR="007456F8" w:rsidRPr="00BA48BC">
        <w:rPr>
          <w:rFonts w:ascii="Times New Roman" w:hAnsi="Times New Roman" w:cs="Times New Roman"/>
          <w:sz w:val="24"/>
          <w:szCs w:val="24"/>
        </w:rPr>
        <w:t xml:space="preserve">ata were collected using structured interview schedule </w:t>
      </w:r>
      <w:r w:rsidR="003B17B7" w:rsidRPr="00BA48BC">
        <w:rPr>
          <w:rFonts w:ascii="Times New Roman" w:hAnsi="Times New Roman" w:cs="Times New Roman"/>
          <w:sz w:val="24"/>
          <w:szCs w:val="24"/>
        </w:rPr>
        <w:t xml:space="preserve">from a </w:t>
      </w:r>
      <w:r w:rsidR="007456F8" w:rsidRPr="00BA48BC">
        <w:rPr>
          <w:rFonts w:ascii="Times New Roman" w:hAnsi="Times New Roman" w:cs="Times New Roman"/>
          <w:sz w:val="24"/>
          <w:szCs w:val="24"/>
        </w:rPr>
        <w:t xml:space="preserve">total </w:t>
      </w:r>
      <w:r w:rsidR="006513EC" w:rsidRPr="00BA48BC">
        <w:rPr>
          <w:rFonts w:ascii="Times New Roman" w:hAnsi="Times New Roman" w:cs="Times New Roman"/>
          <w:sz w:val="24"/>
          <w:szCs w:val="24"/>
        </w:rPr>
        <w:t xml:space="preserve">sample of </w:t>
      </w:r>
      <w:r w:rsidR="007456F8" w:rsidRPr="00BA48BC">
        <w:rPr>
          <w:rFonts w:ascii="Times New Roman" w:hAnsi="Times New Roman" w:cs="Times New Roman"/>
          <w:sz w:val="24"/>
          <w:szCs w:val="24"/>
        </w:rPr>
        <w:t>160</w:t>
      </w:r>
      <w:r w:rsidR="006513EC" w:rsidRPr="00BA48BC">
        <w:rPr>
          <w:rFonts w:ascii="Times New Roman" w:hAnsi="Times New Roman" w:cs="Times New Roman"/>
          <w:sz w:val="24"/>
          <w:szCs w:val="24"/>
        </w:rPr>
        <w:t xml:space="preserve"> customers</w:t>
      </w:r>
      <w:r w:rsidR="00FA7019" w:rsidRPr="00BA48BC">
        <w:rPr>
          <w:rFonts w:ascii="Times New Roman" w:hAnsi="Times New Roman" w:cs="Times New Roman"/>
          <w:sz w:val="24"/>
          <w:szCs w:val="24"/>
        </w:rPr>
        <w:t xml:space="preserve"> associated with direct purchase from </w:t>
      </w:r>
      <w:r w:rsidR="00A0597D" w:rsidRPr="00BA48BC">
        <w:rPr>
          <w:rFonts w:ascii="Times New Roman" w:hAnsi="Times New Roman" w:cs="Times New Roman"/>
          <w:sz w:val="24"/>
          <w:szCs w:val="24"/>
        </w:rPr>
        <w:t xml:space="preserve">the </w:t>
      </w:r>
      <w:r w:rsidR="00FA7019" w:rsidRPr="00BA48BC">
        <w:rPr>
          <w:rFonts w:ascii="Times New Roman" w:hAnsi="Times New Roman" w:cs="Times New Roman"/>
          <w:sz w:val="24"/>
          <w:szCs w:val="24"/>
        </w:rPr>
        <w:t>FPCs</w:t>
      </w:r>
      <w:r w:rsidR="003B17B7" w:rsidRPr="00BA48BC">
        <w:rPr>
          <w:rFonts w:ascii="Times New Roman" w:hAnsi="Times New Roman" w:cs="Times New Roman"/>
          <w:sz w:val="24"/>
          <w:szCs w:val="24"/>
        </w:rPr>
        <w:t>.</w:t>
      </w:r>
      <w:r w:rsidR="00140FC0" w:rsidRPr="00BA48BC">
        <w:rPr>
          <w:rFonts w:ascii="Times New Roman" w:hAnsi="Times New Roman" w:cs="Times New Roman"/>
          <w:sz w:val="24"/>
          <w:szCs w:val="24"/>
        </w:rPr>
        <w:t xml:space="preserve"> </w:t>
      </w:r>
      <w:r w:rsidR="00A0597D" w:rsidRPr="00BA48BC">
        <w:rPr>
          <w:rFonts w:ascii="Times New Roman" w:hAnsi="Times New Roman" w:cs="Times New Roman"/>
          <w:sz w:val="24"/>
          <w:szCs w:val="24"/>
        </w:rPr>
        <w:t>F</w:t>
      </w:r>
      <w:r w:rsidR="00140FC0" w:rsidRPr="00BA48BC">
        <w:rPr>
          <w:rFonts w:ascii="Times New Roman" w:hAnsi="Times New Roman" w:cs="Times New Roman"/>
          <w:sz w:val="24"/>
          <w:szCs w:val="24"/>
        </w:rPr>
        <w:t>indings of the study revealed that</w:t>
      </w:r>
      <w:r w:rsidR="00DF275A" w:rsidRPr="00BA48BC">
        <w:rPr>
          <w:rFonts w:ascii="Times New Roman" w:hAnsi="Times New Roman" w:cs="Times New Roman"/>
          <w:sz w:val="24"/>
          <w:szCs w:val="24"/>
        </w:rPr>
        <w:t>, among the crop sector FPCs, APOFPCL obtained highest mean scores for the components</w:t>
      </w:r>
      <w:r w:rsidR="00A0597D" w:rsidRPr="00BA48BC">
        <w:rPr>
          <w:rFonts w:ascii="Times New Roman" w:hAnsi="Times New Roman" w:cs="Times New Roman"/>
          <w:sz w:val="24"/>
          <w:szCs w:val="24"/>
        </w:rPr>
        <w:t>-</w:t>
      </w:r>
      <w:r w:rsidR="00DF275A" w:rsidRPr="00BA48BC">
        <w:rPr>
          <w:rFonts w:ascii="Times New Roman" w:hAnsi="Times New Roman" w:cs="Times New Roman"/>
          <w:sz w:val="24"/>
          <w:szCs w:val="24"/>
        </w:rPr>
        <w:t xml:space="preserve"> reliability, responsiveness and empathy</w:t>
      </w:r>
      <w:r w:rsidR="00A0597D" w:rsidRPr="00BA48BC">
        <w:rPr>
          <w:rFonts w:ascii="Times New Roman" w:hAnsi="Times New Roman" w:cs="Times New Roman"/>
          <w:sz w:val="24"/>
          <w:szCs w:val="24"/>
        </w:rPr>
        <w:t>,</w:t>
      </w:r>
      <w:r w:rsidR="00DF275A" w:rsidRPr="00BA48BC">
        <w:rPr>
          <w:rFonts w:ascii="Times New Roman" w:hAnsi="Times New Roman" w:cs="Times New Roman"/>
          <w:sz w:val="24"/>
          <w:szCs w:val="24"/>
        </w:rPr>
        <w:t xml:space="preserve"> while IFPCL scored highest </w:t>
      </w:r>
      <w:r w:rsidR="00A0597D" w:rsidRPr="00BA48BC">
        <w:rPr>
          <w:rFonts w:ascii="Times New Roman" w:hAnsi="Times New Roman" w:cs="Times New Roman"/>
          <w:sz w:val="24"/>
          <w:szCs w:val="24"/>
        </w:rPr>
        <w:t>on</w:t>
      </w:r>
      <w:r w:rsidR="00DF275A" w:rsidRPr="00BA48BC">
        <w:rPr>
          <w:rFonts w:ascii="Times New Roman" w:hAnsi="Times New Roman" w:cs="Times New Roman"/>
          <w:sz w:val="24"/>
          <w:szCs w:val="24"/>
        </w:rPr>
        <w:t xml:space="preserve"> tangibles and assurance components. </w:t>
      </w:r>
      <w:r w:rsidR="005B7E9F" w:rsidRPr="00BA48BC">
        <w:rPr>
          <w:rFonts w:ascii="Times New Roman" w:hAnsi="Times New Roman" w:cs="Times New Roman"/>
          <w:sz w:val="24"/>
          <w:szCs w:val="24"/>
        </w:rPr>
        <w:t xml:space="preserve">Conversely, </w:t>
      </w:r>
      <w:r w:rsidR="005B7E9F" w:rsidRPr="00BA48BC">
        <w:rPr>
          <w:rFonts w:ascii="Times New Roman" w:hAnsi="Times New Roman" w:cs="Times New Roman"/>
          <w:sz w:val="24"/>
        </w:rPr>
        <w:t>SMMPCL outperformed other dairy FPCs scoring highest mean scores on majority of the components</w:t>
      </w:r>
      <w:r w:rsidR="00675105" w:rsidRPr="00BA48BC">
        <w:rPr>
          <w:rFonts w:ascii="Times New Roman" w:hAnsi="Times New Roman" w:cs="Times New Roman"/>
          <w:sz w:val="24"/>
        </w:rPr>
        <w:t xml:space="preserve"> due to better customer engagement practices, quality control, brand value and trust</w:t>
      </w:r>
      <w:r w:rsidR="005B7E9F" w:rsidRPr="00BA48BC">
        <w:rPr>
          <w:rFonts w:ascii="Times New Roman" w:hAnsi="Times New Roman" w:cs="Times New Roman"/>
          <w:sz w:val="24"/>
        </w:rPr>
        <w:t xml:space="preserve">. </w:t>
      </w:r>
      <w:r w:rsidR="00A0597D" w:rsidRPr="00BA48BC">
        <w:rPr>
          <w:rFonts w:ascii="Times New Roman" w:hAnsi="Times New Roman" w:cs="Times New Roman"/>
          <w:sz w:val="24"/>
        </w:rPr>
        <w:t>While s</w:t>
      </w:r>
      <w:r w:rsidR="00BF64E2" w:rsidRPr="00BA48BC">
        <w:rPr>
          <w:rFonts w:ascii="Times New Roman" w:hAnsi="Times New Roman" w:cs="Times New Roman"/>
          <w:sz w:val="24"/>
        </w:rPr>
        <w:t>ignificant difference in the customer satisfaction levels were observed among the crop sector FPCs</w:t>
      </w:r>
      <w:r w:rsidR="00A0597D" w:rsidRPr="00BA48BC">
        <w:rPr>
          <w:rFonts w:ascii="Times New Roman" w:hAnsi="Times New Roman" w:cs="Times New Roman"/>
          <w:sz w:val="24"/>
        </w:rPr>
        <w:t>,</w:t>
      </w:r>
      <w:r w:rsidR="00BF64E2" w:rsidRPr="00BA48BC">
        <w:rPr>
          <w:rFonts w:ascii="Times New Roman" w:hAnsi="Times New Roman" w:cs="Times New Roman"/>
          <w:sz w:val="24"/>
        </w:rPr>
        <w:t xml:space="preserve"> no </w:t>
      </w:r>
      <w:r w:rsidR="00A0597D" w:rsidRPr="00BA48BC">
        <w:rPr>
          <w:rFonts w:ascii="Times New Roman" w:hAnsi="Times New Roman" w:cs="Times New Roman"/>
          <w:sz w:val="24"/>
        </w:rPr>
        <w:t xml:space="preserve">such </w:t>
      </w:r>
      <w:r w:rsidR="00BF64E2" w:rsidRPr="00BA48BC">
        <w:rPr>
          <w:rFonts w:ascii="Times New Roman" w:hAnsi="Times New Roman" w:cs="Times New Roman"/>
          <w:sz w:val="24"/>
        </w:rPr>
        <w:t xml:space="preserve">significant </w:t>
      </w:r>
      <w:r w:rsidR="00A0597D" w:rsidRPr="00BA48BC">
        <w:rPr>
          <w:rFonts w:ascii="Times New Roman" w:hAnsi="Times New Roman" w:cs="Times New Roman"/>
          <w:sz w:val="24"/>
        </w:rPr>
        <w:t>variations</w:t>
      </w:r>
      <w:r w:rsidR="00BF64E2" w:rsidRPr="00BA48BC">
        <w:rPr>
          <w:rFonts w:ascii="Times New Roman" w:hAnsi="Times New Roman" w:cs="Times New Roman"/>
          <w:sz w:val="24"/>
        </w:rPr>
        <w:t xml:space="preserve"> was observed among the dairy FPCs. The overall customer satisfaction towards the crop sector FPC products/ services was </w:t>
      </w:r>
      <w:r w:rsidR="001F423F" w:rsidRPr="00BA48BC">
        <w:rPr>
          <w:rFonts w:ascii="Times New Roman" w:hAnsi="Times New Roman" w:cs="Times New Roman"/>
          <w:sz w:val="24"/>
        </w:rPr>
        <w:t xml:space="preserve">majorly </w:t>
      </w:r>
      <w:r w:rsidR="00BF64E2" w:rsidRPr="00BA48BC">
        <w:rPr>
          <w:rFonts w:ascii="Times New Roman" w:hAnsi="Times New Roman" w:cs="Times New Roman"/>
          <w:sz w:val="24"/>
        </w:rPr>
        <w:t xml:space="preserve">low </w:t>
      </w:r>
      <w:r w:rsidR="001F423F" w:rsidRPr="00BA48BC">
        <w:rPr>
          <w:rFonts w:ascii="Times New Roman" w:hAnsi="Times New Roman" w:cs="Times New Roman"/>
          <w:sz w:val="24"/>
        </w:rPr>
        <w:t xml:space="preserve">(55.00 %) </w:t>
      </w:r>
      <w:r w:rsidR="00BF64E2" w:rsidRPr="00BA48BC">
        <w:rPr>
          <w:rFonts w:ascii="Times New Roman" w:hAnsi="Times New Roman" w:cs="Times New Roman"/>
          <w:sz w:val="24"/>
        </w:rPr>
        <w:t xml:space="preserve">followed by medium level (33.75 %). In contrast, more than three-fourth of the customers expressed medium level of satisfaction towards the products/ services of the dairy FPCs. The findings highlight the need for enhanced focus on </w:t>
      </w:r>
      <w:r w:rsidR="00D37961" w:rsidRPr="00BA48BC">
        <w:rPr>
          <w:rFonts w:ascii="Times New Roman" w:hAnsi="Times New Roman" w:cs="Times New Roman"/>
          <w:sz w:val="24"/>
        </w:rPr>
        <w:t xml:space="preserve">weak areas, especially by </w:t>
      </w:r>
      <w:r w:rsidR="00BF64E2" w:rsidRPr="00BA48BC">
        <w:rPr>
          <w:rFonts w:ascii="Times New Roman" w:hAnsi="Times New Roman" w:cs="Times New Roman"/>
          <w:sz w:val="24"/>
        </w:rPr>
        <w:t xml:space="preserve">crop sector FPCs </w:t>
      </w:r>
      <w:r w:rsidR="00D37961" w:rsidRPr="00BA48BC">
        <w:rPr>
          <w:rFonts w:ascii="Times New Roman" w:hAnsi="Times New Roman" w:cs="Times New Roman"/>
          <w:sz w:val="24"/>
        </w:rPr>
        <w:t xml:space="preserve">to strategically </w:t>
      </w:r>
      <w:r w:rsidR="005E6A4D" w:rsidRPr="00BA48BC">
        <w:rPr>
          <w:rFonts w:ascii="Times New Roman" w:hAnsi="Times New Roman" w:cs="Times New Roman"/>
          <w:sz w:val="24"/>
        </w:rPr>
        <w:t>improve</w:t>
      </w:r>
      <w:r w:rsidR="00D37961" w:rsidRPr="00BA48BC">
        <w:rPr>
          <w:rFonts w:ascii="Times New Roman" w:hAnsi="Times New Roman" w:cs="Times New Roman"/>
          <w:sz w:val="24"/>
        </w:rPr>
        <w:t xml:space="preserve"> the customer satisfaction through reliability in quality, steady supply, market research and after-sales support.</w:t>
      </w:r>
    </w:p>
    <w:p w14:paraId="6002B616" w14:textId="77777777" w:rsidR="00544057" w:rsidRPr="00BA48BC" w:rsidRDefault="00544057" w:rsidP="00544057">
      <w:pPr>
        <w:rPr>
          <w:rFonts w:ascii="Times New Roman" w:hAnsi="Times New Roman" w:cs="Times New Roman"/>
          <w:sz w:val="24"/>
          <w:szCs w:val="24"/>
        </w:rPr>
      </w:pPr>
      <w:r w:rsidRPr="00BA48BC">
        <w:rPr>
          <w:rFonts w:ascii="Times New Roman" w:hAnsi="Times New Roman" w:cs="Times New Roman"/>
          <w:b/>
          <w:sz w:val="24"/>
          <w:szCs w:val="24"/>
        </w:rPr>
        <w:t xml:space="preserve">Key words: </w:t>
      </w:r>
      <w:r w:rsidRPr="00BA48BC">
        <w:rPr>
          <w:rFonts w:ascii="Times New Roman" w:hAnsi="Times New Roman" w:cs="Times New Roman"/>
          <w:sz w:val="24"/>
          <w:szCs w:val="24"/>
        </w:rPr>
        <w:t xml:space="preserve">Farmer Producer Companies, Farmer Producer </w:t>
      </w:r>
      <w:proofErr w:type="spellStart"/>
      <w:r w:rsidRPr="00BA48BC">
        <w:rPr>
          <w:rFonts w:ascii="Times New Roman" w:hAnsi="Times New Roman" w:cs="Times New Roman"/>
          <w:sz w:val="24"/>
          <w:szCs w:val="24"/>
        </w:rPr>
        <w:t>Organisations</w:t>
      </w:r>
      <w:proofErr w:type="spellEnd"/>
      <w:r w:rsidRPr="00BA48BC">
        <w:rPr>
          <w:rFonts w:ascii="Times New Roman" w:hAnsi="Times New Roman" w:cs="Times New Roman"/>
          <w:sz w:val="24"/>
          <w:szCs w:val="24"/>
        </w:rPr>
        <w:t>, Customer Satisfaction,</w:t>
      </w:r>
      <w:r w:rsidR="00B86E4A" w:rsidRPr="00BA48BC">
        <w:rPr>
          <w:rFonts w:ascii="Times New Roman" w:hAnsi="Times New Roman" w:cs="Times New Roman"/>
          <w:sz w:val="24"/>
          <w:szCs w:val="24"/>
        </w:rPr>
        <w:t xml:space="preserve"> Index, </w:t>
      </w:r>
      <w:r w:rsidR="00735496" w:rsidRPr="00BA48BC">
        <w:rPr>
          <w:rFonts w:ascii="Times New Roman" w:hAnsi="Times New Roman" w:cs="Times New Roman"/>
          <w:sz w:val="24"/>
          <w:szCs w:val="24"/>
        </w:rPr>
        <w:t xml:space="preserve">SERVQUAL, </w:t>
      </w:r>
      <w:r w:rsidR="00B86E4A" w:rsidRPr="00BA48BC">
        <w:rPr>
          <w:rFonts w:ascii="Times New Roman" w:hAnsi="Times New Roman" w:cs="Times New Roman"/>
          <w:sz w:val="24"/>
          <w:szCs w:val="24"/>
        </w:rPr>
        <w:t>Shreeja Milk Producer Compan</w:t>
      </w:r>
      <w:r w:rsidR="00735496" w:rsidRPr="00BA48BC">
        <w:rPr>
          <w:rFonts w:ascii="Times New Roman" w:hAnsi="Times New Roman" w:cs="Times New Roman"/>
          <w:sz w:val="24"/>
          <w:szCs w:val="24"/>
        </w:rPr>
        <w:t>y</w:t>
      </w:r>
    </w:p>
    <w:p w14:paraId="63104720" w14:textId="77777777" w:rsidR="00761E7B" w:rsidRPr="00BA48BC" w:rsidRDefault="00C36D71"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INTRODUCTION</w:t>
      </w:r>
    </w:p>
    <w:p w14:paraId="02858E5D" w14:textId="77777777" w:rsidR="00025CFD" w:rsidRPr="00BA48BC" w:rsidRDefault="00025CFD" w:rsidP="00025CFD">
      <w:pPr>
        <w:tabs>
          <w:tab w:val="left" w:pos="720"/>
        </w:tabs>
        <w:rPr>
          <w:rFonts w:ascii="Times New Roman" w:hAnsi="Times New Roman" w:cs="Times New Roman"/>
          <w:sz w:val="24"/>
          <w:szCs w:val="24"/>
        </w:rPr>
      </w:pPr>
      <w:r w:rsidRPr="00BA48BC">
        <w:rPr>
          <w:rFonts w:ascii="Times New Roman" w:hAnsi="Times New Roman" w:cs="Times New Roman"/>
          <w:sz w:val="24"/>
          <w:szCs w:val="24"/>
        </w:rPr>
        <w:t>Agriculture and allied sectors form the backbone of the Indian economy, serving as vital sources of raw materials for industries while simultaneously generating demand for agricultural implements, chemicals, fertilizers, and a range of consumer goods (</w:t>
      </w:r>
      <w:r w:rsidRPr="00BA48BC">
        <w:rPr>
          <w:rFonts w:ascii="Times New Roman" w:hAnsi="Times New Roman" w:cs="Times New Roman"/>
          <w:color w:val="0070C0"/>
          <w:sz w:val="24"/>
          <w:szCs w:val="24"/>
        </w:rPr>
        <w:t>Bairwa et al. 2014</w:t>
      </w:r>
      <w:r w:rsidRPr="00BA48BC">
        <w:rPr>
          <w:rFonts w:ascii="Times New Roman" w:hAnsi="Times New Roman" w:cs="Times New Roman"/>
          <w:sz w:val="24"/>
          <w:szCs w:val="24"/>
        </w:rPr>
        <w:t>)</w:t>
      </w:r>
      <w:r w:rsidR="00436A50" w:rsidRPr="00BA48BC">
        <w:rPr>
          <w:rFonts w:ascii="Times New Roman" w:hAnsi="Times New Roman" w:cs="Times New Roman"/>
          <w:sz w:val="24"/>
          <w:szCs w:val="24"/>
          <w:vertAlign w:val="superscript"/>
        </w:rPr>
        <w:t>1</w:t>
      </w:r>
      <w:r w:rsidRPr="00BA48BC">
        <w:rPr>
          <w:rFonts w:ascii="Times New Roman" w:hAnsi="Times New Roman" w:cs="Times New Roman"/>
          <w:sz w:val="24"/>
          <w:szCs w:val="24"/>
        </w:rPr>
        <w:t xml:space="preserve">. The </w:t>
      </w:r>
      <w:r w:rsidRPr="00BA48BC">
        <w:rPr>
          <w:rFonts w:ascii="Times New Roman" w:hAnsi="Times New Roman" w:cs="Times New Roman"/>
          <w:sz w:val="24"/>
          <w:szCs w:val="24"/>
        </w:rPr>
        <w:lastRenderedPageBreak/>
        <w:t>vast entrepreneurial potential within Indian agriculture remains largely untapped, particularly among small and marginal farmers</w:t>
      </w:r>
      <w:r w:rsidR="0046109F" w:rsidRPr="00BA48BC">
        <w:rPr>
          <w:rFonts w:ascii="Times New Roman" w:hAnsi="Times New Roman" w:cs="Times New Roman"/>
          <w:sz w:val="24"/>
          <w:szCs w:val="24"/>
        </w:rPr>
        <w:t xml:space="preserve"> (</w:t>
      </w:r>
      <w:r w:rsidR="0046109F" w:rsidRPr="00BA48BC">
        <w:rPr>
          <w:rFonts w:ascii="Times New Roman" w:hAnsi="Times New Roman" w:cs="Times New Roman"/>
          <w:color w:val="0070C0"/>
          <w:sz w:val="24"/>
          <w:szCs w:val="24"/>
        </w:rPr>
        <w:t>Kumar et al. 2024</w:t>
      </w:r>
      <w:r w:rsidR="0046109F" w:rsidRPr="00BA48BC">
        <w:rPr>
          <w:rFonts w:ascii="Times New Roman" w:hAnsi="Times New Roman" w:cs="Times New Roman"/>
          <w:sz w:val="24"/>
          <w:szCs w:val="24"/>
        </w:rPr>
        <w:t>)</w:t>
      </w:r>
      <w:r w:rsidR="00436A50" w:rsidRPr="00BA48BC">
        <w:rPr>
          <w:rFonts w:ascii="Times New Roman" w:hAnsi="Times New Roman" w:cs="Times New Roman"/>
          <w:sz w:val="24"/>
          <w:szCs w:val="24"/>
          <w:vertAlign w:val="superscript"/>
        </w:rPr>
        <w:t>2</w:t>
      </w:r>
      <w:r w:rsidRPr="00BA48BC">
        <w:rPr>
          <w:rFonts w:ascii="Times New Roman" w:hAnsi="Times New Roman" w:cs="Times New Roman"/>
          <w:sz w:val="24"/>
          <w:szCs w:val="24"/>
        </w:rPr>
        <w:t>. To harness this potential, it is essential to include the</w:t>
      </w:r>
      <w:r w:rsidR="0073277F" w:rsidRPr="00BA48BC">
        <w:rPr>
          <w:rFonts w:ascii="Times New Roman" w:hAnsi="Times New Roman" w:cs="Times New Roman"/>
          <w:sz w:val="24"/>
          <w:szCs w:val="24"/>
        </w:rPr>
        <w:t>se</w:t>
      </w:r>
      <w:r w:rsidRPr="00BA48BC">
        <w:rPr>
          <w:rFonts w:ascii="Times New Roman" w:hAnsi="Times New Roman" w:cs="Times New Roman"/>
          <w:sz w:val="24"/>
          <w:szCs w:val="24"/>
        </w:rPr>
        <w:t xml:space="preserve"> farmers in entrepreneurial development strategies.</w:t>
      </w:r>
    </w:p>
    <w:p w14:paraId="58B3434D" w14:textId="77777777" w:rsidR="00025CFD" w:rsidRPr="00BA48BC" w:rsidRDefault="00025CFD" w:rsidP="00025CFD">
      <w:pPr>
        <w:tabs>
          <w:tab w:val="left" w:pos="720"/>
        </w:tabs>
        <w:rPr>
          <w:rFonts w:ascii="Times New Roman" w:hAnsi="Times New Roman" w:cs="Times New Roman"/>
          <w:sz w:val="24"/>
          <w:szCs w:val="24"/>
        </w:rPr>
      </w:pPr>
      <w:r w:rsidRPr="00BA48BC">
        <w:rPr>
          <w:rFonts w:ascii="Times New Roman" w:hAnsi="Times New Roman" w:cs="Times New Roman"/>
          <w:sz w:val="24"/>
          <w:szCs w:val="24"/>
        </w:rPr>
        <w:t xml:space="preserve">India, like many other developing countries, is characterized by </w:t>
      </w:r>
      <w:r w:rsidR="0073277F" w:rsidRPr="00BA48BC">
        <w:rPr>
          <w:rFonts w:ascii="Times New Roman" w:hAnsi="Times New Roman" w:cs="Times New Roman"/>
          <w:sz w:val="24"/>
          <w:szCs w:val="24"/>
        </w:rPr>
        <w:t>the</w:t>
      </w:r>
      <w:r w:rsidRPr="00BA48BC">
        <w:rPr>
          <w:rFonts w:ascii="Times New Roman" w:hAnsi="Times New Roman" w:cs="Times New Roman"/>
          <w:sz w:val="24"/>
          <w:szCs w:val="24"/>
        </w:rPr>
        <w:t xml:space="preserve"> predominance of small agricultural landholdings. According to the </w:t>
      </w:r>
      <w:r w:rsidRPr="00BA48BC">
        <w:rPr>
          <w:rFonts w:ascii="Times New Roman" w:hAnsi="Times New Roman" w:cs="Times New Roman"/>
          <w:color w:val="0070C0"/>
          <w:sz w:val="24"/>
          <w:szCs w:val="24"/>
        </w:rPr>
        <w:t>Agricultural Census (2016)</w:t>
      </w:r>
      <w:r w:rsidR="00436A50" w:rsidRPr="00BA48BC">
        <w:rPr>
          <w:rFonts w:ascii="Times New Roman" w:hAnsi="Times New Roman" w:cs="Times New Roman"/>
          <w:sz w:val="24"/>
          <w:szCs w:val="24"/>
          <w:vertAlign w:val="superscript"/>
        </w:rPr>
        <w:t>3</w:t>
      </w:r>
      <w:r w:rsidRPr="00BA48BC">
        <w:rPr>
          <w:rFonts w:ascii="Times New Roman" w:hAnsi="Times New Roman" w:cs="Times New Roman"/>
          <w:sz w:val="24"/>
          <w:szCs w:val="24"/>
        </w:rPr>
        <w:t>, there are approximately 126 million small and marginal farmers in India, with an average per capita landholding of just 1.08 hectares. These farmers face multiple challenges</w:t>
      </w:r>
      <w:r w:rsidR="003A0501" w:rsidRPr="00BA48BC">
        <w:rPr>
          <w:rFonts w:ascii="Times New Roman" w:hAnsi="Times New Roman" w:cs="Times New Roman"/>
          <w:sz w:val="24"/>
          <w:szCs w:val="24"/>
        </w:rPr>
        <w:t xml:space="preserve"> such as</w:t>
      </w:r>
      <w:r w:rsidRPr="00BA48BC">
        <w:rPr>
          <w:rFonts w:ascii="Times New Roman" w:hAnsi="Times New Roman" w:cs="Times New Roman"/>
          <w:sz w:val="24"/>
          <w:szCs w:val="24"/>
        </w:rPr>
        <w:t xml:space="preserve"> limited access to affordable technologies, inadequate farm support schemes, rising input costs, and the distress sales </w:t>
      </w:r>
      <w:r w:rsidR="003A0501" w:rsidRPr="00BA48BC">
        <w:rPr>
          <w:rFonts w:ascii="Times New Roman" w:hAnsi="Times New Roman" w:cs="Times New Roman"/>
          <w:sz w:val="24"/>
          <w:szCs w:val="24"/>
        </w:rPr>
        <w:t>at the</w:t>
      </w:r>
      <w:r w:rsidRPr="00BA48BC">
        <w:rPr>
          <w:rFonts w:ascii="Times New Roman" w:hAnsi="Times New Roman" w:cs="Times New Roman"/>
          <w:sz w:val="24"/>
          <w:szCs w:val="24"/>
        </w:rPr>
        <w:t xml:space="preserve"> harvest</w:t>
      </w:r>
      <w:r w:rsidR="003A0501" w:rsidRPr="00BA48BC">
        <w:rPr>
          <w:rFonts w:ascii="Times New Roman" w:hAnsi="Times New Roman" w:cs="Times New Roman"/>
          <w:sz w:val="24"/>
          <w:szCs w:val="24"/>
        </w:rPr>
        <w:t xml:space="preserve"> of farm produce</w:t>
      </w:r>
      <w:r w:rsidR="00D6454C" w:rsidRPr="00BA48BC">
        <w:rPr>
          <w:rFonts w:ascii="Times New Roman" w:hAnsi="Times New Roman" w:cs="Times New Roman"/>
          <w:sz w:val="24"/>
          <w:szCs w:val="24"/>
        </w:rPr>
        <w:t xml:space="preserve"> </w:t>
      </w:r>
      <w:r w:rsidR="00D6454C" w:rsidRPr="00BA48BC">
        <w:rPr>
          <w:rFonts w:ascii="Times New Roman" w:hAnsi="Times New Roman" w:cs="Times New Roman"/>
          <w:bCs/>
          <w:color w:val="0070C0"/>
          <w:sz w:val="24"/>
          <w:szCs w:val="24"/>
        </w:rPr>
        <w:t>(</w:t>
      </w:r>
      <w:proofErr w:type="spellStart"/>
      <w:r w:rsidR="00D6454C" w:rsidRPr="00BA48BC">
        <w:rPr>
          <w:rFonts w:ascii="Times New Roman" w:hAnsi="Times New Roman" w:cs="Times New Roman"/>
          <w:bCs/>
          <w:color w:val="0070C0"/>
          <w:sz w:val="24"/>
          <w:szCs w:val="24"/>
        </w:rPr>
        <w:t>Padmanand</w:t>
      </w:r>
      <w:proofErr w:type="spellEnd"/>
      <w:r w:rsidR="00D6454C" w:rsidRPr="00BA48BC">
        <w:rPr>
          <w:rFonts w:ascii="Times New Roman" w:hAnsi="Times New Roman" w:cs="Times New Roman"/>
          <w:bCs/>
          <w:color w:val="0070C0"/>
          <w:sz w:val="24"/>
          <w:szCs w:val="24"/>
        </w:rPr>
        <w:t xml:space="preserve"> et al 2018)</w:t>
      </w:r>
      <w:r w:rsidR="00436A50" w:rsidRPr="00BA48BC">
        <w:rPr>
          <w:rFonts w:ascii="Times New Roman" w:hAnsi="Times New Roman" w:cs="Times New Roman"/>
          <w:bCs/>
          <w:sz w:val="24"/>
          <w:szCs w:val="24"/>
          <w:vertAlign w:val="superscript"/>
        </w:rPr>
        <w:t>4</w:t>
      </w:r>
      <w:r w:rsidRPr="00BA48BC">
        <w:rPr>
          <w:rFonts w:ascii="Times New Roman" w:hAnsi="Times New Roman" w:cs="Times New Roman"/>
          <w:sz w:val="24"/>
          <w:szCs w:val="24"/>
        </w:rPr>
        <w:t>. This cycle of financial vulnerability contributes to the growing perception that agriculture is an unviable livelihood in the country.</w:t>
      </w:r>
      <w:r w:rsidR="005178DC" w:rsidRPr="00BA48BC">
        <w:rPr>
          <w:rFonts w:ascii="Times New Roman" w:hAnsi="Times New Roman" w:cs="Times New Roman"/>
          <w:sz w:val="24"/>
          <w:szCs w:val="24"/>
        </w:rPr>
        <w:t xml:space="preserve"> </w:t>
      </w:r>
      <w:r w:rsidRPr="00BA48BC">
        <w:rPr>
          <w:rFonts w:ascii="Times New Roman" w:hAnsi="Times New Roman" w:cs="Times New Roman"/>
          <w:sz w:val="24"/>
          <w:szCs w:val="24"/>
        </w:rPr>
        <w:t xml:space="preserve">To mitigate these challenges, Farmer Producer </w:t>
      </w:r>
      <w:proofErr w:type="spellStart"/>
      <w:r w:rsidRPr="00BA48BC">
        <w:rPr>
          <w:rFonts w:ascii="Times New Roman" w:hAnsi="Times New Roman" w:cs="Times New Roman"/>
          <w:sz w:val="24"/>
          <w:szCs w:val="24"/>
        </w:rPr>
        <w:t>Organisations</w:t>
      </w:r>
      <w:proofErr w:type="spellEnd"/>
      <w:r w:rsidRPr="00BA48BC">
        <w:rPr>
          <w:rFonts w:ascii="Times New Roman" w:hAnsi="Times New Roman" w:cs="Times New Roman"/>
          <w:sz w:val="24"/>
          <w:szCs w:val="24"/>
        </w:rPr>
        <w:t xml:space="preserve"> (FPOs)</w:t>
      </w:r>
      <w:r w:rsidR="00710277" w:rsidRPr="00BA48BC">
        <w:rPr>
          <w:rFonts w:ascii="Times New Roman" w:hAnsi="Times New Roman" w:cs="Times New Roman"/>
          <w:sz w:val="24"/>
          <w:szCs w:val="24"/>
        </w:rPr>
        <w:t>/ Farmer Producer Companies (FPCs)</w:t>
      </w:r>
      <w:r w:rsidRPr="00BA48BC">
        <w:rPr>
          <w:rFonts w:ascii="Times New Roman" w:hAnsi="Times New Roman" w:cs="Times New Roman"/>
          <w:sz w:val="24"/>
          <w:szCs w:val="24"/>
        </w:rPr>
        <w:t xml:space="preserve"> have emerged as a promising solution. By collectively addressing the needs of small and marginal farmers, </w:t>
      </w:r>
      <w:r w:rsidR="00710277" w:rsidRPr="00BA48BC">
        <w:rPr>
          <w:rFonts w:ascii="Times New Roman" w:hAnsi="Times New Roman" w:cs="Times New Roman"/>
          <w:sz w:val="24"/>
          <w:szCs w:val="24"/>
        </w:rPr>
        <w:t>FPCs</w:t>
      </w:r>
      <w:r w:rsidRPr="00BA48BC">
        <w:rPr>
          <w:rFonts w:ascii="Times New Roman" w:hAnsi="Times New Roman" w:cs="Times New Roman"/>
          <w:sz w:val="24"/>
          <w:szCs w:val="24"/>
        </w:rPr>
        <w:t xml:space="preserve"> create a more inclusive agricultural market system and provide opportunities for sustainable and profitable farming practices </w:t>
      </w:r>
      <w:r w:rsidRPr="00BA48BC">
        <w:rPr>
          <w:rFonts w:ascii="Times New Roman" w:hAnsi="Times New Roman" w:cs="Times New Roman"/>
          <w:color w:val="0070C0"/>
          <w:sz w:val="24"/>
          <w:szCs w:val="24"/>
        </w:rPr>
        <w:t>(Dash, 2016)</w:t>
      </w:r>
      <w:r w:rsidR="00436A50" w:rsidRPr="00BA48BC">
        <w:rPr>
          <w:rFonts w:ascii="Times New Roman" w:hAnsi="Times New Roman" w:cs="Times New Roman"/>
          <w:sz w:val="24"/>
          <w:szCs w:val="24"/>
          <w:vertAlign w:val="superscript"/>
        </w:rPr>
        <w:t>5</w:t>
      </w:r>
      <w:r w:rsidRPr="00BA48BC">
        <w:rPr>
          <w:rFonts w:ascii="Times New Roman" w:hAnsi="Times New Roman" w:cs="Times New Roman"/>
          <w:sz w:val="24"/>
          <w:szCs w:val="24"/>
        </w:rPr>
        <w:t xml:space="preserve">. They function as vital instruments for empowering farmers, improving access to inputs, technology, credit, and markets, while fostering the development of </w:t>
      </w:r>
      <w:proofErr w:type="spellStart"/>
      <w:r w:rsidRPr="00BA48BC">
        <w:rPr>
          <w:rFonts w:ascii="Times New Roman" w:hAnsi="Times New Roman" w:cs="Times New Roman"/>
          <w:sz w:val="24"/>
          <w:szCs w:val="24"/>
        </w:rPr>
        <w:t>agripreneurship</w:t>
      </w:r>
      <w:proofErr w:type="spellEnd"/>
      <w:r w:rsidRPr="00BA48BC">
        <w:rPr>
          <w:rFonts w:ascii="Times New Roman" w:hAnsi="Times New Roman" w:cs="Times New Roman"/>
          <w:sz w:val="24"/>
          <w:szCs w:val="24"/>
        </w:rPr>
        <w:t>.</w:t>
      </w:r>
    </w:p>
    <w:p w14:paraId="7029BFAF" w14:textId="77777777" w:rsidR="00761E7B" w:rsidRPr="00BA48BC" w:rsidRDefault="0060510F" w:rsidP="00B4398A">
      <w:pPr>
        <w:tabs>
          <w:tab w:val="left" w:pos="720"/>
        </w:tabs>
        <w:rPr>
          <w:rFonts w:ascii="Times New Roman" w:hAnsi="Times New Roman" w:cs="Times New Roman"/>
          <w:sz w:val="24"/>
          <w:szCs w:val="24"/>
          <w:lang w:val="en-IN"/>
        </w:rPr>
      </w:pPr>
      <w:r w:rsidRPr="00BA48BC">
        <w:rPr>
          <w:rFonts w:ascii="Times New Roman" w:hAnsi="Times New Roman" w:cs="Times New Roman"/>
          <w:sz w:val="24"/>
          <w:szCs w:val="24"/>
          <w:lang w:val="en-IN"/>
        </w:rPr>
        <w:t>On the other hand, customers are the primary stakeholders for a business organisation, the largest source of its income, and a major factor in its development (</w:t>
      </w:r>
      <w:r w:rsidRPr="00BA48BC">
        <w:rPr>
          <w:rFonts w:ascii="Times New Roman" w:hAnsi="Times New Roman" w:cs="Times New Roman"/>
          <w:color w:val="0070C0"/>
          <w:sz w:val="24"/>
          <w:szCs w:val="24"/>
          <w:lang w:val="en-IN"/>
        </w:rPr>
        <w:t>Freeman, 1984</w:t>
      </w:r>
      <w:r w:rsidRPr="00BA48BC">
        <w:rPr>
          <w:rFonts w:ascii="Times New Roman" w:hAnsi="Times New Roman" w:cs="Times New Roman"/>
          <w:sz w:val="24"/>
          <w:szCs w:val="24"/>
          <w:lang w:val="en-IN"/>
        </w:rPr>
        <w:t>)</w:t>
      </w:r>
      <w:r w:rsidR="00436A50" w:rsidRPr="00BA48BC">
        <w:rPr>
          <w:rFonts w:ascii="Times New Roman" w:hAnsi="Times New Roman" w:cs="Times New Roman"/>
          <w:sz w:val="24"/>
          <w:szCs w:val="24"/>
          <w:vertAlign w:val="superscript"/>
          <w:lang w:val="en-IN"/>
        </w:rPr>
        <w:t>6</w:t>
      </w:r>
      <w:r w:rsidRPr="00BA48BC">
        <w:rPr>
          <w:rFonts w:ascii="Times New Roman" w:hAnsi="Times New Roman" w:cs="Times New Roman"/>
          <w:sz w:val="24"/>
          <w:szCs w:val="24"/>
          <w:lang w:val="en-IN"/>
        </w:rPr>
        <w:t xml:space="preserve">. </w:t>
      </w:r>
      <w:r w:rsidR="00F07C52" w:rsidRPr="00BA48BC">
        <w:rPr>
          <w:rFonts w:ascii="Times New Roman" w:hAnsi="Times New Roman" w:cs="Times New Roman"/>
          <w:sz w:val="24"/>
          <w:szCs w:val="24"/>
          <w:lang w:val="en-IN"/>
        </w:rPr>
        <w:t>F</w:t>
      </w:r>
      <w:r w:rsidRPr="00BA48BC">
        <w:rPr>
          <w:rFonts w:ascii="Times New Roman" w:hAnsi="Times New Roman" w:cs="Times New Roman"/>
          <w:sz w:val="24"/>
          <w:szCs w:val="24"/>
          <w:lang w:val="en-IN"/>
        </w:rPr>
        <w:t xml:space="preserve">ailing to adequately address customer perceptions may negatively influence a company’s growth and </w:t>
      </w:r>
      <w:r w:rsidR="00F07C52" w:rsidRPr="00BA48BC">
        <w:rPr>
          <w:rFonts w:ascii="Times New Roman" w:hAnsi="Times New Roman" w:cs="Times New Roman"/>
          <w:sz w:val="24"/>
          <w:szCs w:val="24"/>
          <w:lang w:val="en-IN"/>
        </w:rPr>
        <w:t xml:space="preserve">its </w:t>
      </w:r>
      <w:r w:rsidRPr="00BA48BC">
        <w:rPr>
          <w:rFonts w:ascii="Times New Roman" w:hAnsi="Times New Roman" w:cs="Times New Roman"/>
          <w:sz w:val="24"/>
          <w:szCs w:val="24"/>
          <w:lang w:val="en-IN"/>
        </w:rPr>
        <w:t>long-term sustainability.</w:t>
      </w:r>
      <w:r w:rsidR="00F07C52" w:rsidRPr="00BA48BC">
        <w:rPr>
          <w:rFonts w:ascii="Times New Roman" w:hAnsi="Times New Roman" w:cs="Times New Roman"/>
          <w:sz w:val="24"/>
          <w:szCs w:val="24"/>
          <w:lang w:val="en-IN"/>
        </w:rPr>
        <w:t xml:space="preserve"> Thus, t</w:t>
      </w:r>
      <w:r w:rsidR="00025CFD" w:rsidRPr="00BA48BC">
        <w:rPr>
          <w:rFonts w:ascii="Times New Roman" w:hAnsi="Times New Roman" w:cs="Times New Roman"/>
          <w:sz w:val="24"/>
          <w:szCs w:val="24"/>
        </w:rPr>
        <w:t xml:space="preserve">he present study </w:t>
      </w:r>
      <w:r w:rsidR="00F07C52" w:rsidRPr="00BA48BC">
        <w:rPr>
          <w:rFonts w:ascii="Times New Roman" w:hAnsi="Times New Roman" w:cs="Times New Roman"/>
          <w:sz w:val="24"/>
          <w:szCs w:val="24"/>
        </w:rPr>
        <w:t>was undertaken to</w:t>
      </w:r>
      <w:r w:rsidR="00025CFD" w:rsidRPr="00BA48BC">
        <w:rPr>
          <w:rFonts w:ascii="Times New Roman" w:hAnsi="Times New Roman" w:cs="Times New Roman"/>
          <w:sz w:val="24"/>
          <w:szCs w:val="24"/>
        </w:rPr>
        <w:t xml:space="preserve"> assess</w:t>
      </w:r>
      <w:r w:rsidR="00F07C52" w:rsidRPr="00BA48BC">
        <w:rPr>
          <w:rFonts w:ascii="Times New Roman" w:hAnsi="Times New Roman" w:cs="Times New Roman"/>
          <w:sz w:val="24"/>
          <w:szCs w:val="24"/>
        </w:rPr>
        <w:t xml:space="preserve"> the</w:t>
      </w:r>
      <w:r w:rsidR="00025CFD" w:rsidRPr="00BA48BC">
        <w:rPr>
          <w:rFonts w:ascii="Times New Roman" w:hAnsi="Times New Roman" w:cs="Times New Roman"/>
          <w:sz w:val="24"/>
          <w:szCs w:val="24"/>
        </w:rPr>
        <w:t xml:space="preserve"> customer satisfaction with the products and services offered by Farmer Producer Companies (FPCs) in the states of Telangana and Andhra Pradesh, India. Understanding the perspectives of customers is critical to evaluating the effectiveness of FPCs in delivering quality products and services, building trust, and enhancing market competitiveness</w:t>
      </w:r>
      <w:r w:rsidR="00EE558C" w:rsidRPr="00BA48BC">
        <w:rPr>
          <w:rFonts w:ascii="Times New Roman" w:hAnsi="Times New Roman" w:cs="Times New Roman"/>
          <w:sz w:val="24"/>
          <w:szCs w:val="24"/>
        </w:rPr>
        <w:t xml:space="preserve"> (</w:t>
      </w:r>
      <w:r w:rsidR="00EE558C" w:rsidRPr="00BA48BC">
        <w:rPr>
          <w:rFonts w:ascii="Times New Roman" w:hAnsi="Times New Roman" w:cs="Times New Roman"/>
          <w:color w:val="0070C0"/>
          <w:sz w:val="24"/>
          <w:szCs w:val="24"/>
        </w:rPr>
        <w:t>Pabba and Ponnusamy, 2024;</w:t>
      </w:r>
      <w:r w:rsidR="00C26766" w:rsidRPr="00BA48BC">
        <w:rPr>
          <w:rFonts w:ascii="Times New Roman" w:hAnsi="Times New Roman" w:cs="Times New Roman"/>
          <w:color w:val="0070C0"/>
          <w:sz w:val="24"/>
          <w:szCs w:val="24"/>
        </w:rPr>
        <w:t xml:space="preserve"> Vijayakumar, 2021</w:t>
      </w:r>
      <w:r w:rsidR="00EE558C" w:rsidRPr="00BA48BC">
        <w:rPr>
          <w:rFonts w:ascii="Times New Roman" w:hAnsi="Times New Roman" w:cs="Times New Roman"/>
          <w:sz w:val="24"/>
          <w:szCs w:val="24"/>
        </w:rPr>
        <w:t>)</w:t>
      </w:r>
      <w:r w:rsidR="00436A50" w:rsidRPr="00BA48BC">
        <w:rPr>
          <w:rFonts w:ascii="Times New Roman" w:hAnsi="Times New Roman" w:cs="Times New Roman"/>
          <w:sz w:val="24"/>
          <w:szCs w:val="24"/>
          <w:vertAlign w:val="superscript"/>
        </w:rPr>
        <w:t>7&amp;8</w:t>
      </w:r>
      <w:r w:rsidR="00025CFD" w:rsidRPr="00BA48BC">
        <w:rPr>
          <w:rFonts w:ascii="Times New Roman" w:hAnsi="Times New Roman" w:cs="Times New Roman"/>
          <w:sz w:val="24"/>
          <w:szCs w:val="24"/>
        </w:rPr>
        <w:t xml:space="preserve">. The research </w:t>
      </w:r>
      <w:r w:rsidR="007C0175" w:rsidRPr="00BA48BC">
        <w:rPr>
          <w:rFonts w:ascii="Times New Roman" w:hAnsi="Times New Roman" w:cs="Times New Roman"/>
          <w:sz w:val="24"/>
          <w:szCs w:val="24"/>
        </w:rPr>
        <w:t>study aims</w:t>
      </w:r>
      <w:r w:rsidR="00025CFD" w:rsidRPr="00BA48BC">
        <w:rPr>
          <w:rFonts w:ascii="Times New Roman" w:hAnsi="Times New Roman" w:cs="Times New Roman"/>
          <w:sz w:val="24"/>
          <w:szCs w:val="24"/>
        </w:rPr>
        <w:t xml:space="preserve"> to </w:t>
      </w:r>
      <w:r w:rsidRPr="00BA48BC">
        <w:rPr>
          <w:rFonts w:ascii="Times New Roman" w:hAnsi="Times New Roman" w:cs="Times New Roman"/>
          <w:sz w:val="24"/>
          <w:szCs w:val="24"/>
        </w:rPr>
        <w:t>study the</w:t>
      </w:r>
      <w:r w:rsidR="00025CFD" w:rsidRPr="00BA48BC">
        <w:rPr>
          <w:rFonts w:ascii="Times New Roman" w:hAnsi="Times New Roman" w:cs="Times New Roman"/>
          <w:sz w:val="24"/>
          <w:szCs w:val="24"/>
        </w:rPr>
        <w:t xml:space="preserve"> customer satisfaction </w:t>
      </w:r>
      <w:r w:rsidRPr="00BA48BC">
        <w:rPr>
          <w:rFonts w:ascii="Times New Roman" w:hAnsi="Times New Roman" w:cs="Times New Roman"/>
          <w:sz w:val="24"/>
          <w:szCs w:val="24"/>
        </w:rPr>
        <w:t xml:space="preserve">towards FPC products/ services </w:t>
      </w:r>
      <w:r w:rsidR="00025CFD" w:rsidRPr="00BA48BC">
        <w:rPr>
          <w:rFonts w:ascii="Times New Roman" w:hAnsi="Times New Roman" w:cs="Times New Roman"/>
          <w:sz w:val="24"/>
          <w:szCs w:val="24"/>
        </w:rPr>
        <w:t>and offer insights that can help FPCs strengthen their market presence and meet the evolving needs of their clientele.</w:t>
      </w:r>
      <w:r w:rsidR="00294F27" w:rsidRPr="00BA48BC">
        <w:rPr>
          <w:rFonts w:ascii="Times New Roman" w:hAnsi="Times New Roman" w:cs="Times New Roman"/>
          <w:sz w:val="24"/>
          <w:szCs w:val="24"/>
          <w:lang w:val="en-IN"/>
        </w:rPr>
        <w:t xml:space="preserve"> </w:t>
      </w:r>
      <w:r w:rsidR="00294F27" w:rsidRPr="00BA48BC">
        <w:rPr>
          <w:rFonts w:ascii="Times New Roman" w:hAnsi="Times New Roman" w:cs="Times New Roman"/>
          <w:sz w:val="24"/>
          <w:szCs w:val="24"/>
        </w:rPr>
        <w:t>The outputs of the</w:t>
      </w:r>
      <w:r w:rsidR="00025CFD" w:rsidRPr="00BA48BC">
        <w:rPr>
          <w:rFonts w:ascii="Times New Roman" w:hAnsi="Times New Roman" w:cs="Times New Roman"/>
          <w:sz w:val="24"/>
          <w:szCs w:val="24"/>
        </w:rPr>
        <w:t xml:space="preserve"> study </w:t>
      </w:r>
      <w:r w:rsidR="00294F27" w:rsidRPr="00BA48BC">
        <w:rPr>
          <w:rFonts w:ascii="Times New Roman" w:hAnsi="Times New Roman" w:cs="Times New Roman"/>
          <w:sz w:val="24"/>
          <w:szCs w:val="24"/>
        </w:rPr>
        <w:t>could</w:t>
      </w:r>
      <w:r w:rsidR="00025CFD" w:rsidRPr="00BA48BC">
        <w:rPr>
          <w:rFonts w:ascii="Times New Roman" w:hAnsi="Times New Roman" w:cs="Times New Roman"/>
          <w:sz w:val="24"/>
          <w:szCs w:val="24"/>
        </w:rPr>
        <w:t xml:space="preserve"> contribute to the broader objective of promoting sustainable agricultural development through the empowerment of small and marginal farmers</w:t>
      </w:r>
      <w:r w:rsidR="00294F27" w:rsidRPr="00BA48BC">
        <w:rPr>
          <w:rFonts w:ascii="Times New Roman" w:hAnsi="Times New Roman" w:cs="Times New Roman"/>
          <w:sz w:val="24"/>
          <w:szCs w:val="24"/>
        </w:rPr>
        <w:t xml:space="preserve"> and </w:t>
      </w:r>
      <w:r w:rsidR="00025CFD" w:rsidRPr="00BA48BC">
        <w:rPr>
          <w:rFonts w:ascii="Times New Roman" w:hAnsi="Times New Roman" w:cs="Times New Roman"/>
          <w:sz w:val="24"/>
          <w:szCs w:val="24"/>
        </w:rPr>
        <w:t>ensur</w:t>
      </w:r>
      <w:r w:rsidR="00294F27" w:rsidRPr="00BA48BC">
        <w:rPr>
          <w:rFonts w:ascii="Times New Roman" w:hAnsi="Times New Roman" w:cs="Times New Roman"/>
          <w:sz w:val="24"/>
          <w:szCs w:val="24"/>
        </w:rPr>
        <w:t>e</w:t>
      </w:r>
      <w:r w:rsidR="00025CFD" w:rsidRPr="00BA48BC">
        <w:rPr>
          <w:rFonts w:ascii="Times New Roman" w:hAnsi="Times New Roman" w:cs="Times New Roman"/>
          <w:sz w:val="24"/>
          <w:szCs w:val="24"/>
        </w:rPr>
        <w:t xml:space="preserve"> the long-term viability these farmer-led enterprises. </w:t>
      </w:r>
    </w:p>
    <w:p w14:paraId="0CAB7DD6" w14:textId="77777777" w:rsidR="00761E7B" w:rsidRPr="00BA48BC" w:rsidRDefault="00C36D71"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METHODOLOGY</w:t>
      </w:r>
    </w:p>
    <w:p w14:paraId="2A072587" w14:textId="77777777" w:rsidR="00F642D9" w:rsidRPr="00BA48BC" w:rsidRDefault="00FD2F54" w:rsidP="008D3EF7">
      <w:pPr>
        <w:rPr>
          <w:rFonts w:ascii="Times New Roman" w:hAnsi="Times New Roman" w:cs="Times New Roman"/>
          <w:sz w:val="24"/>
          <w:szCs w:val="24"/>
        </w:rPr>
      </w:pPr>
      <w:r w:rsidRPr="00BA48BC">
        <w:rPr>
          <w:rFonts w:ascii="Times New Roman" w:hAnsi="Times New Roman" w:cs="Times New Roman"/>
          <w:sz w:val="24"/>
          <w:szCs w:val="24"/>
        </w:rPr>
        <w:lastRenderedPageBreak/>
        <w:t>The pres</w:t>
      </w:r>
      <w:r w:rsidR="001C69D3" w:rsidRPr="00BA48BC">
        <w:rPr>
          <w:rFonts w:ascii="Times New Roman" w:hAnsi="Times New Roman" w:cs="Times New Roman"/>
          <w:sz w:val="24"/>
          <w:szCs w:val="24"/>
        </w:rPr>
        <w:t xml:space="preserve">ent study was undertaken in </w:t>
      </w:r>
      <w:r w:rsidRPr="00BA48BC">
        <w:rPr>
          <w:rFonts w:ascii="Times New Roman" w:hAnsi="Times New Roman" w:cs="Times New Roman"/>
          <w:sz w:val="24"/>
          <w:szCs w:val="24"/>
        </w:rPr>
        <w:t xml:space="preserve">Telangana and Andhra Pradesh </w:t>
      </w:r>
      <w:r w:rsidR="000720C1" w:rsidRPr="00BA48BC">
        <w:rPr>
          <w:rFonts w:ascii="Times New Roman" w:hAnsi="Times New Roman" w:cs="Times New Roman"/>
          <w:sz w:val="24"/>
          <w:szCs w:val="24"/>
        </w:rPr>
        <w:t xml:space="preserve">states </w:t>
      </w:r>
      <w:r w:rsidRPr="00BA48BC">
        <w:rPr>
          <w:rFonts w:ascii="Times New Roman" w:hAnsi="Times New Roman" w:cs="Times New Roman"/>
          <w:sz w:val="24"/>
          <w:szCs w:val="24"/>
        </w:rPr>
        <w:t>which were purposively selected</w:t>
      </w:r>
      <w:r w:rsidR="000720C1" w:rsidRPr="00BA48BC">
        <w:rPr>
          <w:rFonts w:ascii="Times New Roman" w:hAnsi="Times New Roman" w:cs="Times New Roman"/>
          <w:sz w:val="24"/>
          <w:szCs w:val="24"/>
        </w:rPr>
        <w:t xml:space="preserve"> considering the significant proportion of FPCs (1,172) and major share of paid-up capital (59.48%) owned by these two states among the top 20 FPCs in India </w:t>
      </w:r>
      <w:r w:rsidR="000720C1" w:rsidRPr="00BA48BC">
        <w:rPr>
          <w:rFonts w:ascii="Times New Roman" w:hAnsi="Times New Roman" w:cs="Times New Roman"/>
          <w:color w:val="0070C0"/>
          <w:sz w:val="24"/>
          <w:szCs w:val="24"/>
        </w:rPr>
        <w:t>(Neti and Govil, 2022)</w:t>
      </w:r>
      <w:r w:rsidR="00436A50" w:rsidRPr="00BA48BC">
        <w:rPr>
          <w:rFonts w:ascii="Times New Roman" w:hAnsi="Times New Roman" w:cs="Times New Roman"/>
          <w:sz w:val="24"/>
          <w:szCs w:val="24"/>
          <w:vertAlign w:val="superscript"/>
        </w:rPr>
        <w:t>9</w:t>
      </w:r>
      <w:r w:rsidR="000720C1" w:rsidRPr="00BA48BC">
        <w:rPr>
          <w:rFonts w:ascii="Times New Roman" w:hAnsi="Times New Roman" w:cs="Times New Roman"/>
          <w:sz w:val="24"/>
          <w:szCs w:val="24"/>
        </w:rPr>
        <w:t>.</w:t>
      </w:r>
      <w:r w:rsidR="00596E01" w:rsidRPr="00BA48BC">
        <w:rPr>
          <w:rFonts w:ascii="Times New Roman" w:hAnsi="Times New Roman" w:cs="Times New Roman"/>
          <w:sz w:val="24"/>
          <w:szCs w:val="24"/>
        </w:rPr>
        <w:t xml:space="preserve"> </w:t>
      </w:r>
      <w:r w:rsidRPr="00BA48BC">
        <w:rPr>
          <w:rFonts w:ascii="Times New Roman" w:hAnsi="Times New Roman" w:cs="Times New Roman"/>
          <w:sz w:val="24"/>
          <w:szCs w:val="24"/>
        </w:rPr>
        <w:t xml:space="preserve">A total of 8 FPCs were selected purposively from both the states in crop and dairy sectors (Table 1). The crop </w:t>
      </w:r>
      <w:r w:rsidR="00946805" w:rsidRPr="00BA48BC">
        <w:rPr>
          <w:rFonts w:ascii="Times New Roman" w:hAnsi="Times New Roman" w:cs="Times New Roman"/>
          <w:sz w:val="24"/>
          <w:szCs w:val="24"/>
        </w:rPr>
        <w:t>based</w:t>
      </w:r>
      <w:r w:rsidRPr="00BA48BC">
        <w:rPr>
          <w:rFonts w:ascii="Times New Roman" w:hAnsi="Times New Roman" w:cs="Times New Roman"/>
          <w:sz w:val="24"/>
          <w:szCs w:val="24"/>
        </w:rPr>
        <w:t xml:space="preserve"> FPCs (4 </w:t>
      </w:r>
      <w:proofErr w:type="spellStart"/>
      <w:proofErr w:type="gramStart"/>
      <w:r w:rsidRPr="00BA48BC">
        <w:rPr>
          <w:rFonts w:ascii="Times New Roman" w:hAnsi="Times New Roman" w:cs="Times New Roman"/>
          <w:sz w:val="24"/>
          <w:szCs w:val="24"/>
        </w:rPr>
        <w:t>No.s</w:t>
      </w:r>
      <w:proofErr w:type="spellEnd"/>
      <w:proofErr w:type="gramEnd"/>
      <w:r w:rsidRPr="00BA48BC">
        <w:rPr>
          <w:rFonts w:ascii="Times New Roman" w:hAnsi="Times New Roman" w:cs="Times New Roman"/>
          <w:sz w:val="24"/>
          <w:szCs w:val="24"/>
        </w:rPr>
        <w:t xml:space="preserve">) were selected from the districts having the highest number of FPCs in the states whereas, all the available 4 dairy FPCs from both the states were selected for obtaining the sample of dairy FPCs. Due consideration was given to FPCs promoted by various </w:t>
      </w:r>
      <w:r w:rsidR="00946805" w:rsidRPr="00BA48BC">
        <w:rPr>
          <w:rFonts w:ascii="Times New Roman" w:hAnsi="Times New Roman" w:cs="Times New Roman"/>
          <w:sz w:val="24"/>
          <w:szCs w:val="24"/>
        </w:rPr>
        <w:t>sponsoring</w:t>
      </w:r>
      <w:r w:rsidRPr="00BA48BC">
        <w:rPr>
          <w:rFonts w:ascii="Times New Roman" w:hAnsi="Times New Roman" w:cs="Times New Roman"/>
          <w:sz w:val="24"/>
          <w:szCs w:val="24"/>
        </w:rPr>
        <w:t xml:space="preserve"> agencies in the state </w:t>
      </w:r>
      <w:r w:rsidRPr="00BA48BC">
        <w:rPr>
          <w:rFonts w:ascii="Times New Roman" w:hAnsi="Times New Roman" w:cs="Times New Roman"/>
          <w:i/>
          <w:sz w:val="24"/>
          <w:szCs w:val="24"/>
        </w:rPr>
        <w:t xml:space="preserve">viz., </w:t>
      </w:r>
      <w:r w:rsidRPr="00BA48BC">
        <w:rPr>
          <w:rFonts w:ascii="Times New Roman" w:hAnsi="Times New Roman" w:cs="Times New Roman"/>
          <w:sz w:val="24"/>
          <w:szCs w:val="24"/>
        </w:rPr>
        <w:t xml:space="preserve">NABARD (National Bank for Agriculture and Rural Development), SFAC (Small Farmers Agribusiness Consortium), NRLM (National Rural Livelihood Mission) and National Dairy Development Board (NDDB). They were selected from the list of FPCs fulfilling the </w:t>
      </w:r>
      <w:r w:rsidR="00F642D9" w:rsidRPr="00BA48BC">
        <w:rPr>
          <w:rFonts w:ascii="Times New Roman" w:hAnsi="Times New Roman" w:cs="Times New Roman"/>
          <w:sz w:val="24"/>
          <w:szCs w:val="24"/>
        </w:rPr>
        <w:t>four</w:t>
      </w:r>
      <w:r w:rsidRPr="00BA48BC">
        <w:rPr>
          <w:rFonts w:ascii="Times New Roman" w:hAnsi="Times New Roman" w:cs="Times New Roman"/>
          <w:sz w:val="24"/>
          <w:szCs w:val="24"/>
        </w:rPr>
        <w:t xml:space="preserve"> criteria </w:t>
      </w:r>
      <w:r w:rsidR="00F642D9" w:rsidRPr="00BA48BC">
        <w:rPr>
          <w:rFonts w:ascii="Times New Roman" w:hAnsi="Times New Roman" w:cs="Times New Roman"/>
          <w:i/>
          <w:sz w:val="24"/>
          <w:szCs w:val="24"/>
        </w:rPr>
        <w:t xml:space="preserve">i.e. </w:t>
      </w:r>
      <w:r w:rsidR="00F642D9" w:rsidRPr="00BA48BC">
        <w:rPr>
          <w:rFonts w:ascii="Times New Roman" w:hAnsi="Times New Roman" w:cs="Times New Roman"/>
          <w:sz w:val="24"/>
          <w:szCs w:val="24"/>
        </w:rPr>
        <w:t>(</w:t>
      </w:r>
      <w:proofErr w:type="spellStart"/>
      <w:r w:rsidR="00F642D9" w:rsidRPr="00BA48BC">
        <w:rPr>
          <w:rFonts w:ascii="Times New Roman" w:hAnsi="Times New Roman" w:cs="Times New Roman"/>
          <w:sz w:val="24"/>
          <w:szCs w:val="24"/>
        </w:rPr>
        <w:t>i</w:t>
      </w:r>
      <w:proofErr w:type="spellEnd"/>
      <w:r w:rsidR="00F642D9" w:rsidRPr="00BA48BC">
        <w:rPr>
          <w:rFonts w:ascii="Times New Roman" w:hAnsi="Times New Roman" w:cs="Times New Roman"/>
          <w:sz w:val="24"/>
          <w:szCs w:val="24"/>
        </w:rPr>
        <w:t>) established at least</w:t>
      </w:r>
      <w:r w:rsidR="00726636" w:rsidRPr="00BA48BC">
        <w:rPr>
          <w:rFonts w:ascii="Times New Roman" w:hAnsi="Times New Roman" w:cs="Times New Roman"/>
          <w:sz w:val="24"/>
          <w:szCs w:val="24"/>
        </w:rPr>
        <w:t xml:space="preserve"> five</w:t>
      </w:r>
      <w:r w:rsidR="00F642D9" w:rsidRPr="00BA48BC">
        <w:rPr>
          <w:rFonts w:ascii="Times New Roman" w:hAnsi="Times New Roman" w:cs="Times New Roman"/>
          <w:sz w:val="24"/>
          <w:szCs w:val="24"/>
        </w:rPr>
        <w:t xml:space="preserve"> years prior to the time of data collection, (ii) a minimum membership size of 300 </w:t>
      </w:r>
      <w:r w:rsidR="00F642D9" w:rsidRPr="00BA48BC">
        <w:rPr>
          <w:rFonts w:ascii="Times New Roman" w:hAnsi="Times New Roman" w:cs="Times New Roman"/>
          <w:color w:val="0070C0"/>
          <w:sz w:val="24"/>
          <w:szCs w:val="24"/>
        </w:rPr>
        <w:t>(Government of India, 2020)</w:t>
      </w:r>
      <w:r w:rsidR="00436A50" w:rsidRPr="00BA48BC">
        <w:rPr>
          <w:rFonts w:ascii="Times New Roman" w:hAnsi="Times New Roman" w:cs="Times New Roman"/>
          <w:sz w:val="24"/>
          <w:szCs w:val="24"/>
          <w:vertAlign w:val="superscript"/>
        </w:rPr>
        <w:t>10</w:t>
      </w:r>
      <w:r w:rsidR="00F642D9" w:rsidRPr="00BA48BC">
        <w:rPr>
          <w:rFonts w:ascii="Times New Roman" w:hAnsi="Times New Roman" w:cs="Times New Roman"/>
          <w:sz w:val="24"/>
          <w:szCs w:val="24"/>
        </w:rPr>
        <w:t>, (iii)</w:t>
      </w:r>
      <w:r w:rsidR="00E943C3" w:rsidRPr="00BA48BC">
        <w:rPr>
          <w:rFonts w:ascii="Times New Roman" w:hAnsi="Times New Roman" w:cs="Times New Roman"/>
          <w:sz w:val="24"/>
          <w:szCs w:val="24"/>
        </w:rPr>
        <w:t xml:space="preserve"> sale of crop or</w:t>
      </w:r>
      <w:r w:rsidR="00F642D9" w:rsidRPr="00BA48BC">
        <w:rPr>
          <w:rFonts w:ascii="Times New Roman" w:hAnsi="Times New Roman" w:cs="Times New Roman"/>
          <w:sz w:val="24"/>
          <w:szCs w:val="24"/>
        </w:rPr>
        <w:t xml:space="preserve"> dairy</w:t>
      </w:r>
      <w:r w:rsidR="00E943C3" w:rsidRPr="00BA48BC">
        <w:rPr>
          <w:rFonts w:ascii="Times New Roman" w:hAnsi="Times New Roman" w:cs="Times New Roman"/>
          <w:sz w:val="24"/>
          <w:szCs w:val="24"/>
        </w:rPr>
        <w:t xml:space="preserve"> based products/ services, </w:t>
      </w:r>
      <w:r w:rsidR="00280C05" w:rsidRPr="00BA48BC">
        <w:rPr>
          <w:rFonts w:ascii="Times New Roman" w:hAnsi="Times New Roman" w:cs="Times New Roman"/>
          <w:sz w:val="24"/>
          <w:szCs w:val="24"/>
        </w:rPr>
        <w:t xml:space="preserve">and </w:t>
      </w:r>
      <w:r w:rsidR="00E943C3" w:rsidRPr="00BA48BC">
        <w:rPr>
          <w:rFonts w:ascii="Times New Roman" w:hAnsi="Times New Roman" w:cs="Times New Roman"/>
          <w:sz w:val="24"/>
          <w:szCs w:val="24"/>
        </w:rPr>
        <w:t>(iv)</w:t>
      </w:r>
      <w:r w:rsidR="00280C05" w:rsidRPr="00BA48BC">
        <w:rPr>
          <w:rFonts w:ascii="Times New Roman" w:hAnsi="Times New Roman" w:cs="Times New Roman"/>
          <w:sz w:val="24"/>
          <w:szCs w:val="24"/>
        </w:rPr>
        <w:t xml:space="preserve"> active in function at the time of data collection</w:t>
      </w:r>
      <w:r w:rsidR="00726636" w:rsidRPr="00BA48BC">
        <w:rPr>
          <w:rFonts w:ascii="Times New Roman" w:hAnsi="Times New Roman" w:cs="Times New Roman"/>
          <w:sz w:val="24"/>
          <w:szCs w:val="24"/>
        </w:rPr>
        <w:t>.</w:t>
      </w:r>
      <w:r w:rsidR="008D3EF7" w:rsidRPr="00BA48BC">
        <w:rPr>
          <w:rFonts w:ascii="Times New Roman" w:hAnsi="Times New Roman" w:cs="Times New Roman"/>
          <w:sz w:val="24"/>
          <w:szCs w:val="24"/>
        </w:rPr>
        <w:t xml:space="preserve"> In the next stage, a sample of 20 customers were selected from each FPC, thereby constituting a total customer sample size of 160. The list of customers who regularly purchase the products/ services of FPCs was obtained from the FPC’s sales wing.</w:t>
      </w:r>
    </w:p>
    <w:p w14:paraId="6F377B04" w14:textId="77777777" w:rsidR="00FD2F54" w:rsidRPr="00BA48BC" w:rsidRDefault="00FD2F54" w:rsidP="00FD2F54">
      <w:pPr>
        <w:pStyle w:val="Heading2"/>
        <w:spacing w:before="125" w:after="240"/>
        <w:ind w:left="0"/>
        <w:jc w:val="left"/>
        <w:rPr>
          <w:spacing w:val="-1"/>
        </w:rPr>
      </w:pPr>
      <w:r w:rsidRPr="00BA48BC">
        <w:t>Table</w:t>
      </w:r>
      <w:r w:rsidRPr="00BA48BC">
        <w:rPr>
          <w:spacing w:val="-3"/>
        </w:rPr>
        <w:t xml:space="preserve"> </w:t>
      </w:r>
      <w:r w:rsidRPr="00BA48BC">
        <w:t>1</w:t>
      </w:r>
      <w:r w:rsidR="00FE1A52" w:rsidRPr="00BA48BC">
        <w:t>.</w:t>
      </w:r>
      <w:r w:rsidRPr="00BA48BC">
        <w:rPr>
          <w:spacing w:val="-1"/>
        </w:rPr>
        <w:t xml:space="preserve"> List of </w:t>
      </w:r>
      <w:r w:rsidRPr="00BA48BC">
        <w:t>Farmers Producer</w:t>
      </w:r>
      <w:r w:rsidRPr="00BA48BC">
        <w:rPr>
          <w:spacing w:val="-2"/>
        </w:rPr>
        <w:t xml:space="preserve"> </w:t>
      </w:r>
      <w:r w:rsidRPr="00BA48BC">
        <w:t>Companies</w:t>
      </w:r>
      <w:r w:rsidRPr="00BA48BC">
        <w:rPr>
          <w:spacing w:val="-1"/>
        </w:rPr>
        <w:t xml:space="preserve"> and the basic details</w:t>
      </w:r>
    </w:p>
    <w:tbl>
      <w:tblPr>
        <w:tblW w:w="5032" w:type="pct"/>
        <w:tblCellMar>
          <w:left w:w="0" w:type="dxa"/>
          <w:right w:w="0" w:type="dxa"/>
        </w:tblCellMar>
        <w:tblLook w:val="01E0" w:firstRow="1" w:lastRow="1" w:firstColumn="1" w:lastColumn="1" w:noHBand="0" w:noVBand="0"/>
      </w:tblPr>
      <w:tblGrid>
        <w:gridCol w:w="433"/>
        <w:gridCol w:w="1440"/>
        <w:gridCol w:w="4212"/>
        <w:gridCol w:w="2992"/>
      </w:tblGrid>
      <w:tr w:rsidR="00FD2F54" w:rsidRPr="00BA48BC" w14:paraId="7D114A12" w14:textId="77777777" w:rsidTr="004634F6">
        <w:trPr>
          <w:trHeight w:val="162"/>
        </w:trPr>
        <w:tc>
          <w:tcPr>
            <w:tcW w:w="239" w:type="pct"/>
            <w:tcBorders>
              <w:top w:val="single" w:sz="4" w:space="0" w:color="auto"/>
              <w:left w:val="single" w:sz="4" w:space="0" w:color="auto"/>
              <w:bottom w:val="single" w:sz="4" w:space="0" w:color="auto"/>
            </w:tcBorders>
          </w:tcPr>
          <w:p w14:paraId="3E773387" w14:textId="77777777" w:rsidR="00FD2F54" w:rsidRPr="00BA48BC" w:rsidRDefault="00FD2F54" w:rsidP="00EE558C">
            <w:pPr>
              <w:pStyle w:val="TableParagraph"/>
              <w:spacing w:before="107" w:line="276" w:lineRule="auto"/>
              <w:ind w:left="88" w:right="78"/>
              <w:jc w:val="center"/>
              <w:rPr>
                <w:b/>
              </w:rPr>
            </w:pPr>
            <w:proofErr w:type="spellStart"/>
            <w:r w:rsidRPr="00BA48BC">
              <w:rPr>
                <w:b/>
              </w:rPr>
              <w:t>Sl</w:t>
            </w:r>
            <w:proofErr w:type="spellEnd"/>
          </w:p>
        </w:tc>
        <w:tc>
          <w:tcPr>
            <w:tcW w:w="793" w:type="pct"/>
            <w:tcBorders>
              <w:top w:val="single" w:sz="4" w:space="0" w:color="auto"/>
              <w:bottom w:val="single" w:sz="4" w:space="0" w:color="auto"/>
            </w:tcBorders>
          </w:tcPr>
          <w:p w14:paraId="7E008B3F" w14:textId="77777777" w:rsidR="00FD2F54" w:rsidRPr="00BA48BC" w:rsidRDefault="00FD2F54" w:rsidP="00EE558C">
            <w:pPr>
              <w:pStyle w:val="TableParagraph"/>
              <w:spacing w:before="107" w:line="276" w:lineRule="auto"/>
              <w:ind w:left="369"/>
              <w:rPr>
                <w:b/>
              </w:rPr>
            </w:pPr>
            <w:r w:rsidRPr="00BA48BC">
              <w:rPr>
                <w:b/>
              </w:rPr>
              <w:t>Sector</w:t>
            </w:r>
          </w:p>
        </w:tc>
        <w:tc>
          <w:tcPr>
            <w:tcW w:w="2320" w:type="pct"/>
            <w:tcBorders>
              <w:top w:val="single" w:sz="4" w:space="0" w:color="auto"/>
              <w:bottom w:val="single" w:sz="4" w:space="0" w:color="auto"/>
            </w:tcBorders>
          </w:tcPr>
          <w:p w14:paraId="75EADB7B" w14:textId="77777777" w:rsidR="00FD2F54" w:rsidRPr="00BA48BC" w:rsidRDefault="00FD2F54" w:rsidP="00EE558C">
            <w:pPr>
              <w:pStyle w:val="TableParagraph"/>
              <w:spacing w:before="107" w:line="276" w:lineRule="auto"/>
              <w:ind w:left="1777" w:right="1770"/>
              <w:jc w:val="center"/>
              <w:rPr>
                <w:b/>
              </w:rPr>
            </w:pPr>
            <w:r w:rsidRPr="00BA48BC">
              <w:rPr>
                <w:b/>
              </w:rPr>
              <w:t>FPC</w:t>
            </w:r>
          </w:p>
        </w:tc>
        <w:tc>
          <w:tcPr>
            <w:tcW w:w="1648" w:type="pct"/>
            <w:tcBorders>
              <w:top w:val="single" w:sz="4" w:space="0" w:color="auto"/>
              <w:bottom w:val="single" w:sz="4" w:space="0" w:color="auto"/>
              <w:right w:val="single" w:sz="4" w:space="0" w:color="auto"/>
            </w:tcBorders>
          </w:tcPr>
          <w:p w14:paraId="4DF2F797" w14:textId="77777777" w:rsidR="00FD2F54" w:rsidRPr="00BA48BC" w:rsidRDefault="00FD2F54" w:rsidP="00EE558C">
            <w:pPr>
              <w:pStyle w:val="TableParagraph"/>
              <w:spacing w:before="107" w:line="276" w:lineRule="auto"/>
              <w:ind w:left="969" w:right="962"/>
              <w:jc w:val="center"/>
              <w:rPr>
                <w:b/>
              </w:rPr>
            </w:pPr>
            <w:r w:rsidRPr="00BA48BC">
              <w:rPr>
                <w:b/>
              </w:rPr>
              <w:t>Location</w:t>
            </w:r>
          </w:p>
        </w:tc>
      </w:tr>
      <w:tr w:rsidR="00FD2F54" w:rsidRPr="00BA48BC" w14:paraId="6DFAD97D" w14:textId="77777777" w:rsidTr="004634F6">
        <w:trPr>
          <w:trHeight w:val="381"/>
        </w:trPr>
        <w:tc>
          <w:tcPr>
            <w:tcW w:w="239" w:type="pct"/>
            <w:tcBorders>
              <w:top w:val="single" w:sz="4" w:space="0" w:color="auto"/>
              <w:left w:val="single" w:sz="4" w:space="0" w:color="auto"/>
            </w:tcBorders>
            <w:vAlign w:val="center"/>
          </w:tcPr>
          <w:p w14:paraId="1B539C29" w14:textId="77777777" w:rsidR="00FD2F54" w:rsidRPr="00BA48BC" w:rsidRDefault="00FD2F54" w:rsidP="00EE558C">
            <w:pPr>
              <w:pStyle w:val="TableParagraph"/>
              <w:spacing w:before="135" w:line="276" w:lineRule="auto"/>
              <w:ind w:right="73"/>
              <w:jc w:val="center"/>
              <w:rPr>
                <w:sz w:val="24"/>
              </w:rPr>
            </w:pPr>
            <w:r w:rsidRPr="00BA48BC">
              <w:rPr>
                <w:sz w:val="24"/>
              </w:rPr>
              <w:t>1</w:t>
            </w:r>
          </w:p>
        </w:tc>
        <w:tc>
          <w:tcPr>
            <w:tcW w:w="793" w:type="pct"/>
            <w:tcBorders>
              <w:top w:val="single" w:sz="4" w:space="0" w:color="auto"/>
            </w:tcBorders>
            <w:vAlign w:val="center"/>
          </w:tcPr>
          <w:p w14:paraId="719AA20A" w14:textId="77777777" w:rsidR="00FD2F54" w:rsidRPr="00BA48BC" w:rsidRDefault="00FD2F54" w:rsidP="00EE558C">
            <w:pPr>
              <w:pStyle w:val="TableParagraph"/>
              <w:spacing w:before="135" w:line="276" w:lineRule="auto"/>
              <w:ind w:left="108"/>
              <w:rPr>
                <w:sz w:val="24"/>
              </w:rPr>
            </w:pPr>
            <w:r w:rsidRPr="00BA48BC">
              <w:rPr>
                <w:sz w:val="24"/>
              </w:rPr>
              <w:t>Agriculture</w:t>
            </w:r>
          </w:p>
        </w:tc>
        <w:tc>
          <w:tcPr>
            <w:tcW w:w="2320" w:type="pct"/>
            <w:tcBorders>
              <w:top w:val="single" w:sz="4" w:space="0" w:color="auto"/>
            </w:tcBorders>
          </w:tcPr>
          <w:p w14:paraId="54474EF8" w14:textId="77777777" w:rsidR="00FD2F54" w:rsidRPr="00BA48BC" w:rsidRDefault="00FD2F54" w:rsidP="00EE558C">
            <w:pPr>
              <w:pStyle w:val="TableParagraph"/>
              <w:spacing w:line="276" w:lineRule="auto"/>
              <w:ind w:left="108"/>
              <w:rPr>
                <w:sz w:val="24"/>
              </w:rPr>
            </w:pPr>
            <w:proofErr w:type="spellStart"/>
            <w:r w:rsidRPr="00BA48BC">
              <w:rPr>
                <w:sz w:val="24"/>
              </w:rPr>
              <w:t>Attaluru</w:t>
            </w:r>
            <w:proofErr w:type="spellEnd"/>
            <w:r w:rsidRPr="00BA48BC">
              <w:rPr>
                <w:sz w:val="24"/>
              </w:rPr>
              <w:t xml:space="preserve"> </w:t>
            </w:r>
            <w:proofErr w:type="spellStart"/>
            <w:r w:rsidRPr="00BA48BC">
              <w:rPr>
                <w:sz w:val="24"/>
              </w:rPr>
              <w:t>Palem</w:t>
            </w:r>
            <w:proofErr w:type="spellEnd"/>
            <w:r w:rsidRPr="00BA48BC">
              <w:rPr>
                <w:sz w:val="24"/>
              </w:rPr>
              <w:t xml:space="preserve"> Organic Farmers Producer Company Limited (AOFPCL)</w:t>
            </w:r>
          </w:p>
        </w:tc>
        <w:tc>
          <w:tcPr>
            <w:tcW w:w="1648" w:type="pct"/>
            <w:tcBorders>
              <w:top w:val="single" w:sz="4" w:space="0" w:color="auto"/>
              <w:right w:val="single" w:sz="4" w:space="0" w:color="auto"/>
            </w:tcBorders>
          </w:tcPr>
          <w:p w14:paraId="4EAD6B51" w14:textId="77777777" w:rsidR="00FD2F54" w:rsidRPr="00BA48BC" w:rsidRDefault="00FD2F54" w:rsidP="00EE558C">
            <w:pPr>
              <w:pStyle w:val="TableParagraph"/>
              <w:spacing w:before="25" w:line="276" w:lineRule="auto"/>
              <w:ind w:left="108"/>
              <w:rPr>
                <w:sz w:val="24"/>
              </w:rPr>
            </w:pPr>
            <w:r w:rsidRPr="00BA48BC">
              <w:rPr>
                <w:sz w:val="24"/>
              </w:rPr>
              <w:t>Amaravathi mandal, Guntur  district, A.P.</w:t>
            </w:r>
          </w:p>
        </w:tc>
      </w:tr>
      <w:tr w:rsidR="00FD2F54" w:rsidRPr="00BA48BC" w14:paraId="6F18749F" w14:textId="77777777" w:rsidTr="004634F6">
        <w:trPr>
          <w:trHeight w:val="609"/>
        </w:trPr>
        <w:tc>
          <w:tcPr>
            <w:tcW w:w="239" w:type="pct"/>
            <w:tcBorders>
              <w:left w:val="single" w:sz="4" w:space="0" w:color="auto"/>
            </w:tcBorders>
            <w:vAlign w:val="center"/>
          </w:tcPr>
          <w:p w14:paraId="4B769329" w14:textId="77777777" w:rsidR="00FD2F54" w:rsidRPr="00BA48BC" w:rsidRDefault="00FD2F54" w:rsidP="00EE558C">
            <w:pPr>
              <w:pStyle w:val="TableParagraph"/>
              <w:spacing w:before="63" w:line="276" w:lineRule="auto"/>
              <w:ind w:right="73"/>
              <w:jc w:val="center"/>
              <w:rPr>
                <w:sz w:val="24"/>
              </w:rPr>
            </w:pPr>
            <w:r w:rsidRPr="00BA48BC">
              <w:rPr>
                <w:sz w:val="24"/>
              </w:rPr>
              <w:t>2</w:t>
            </w:r>
          </w:p>
        </w:tc>
        <w:tc>
          <w:tcPr>
            <w:tcW w:w="793" w:type="pct"/>
            <w:vAlign w:val="center"/>
          </w:tcPr>
          <w:p w14:paraId="1EF86463" w14:textId="77777777" w:rsidR="00FD2F54" w:rsidRPr="00BA48BC" w:rsidRDefault="00FD2F54" w:rsidP="00EE558C">
            <w:pPr>
              <w:pStyle w:val="TableParagraph"/>
              <w:spacing w:before="63" w:line="276" w:lineRule="auto"/>
              <w:ind w:left="108"/>
              <w:rPr>
                <w:sz w:val="24"/>
              </w:rPr>
            </w:pPr>
            <w:r w:rsidRPr="00BA48BC">
              <w:rPr>
                <w:sz w:val="24"/>
              </w:rPr>
              <w:t>Agriculture</w:t>
            </w:r>
          </w:p>
        </w:tc>
        <w:tc>
          <w:tcPr>
            <w:tcW w:w="2320" w:type="pct"/>
          </w:tcPr>
          <w:p w14:paraId="3A2FF14C" w14:textId="77777777" w:rsidR="00FD2F54" w:rsidRPr="00BA48BC" w:rsidRDefault="00FD2F54" w:rsidP="00EE558C">
            <w:pPr>
              <w:pStyle w:val="TableParagraph"/>
              <w:spacing w:before="135" w:line="276" w:lineRule="auto"/>
              <w:ind w:left="108"/>
              <w:rPr>
                <w:sz w:val="24"/>
              </w:rPr>
            </w:pPr>
            <w:proofErr w:type="spellStart"/>
            <w:r w:rsidRPr="00BA48BC">
              <w:rPr>
                <w:sz w:val="24"/>
              </w:rPr>
              <w:t>Indervelly</w:t>
            </w:r>
            <w:proofErr w:type="spellEnd"/>
            <w:r w:rsidRPr="00BA48BC">
              <w:rPr>
                <w:sz w:val="24"/>
              </w:rPr>
              <w:t xml:space="preserve"> Farmers Producer Company Limited (IFPCL)</w:t>
            </w:r>
          </w:p>
        </w:tc>
        <w:tc>
          <w:tcPr>
            <w:tcW w:w="1648" w:type="pct"/>
            <w:tcBorders>
              <w:right w:val="single" w:sz="4" w:space="0" w:color="auto"/>
            </w:tcBorders>
          </w:tcPr>
          <w:p w14:paraId="5C48C773" w14:textId="77777777" w:rsidR="00FD2F54" w:rsidRPr="00BA48BC" w:rsidRDefault="00FD2F54" w:rsidP="00EE558C">
            <w:pPr>
              <w:pStyle w:val="TableParagraph"/>
              <w:spacing w:before="135" w:line="276" w:lineRule="auto"/>
              <w:ind w:left="108"/>
              <w:rPr>
                <w:sz w:val="24"/>
              </w:rPr>
            </w:pPr>
            <w:proofErr w:type="spellStart"/>
            <w:r w:rsidRPr="00BA48BC">
              <w:rPr>
                <w:sz w:val="24"/>
              </w:rPr>
              <w:t>Indervelly</w:t>
            </w:r>
            <w:proofErr w:type="spellEnd"/>
            <w:r w:rsidRPr="00BA48BC">
              <w:rPr>
                <w:sz w:val="24"/>
              </w:rPr>
              <w:t>, Adilabad district, Telangana</w:t>
            </w:r>
          </w:p>
        </w:tc>
      </w:tr>
      <w:tr w:rsidR="00FD2F54" w:rsidRPr="00BA48BC" w14:paraId="6D398780" w14:textId="77777777" w:rsidTr="004634F6">
        <w:trPr>
          <w:trHeight w:val="56"/>
        </w:trPr>
        <w:tc>
          <w:tcPr>
            <w:tcW w:w="239" w:type="pct"/>
            <w:tcBorders>
              <w:left w:val="single" w:sz="4" w:space="0" w:color="auto"/>
            </w:tcBorders>
            <w:vAlign w:val="center"/>
          </w:tcPr>
          <w:p w14:paraId="183EDC8B" w14:textId="77777777" w:rsidR="00FD2F54" w:rsidRPr="00BA48BC" w:rsidRDefault="00FD2F54" w:rsidP="00EE558C">
            <w:pPr>
              <w:pStyle w:val="TableParagraph"/>
              <w:spacing w:before="66" w:line="276" w:lineRule="auto"/>
              <w:ind w:right="73"/>
              <w:jc w:val="center"/>
              <w:rPr>
                <w:sz w:val="24"/>
              </w:rPr>
            </w:pPr>
            <w:r w:rsidRPr="00BA48BC">
              <w:rPr>
                <w:sz w:val="24"/>
              </w:rPr>
              <w:t>3</w:t>
            </w:r>
          </w:p>
        </w:tc>
        <w:tc>
          <w:tcPr>
            <w:tcW w:w="793" w:type="pct"/>
            <w:vAlign w:val="center"/>
          </w:tcPr>
          <w:p w14:paraId="3E9F7FD0" w14:textId="77777777" w:rsidR="00FD2F54" w:rsidRPr="00BA48BC" w:rsidRDefault="00FD2F54" w:rsidP="00EE558C">
            <w:pPr>
              <w:pStyle w:val="TableParagraph"/>
              <w:spacing w:before="66" w:line="276" w:lineRule="auto"/>
              <w:ind w:left="108"/>
              <w:rPr>
                <w:sz w:val="24"/>
              </w:rPr>
            </w:pPr>
            <w:r w:rsidRPr="00BA48BC">
              <w:rPr>
                <w:sz w:val="24"/>
              </w:rPr>
              <w:t>Agriculture</w:t>
            </w:r>
          </w:p>
        </w:tc>
        <w:tc>
          <w:tcPr>
            <w:tcW w:w="2320" w:type="pct"/>
          </w:tcPr>
          <w:p w14:paraId="07F714B3" w14:textId="77777777" w:rsidR="00FD2F54" w:rsidRPr="00BA48BC" w:rsidRDefault="00FD2F54" w:rsidP="00EE558C">
            <w:pPr>
              <w:pStyle w:val="TableParagraph"/>
              <w:spacing w:line="276" w:lineRule="auto"/>
              <w:ind w:left="108"/>
              <w:rPr>
                <w:sz w:val="24"/>
              </w:rPr>
            </w:pPr>
            <w:proofErr w:type="spellStart"/>
            <w:r w:rsidRPr="00BA48BC">
              <w:rPr>
                <w:sz w:val="24"/>
              </w:rPr>
              <w:t>Kodangal</w:t>
            </w:r>
            <w:proofErr w:type="spellEnd"/>
            <w:r w:rsidRPr="00BA48BC">
              <w:rPr>
                <w:sz w:val="24"/>
              </w:rPr>
              <w:t xml:space="preserve"> Farmers Services Producer Company Limited (KFSPCL)</w:t>
            </w:r>
          </w:p>
        </w:tc>
        <w:tc>
          <w:tcPr>
            <w:tcW w:w="1648" w:type="pct"/>
            <w:tcBorders>
              <w:right w:val="single" w:sz="4" w:space="0" w:color="auto"/>
            </w:tcBorders>
          </w:tcPr>
          <w:p w14:paraId="2CE1CB1B" w14:textId="77777777" w:rsidR="00FD2F54" w:rsidRPr="00BA48BC" w:rsidRDefault="00FD2F54" w:rsidP="00EE558C">
            <w:pPr>
              <w:pStyle w:val="TableParagraph"/>
              <w:spacing w:before="63" w:line="276" w:lineRule="auto"/>
              <w:ind w:left="108"/>
              <w:rPr>
                <w:sz w:val="24"/>
              </w:rPr>
            </w:pPr>
            <w:proofErr w:type="spellStart"/>
            <w:r w:rsidRPr="00BA48BC">
              <w:rPr>
                <w:sz w:val="24"/>
              </w:rPr>
              <w:t>Kodangal</w:t>
            </w:r>
            <w:proofErr w:type="spellEnd"/>
            <w:r w:rsidRPr="00BA48BC">
              <w:rPr>
                <w:sz w:val="24"/>
              </w:rPr>
              <w:t>, Mahbubnagar district, Telangana</w:t>
            </w:r>
          </w:p>
        </w:tc>
      </w:tr>
      <w:tr w:rsidR="00FD2F54" w:rsidRPr="00BA48BC" w14:paraId="5F5FF05B" w14:textId="77777777" w:rsidTr="004634F6">
        <w:trPr>
          <w:trHeight w:val="432"/>
        </w:trPr>
        <w:tc>
          <w:tcPr>
            <w:tcW w:w="239" w:type="pct"/>
            <w:tcBorders>
              <w:left w:val="single" w:sz="4" w:space="0" w:color="auto"/>
            </w:tcBorders>
            <w:vAlign w:val="center"/>
          </w:tcPr>
          <w:p w14:paraId="53101849" w14:textId="77777777" w:rsidR="00FD2F54" w:rsidRPr="00BA48BC" w:rsidRDefault="00FD2F54" w:rsidP="00EE558C">
            <w:pPr>
              <w:pStyle w:val="TableParagraph"/>
              <w:spacing w:before="25" w:line="276" w:lineRule="auto"/>
              <w:ind w:right="73"/>
              <w:jc w:val="center"/>
              <w:rPr>
                <w:sz w:val="24"/>
              </w:rPr>
            </w:pPr>
            <w:r w:rsidRPr="00BA48BC">
              <w:rPr>
                <w:sz w:val="24"/>
              </w:rPr>
              <w:t>4</w:t>
            </w:r>
          </w:p>
        </w:tc>
        <w:tc>
          <w:tcPr>
            <w:tcW w:w="793" w:type="pct"/>
            <w:vAlign w:val="center"/>
          </w:tcPr>
          <w:p w14:paraId="2B8079D1" w14:textId="77777777" w:rsidR="00FD2F54" w:rsidRPr="00BA48BC" w:rsidRDefault="00FD2F54" w:rsidP="00EE558C">
            <w:pPr>
              <w:pStyle w:val="TableParagraph"/>
              <w:spacing w:before="25" w:line="276" w:lineRule="auto"/>
              <w:ind w:left="108"/>
              <w:rPr>
                <w:sz w:val="24"/>
              </w:rPr>
            </w:pPr>
            <w:r w:rsidRPr="00BA48BC">
              <w:rPr>
                <w:sz w:val="24"/>
              </w:rPr>
              <w:t>Agriculture</w:t>
            </w:r>
          </w:p>
        </w:tc>
        <w:tc>
          <w:tcPr>
            <w:tcW w:w="2320" w:type="pct"/>
          </w:tcPr>
          <w:p w14:paraId="7ACE23D5" w14:textId="77777777" w:rsidR="00FD2F54" w:rsidRPr="00BA48BC" w:rsidRDefault="00FD2F54" w:rsidP="00EE558C">
            <w:pPr>
              <w:pStyle w:val="TableParagraph"/>
              <w:spacing w:line="276" w:lineRule="auto"/>
              <w:ind w:left="108"/>
              <w:rPr>
                <w:sz w:val="24"/>
              </w:rPr>
            </w:pPr>
            <w:r w:rsidRPr="00BA48BC">
              <w:rPr>
                <w:sz w:val="24"/>
              </w:rPr>
              <w:t>Santhosha Women Farmers Producer Company Limited (SWFPCL)</w:t>
            </w:r>
          </w:p>
        </w:tc>
        <w:tc>
          <w:tcPr>
            <w:tcW w:w="1648" w:type="pct"/>
            <w:tcBorders>
              <w:right w:val="single" w:sz="4" w:space="0" w:color="auto"/>
            </w:tcBorders>
          </w:tcPr>
          <w:p w14:paraId="5141AB92" w14:textId="77777777" w:rsidR="00FD2F54" w:rsidRPr="00BA48BC" w:rsidRDefault="00FD2F54" w:rsidP="00EE558C">
            <w:pPr>
              <w:pStyle w:val="TableParagraph"/>
              <w:spacing w:before="66" w:line="276" w:lineRule="auto"/>
              <w:ind w:left="108"/>
              <w:rPr>
                <w:sz w:val="24"/>
              </w:rPr>
            </w:pPr>
            <w:proofErr w:type="spellStart"/>
            <w:r w:rsidRPr="00BA48BC">
              <w:rPr>
                <w:sz w:val="24"/>
              </w:rPr>
              <w:t>Jagadevpur</w:t>
            </w:r>
            <w:proofErr w:type="spellEnd"/>
            <w:r w:rsidRPr="00BA48BC">
              <w:rPr>
                <w:sz w:val="24"/>
              </w:rPr>
              <w:t>, Medak district, Telangana</w:t>
            </w:r>
          </w:p>
        </w:tc>
      </w:tr>
      <w:tr w:rsidR="00FD2F54" w:rsidRPr="00BA48BC" w14:paraId="0B24B822" w14:textId="77777777" w:rsidTr="004634F6">
        <w:trPr>
          <w:trHeight w:val="346"/>
        </w:trPr>
        <w:tc>
          <w:tcPr>
            <w:tcW w:w="239" w:type="pct"/>
            <w:tcBorders>
              <w:left w:val="single" w:sz="4" w:space="0" w:color="auto"/>
            </w:tcBorders>
            <w:vAlign w:val="center"/>
          </w:tcPr>
          <w:p w14:paraId="7E94B79C" w14:textId="77777777" w:rsidR="00FD2F54" w:rsidRPr="00BA48BC" w:rsidRDefault="00FD2F54" w:rsidP="00EE558C">
            <w:pPr>
              <w:pStyle w:val="TableParagraph"/>
              <w:spacing w:before="25" w:line="276" w:lineRule="auto"/>
              <w:ind w:right="73"/>
              <w:jc w:val="center"/>
              <w:rPr>
                <w:sz w:val="24"/>
              </w:rPr>
            </w:pPr>
            <w:r w:rsidRPr="00BA48BC">
              <w:rPr>
                <w:sz w:val="24"/>
              </w:rPr>
              <w:t>5</w:t>
            </w:r>
          </w:p>
        </w:tc>
        <w:tc>
          <w:tcPr>
            <w:tcW w:w="793" w:type="pct"/>
            <w:vAlign w:val="center"/>
          </w:tcPr>
          <w:p w14:paraId="2A54D2BC"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Pr>
          <w:p w14:paraId="132541E7" w14:textId="77777777" w:rsidR="00FD2F54" w:rsidRPr="00BA48BC" w:rsidRDefault="00FD2F54" w:rsidP="00EE558C">
            <w:pPr>
              <w:pStyle w:val="TableParagraph"/>
              <w:spacing w:line="276" w:lineRule="auto"/>
              <w:ind w:left="108"/>
              <w:rPr>
                <w:sz w:val="24"/>
              </w:rPr>
            </w:pPr>
            <w:r w:rsidRPr="00BA48BC">
              <w:rPr>
                <w:sz w:val="24"/>
              </w:rPr>
              <w:t>Shreeja Mahila Milk Producer Company Limited (SMMPCL)</w:t>
            </w:r>
          </w:p>
        </w:tc>
        <w:tc>
          <w:tcPr>
            <w:tcW w:w="1648" w:type="pct"/>
            <w:tcBorders>
              <w:right w:val="single" w:sz="4" w:space="0" w:color="auto"/>
            </w:tcBorders>
          </w:tcPr>
          <w:p w14:paraId="175DF8F6" w14:textId="77777777" w:rsidR="00FD2F54" w:rsidRPr="00BA48BC" w:rsidRDefault="00FD2F54" w:rsidP="00EE558C">
            <w:pPr>
              <w:pStyle w:val="TableParagraph"/>
              <w:spacing w:before="25" w:line="276" w:lineRule="auto"/>
              <w:ind w:left="108"/>
              <w:rPr>
                <w:sz w:val="24"/>
              </w:rPr>
            </w:pPr>
            <w:r w:rsidRPr="00BA48BC">
              <w:rPr>
                <w:sz w:val="24"/>
              </w:rPr>
              <w:t>New Indira Nagar, Tirupati district, A.P.</w:t>
            </w:r>
          </w:p>
        </w:tc>
      </w:tr>
      <w:tr w:rsidR="00FD2F54" w:rsidRPr="00BA48BC" w14:paraId="669835E3" w14:textId="77777777" w:rsidTr="004634F6">
        <w:trPr>
          <w:trHeight w:val="346"/>
        </w:trPr>
        <w:tc>
          <w:tcPr>
            <w:tcW w:w="239" w:type="pct"/>
            <w:tcBorders>
              <w:left w:val="single" w:sz="4" w:space="0" w:color="auto"/>
            </w:tcBorders>
            <w:vAlign w:val="center"/>
          </w:tcPr>
          <w:p w14:paraId="1AB89DC3" w14:textId="77777777" w:rsidR="00FD2F54" w:rsidRPr="00BA48BC" w:rsidRDefault="00FD2F54" w:rsidP="00EE558C">
            <w:pPr>
              <w:pStyle w:val="TableParagraph"/>
              <w:spacing w:before="25" w:line="276" w:lineRule="auto"/>
              <w:ind w:right="73"/>
              <w:jc w:val="center"/>
              <w:rPr>
                <w:sz w:val="24"/>
              </w:rPr>
            </w:pPr>
            <w:r w:rsidRPr="00BA48BC">
              <w:rPr>
                <w:sz w:val="24"/>
              </w:rPr>
              <w:t>6</w:t>
            </w:r>
          </w:p>
        </w:tc>
        <w:tc>
          <w:tcPr>
            <w:tcW w:w="793" w:type="pct"/>
            <w:vAlign w:val="center"/>
          </w:tcPr>
          <w:p w14:paraId="3788F82A"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Pr>
          <w:p w14:paraId="1CA53130" w14:textId="77777777" w:rsidR="00FD2F54" w:rsidRPr="00BA48BC" w:rsidRDefault="00FD2F54" w:rsidP="00EE558C">
            <w:pPr>
              <w:pStyle w:val="TableParagraph"/>
              <w:spacing w:line="276" w:lineRule="auto"/>
              <w:ind w:left="108"/>
              <w:rPr>
                <w:sz w:val="24"/>
              </w:rPr>
            </w:pPr>
            <w:r w:rsidRPr="00BA48BC">
              <w:rPr>
                <w:sz w:val="24"/>
              </w:rPr>
              <w:t>Karimnagar</w:t>
            </w:r>
            <w:r w:rsidRPr="00BA48BC">
              <w:t xml:space="preserve"> </w:t>
            </w:r>
            <w:r w:rsidRPr="00BA48BC">
              <w:rPr>
                <w:sz w:val="24"/>
              </w:rPr>
              <w:t>Milk Producer Company Limited (KMPCL)</w:t>
            </w:r>
          </w:p>
        </w:tc>
        <w:tc>
          <w:tcPr>
            <w:tcW w:w="1648" w:type="pct"/>
            <w:tcBorders>
              <w:right w:val="single" w:sz="4" w:space="0" w:color="auto"/>
            </w:tcBorders>
          </w:tcPr>
          <w:p w14:paraId="085CAE52" w14:textId="77777777" w:rsidR="00FD2F54" w:rsidRPr="00BA48BC" w:rsidRDefault="00FD2F54" w:rsidP="00EE558C">
            <w:pPr>
              <w:pStyle w:val="TableParagraph"/>
              <w:spacing w:before="25" w:line="276" w:lineRule="auto"/>
              <w:ind w:left="108"/>
              <w:rPr>
                <w:sz w:val="24"/>
                <w:szCs w:val="24"/>
              </w:rPr>
            </w:pPr>
            <w:proofErr w:type="spellStart"/>
            <w:r w:rsidRPr="00BA48BC">
              <w:rPr>
                <w:sz w:val="24"/>
                <w:szCs w:val="24"/>
                <w:shd w:val="clear" w:color="auto" w:fill="FFFFFF"/>
              </w:rPr>
              <w:t>Padmanagar</w:t>
            </w:r>
            <w:proofErr w:type="spellEnd"/>
            <w:r w:rsidRPr="00BA48BC">
              <w:rPr>
                <w:sz w:val="24"/>
                <w:szCs w:val="24"/>
                <w:shd w:val="clear" w:color="auto" w:fill="FFFFFF"/>
              </w:rPr>
              <w:t>, Karimnagar district, Telangana</w:t>
            </w:r>
          </w:p>
        </w:tc>
      </w:tr>
      <w:tr w:rsidR="00FD2F54" w:rsidRPr="00BA48BC" w14:paraId="201C80AF" w14:textId="77777777" w:rsidTr="004634F6">
        <w:trPr>
          <w:trHeight w:val="346"/>
        </w:trPr>
        <w:tc>
          <w:tcPr>
            <w:tcW w:w="239" w:type="pct"/>
            <w:tcBorders>
              <w:left w:val="single" w:sz="4" w:space="0" w:color="auto"/>
            </w:tcBorders>
            <w:vAlign w:val="center"/>
          </w:tcPr>
          <w:p w14:paraId="785824D8" w14:textId="77777777" w:rsidR="00FD2F54" w:rsidRPr="00BA48BC" w:rsidRDefault="00FD2F54" w:rsidP="00EE558C">
            <w:pPr>
              <w:pStyle w:val="TableParagraph"/>
              <w:spacing w:before="25" w:line="276" w:lineRule="auto"/>
              <w:ind w:right="73"/>
              <w:jc w:val="center"/>
              <w:rPr>
                <w:sz w:val="24"/>
              </w:rPr>
            </w:pPr>
            <w:r w:rsidRPr="00BA48BC">
              <w:rPr>
                <w:sz w:val="24"/>
              </w:rPr>
              <w:t>7</w:t>
            </w:r>
          </w:p>
        </w:tc>
        <w:tc>
          <w:tcPr>
            <w:tcW w:w="793" w:type="pct"/>
            <w:vAlign w:val="center"/>
          </w:tcPr>
          <w:p w14:paraId="688A7B6F"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Pr>
          <w:p w14:paraId="23AE5307" w14:textId="77777777" w:rsidR="00FD2F54" w:rsidRPr="00BA48BC" w:rsidRDefault="00FD2F54" w:rsidP="00EE558C">
            <w:pPr>
              <w:pStyle w:val="TableParagraph"/>
              <w:spacing w:line="276" w:lineRule="auto"/>
              <w:ind w:left="108"/>
              <w:rPr>
                <w:sz w:val="24"/>
              </w:rPr>
            </w:pPr>
            <w:r w:rsidRPr="00BA48BC">
              <w:rPr>
                <w:sz w:val="24"/>
              </w:rPr>
              <w:t>Sangam Milk Producer Company Limited (SMPCL)</w:t>
            </w:r>
          </w:p>
        </w:tc>
        <w:tc>
          <w:tcPr>
            <w:tcW w:w="1648" w:type="pct"/>
            <w:tcBorders>
              <w:right w:val="single" w:sz="4" w:space="0" w:color="auto"/>
            </w:tcBorders>
          </w:tcPr>
          <w:p w14:paraId="71B3F720" w14:textId="77777777" w:rsidR="00FD2F54" w:rsidRPr="00BA48BC" w:rsidRDefault="00FD2F54" w:rsidP="00EE558C">
            <w:pPr>
              <w:pStyle w:val="TableParagraph"/>
              <w:spacing w:before="25" w:line="276" w:lineRule="auto"/>
              <w:ind w:left="108"/>
              <w:rPr>
                <w:sz w:val="24"/>
              </w:rPr>
            </w:pPr>
            <w:r w:rsidRPr="00BA48BC">
              <w:rPr>
                <w:sz w:val="24"/>
              </w:rPr>
              <w:t>Jagarlamudi, Guntur district, A.P.</w:t>
            </w:r>
          </w:p>
        </w:tc>
      </w:tr>
      <w:tr w:rsidR="00FD2F54" w:rsidRPr="00BA48BC" w14:paraId="5A78EE74" w14:textId="77777777" w:rsidTr="004634F6">
        <w:trPr>
          <w:trHeight w:val="346"/>
        </w:trPr>
        <w:tc>
          <w:tcPr>
            <w:tcW w:w="239" w:type="pct"/>
            <w:tcBorders>
              <w:left w:val="single" w:sz="4" w:space="0" w:color="auto"/>
              <w:bottom w:val="single" w:sz="4" w:space="0" w:color="auto"/>
            </w:tcBorders>
            <w:vAlign w:val="center"/>
          </w:tcPr>
          <w:p w14:paraId="00818F5F" w14:textId="77777777" w:rsidR="00FD2F54" w:rsidRPr="00BA48BC" w:rsidRDefault="00FD2F54" w:rsidP="00EE558C">
            <w:pPr>
              <w:pStyle w:val="TableParagraph"/>
              <w:spacing w:before="25" w:line="276" w:lineRule="auto"/>
              <w:ind w:right="73"/>
              <w:jc w:val="center"/>
              <w:rPr>
                <w:sz w:val="24"/>
              </w:rPr>
            </w:pPr>
            <w:r w:rsidRPr="00BA48BC">
              <w:rPr>
                <w:sz w:val="24"/>
              </w:rPr>
              <w:t>8</w:t>
            </w:r>
          </w:p>
        </w:tc>
        <w:tc>
          <w:tcPr>
            <w:tcW w:w="793" w:type="pct"/>
            <w:tcBorders>
              <w:bottom w:val="single" w:sz="4" w:space="0" w:color="auto"/>
            </w:tcBorders>
            <w:vAlign w:val="center"/>
          </w:tcPr>
          <w:p w14:paraId="0565E22B" w14:textId="77777777" w:rsidR="00FD2F54" w:rsidRPr="00BA48BC" w:rsidRDefault="00FD2F54" w:rsidP="00EE558C">
            <w:pPr>
              <w:pStyle w:val="TableParagraph"/>
              <w:spacing w:before="25" w:line="276" w:lineRule="auto"/>
              <w:ind w:left="108"/>
              <w:rPr>
                <w:sz w:val="24"/>
              </w:rPr>
            </w:pPr>
            <w:r w:rsidRPr="00BA48BC">
              <w:rPr>
                <w:sz w:val="24"/>
              </w:rPr>
              <w:t>Dairy</w:t>
            </w:r>
          </w:p>
        </w:tc>
        <w:tc>
          <w:tcPr>
            <w:tcW w:w="2320" w:type="pct"/>
            <w:tcBorders>
              <w:bottom w:val="single" w:sz="4" w:space="0" w:color="auto"/>
            </w:tcBorders>
          </w:tcPr>
          <w:p w14:paraId="30A23702" w14:textId="77777777" w:rsidR="00FD2F54" w:rsidRPr="00BA48BC" w:rsidRDefault="00FD2F54" w:rsidP="00EE558C">
            <w:pPr>
              <w:pStyle w:val="TableParagraph"/>
              <w:spacing w:line="276" w:lineRule="auto"/>
              <w:ind w:left="108"/>
              <w:rPr>
                <w:sz w:val="24"/>
              </w:rPr>
            </w:pPr>
            <w:r w:rsidRPr="00BA48BC">
              <w:rPr>
                <w:sz w:val="24"/>
              </w:rPr>
              <w:t>Sri Vijaya Visakha Milk Producers Company Limited (SVVMPCL)</w:t>
            </w:r>
          </w:p>
        </w:tc>
        <w:tc>
          <w:tcPr>
            <w:tcW w:w="1648" w:type="pct"/>
            <w:tcBorders>
              <w:bottom w:val="single" w:sz="4" w:space="0" w:color="auto"/>
              <w:right w:val="single" w:sz="4" w:space="0" w:color="auto"/>
            </w:tcBorders>
          </w:tcPr>
          <w:p w14:paraId="5A250D37" w14:textId="77777777" w:rsidR="00FD2F54" w:rsidRPr="00BA48BC" w:rsidRDefault="00FD2F54" w:rsidP="00EE558C">
            <w:pPr>
              <w:pStyle w:val="TableParagraph"/>
              <w:spacing w:before="25" w:line="276" w:lineRule="auto"/>
              <w:ind w:left="108"/>
              <w:rPr>
                <w:sz w:val="24"/>
              </w:rPr>
            </w:pPr>
            <w:proofErr w:type="spellStart"/>
            <w:r w:rsidRPr="00BA48BC">
              <w:rPr>
                <w:sz w:val="24"/>
              </w:rPr>
              <w:t>Gajuwaka</w:t>
            </w:r>
            <w:proofErr w:type="spellEnd"/>
            <w:r w:rsidRPr="00BA48BC">
              <w:rPr>
                <w:sz w:val="24"/>
              </w:rPr>
              <w:t xml:space="preserve"> Mandal, Visakhapatnam, A.P.</w:t>
            </w:r>
          </w:p>
        </w:tc>
      </w:tr>
    </w:tbl>
    <w:p w14:paraId="6C60B6D9" w14:textId="77777777" w:rsidR="003D130A" w:rsidRPr="00BA48BC" w:rsidRDefault="003D130A" w:rsidP="00C36D71">
      <w:pPr>
        <w:pStyle w:val="ListParagraph"/>
        <w:numPr>
          <w:ilvl w:val="0"/>
          <w:numId w:val="6"/>
        </w:numPr>
        <w:spacing w:after="0"/>
        <w:rPr>
          <w:rFonts w:ascii="Times New Roman" w:hAnsi="Times New Roman" w:cs="Times New Roman"/>
          <w:b/>
          <w:sz w:val="24"/>
          <w:szCs w:val="24"/>
        </w:rPr>
      </w:pPr>
      <w:r w:rsidRPr="00BA48BC">
        <w:rPr>
          <w:rFonts w:ascii="Times New Roman" w:hAnsi="Times New Roman" w:cs="Times New Roman"/>
          <w:b/>
          <w:sz w:val="24"/>
          <w:szCs w:val="24"/>
        </w:rPr>
        <w:lastRenderedPageBreak/>
        <w:t>Selection of indicators</w:t>
      </w:r>
    </w:p>
    <w:p w14:paraId="55539373" w14:textId="77777777" w:rsidR="003D130A" w:rsidRPr="00BA48BC" w:rsidRDefault="003D130A" w:rsidP="003D130A">
      <w:pPr>
        <w:spacing w:before="0"/>
        <w:ind w:firstLine="720"/>
        <w:rPr>
          <w:rFonts w:ascii="Times New Roman" w:hAnsi="Times New Roman" w:cs="Times New Roman"/>
          <w:sz w:val="24"/>
          <w:szCs w:val="24"/>
        </w:rPr>
      </w:pPr>
      <w:r w:rsidRPr="00BA48BC">
        <w:rPr>
          <w:rFonts w:ascii="Times New Roman" w:hAnsi="Times New Roman" w:cs="Times New Roman"/>
          <w:sz w:val="24"/>
          <w:szCs w:val="24"/>
          <w:lang w:bidi="hi-IN"/>
        </w:rPr>
        <w:t xml:space="preserve">Customer satisfaction refers to the degree of satisfaction or contentment expressed by the recipients of FPC products/ services. </w:t>
      </w:r>
      <w:r w:rsidRPr="00BA48BC">
        <w:rPr>
          <w:rFonts w:ascii="Times New Roman" w:hAnsi="Times New Roman" w:cs="Times New Roman"/>
          <w:sz w:val="24"/>
          <w:szCs w:val="24"/>
        </w:rPr>
        <w:t xml:space="preserve">Customers for the study are those who are directly associated with the purchase and use of a product / service from the FPC. The customer satisfaction towards the FPC products / services was measured by </w:t>
      </w:r>
      <w:r w:rsidR="00704AC9" w:rsidRPr="00BA48BC">
        <w:rPr>
          <w:rFonts w:ascii="Times New Roman" w:hAnsi="Times New Roman" w:cs="Times New Roman"/>
          <w:sz w:val="24"/>
          <w:szCs w:val="24"/>
        </w:rPr>
        <w:t>using</w:t>
      </w:r>
      <w:r w:rsidRPr="00BA48BC">
        <w:rPr>
          <w:rFonts w:ascii="Times New Roman" w:hAnsi="Times New Roman" w:cs="Times New Roman"/>
          <w:sz w:val="24"/>
          <w:szCs w:val="24"/>
        </w:rPr>
        <w:t xml:space="preserve"> an index which includes five major components derived from the ‘SERVQUAL’ framework developed by </w:t>
      </w:r>
      <w:r w:rsidRPr="00BA48BC">
        <w:rPr>
          <w:rFonts w:ascii="Times New Roman" w:hAnsi="Times New Roman" w:cs="Times New Roman"/>
          <w:color w:val="0070C0"/>
          <w:sz w:val="24"/>
          <w:szCs w:val="24"/>
        </w:rPr>
        <w:t xml:space="preserve">Parasuraman </w:t>
      </w:r>
      <w:r w:rsidRPr="00BA48BC">
        <w:rPr>
          <w:rFonts w:ascii="Times New Roman" w:hAnsi="Times New Roman" w:cs="Times New Roman"/>
          <w:iCs/>
          <w:color w:val="0070C0"/>
          <w:sz w:val="24"/>
          <w:szCs w:val="24"/>
        </w:rPr>
        <w:t>et al</w:t>
      </w:r>
      <w:r w:rsidRPr="00BA48BC">
        <w:rPr>
          <w:rFonts w:ascii="Times New Roman" w:hAnsi="Times New Roman" w:cs="Times New Roman"/>
          <w:i/>
          <w:iCs/>
          <w:color w:val="0070C0"/>
          <w:sz w:val="24"/>
          <w:szCs w:val="24"/>
        </w:rPr>
        <w:t xml:space="preserve">. </w:t>
      </w:r>
      <w:r w:rsidRPr="00BA48BC">
        <w:rPr>
          <w:rFonts w:ascii="Times New Roman" w:hAnsi="Times New Roman" w:cs="Times New Roman"/>
          <w:iCs/>
          <w:color w:val="0070C0"/>
          <w:sz w:val="24"/>
          <w:szCs w:val="24"/>
        </w:rPr>
        <w:t>(1</w:t>
      </w:r>
      <w:r w:rsidRPr="00BA48BC">
        <w:rPr>
          <w:rFonts w:ascii="Times New Roman" w:hAnsi="Times New Roman" w:cs="Times New Roman"/>
          <w:color w:val="0070C0"/>
          <w:sz w:val="24"/>
          <w:szCs w:val="24"/>
        </w:rPr>
        <w:t>988)</w:t>
      </w:r>
      <w:r w:rsidR="00436A50" w:rsidRPr="00BA48BC">
        <w:rPr>
          <w:rFonts w:ascii="Times New Roman" w:hAnsi="Times New Roman" w:cs="Times New Roman"/>
          <w:sz w:val="24"/>
          <w:szCs w:val="24"/>
          <w:vertAlign w:val="superscript"/>
        </w:rPr>
        <w:t>11</w:t>
      </w:r>
      <w:r w:rsidRPr="00BA48BC">
        <w:rPr>
          <w:rFonts w:ascii="Times New Roman" w:hAnsi="Times New Roman" w:cs="Times New Roman"/>
          <w:sz w:val="24"/>
          <w:szCs w:val="24"/>
        </w:rPr>
        <w:t>. They are namely (1) Tangibles, (2) Responsiveness, (3) Reliability, (4) Assurance, and (5) Empathy. The operationalization of the major components was given below;</w:t>
      </w:r>
    </w:p>
    <w:tbl>
      <w:tblPr>
        <w:tblStyle w:val="TableGrid"/>
        <w:tblW w:w="0" w:type="auto"/>
        <w:tblLook w:val="0420" w:firstRow="1" w:lastRow="0" w:firstColumn="0" w:lastColumn="0" w:noHBand="0" w:noVBand="1"/>
      </w:tblPr>
      <w:tblGrid>
        <w:gridCol w:w="1736"/>
        <w:gridCol w:w="3222"/>
        <w:gridCol w:w="4061"/>
      </w:tblGrid>
      <w:tr w:rsidR="003D130A" w:rsidRPr="00BA48BC" w14:paraId="4E727280" w14:textId="77777777" w:rsidTr="00777ACA">
        <w:trPr>
          <w:trHeight w:val="503"/>
        </w:trPr>
        <w:tc>
          <w:tcPr>
            <w:tcW w:w="0" w:type="auto"/>
            <w:vAlign w:val="center"/>
            <w:hideMark/>
          </w:tcPr>
          <w:p w14:paraId="024C7CEC" w14:textId="77777777" w:rsidR="003D130A" w:rsidRPr="00BA48BC" w:rsidRDefault="003D130A" w:rsidP="00EE558C">
            <w:pPr>
              <w:pStyle w:val="NoSpacing"/>
              <w:spacing w:line="276" w:lineRule="auto"/>
              <w:jc w:val="center"/>
              <w:rPr>
                <w:rFonts w:ascii="Times New Roman" w:hAnsi="Times New Roman" w:cs="Times New Roman"/>
                <w:b/>
                <w:sz w:val="24"/>
                <w:szCs w:val="24"/>
              </w:rPr>
            </w:pPr>
            <w:r w:rsidRPr="00BA48BC">
              <w:rPr>
                <w:rFonts w:ascii="Times New Roman" w:hAnsi="Times New Roman" w:cs="Times New Roman"/>
                <w:b/>
                <w:sz w:val="24"/>
                <w:szCs w:val="24"/>
                <w:lang w:val="en-IN"/>
              </w:rPr>
              <w:t>Dimension</w:t>
            </w:r>
          </w:p>
        </w:tc>
        <w:tc>
          <w:tcPr>
            <w:tcW w:w="3226" w:type="dxa"/>
            <w:vAlign w:val="center"/>
            <w:hideMark/>
          </w:tcPr>
          <w:p w14:paraId="4B610A8D" w14:textId="77777777" w:rsidR="003D130A" w:rsidRPr="00BA48BC" w:rsidRDefault="003D130A" w:rsidP="00EE558C">
            <w:pPr>
              <w:pStyle w:val="NoSpacing"/>
              <w:spacing w:line="276" w:lineRule="auto"/>
              <w:jc w:val="center"/>
              <w:rPr>
                <w:rFonts w:ascii="Times New Roman" w:hAnsi="Times New Roman" w:cs="Times New Roman"/>
                <w:b/>
                <w:sz w:val="24"/>
                <w:szCs w:val="24"/>
              </w:rPr>
            </w:pPr>
            <w:r w:rsidRPr="00BA48BC">
              <w:rPr>
                <w:rFonts w:ascii="Times New Roman" w:hAnsi="Times New Roman" w:cs="Times New Roman"/>
                <w:b/>
                <w:sz w:val="24"/>
                <w:szCs w:val="24"/>
                <w:lang w:val="en-IN"/>
              </w:rPr>
              <w:t>Description</w:t>
            </w:r>
          </w:p>
        </w:tc>
        <w:tc>
          <w:tcPr>
            <w:tcW w:w="4067" w:type="dxa"/>
            <w:vAlign w:val="center"/>
            <w:hideMark/>
          </w:tcPr>
          <w:p w14:paraId="64DEB27E" w14:textId="77777777" w:rsidR="003D130A" w:rsidRPr="00BA48BC" w:rsidRDefault="003D130A" w:rsidP="00EE558C">
            <w:pPr>
              <w:pStyle w:val="NoSpacing"/>
              <w:spacing w:line="276" w:lineRule="auto"/>
              <w:jc w:val="center"/>
              <w:rPr>
                <w:rFonts w:ascii="Times New Roman" w:hAnsi="Times New Roman" w:cs="Times New Roman"/>
                <w:b/>
                <w:sz w:val="24"/>
                <w:szCs w:val="24"/>
              </w:rPr>
            </w:pPr>
            <w:r w:rsidRPr="00BA48BC">
              <w:rPr>
                <w:rFonts w:ascii="Times New Roman" w:hAnsi="Times New Roman" w:cs="Times New Roman"/>
                <w:b/>
                <w:sz w:val="24"/>
                <w:szCs w:val="24"/>
                <w:lang w:val="en-IN"/>
              </w:rPr>
              <w:t>Sub-dimensions</w:t>
            </w:r>
          </w:p>
        </w:tc>
      </w:tr>
      <w:tr w:rsidR="003D130A" w:rsidRPr="00BA48BC" w14:paraId="60CC2257" w14:textId="77777777" w:rsidTr="00777ACA">
        <w:trPr>
          <w:trHeight w:val="782"/>
        </w:trPr>
        <w:tc>
          <w:tcPr>
            <w:tcW w:w="0" w:type="auto"/>
            <w:vAlign w:val="center"/>
            <w:hideMark/>
          </w:tcPr>
          <w:p w14:paraId="179F7377"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Tangibles</w:t>
            </w:r>
          </w:p>
        </w:tc>
        <w:tc>
          <w:tcPr>
            <w:tcW w:w="3226" w:type="dxa"/>
            <w:vAlign w:val="center"/>
            <w:hideMark/>
          </w:tcPr>
          <w:p w14:paraId="5B1D6356"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It refers to the assessment of observable parameters in relation to the quality of service being offered to the customers</w:t>
            </w:r>
          </w:p>
        </w:tc>
        <w:tc>
          <w:tcPr>
            <w:tcW w:w="4067" w:type="dxa"/>
            <w:vAlign w:val="center"/>
            <w:hideMark/>
          </w:tcPr>
          <w:p w14:paraId="1178C28C"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Quality, packaging, grading, physical facilities, etc.</w:t>
            </w:r>
          </w:p>
        </w:tc>
      </w:tr>
      <w:tr w:rsidR="003D130A" w:rsidRPr="00BA48BC" w14:paraId="7EB88963" w14:textId="77777777" w:rsidTr="00777ACA">
        <w:trPr>
          <w:trHeight w:val="645"/>
        </w:trPr>
        <w:tc>
          <w:tcPr>
            <w:tcW w:w="0" w:type="auto"/>
            <w:vAlign w:val="center"/>
            <w:hideMark/>
          </w:tcPr>
          <w:p w14:paraId="124E4743"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Reliability</w:t>
            </w:r>
          </w:p>
        </w:tc>
        <w:tc>
          <w:tcPr>
            <w:tcW w:w="3226" w:type="dxa"/>
            <w:vAlign w:val="center"/>
            <w:hideMark/>
          </w:tcPr>
          <w:p w14:paraId="60109F25"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It is </w:t>
            </w:r>
            <w:r w:rsidR="00777ACA" w:rsidRPr="00BA48BC">
              <w:rPr>
                <w:rFonts w:ascii="Times New Roman" w:hAnsi="Times New Roman" w:cs="Times New Roman"/>
                <w:sz w:val="24"/>
                <w:szCs w:val="24"/>
              </w:rPr>
              <w:t>operationalized</w:t>
            </w:r>
            <w:r w:rsidRPr="00BA48BC">
              <w:rPr>
                <w:rFonts w:ascii="Times New Roman" w:hAnsi="Times New Roman" w:cs="Times New Roman"/>
                <w:sz w:val="24"/>
                <w:szCs w:val="24"/>
              </w:rPr>
              <w:t xml:space="preserve"> as the ability of company to provide services adequately and accurately to its customers </w:t>
            </w:r>
          </w:p>
        </w:tc>
        <w:tc>
          <w:tcPr>
            <w:tcW w:w="4067" w:type="dxa"/>
            <w:vAlign w:val="center"/>
            <w:hideMark/>
          </w:tcPr>
          <w:p w14:paraId="78B6250E"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Timely delivery of products, available at all times to customers, maintaining the consistency in services, etc.</w:t>
            </w:r>
          </w:p>
        </w:tc>
      </w:tr>
      <w:tr w:rsidR="003D130A" w:rsidRPr="00BA48BC" w14:paraId="54E99CC7" w14:textId="77777777" w:rsidTr="00777ACA">
        <w:trPr>
          <w:trHeight w:val="1430"/>
        </w:trPr>
        <w:tc>
          <w:tcPr>
            <w:tcW w:w="0" w:type="auto"/>
            <w:vAlign w:val="center"/>
            <w:hideMark/>
          </w:tcPr>
          <w:p w14:paraId="087B8C2F"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Responsiveness</w:t>
            </w:r>
          </w:p>
        </w:tc>
        <w:tc>
          <w:tcPr>
            <w:tcW w:w="3226" w:type="dxa"/>
            <w:vAlign w:val="center"/>
            <w:hideMark/>
          </w:tcPr>
          <w:p w14:paraId="06BDAC3D"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It refers to the company's actions in responding to the customers promptly</w:t>
            </w:r>
          </w:p>
        </w:tc>
        <w:tc>
          <w:tcPr>
            <w:tcW w:w="4067" w:type="dxa"/>
            <w:vAlign w:val="center"/>
            <w:hideMark/>
          </w:tcPr>
          <w:p w14:paraId="35854660"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Company's curiosity at minimizing the difficulties experienced by its customers, grievance redressal, fixing appointments, collecting feedback, etc.</w:t>
            </w:r>
          </w:p>
        </w:tc>
      </w:tr>
      <w:tr w:rsidR="003D130A" w:rsidRPr="00BA48BC" w14:paraId="004BD479" w14:textId="77777777" w:rsidTr="00777ACA">
        <w:trPr>
          <w:trHeight w:val="274"/>
        </w:trPr>
        <w:tc>
          <w:tcPr>
            <w:tcW w:w="0" w:type="auto"/>
            <w:vAlign w:val="center"/>
            <w:hideMark/>
          </w:tcPr>
          <w:p w14:paraId="21305836"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Assurance</w:t>
            </w:r>
          </w:p>
        </w:tc>
        <w:tc>
          <w:tcPr>
            <w:tcW w:w="3226" w:type="dxa"/>
            <w:vAlign w:val="center"/>
            <w:hideMark/>
          </w:tcPr>
          <w:p w14:paraId="56B4C1E5"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It is </w:t>
            </w:r>
            <w:proofErr w:type="spellStart"/>
            <w:r w:rsidRPr="00BA48BC">
              <w:rPr>
                <w:rFonts w:ascii="Times New Roman" w:hAnsi="Times New Roman" w:cs="Times New Roman"/>
                <w:sz w:val="24"/>
                <w:szCs w:val="24"/>
              </w:rPr>
              <w:t>operationalised</w:t>
            </w:r>
            <w:proofErr w:type="spellEnd"/>
            <w:r w:rsidRPr="00BA48BC">
              <w:rPr>
                <w:rFonts w:ascii="Times New Roman" w:hAnsi="Times New Roman" w:cs="Times New Roman"/>
                <w:sz w:val="24"/>
                <w:szCs w:val="24"/>
              </w:rPr>
              <w:t xml:space="preserve"> as the company's ability to foster trust among the customers</w:t>
            </w:r>
          </w:p>
        </w:tc>
        <w:tc>
          <w:tcPr>
            <w:tcW w:w="4067" w:type="dxa"/>
            <w:vAlign w:val="center"/>
            <w:hideMark/>
          </w:tcPr>
          <w:p w14:paraId="6F7F4375"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Ensuring prompt payments, friendliness, sound knowledge of the staff, credibility and security, etc. </w:t>
            </w:r>
          </w:p>
        </w:tc>
      </w:tr>
      <w:tr w:rsidR="003D130A" w:rsidRPr="00BA48BC" w14:paraId="519DCA7D" w14:textId="77777777" w:rsidTr="00777ACA">
        <w:trPr>
          <w:trHeight w:val="444"/>
        </w:trPr>
        <w:tc>
          <w:tcPr>
            <w:tcW w:w="0" w:type="auto"/>
            <w:vAlign w:val="center"/>
            <w:hideMark/>
          </w:tcPr>
          <w:p w14:paraId="7822C7E5" w14:textId="77777777" w:rsidR="003D130A" w:rsidRPr="00BA48BC" w:rsidRDefault="003D130A" w:rsidP="00EE558C">
            <w:pPr>
              <w:pStyle w:val="NoSpacing"/>
              <w:spacing w:line="276" w:lineRule="auto"/>
              <w:jc w:val="center"/>
              <w:rPr>
                <w:rFonts w:ascii="Times New Roman" w:hAnsi="Times New Roman" w:cs="Times New Roman"/>
                <w:sz w:val="24"/>
                <w:szCs w:val="24"/>
              </w:rPr>
            </w:pPr>
            <w:r w:rsidRPr="00BA48BC">
              <w:rPr>
                <w:rFonts w:ascii="Times New Roman" w:hAnsi="Times New Roman" w:cs="Times New Roman"/>
                <w:sz w:val="24"/>
                <w:szCs w:val="24"/>
              </w:rPr>
              <w:t>Empathy</w:t>
            </w:r>
          </w:p>
        </w:tc>
        <w:tc>
          <w:tcPr>
            <w:tcW w:w="3226" w:type="dxa"/>
            <w:vAlign w:val="center"/>
            <w:hideMark/>
          </w:tcPr>
          <w:p w14:paraId="695BA742"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It refers to the company's attention to its customers’ needs</w:t>
            </w:r>
          </w:p>
        </w:tc>
        <w:tc>
          <w:tcPr>
            <w:tcW w:w="4067" w:type="dxa"/>
            <w:vAlign w:val="center"/>
            <w:hideMark/>
          </w:tcPr>
          <w:p w14:paraId="7C2C7BFE" w14:textId="77777777" w:rsidR="003D130A" w:rsidRPr="00BA48BC" w:rsidRDefault="003D130A" w:rsidP="00EE558C">
            <w:pPr>
              <w:pStyle w:val="NoSpacing"/>
              <w:spacing w:line="276" w:lineRule="auto"/>
              <w:rPr>
                <w:rFonts w:ascii="Times New Roman" w:hAnsi="Times New Roman" w:cs="Times New Roman"/>
                <w:sz w:val="24"/>
                <w:szCs w:val="24"/>
              </w:rPr>
            </w:pPr>
            <w:r w:rsidRPr="00BA48BC">
              <w:rPr>
                <w:rFonts w:ascii="Times New Roman" w:hAnsi="Times New Roman" w:cs="Times New Roman"/>
                <w:sz w:val="24"/>
                <w:szCs w:val="24"/>
              </w:rPr>
              <w:t xml:space="preserve">Efforts to identify customer needs, helping them find solutions, solidarity with customers, recognizing regular customers, etc.  </w:t>
            </w:r>
          </w:p>
        </w:tc>
      </w:tr>
    </w:tbl>
    <w:p w14:paraId="2D6E0A22" w14:textId="77777777" w:rsidR="003D130A" w:rsidRPr="00BA48BC" w:rsidRDefault="003D130A" w:rsidP="00C36D71">
      <w:pPr>
        <w:pStyle w:val="Heading2"/>
        <w:numPr>
          <w:ilvl w:val="0"/>
          <w:numId w:val="6"/>
        </w:numPr>
        <w:tabs>
          <w:tab w:val="left" w:pos="821"/>
        </w:tabs>
        <w:spacing w:before="216"/>
      </w:pPr>
      <w:r w:rsidRPr="00BA48BC">
        <w:t>Normalization</w:t>
      </w:r>
      <w:r w:rsidRPr="00BA48BC">
        <w:rPr>
          <w:spacing w:val="-1"/>
        </w:rPr>
        <w:t xml:space="preserve"> </w:t>
      </w:r>
      <w:r w:rsidRPr="00BA48BC">
        <w:t>of</w:t>
      </w:r>
      <w:r w:rsidRPr="00BA48BC">
        <w:rPr>
          <w:spacing w:val="-1"/>
        </w:rPr>
        <w:t xml:space="preserve"> </w:t>
      </w:r>
      <w:r w:rsidRPr="00BA48BC">
        <w:t>data</w:t>
      </w:r>
    </w:p>
    <w:p w14:paraId="71878354" w14:textId="77777777" w:rsidR="003D130A" w:rsidRPr="00BA48BC" w:rsidRDefault="003D130A" w:rsidP="003D130A">
      <w:pPr>
        <w:ind w:firstLine="720"/>
        <w:rPr>
          <w:rFonts w:ascii="Times New Roman" w:hAnsi="Times New Roman" w:cs="Times New Roman"/>
          <w:sz w:val="24"/>
          <w:szCs w:val="24"/>
        </w:rPr>
      </w:pPr>
      <w:r w:rsidRPr="00BA48BC">
        <w:rPr>
          <w:rFonts w:ascii="Times New Roman" w:hAnsi="Times New Roman" w:cs="Times New Roman"/>
          <w:sz w:val="24"/>
          <w:szCs w:val="24"/>
        </w:rPr>
        <w:t xml:space="preserve">In order to ensure consistency and comparability while developing </w:t>
      </w:r>
      <w:r w:rsidR="00D52101" w:rsidRPr="00BA48BC">
        <w:rPr>
          <w:rFonts w:ascii="Times New Roman" w:hAnsi="Times New Roman" w:cs="Times New Roman"/>
          <w:sz w:val="24"/>
          <w:szCs w:val="24"/>
        </w:rPr>
        <w:t>the</w:t>
      </w:r>
      <w:r w:rsidRPr="00BA48BC">
        <w:rPr>
          <w:rFonts w:ascii="Times New Roman" w:hAnsi="Times New Roman" w:cs="Times New Roman"/>
          <w:sz w:val="24"/>
          <w:szCs w:val="24"/>
        </w:rPr>
        <w:t xml:space="preserve"> index, normalization was undertaken</w:t>
      </w:r>
      <w:r w:rsidR="00D52101" w:rsidRPr="00BA48BC">
        <w:rPr>
          <w:rFonts w:ascii="Times New Roman" w:hAnsi="Times New Roman" w:cs="Times New Roman"/>
          <w:sz w:val="24"/>
          <w:szCs w:val="24"/>
        </w:rPr>
        <w:t xml:space="preserve"> using </w:t>
      </w:r>
      <w:r w:rsidRPr="00BA48BC">
        <w:rPr>
          <w:rFonts w:ascii="Times New Roman" w:hAnsi="Times New Roman" w:cs="Times New Roman"/>
          <w:sz w:val="24"/>
          <w:szCs w:val="24"/>
        </w:rPr>
        <w:t xml:space="preserve">Mini-max method to bring all </w:t>
      </w:r>
      <w:r w:rsidR="00D52101" w:rsidRPr="00BA48BC">
        <w:rPr>
          <w:rFonts w:ascii="Times New Roman" w:hAnsi="Times New Roman" w:cs="Times New Roman"/>
          <w:sz w:val="24"/>
          <w:szCs w:val="24"/>
        </w:rPr>
        <w:t xml:space="preserve">the </w:t>
      </w:r>
      <w:r w:rsidRPr="00BA48BC">
        <w:rPr>
          <w:rFonts w:ascii="Times New Roman" w:hAnsi="Times New Roman" w:cs="Times New Roman"/>
          <w:sz w:val="24"/>
          <w:szCs w:val="24"/>
        </w:rPr>
        <w:t>variables within a comparable range of 0 to 1</w:t>
      </w:r>
      <w:r w:rsidR="00640B97" w:rsidRPr="00BA48BC">
        <w:rPr>
          <w:rFonts w:ascii="Times New Roman" w:hAnsi="Times New Roman" w:cs="Times New Roman"/>
          <w:sz w:val="24"/>
          <w:szCs w:val="24"/>
        </w:rPr>
        <w:t xml:space="preserve"> </w:t>
      </w:r>
      <w:r w:rsidR="00640B97" w:rsidRPr="00BA48BC">
        <w:rPr>
          <w:rFonts w:ascii="Times New Roman" w:hAnsi="Times New Roman" w:cs="Times New Roman"/>
          <w:color w:val="0070C0"/>
          <w:sz w:val="24"/>
          <w:szCs w:val="24"/>
        </w:rPr>
        <w:t>(Balaganesh et al</w:t>
      </w:r>
      <w:r w:rsidR="00640B97" w:rsidRPr="00BA48BC">
        <w:rPr>
          <w:rFonts w:ascii="Times New Roman" w:hAnsi="Times New Roman" w:cs="Times New Roman"/>
          <w:i/>
          <w:color w:val="0070C0"/>
          <w:sz w:val="24"/>
          <w:szCs w:val="24"/>
        </w:rPr>
        <w:t>.</w:t>
      </w:r>
      <w:r w:rsidR="00640B97" w:rsidRPr="00BA48BC">
        <w:rPr>
          <w:rFonts w:ascii="Times New Roman" w:hAnsi="Times New Roman" w:cs="Times New Roman"/>
          <w:color w:val="0070C0"/>
          <w:sz w:val="24"/>
          <w:szCs w:val="24"/>
        </w:rPr>
        <w:t xml:space="preserve"> 2020; OECD, 2002; Kale et al. 2016)</w:t>
      </w:r>
      <w:r w:rsidR="00436A50" w:rsidRPr="00BA48BC">
        <w:rPr>
          <w:rFonts w:ascii="Times New Roman" w:hAnsi="Times New Roman" w:cs="Times New Roman"/>
          <w:sz w:val="24"/>
          <w:szCs w:val="24"/>
          <w:vertAlign w:val="superscript"/>
        </w:rPr>
        <w:t>12,13&amp;14</w:t>
      </w:r>
      <w:r w:rsidRPr="00BA48BC">
        <w:rPr>
          <w:rFonts w:ascii="Times New Roman" w:hAnsi="Times New Roman" w:cs="Times New Roman"/>
          <w:sz w:val="24"/>
          <w:szCs w:val="24"/>
        </w:rPr>
        <w:t>. Since, all the indicators identified were showing a positive relationship with the customer satisfaction, the following formula</w:t>
      </w:r>
      <w:r w:rsidR="00D52101" w:rsidRPr="00BA48BC">
        <w:rPr>
          <w:rFonts w:ascii="Times New Roman" w:hAnsi="Times New Roman" w:cs="Times New Roman"/>
          <w:sz w:val="24"/>
          <w:szCs w:val="24"/>
        </w:rPr>
        <w:t xml:space="preserve"> was applied for normalization</w:t>
      </w:r>
      <w:r w:rsidRPr="00BA48BC">
        <w:rPr>
          <w:rFonts w:ascii="Times New Roman" w:hAnsi="Times New Roman" w:cs="Times New Roman"/>
          <w:sz w:val="24"/>
          <w:szCs w:val="24"/>
        </w:rPr>
        <w:t>:</w:t>
      </w:r>
    </w:p>
    <w:p w14:paraId="76C62A91" w14:textId="77777777" w:rsidR="009717DA" w:rsidRPr="00BA48BC" w:rsidRDefault="003D130A" w:rsidP="009717DA">
      <w:pPr>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w:lastRenderedPageBreak/>
            <m:t>U</m:t>
          </m:r>
          <m:r>
            <m:rPr>
              <m:sty m:val="p"/>
            </m:rPr>
            <w:rPr>
              <w:rFonts w:ascii="Cambria Math" w:hAnsi="Cambria Math" w:cs="Times New Roman"/>
              <w:sz w:val="24"/>
              <w:szCs w:val="24"/>
              <w:vertAlign w:val="subscript"/>
            </w:rPr>
            <m:t>ij=</m:t>
          </m:r>
          <m:f>
            <m:fPr>
              <m:ctrlPr>
                <w:rPr>
                  <w:rFonts w:ascii="Cambria Math" w:hAnsi="Cambria Math" w:cs="Times New Roman"/>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ij-</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Min</m:t>
                      </m:r>
                    </m:e>
                    <m:sub>
                      <m:r>
                        <w:rPr>
                          <w:rFonts w:ascii="Cambria Math" w:hAnsi="Cambria Math" w:cs="Times New Roman"/>
                          <w:sz w:val="24"/>
                          <w:szCs w:val="24"/>
                          <w:vertAlign w:val="subscript"/>
                        </w:rPr>
                        <m:t>yi</m:t>
                      </m:r>
                    </m:sub>
                  </m:sSub>
                </m:sub>
              </m:sSub>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Max</m:t>
                  </m:r>
                </m:e>
                <m:sub>
                  <m:r>
                    <w:rPr>
                      <w:rFonts w:ascii="Cambria Math" w:hAnsi="Cambria Math" w:cs="Times New Roman"/>
                      <w:sz w:val="24"/>
                      <w:szCs w:val="24"/>
                      <w:vertAlign w:val="subscript"/>
                    </w:rPr>
                    <m:t>yi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Min</m:t>
                  </m:r>
                </m:e>
                <m:sub>
                  <m:r>
                    <w:rPr>
                      <w:rFonts w:ascii="Cambria Math" w:hAnsi="Cambria Math" w:cs="Times New Roman"/>
                      <w:sz w:val="24"/>
                      <w:szCs w:val="24"/>
                      <w:vertAlign w:val="subscript"/>
                    </w:rPr>
                    <m:t>yj</m:t>
                  </m:r>
                </m:sub>
              </m:sSub>
            </m:den>
          </m:f>
        </m:oMath>
      </m:oMathPara>
    </w:p>
    <w:p w14:paraId="2B5C0306" w14:textId="77777777" w:rsidR="003D130A" w:rsidRPr="00BA48BC" w:rsidRDefault="003D130A" w:rsidP="00640B97">
      <w:pPr>
        <w:spacing w:line="240" w:lineRule="auto"/>
        <w:rPr>
          <w:rFonts w:ascii="Times New Roman" w:eastAsiaTheme="minorEastAsia" w:hAnsi="Times New Roman" w:cs="Times New Roman"/>
          <w:sz w:val="24"/>
          <w:szCs w:val="24"/>
        </w:rPr>
      </w:pPr>
      <w:r w:rsidRPr="00BA48BC">
        <w:rPr>
          <w:rFonts w:ascii="Times New Roman" w:hAnsi="Times New Roman" w:cs="Times New Roman"/>
          <w:sz w:val="24"/>
          <w:szCs w:val="24"/>
        </w:rPr>
        <w:t>Where,</w:t>
      </w:r>
    </w:p>
    <w:p w14:paraId="03ECCAE2" w14:textId="77777777" w:rsidR="003D130A" w:rsidRPr="00BA48BC" w:rsidRDefault="003D130A" w:rsidP="00640B97">
      <w:pPr>
        <w:tabs>
          <w:tab w:val="left" w:pos="1170"/>
        </w:tabs>
        <w:spacing w:line="240" w:lineRule="auto"/>
        <w:ind w:left="1454" w:hanging="907"/>
        <w:rPr>
          <w:rFonts w:ascii="Times New Roman" w:hAnsi="Times New Roman" w:cs="Times New Roman"/>
          <w:sz w:val="24"/>
          <w:szCs w:val="24"/>
        </w:rPr>
      </w:pPr>
      <w:proofErr w:type="spellStart"/>
      <w:r w:rsidRPr="00BA48BC">
        <w:rPr>
          <w:rFonts w:ascii="Times New Roman" w:hAnsi="Times New Roman" w:cs="Times New Roman"/>
          <w:sz w:val="24"/>
          <w:szCs w:val="24"/>
        </w:rPr>
        <w:t>U</w:t>
      </w:r>
      <w:r w:rsidRPr="00BA48BC">
        <w:rPr>
          <w:rFonts w:ascii="Times New Roman" w:hAnsi="Times New Roman" w:cs="Times New Roman"/>
          <w:sz w:val="24"/>
          <w:szCs w:val="24"/>
          <w:vertAlign w:val="subscript"/>
        </w:rPr>
        <w:t>ij</w:t>
      </w:r>
      <w:proofErr w:type="spellEnd"/>
      <w:r w:rsidRPr="00BA48BC">
        <w:rPr>
          <w:rFonts w:ascii="Times New Roman" w:hAnsi="Times New Roman" w:cs="Times New Roman"/>
          <w:sz w:val="24"/>
          <w:szCs w:val="24"/>
          <w:vertAlign w:val="subscript"/>
        </w:rPr>
        <w:tab/>
      </w:r>
      <w:r w:rsidRPr="00BA48BC">
        <w:rPr>
          <w:rFonts w:ascii="Times New Roman" w:hAnsi="Times New Roman" w:cs="Times New Roman"/>
          <w:sz w:val="24"/>
          <w:szCs w:val="24"/>
        </w:rPr>
        <w:t xml:space="preserve">= </w:t>
      </w:r>
      <w:r w:rsidRPr="00BA48BC">
        <w:rPr>
          <w:rFonts w:ascii="Times New Roman" w:hAnsi="Times New Roman" w:cs="Times New Roman"/>
          <w:sz w:val="24"/>
          <w:szCs w:val="24"/>
        </w:rPr>
        <w:tab/>
        <w:t xml:space="preserve">Unit score of the </w:t>
      </w:r>
      <w:proofErr w:type="spellStart"/>
      <w:r w:rsidRPr="00BA48BC">
        <w:rPr>
          <w:rFonts w:ascii="Times New Roman" w:hAnsi="Times New Roman" w:cs="Times New Roman"/>
          <w:sz w:val="24"/>
          <w:szCs w:val="24"/>
        </w:rPr>
        <w:t>i</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respondents on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component </w:t>
      </w:r>
    </w:p>
    <w:p w14:paraId="2E300171" w14:textId="77777777" w:rsidR="003D130A" w:rsidRPr="00BA48BC" w:rsidRDefault="003D130A" w:rsidP="00640B97">
      <w:pPr>
        <w:tabs>
          <w:tab w:val="left" w:pos="1170"/>
        </w:tabs>
        <w:spacing w:line="240" w:lineRule="auto"/>
        <w:ind w:left="1454" w:hanging="907"/>
        <w:rPr>
          <w:rFonts w:ascii="Times New Roman" w:hAnsi="Times New Roman" w:cs="Times New Roman"/>
          <w:sz w:val="24"/>
          <w:szCs w:val="24"/>
        </w:rPr>
      </w:pPr>
      <w:proofErr w:type="spellStart"/>
      <w:r w:rsidRPr="00BA48BC">
        <w:rPr>
          <w:rFonts w:ascii="Times New Roman" w:hAnsi="Times New Roman" w:cs="Times New Roman"/>
          <w:sz w:val="24"/>
          <w:szCs w:val="24"/>
        </w:rPr>
        <w:t>Y</w:t>
      </w:r>
      <w:r w:rsidRPr="00BA48BC">
        <w:rPr>
          <w:rFonts w:ascii="Times New Roman" w:hAnsi="Times New Roman" w:cs="Times New Roman"/>
          <w:sz w:val="24"/>
          <w:szCs w:val="24"/>
          <w:vertAlign w:val="subscript"/>
        </w:rPr>
        <w:t>ij</w:t>
      </w:r>
      <w:proofErr w:type="spellEnd"/>
      <w:r w:rsidRPr="00BA48BC">
        <w:rPr>
          <w:rFonts w:ascii="Times New Roman" w:hAnsi="Times New Roman" w:cs="Times New Roman"/>
          <w:sz w:val="24"/>
          <w:szCs w:val="24"/>
        </w:rPr>
        <w:tab/>
        <w:t xml:space="preserve">= </w:t>
      </w:r>
      <w:r w:rsidRPr="00BA48BC">
        <w:rPr>
          <w:rFonts w:ascii="Times New Roman" w:hAnsi="Times New Roman" w:cs="Times New Roman"/>
          <w:sz w:val="24"/>
          <w:szCs w:val="24"/>
        </w:rPr>
        <w:tab/>
        <w:t xml:space="preserve">Value of </w:t>
      </w:r>
      <w:proofErr w:type="spellStart"/>
      <w:r w:rsidRPr="00BA48BC">
        <w:rPr>
          <w:rFonts w:ascii="Times New Roman" w:hAnsi="Times New Roman" w:cs="Times New Roman"/>
          <w:sz w:val="24"/>
          <w:szCs w:val="24"/>
        </w:rPr>
        <w:t>i</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respondent on the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rPr>
        <w:t xml:space="preserve"> component </w:t>
      </w:r>
    </w:p>
    <w:p w14:paraId="02B40E84" w14:textId="77777777" w:rsidR="003D130A" w:rsidRPr="00BA48BC" w:rsidRDefault="003D130A" w:rsidP="00640B97">
      <w:pPr>
        <w:tabs>
          <w:tab w:val="left" w:pos="1170"/>
        </w:tabs>
        <w:spacing w:line="240" w:lineRule="auto"/>
        <w:ind w:left="1454" w:hanging="907"/>
        <w:rPr>
          <w:rFonts w:ascii="Times New Roman" w:hAnsi="Times New Roman" w:cs="Times New Roman"/>
          <w:sz w:val="24"/>
          <w:szCs w:val="24"/>
        </w:rPr>
      </w:pPr>
      <w:proofErr w:type="spellStart"/>
      <w:r w:rsidRPr="00BA48BC">
        <w:rPr>
          <w:rFonts w:ascii="Times New Roman" w:hAnsi="Times New Roman" w:cs="Times New Roman"/>
          <w:sz w:val="24"/>
          <w:szCs w:val="24"/>
        </w:rPr>
        <w:t>Max</w:t>
      </w:r>
      <w:r w:rsidRPr="00BA48BC">
        <w:rPr>
          <w:rFonts w:ascii="Times New Roman" w:hAnsi="Times New Roman" w:cs="Times New Roman"/>
          <w:sz w:val="24"/>
          <w:szCs w:val="24"/>
          <w:vertAlign w:val="subscript"/>
        </w:rPr>
        <w:t>yi</w:t>
      </w:r>
      <w:proofErr w:type="spellEnd"/>
      <w:r w:rsidRPr="00BA48BC">
        <w:rPr>
          <w:rFonts w:ascii="Times New Roman" w:hAnsi="Times New Roman" w:cs="Times New Roman"/>
          <w:sz w:val="24"/>
          <w:szCs w:val="24"/>
          <w:vertAlign w:val="subscript"/>
        </w:rPr>
        <w:tab/>
      </w:r>
      <w:r w:rsidRPr="00BA48BC">
        <w:rPr>
          <w:rFonts w:ascii="Times New Roman" w:hAnsi="Times New Roman" w:cs="Times New Roman"/>
          <w:sz w:val="24"/>
          <w:szCs w:val="24"/>
        </w:rPr>
        <w:t xml:space="preserve">= </w:t>
      </w:r>
      <w:r w:rsidRPr="00BA48BC">
        <w:rPr>
          <w:rFonts w:ascii="Times New Roman" w:hAnsi="Times New Roman" w:cs="Times New Roman"/>
          <w:sz w:val="24"/>
          <w:szCs w:val="24"/>
        </w:rPr>
        <w:tab/>
        <w:t xml:space="preserve">Maximum score on the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vertAlign w:val="superscript"/>
        </w:rPr>
        <w:t xml:space="preserve"> </w:t>
      </w:r>
      <w:r w:rsidRPr="00BA48BC">
        <w:rPr>
          <w:rFonts w:ascii="Times New Roman" w:hAnsi="Times New Roman" w:cs="Times New Roman"/>
          <w:sz w:val="24"/>
          <w:szCs w:val="24"/>
        </w:rPr>
        <w:t>component</w:t>
      </w:r>
    </w:p>
    <w:p w14:paraId="509D95D9" w14:textId="77777777" w:rsidR="003D130A" w:rsidRPr="00BA48BC" w:rsidRDefault="003D130A" w:rsidP="00640B97">
      <w:pPr>
        <w:tabs>
          <w:tab w:val="left" w:pos="1170"/>
        </w:tabs>
        <w:spacing w:line="240" w:lineRule="auto"/>
        <w:ind w:left="1440" w:hanging="900"/>
        <w:rPr>
          <w:rFonts w:ascii="Times New Roman" w:hAnsi="Times New Roman" w:cs="Times New Roman"/>
          <w:sz w:val="24"/>
          <w:szCs w:val="24"/>
        </w:rPr>
      </w:pPr>
      <w:proofErr w:type="spellStart"/>
      <w:r w:rsidRPr="00BA48BC">
        <w:rPr>
          <w:rFonts w:ascii="Times New Roman" w:hAnsi="Times New Roman" w:cs="Times New Roman"/>
          <w:sz w:val="24"/>
          <w:szCs w:val="24"/>
        </w:rPr>
        <w:t>Min</w:t>
      </w:r>
      <w:r w:rsidRPr="00BA48BC">
        <w:rPr>
          <w:rFonts w:ascii="Times New Roman" w:hAnsi="Times New Roman" w:cs="Times New Roman"/>
          <w:sz w:val="24"/>
          <w:szCs w:val="24"/>
          <w:vertAlign w:val="subscript"/>
        </w:rPr>
        <w:t>yj</w:t>
      </w:r>
      <w:proofErr w:type="spellEnd"/>
      <w:r w:rsidRPr="00BA48BC">
        <w:rPr>
          <w:rFonts w:ascii="Times New Roman" w:hAnsi="Times New Roman" w:cs="Times New Roman"/>
          <w:sz w:val="24"/>
          <w:szCs w:val="24"/>
          <w:vertAlign w:val="subscript"/>
        </w:rPr>
        <w:tab/>
      </w:r>
      <w:r w:rsidRPr="00BA48BC">
        <w:rPr>
          <w:rFonts w:ascii="Times New Roman" w:hAnsi="Times New Roman" w:cs="Times New Roman"/>
          <w:sz w:val="24"/>
          <w:szCs w:val="24"/>
        </w:rPr>
        <w:t xml:space="preserve">= </w:t>
      </w:r>
      <w:r w:rsidRPr="00BA48BC">
        <w:rPr>
          <w:rFonts w:ascii="Times New Roman" w:hAnsi="Times New Roman" w:cs="Times New Roman"/>
          <w:sz w:val="24"/>
          <w:szCs w:val="24"/>
        </w:rPr>
        <w:tab/>
        <w:t xml:space="preserve">Minimum score on the </w:t>
      </w:r>
      <w:proofErr w:type="spellStart"/>
      <w:r w:rsidRPr="00BA48BC">
        <w:rPr>
          <w:rFonts w:ascii="Times New Roman" w:hAnsi="Times New Roman" w:cs="Times New Roman"/>
          <w:sz w:val="24"/>
          <w:szCs w:val="24"/>
        </w:rPr>
        <w:t>j</w:t>
      </w:r>
      <w:r w:rsidRPr="00BA48BC">
        <w:rPr>
          <w:rFonts w:ascii="Times New Roman" w:hAnsi="Times New Roman" w:cs="Times New Roman"/>
          <w:sz w:val="24"/>
          <w:szCs w:val="24"/>
          <w:vertAlign w:val="superscript"/>
        </w:rPr>
        <w:t>th</w:t>
      </w:r>
      <w:proofErr w:type="spellEnd"/>
      <w:r w:rsidRPr="00BA48BC">
        <w:rPr>
          <w:rFonts w:ascii="Times New Roman" w:hAnsi="Times New Roman" w:cs="Times New Roman"/>
          <w:sz w:val="24"/>
          <w:szCs w:val="24"/>
          <w:vertAlign w:val="superscript"/>
        </w:rPr>
        <w:t xml:space="preserve"> </w:t>
      </w:r>
      <w:r w:rsidRPr="00BA48BC">
        <w:rPr>
          <w:rFonts w:ascii="Times New Roman" w:hAnsi="Times New Roman" w:cs="Times New Roman"/>
          <w:sz w:val="24"/>
          <w:szCs w:val="24"/>
        </w:rPr>
        <w:t xml:space="preserve">component </w:t>
      </w:r>
    </w:p>
    <w:p w14:paraId="488A9301" w14:textId="77777777" w:rsidR="003D130A" w:rsidRPr="00BA48BC" w:rsidRDefault="003D130A" w:rsidP="00640B97">
      <w:pPr>
        <w:rPr>
          <w:rFonts w:ascii="Times New Roman" w:hAnsi="Times New Roman" w:cs="Times New Roman"/>
          <w:sz w:val="24"/>
          <w:szCs w:val="24"/>
        </w:rPr>
      </w:pPr>
      <w:r w:rsidRPr="00BA48BC">
        <w:rPr>
          <w:rFonts w:ascii="Times New Roman" w:hAnsi="Times New Roman" w:cs="Times New Roman"/>
          <w:sz w:val="24"/>
          <w:szCs w:val="24"/>
        </w:rPr>
        <w:t xml:space="preserve">The score of each component ranged from 0 to 1 i.e. when </w:t>
      </w:r>
      <w:proofErr w:type="spellStart"/>
      <w:r w:rsidRPr="00BA48BC">
        <w:rPr>
          <w:rFonts w:ascii="Times New Roman" w:hAnsi="Times New Roman" w:cs="Times New Roman"/>
          <w:i/>
          <w:sz w:val="24"/>
          <w:szCs w:val="24"/>
        </w:rPr>
        <w:t>y</w:t>
      </w:r>
      <w:r w:rsidRPr="00BA48BC">
        <w:rPr>
          <w:rFonts w:ascii="Times New Roman" w:hAnsi="Times New Roman" w:cs="Times New Roman"/>
          <w:i/>
          <w:sz w:val="24"/>
          <w:szCs w:val="24"/>
          <w:vertAlign w:val="subscript"/>
        </w:rPr>
        <w:t>ij</w:t>
      </w:r>
      <w:proofErr w:type="spellEnd"/>
      <w:r w:rsidRPr="00BA48BC">
        <w:rPr>
          <w:rFonts w:ascii="Times New Roman" w:hAnsi="Times New Roman" w:cs="Times New Roman"/>
          <w:sz w:val="24"/>
          <w:szCs w:val="24"/>
          <w:vertAlign w:val="subscript"/>
        </w:rPr>
        <w:t xml:space="preserve"> </w:t>
      </w:r>
      <w:r w:rsidRPr="00BA48BC">
        <w:rPr>
          <w:rFonts w:ascii="Times New Roman" w:hAnsi="Times New Roman" w:cs="Times New Roman"/>
          <w:sz w:val="24"/>
          <w:szCs w:val="24"/>
        </w:rPr>
        <w:t xml:space="preserve">is minimum the score is 0 and when </w:t>
      </w:r>
      <w:proofErr w:type="spellStart"/>
      <w:r w:rsidRPr="00BA48BC">
        <w:rPr>
          <w:rFonts w:ascii="Times New Roman" w:hAnsi="Times New Roman" w:cs="Times New Roman"/>
          <w:i/>
          <w:sz w:val="24"/>
          <w:szCs w:val="24"/>
        </w:rPr>
        <w:t>y</w:t>
      </w:r>
      <w:r w:rsidRPr="00BA48BC">
        <w:rPr>
          <w:rFonts w:ascii="Times New Roman" w:hAnsi="Times New Roman" w:cs="Times New Roman"/>
          <w:i/>
          <w:sz w:val="24"/>
          <w:szCs w:val="24"/>
          <w:vertAlign w:val="subscript"/>
        </w:rPr>
        <w:t>ij</w:t>
      </w:r>
      <w:proofErr w:type="spellEnd"/>
      <w:r w:rsidRPr="00BA48BC">
        <w:rPr>
          <w:rFonts w:ascii="Times New Roman" w:hAnsi="Times New Roman" w:cs="Times New Roman"/>
          <w:sz w:val="24"/>
          <w:szCs w:val="24"/>
          <w:vertAlign w:val="subscript"/>
        </w:rPr>
        <w:t xml:space="preserve"> </w:t>
      </w:r>
      <w:r w:rsidRPr="00BA48BC">
        <w:rPr>
          <w:rFonts w:ascii="Times New Roman" w:hAnsi="Times New Roman" w:cs="Times New Roman"/>
          <w:sz w:val="24"/>
          <w:szCs w:val="24"/>
        </w:rPr>
        <w:t>is maximum the score is 1.</w:t>
      </w:r>
    </w:p>
    <w:p w14:paraId="073670CC" w14:textId="77777777" w:rsidR="003D130A" w:rsidRPr="00BA48BC" w:rsidRDefault="003D130A" w:rsidP="00C36D71">
      <w:pPr>
        <w:pStyle w:val="BodyText"/>
        <w:numPr>
          <w:ilvl w:val="0"/>
          <w:numId w:val="6"/>
        </w:numPr>
        <w:spacing w:before="132" w:line="360" w:lineRule="auto"/>
        <w:ind w:right="29"/>
        <w:jc w:val="both"/>
        <w:rPr>
          <w:b/>
        </w:rPr>
      </w:pPr>
      <w:r w:rsidRPr="00BA48BC">
        <w:rPr>
          <w:b/>
        </w:rPr>
        <w:t>Assigning weights to indicators</w:t>
      </w:r>
    </w:p>
    <w:p w14:paraId="4E91F702" w14:textId="77777777" w:rsidR="003D130A" w:rsidRPr="00BA48BC" w:rsidRDefault="005E51A4" w:rsidP="003D130A">
      <w:pPr>
        <w:pStyle w:val="BodyText"/>
        <w:spacing w:before="132" w:line="360" w:lineRule="auto"/>
        <w:ind w:right="29" w:firstLine="720"/>
        <w:jc w:val="both"/>
      </w:pPr>
      <w:r w:rsidRPr="00BA48BC">
        <w:t>W</w:t>
      </w:r>
      <w:r w:rsidR="003D130A" w:rsidRPr="00BA48BC">
        <w:t>eight</w:t>
      </w:r>
      <w:r w:rsidR="005F4907" w:rsidRPr="00BA48BC">
        <w:t>ages</w:t>
      </w:r>
      <w:r w:rsidR="003D130A" w:rsidRPr="00BA48BC">
        <w:t xml:space="preserve"> (W</w:t>
      </w:r>
      <w:r w:rsidR="003D130A" w:rsidRPr="00BA48BC">
        <w:rPr>
          <w:vertAlign w:val="subscript"/>
        </w:rPr>
        <w:t>i</w:t>
      </w:r>
      <w:r w:rsidR="003D130A" w:rsidRPr="00BA48BC">
        <w:t xml:space="preserve">) </w:t>
      </w:r>
      <w:r w:rsidR="005F4907" w:rsidRPr="00BA48BC">
        <w:t xml:space="preserve">for </w:t>
      </w:r>
      <w:r w:rsidRPr="00BA48BC">
        <w:t xml:space="preserve">the </w:t>
      </w:r>
      <w:r w:rsidR="005F4907" w:rsidRPr="00BA48BC">
        <w:t xml:space="preserve">standardized indicators </w:t>
      </w:r>
      <w:r w:rsidR="003D130A" w:rsidRPr="00BA48BC">
        <w:t xml:space="preserve">were calculated </w:t>
      </w:r>
      <w:r w:rsidR="005F4907" w:rsidRPr="00BA48BC">
        <w:t>using</w:t>
      </w:r>
      <w:r w:rsidR="003D130A" w:rsidRPr="00BA48BC">
        <w:t xml:space="preserve"> P</w:t>
      </w:r>
      <w:r w:rsidR="005F4907" w:rsidRPr="00BA48BC">
        <w:t xml:space="preserve">rincipal </w:t>
      </w:r>
      <w:r w:rsidR="003D130A" w:rsidRPr="00BA48BC">
        <w:t>C</w:t>
      </w:r>
      <w:r w:rsidR="005F4907" w:rsidRPr="00BA48BC">
        <w:t xml:space="preserve">omponent </w:t>
      </w:r>
      <w:r w:rsidR="003D130A" w:rsidRPr="00BA48BC">
        <w:t>A</w:t>
      </w:r>
      <w:r w:rsidR="005F4907" w:rsidRPr="00BA48BC">
        <w:t>nalysis (PCA)</w:t>
      </w:r>
      <w:r w:rsidR="003D130A" w:rsidRPr="00BA48BC">
        <w:t xml:space="preserve"> method. PCA was run for all major dimensions to obtain factor loadings and Eigen values. The Keiser criterion or Eigen value greater than one rule was applied to retain the factors</w:t>
      </w:r>
      <w:r w:rsidR="00145251" w:rsidRPr="00BA48BC">
        <w:t xml:space="preserve"> </w:t>
      </w:r>
      <w:r w:rsidR="00145251" w:rsidRPr="00BA48BC">
        <w:rPr>
          <w:color w:val="0070C0"/>
        </w:rPr>
        <w:t>(Greyling and Tregenna, 2017; Patel et al</w:t>
      </w:r>
      <w:r w:rsidR="00145251" w:rsidRPr="00BA48BC">
        <w:rPr>
          <w:i/>
          <w:color w:val="0070C0"/>
        </w:rPr>
        <w:t>.</w:t>
      </w:r>
      <w:r w:rsidR="00145251" w:rsidRPr="00BA48BC">
        <w:rPr>
          <w:color w:val="0070C0"/>
        </w:rPr>
        <w:t xml:space="preserve"> 2019)</w:t>
      </w:r>
      <w:r w:rsidR="00436A50" w:rsidRPr="00BA48BC">
        <w:rPr>
          <w:vertAlign w:val="superscript"/>
        </w:rPr>
        <w:t>15&amp;16</w:t>
      </w:r>
      <w:r w:rsidR="003D130A" w:rsidRPr="00BA48BC">
        <w:t>. The weights obtained from the PCA were calculated using the given formula.</w:t>
      </w:r>
    </w:p>
    <w:p w14:paraId="50BDEAB5" w14:textId="77777777" w:rsidR="003D130A" w:rsidRPr="00BA48BC" w:rsidRDefault="003D130A" w:rsidP="003D130A">
      <w:pPr>
        <w:spacing w:line="278" w:lineRule="exact"/>
        <w:ind w:left="1664" w:right="1255"/>
        <w:jc w:val="center"/>
        <w:rPr>
          <w:rFonts w:ascii="Times New Roman" w:hAnsi="Times New Roman" w:cs="Times New Roman"/>
          <w:sz w:val="24"/>
          <w:szCs w:val="24"/>
        </w:rPr>
      </w:pPr>
      <w:r w:rsidRPr="00BA48BC">
        <w:rPr>
          <w:rFonts w:ascii="Times New Roman" w:hAnsi="Times New Roman" w:cs="Times New Roman"/>
          <w:w w:val="120"/>
          <w:position w:val="2"/>
          <w:sz w:val="24"/>
          <w:szCs w:val="24"/>
        </w:rPr>
        <w:t>W</w:t>
      </w:r>
      <w:proofErr w:type="spellStart"/>
      <w:r w:rsidRPr="00BA48BC">
        <w:rPr>
          <w:rFonts w:ascii="Times New Roman" w:hAnsi="Times New Roman" w:cs="Times New Roman"/>
          <w:w w:val="120"/>
          <w:sz w:val="24"/>
          <w:szCs w:val="24"/>
        </w:rPr>
        <w:t>i</w:t>
      </w:r>
      <w:proofErr w:type="spellEnd"/>
      <w:r w:rsidRPr="00BA48BC">
        <w:rPr>
          <w:rFonts w:ascii="Times New Roman" w:hAnsi="Times New Roman" w:cs="Times New Roman"/>
          <w:spacing w:val="21"/>
          <w:w w:val="120"/>
          <w:sz w:val="24"/>
          <w:szCs w:val="24"/>
        </w:rPr>
        <w:t xml:space="preserve"> </w:t>
      </w:r>
      <w:r w:rsidRPr="00BA48BC">
        <w:rPr>
          <w:rFonts w:ascii="Times New Roman" w:hAnsi="Times New Roman" w:cs="Times New Roman"/>
          <w:w w:val="120"/>
          <w:position w:val="2"/>
          <w:sz w:val="24"/>
          <w:szCs w:val="24"/>
        </w:rPr>
        <w:t>=∑|L</w:t>
      </w:r>
      <w:proofErr w:type="spellStart"/>
      <w:r w:rsidRPr="00BA48BC">
        <w:rPr>
          <w:rFonts w:ascii="Times New Roman" w:hAnsi="Times New Roman" w:cs="Times New Roman"/>
          <w:w w:val="120"/>
          <w:sz w:val="24"/>
          <w:szCs w:val="24"/>
        </w:rPr>
        <w:t>ij</w:t>
      </w:r>
      <w:proofErr w:type="spellEnd"/>
      <w:r w:rsidRPr="00BA48BC">
        <w:rPr>
          <w:rFonts w:ascii="Times New Roman" w:hAnsi="Times New Roman" w:cs="Times New Roman"/>
          <w:w w:val="120"/>
          <w:position w:val="2"/>
          <w:sz w:val="24"/>
          <w:szCs w:val="24"/>
        </w:rPr>
        <w:t>|E</w:t>
      </w:r>
      <w:r w:rsidRPr="00BA48BC">
        <w:rPr>
          <w:rFonts w:ascii="Times New Roman" w:hAnsi="Times New Roman" w:cs="Times New Roman"/>
          <w:w w:val="120"/>
          <w:sz w:val="24"/>
          <w:szCs w:val="24"/>
        </w:rPr>
        <w:t>j</w:t>
      </w:r>
    </w:p>
    <w:p w14:paraId="20E1F992" w14:textId="77777777" w:rsidR="003D130A" w:rsidRPr="00BA48BC" w:rsidRDefault="003D130A" w:rsidP="00C47E51">
      <w:pPr>
        <w:pStyle w:val="BodyText"/>
        <w:spacing w:before="216"/>
        <w:ind w:left="532"/>
      </w:pPr>
      <w:r w:rsidRPr="00BA48BC">
        <w:t>Where,</w:t>
      </w:r>
    </w:p>
    <w:p w14:paraId="18302B63" w14:textId="77777777" w:rsidR="003D130A" w:rsidRPr="00BA48BC" w:rsidRDefault="003D130A" w:rsidP="00C47E51">
      <w:pPr>
        <w:pStyle w:val="BodyText"/>
        <w:spacing w:before="6"/>
        <w:rPr>
          <w:sz w:val="28"/>
        </w:rPr>
      </w:pPr>
    </w:p>
    <w:tbl>
      <w:tblPr>
        <w:tblW w:w="0" w:type="auto"/>
        <w:tblInd w:w="1247" w:type="dxa"/>
        <w:tblLayout w:type="fixed"/>
        <w:tblCellMar>
          <w:left w:w="0" w:type="dxa"/>
          <w:right w:w="0" w:type="dxa"/>
        </w:tblCellMar>
        <w:tblLook w:val="01E0" w:firstRow="1" w:lastRow="1" w:firstColumn="1" w:lastColumn="1" w:noHBand="0" w:noVBand="0"/>
      </w:tblPr>
      <w:tblGrid>
        <w:gridCol w:w="998"/>
        <w:gridCol w:w="365"/>
        <w:gridCol w:w="6226"/>
      </w:tblGrid>
      <w:tr w:rsidR="003D130A" w:rsidRPr="00BA48BC" w14:paraId="39DC7240" w14:textId="77777777" w:rsidTr="00EE558C">
        <w:trPr>
          <w:trHeight w:val="243"/>
        </w:trPr>
        <w:tc>
          <w:tcPr>
            <w:tcW w:w="998" w:type="dxa"/>
            <w:vAlign w:val="center"/>
          </w:tcPr>
          <w:p w14:paraId="0AFD242C" w14:textId="77777777" w:rsidR="003D130A" w:rsidRPr="00BA48BC" w:rsidRDefault="003D130A" w:rsidP="00C47E51">
            <w:pPr>
              <w:pStyle w:val="TableParagraph"/>
              <w:spacing w:line="276" w:lineRule="auto"/>
              <w:ind w:right="90"/>
              <w:jc w:val="right"/>
              <w:rPr>
                <w:sz w:val="24"/>
              </w:rPr>
            </w:pPr>
            <w:r w:rsidRPr="00BA48BC">
              <w:rPr>
                <w:position w:val="2"/>
                <w:sz w:val="24"/>
              </w:rPr>
              <w:t>W</w:t>
            </w:r>
            <w:proofErr w:type="spellStart"/>
            <w:r w:rsidRPr="00BA48BC">
              <w:rPr>
                <w:sz w:val="24"/>
              </w:rPr>
              <w:t>i</w:t>
            </w:r>
            <w:proofErr w:type="spellEnd"/>
          </w:p>
        </w:tc>
        <w:tc>
          <w:tcPr>
            <w:tcW w:w="365" w:type="dxa"/>
            <w:vAlign w:val="center"/>
          </w:tcPr>
          <w:p w14:paraId="2C617019" w14:textId="77777777" w:rsidR="003D130A" w:rsidRPr="00BA48BC" w:rsidRDefault="003D130A" w:rsidP="00C47E51">
            <w:pPr>
              <w:pStyle w:val="TableParagraph"/>
              <w:spacing w:line="276" w:lineRule="auto"/>
              <w:ind w:left="92"/>
              <w:rPr>
                <w:sz w:val="24"/>
              </w:rPr>
            </w:pPr>
            <w:r w:rsidRPr="00BA48BC">
              <w:rPr>
                <w:sz w:val="24"/>
              </w:rPr>
              <w:t>=</w:t>
            </w:r>
          </w:p>
        </w:tc>
        <w:tc>
          <w:tcPr>
            <w:tcW w:w="6226" w:type="dxa"/>
            <w:vAlign w:val="center"/>
          </w:tcPr>
          <w:p w14:paraId="311626D4" w14:textId="77777777" w:rsidR="003D130A" w:rsidRPr="00BA48BC" w:rsidRDefault="003D130A" w:rsidP="00C47E51">
            <w:pPr>
              <w:pStyle w:val="TableParagraph"/>
              <w:spacing w:line="276" w:lineRule="auto"/>
              <w:ind w:left="374"/>
              <w:rPr>
                <w:sz w:val="24"/>
              </w:rPr>
            </w:pPr>
            <w:r w:rsidRPr="00BA48BC">
              <w:rPr>
                <w:sz w:val="24"/>
              </w:rPr>
              <w:t>The</w:t>
            </w:r>
            <w:r w:rsidRPr="00BA48BC">
              <w:rPr>
                <w:spacing w:val="-3"/>
                <w:sz w:val="24"/>
              </w:rPr>
              <w:t xml:space="preserve"> </w:t>
            </w:r>
            <w:r w:rsidRPr="00BA48BC">
              <w:rPr>
                <w:sz w:val="24"/>
              </w:rPr>
              <w:t>weight</w:t>
            </w:r>
            <w:r w:rsidRPr="00BA48BC">
              <w:rPr>
                <w:spacing w:val="-1"/>
                <w:sz w:val="24"/>
              </w:rPr>
              <w:t xml:space="preserve"> </w:t>
            </w:r>
            <w:r w:rsidRPr="00BA48BC">
              <w:rPr>
                <w:sz w:val="24"/>
              </w:rPr>
              <w:t xml:space="preserve">of </w:t>
            </w:r>
            <w:proofErr w:type="spellStart"/>
            <w:r w:rsidRPr="00BA48BC">
              <w:rPr>
                <w:sz w:val="24"/>
              </w:rPr>
              <w:t>i</w:t>
            </w:r>
            <w:r w:rsidRPr="00BA48BC">
              <w:rPr>
                <w:sz w:val="24"/>
                <w:vertAlign w:val="superscript"/>
              </w:rPr>
              <w:t>th</w:t>
            </w:r>
            <w:proofErr w:type="spellEnd"/>
            <w:r w:rsidRPr="00BA48BC">
              <w:rPr>
                <w:sz w:val="24"/>
              </w:rPr>
              <w:t xml:space="preserve"> indicator</w:t>
            </w:r>
          </w:p>
        </w:tc>
      </w:tr>
      <w:tr w:rsidR="003D130A" w:rsidRPr="00BA48BC" w14:paraId="7B31DD0F" w14:textId="77777777" w:rsidTr="00EE558C">
        <w:trPr>
          <w:trHeight w:val="243"/>
        </w:trPr>
        <w:tc>
          <w:tcPr>
            <w:tcW w:w="998" w:type="dxa"/>
            <w:vAlign w:val="center"/>
          </w:tcPr>
          <w:p w14:paraId="5917D5EB" w14:textId="77777777" w:rsidR="003D130A" w:rsidRPr="00BA48BC" w:rsidRDefault="003D130A" w:rsidP="00C47E51">
            <w:pPr>
              <w:pStyle w:val="TableParagraph"/>
              <w:spacing w:line="276" w:lineRule="auto"/>
              <w:ind w:right="109"/>
              <w:jc w:val="right"/>
              <w:rPr>
                <w:sz w:val="24"/>
              </w:rPr>
            </w:pPr>
            <w:r w:rsidRPr="00BA48BC">
              <w:rPr>
                <w:position w:val="2"/>
                <w:sz w:val="24"/>
              </w:rPr>
              <w:t>E</w:t>
            </w:r>
            <w:r w:rsidRPr="00BA48BC">
              <w:rPr>
                <w:spacing w:val="-1"/>
                <w:position w:val="2"/>
                <w:sz w:val="24"/>
              </w:rPr>
              <w:t xml:space="preserve"> </w:t>
            </w:r>
            <w:r w:rsidRPr="00BA48BC">
              <w:rPr>
                <w:sz w:val="24"/>
              </w:rPr>
              <w:t>j</w:t>
            </w:r>
          </w:p>
        </w:tc>
        <w:tc>
          <w:tcPr>
            <w:tcW w:w="365" w:type="dxa"/>
            <w:vAlign w:val="center"/>
          </w:tcPr>
          <w:p w14:paraId="02767BF4" w14:textId="77777777" w:rsidR="003D130A" w:rsidRPr="00BA48BC" w:rsidRDefault="003D130A" w:rsidP="00C47E51">
            <w:pPr>
              <w:pStyle w:val="TableParagraph"/>
              <w:spacing w:line="276" w:lineRule="auto"/>
              <w:ind w:left="92"/>
              <w:rPr>
                <w:sz w:val="24"/>
              </w:rPr>
            </w:pPr>
            <w:r w:rsidRPr="00BA48BC">
              <w:rPr>
                <w:sz w:val="24"/>
              </w:rPr>
              <w:t>=</w:t>
            </w:r>
          </w:p>
        </w:tc>
        <w:tc>
          <w:tcPr>
            <w:tcW w:w="6226" w:type="dxa"/>
            <w:vAlign w:val="center"/>
          </w:tcPr>
          <w:p w14:paraId="167E027B" w14:textId="77777777" w:rsidR="003D130A" w:rsidRPr="00BA48BC" w:rsidRDefault="003D130A" w:rsidP="00C47E51">
            <w:pPr>
              <w:pStyle w:val="TableParagraph"/>
              <w:spacing w:line="276" w:lineRule="auto"/>
              <w:ind w:left="374"/>
              <w:rPr>
                <w:sz w:val="24"/>
              </w:rPr>
            </w:pPr>
            <w:r w:rsidRPr="00BA48BC">
              <w:rPr>
                <w:spacing w:val="-1"/>
                <w:sz w:val="24"/>
              </w:rPr>
              <w:t>The</w:t>
            </w:r>
            <w:r w:rsidRPr="00BA48BC">
              <w:rPr>
                <w:spacing w:val="-2"/>
                <w:sz w:val="24"/>
              </w:rPr>
              <w:t xml:space="preserve"> </w:t>
            </w:r>
            <w:r w:rsidRPr="00BA48BC">
              <w:rPr>
                <w:sz w:val="24"/>
              </w:rPr>
              <w:t xml:space="preserve">Eigen value of </w:t>
            </w:r>
            <w:proofErr w:type="spellStart"/>
            <w:r w:rsidRPr="00BA48BC">
              <w:rPr>
                <w:sz w:val="24"/>
              </w:rPr>
              <w:t>j</w:t>
            </w:r>
            <w:r w:rsidRPr="00BA48BC">
              <w:rPr>
                <w:sz w:val="24"/>
                <w:vertAlign w:val="superscript"/>
              </w:rPr>
              <w:t>th</w:t>
            </w:r>
            <w:proofErr w:type="spellEnd"/>
            <w:r w:rsidRPr="00BA48BC">
              <w:rPr>
                <w:spacing w:val="-18"/>
                <w:sz w:val="24"/>
              </w:rPr>
              <w:t xml:space="preserve"> </w:t>
            </w:r>
            <w:r w:rsidRPr="00BA48BC">
              <w:rPr>
                <w:sz w:val="24"/>
              </w:rPr>
              <w:t>factor</w:t>
            </w:r>
          </w:p>
        </w:tc>
      </w:tr>
      <w:tr w:rsidR="003D130A" w:rsidRPr="00BA48BC" w14:paraId="67923BBC" w14:textId="77777777" w:rsidTr="00EE558C">
        <w:trPr>
          <w:trHeight w:val="243"/>
        </w:trPr>
        <w:tc>
          <w:tcPr>
            <w:tcW w:w="998" w:type="dxa"/>
            <w:vAlign w:val="center"/>
          </w:tcPr>
          <w:p w14:paraId="42FA7805" w14:textId="77777777" w:rsidR="003D130A" w:rsidRPr="00BA48BC" w:rsidRDefault="003D130A" w:rsidP="00C47E51">
            <w:pPr>
              <w:pStyle w:val="TableParagraph"/>
              <w:spacing w:line="276" w:lineRule="auto"/>
              <w:ind w:left="200"/>
              <w:rPr>
                <w:sz w:val="24"/>
              </w:rPr>
            </w:pPr>
            <w:r w:rsidRPr="00BA48BC">
              <w:rPr>
                <w:position w:val="2"/>
                <w:sz w:val="24"/>
              </w:rPr>
              <w:t xml:space="preserve">       L</w:t>
            </w:r>
            <w:r w:rsidRPr="00BA48BC">
              <w:rPr>
                <w:spacing w:val="-1"/>
                <w:position w:val="2"/>
                <w:sz w:val="24"/>
              </w:rPr>
              <w:t xml:space="preserve"> </w:t>
            </w:r>
            <w:proofErr w:type="spellStart"/>
            <w:r w:rsidRPr="00BA48BC">
              <w:rPr>
                <w:sz w:val="24"/>
              </w:rPr>
              <w:t>ij</w:t>
            </w:r>
            <w:proofErr w:type="spellEnd"/>
          </w:p>
        </w:tc>
        <w:tc>
          <w:tcPr>
            <w:tcW w:w="365" w:type="dxa"/>
            <w:vAlign w:val="center"/>
          </w:tcPr>
          <w:p w14:paraId="1DDB1D21" w14:textId="77777777" w:rsidR="003D130A" w:rsidRPr="00BA48BC" w:rsidRDefault="003D130A" w:rsidP="00C47E51">
            <w:pPr>
              <w:pStyle w:val="TableParagraph"/>
              <w:spacing w:line="276" w:lineRule="auto"/>
              <w:ind w:left="68"/>
              <w:rPr>
                <w:sz w:val="24"/>
              </w:rPr>
            </w:pPr>
            <w:r w:rsidRPr="00BA48BC">
              <w:rPr>
                <w:sz w:val="24"/>
              </w:rPr>
              <w:t>=</w:t>
            </w:r>
          </w:p>
        </w:tc>
        <w:tc>
          <w:tcPr>
            <w:tcW w:w="6226" w:type="dxa"/>
            <w:vAlign w:val="center"/>
          </w:tcPr>
          <w:p w14:paraId="79F92F23" w14:textId="77777777" w:rsidR="003D130A" w:rsidRPr="00BA48BC" w:rsidRDefault="003D130A" w:rsidP="00C47E51">
            <w:pPr>
              <w:pStyle w:val="TableParagraph"/>
              <w:spacing w:line="276" w:lineRule="auto"/>
              <w:ind w:left="374"/>
              <w:rPr>
                <w:sz w:val="24"/>
              </w:rPr>
            </w:pPr>
            <w:r w:rsidRPr="00BA48BC">
              <w:rPr>
                <w:spacing w:val="-1"/>
                <w:sz w:val="24"/>
              </w:rPr>
              <w:t>The</w:t>
            </w:r>
            <w:r w:rsidRPr="00BA48BC">
              <w:rPr>
                <w:spacing w:val="-2"/>
                <w:sz w:val="24"/>
              </w:rPr>
              <w:t xml:space="preserve"> </w:t>
            </w:r>
            <w:r w:rsidRPr="00BA48BC">
              <w:rPr>
                <w:sz w:val="24"/>
              </w:rPr>
              <w:t>loading</w:t>
            </w:r>
            <w:r w:rsidRPr="00BA48BC">
              <w:rPr>
                <w:spacing w:val="-1"/>
                <w:sz w:val="24"/>
              </w:rPr>
              <w:t xml:space="preserve"> </w:t>
            </w:r>
            <w:r w:rsidRPr="00BA48BC">
              <w:rPr>
                <w:sz w:val="24"/>
              </w:rPr>
              <w:t>value of</w:t>
            </w:r>
            <w:r w:rsidRPr="00BA48BC">
              <w:rPr>
                <w:spacing w:val="-2"/>
                <w:sz w:val="24"/>
              </w:rPr>
              <w:t xml:space="preserve"> </w:t>
            </w:r>
            <w:r w:rsidRPr="00BA48BC">
              <w:rPr>
                <w:sz w:val="24"/>
              </w:rPr>
              <w:t>the</w:t>
            </w:r>
            <w:r w:rsidRPr="00BA48BC">
              <w:rPr>
                <w:spacing w:val="2"/>
                <w:sz w:val="24"/>
              </w:rPr>
              <w:t xml:space="preserve"> </w:t>
            </w:r>
            <w:proofErr w:type="spellStart"/>
            <w:r w:rsidRPr="00BA48BC">
              <w:rPr>
                <w:sz w:val="24"/>
              </w:rPr>
              <w:t>i</w:t>
            </w:r>
            <w:r w:rsidRPr="00BA48BC">
              <w:rPr>
                <w:sz w:val="24"/>
                <w:vertAlign w:val="superscript"/>
              </w:rPr>
              <w:t>th</w:t>
            </w:r>
            <w:proofErr w:type="spellEnd"/>
            <w:r w:rsidRPr="00BA48BC">
              <w:rPr>
                <w:spacing w:val="-20"/>
                <w:sz w:val="24"/>
              </w:rPr>
              <w:t xml:space="preserve"> </w:t>
            </w:r>
            <w:r w:rsidRPr="00BA48BC">
              <w:rPr>
                <w:sz w:val="24"/>
              </w:rPr>
              <w:t xml:space="preserve">indicator on the </w:t>
            </w:r>
            <w:proofErr w:type="spellStart"/>
            <w:r w:rsidRPr="00BA48BC">
              <w:rPr>
                <w:sz w:val="24"/>
              </w:rPr>
              <w:t>j</w:t>
            </w:r>
            <w:r w:rsidRPr="00BA48BC">
              <w:rPr>
                <w:sz w:val="24"/>
                <w:vertAlign w:val="superscript"/>
              </w:rPr>
              <w:t>th</w:t>
            </w:r>
            <w:proofErr w:type="spellEnd"/>
            <w:r w:rsidRPr="00BA48BC">
              <w:rPr>
                <w:spacing w:val="-21"/>
                <w:sz w:val="24"/>
              </w:rPr>
              <w:t xml:space="preserve"> </w:t>
            </w:r>
            <w:r w:rsidRPr="00BA48BC">
              <w:rPr>
                <w:sz w:val="24"/>
              </w:rPr>
              <w:t>factor</w:t>
            </w:r>
          </w:p>
        </w:tc>
      </w:tr>
    </w:tbl>
    <w:p w14:paraId="700A9C65" w14:textId="77777777" w:rsidR="003D130A" w:rsidRPr="00BA48BC" w:rsidRDefault="003D130A" w:rsidP="00C36D71">
      <w:pPr>
        <w:pStyle w:val="BodyText"/>
        <w:numPr>
          <w:ilvl w:val="0"/>
          <w:numId w:val="6"/>
        </w:numPr>
        <w:spacing w:before="132" w:line="360" w:lineRule="auto"/>
        <w:ind w:right="29"/>
        <w:jc w:val="both"/>
        <w:rPr>
          <w:b/>
        </w:rPr>
      </w:pPr>
      <w:r w:rsidRPr="00BA48BC">
        <w:rPr>
          <w:b/>
        </w:rPr>
        <w:t xml:space="preserve">Composite indexing and categorization </w:t>
      </w:r>
    </w:p>
    <w:p w14:paraId="621ECD9E" w14:textId="77777777" w:rsidR="003D130A" w:rsidRPr="00BA48BC" w:rsidRDefault="003D130A" w:rsidP="003D130A">
      <w:pPr>
        <w:spacing w:before="0"/>
        <w:ind w:firstLine="720"/>
        <w:rPr>
          <w:rFonts w:ascii="Times New Roman" w:hAnsi="Times New Roman" w:cs="Times New Roman"/>
          <w:sz w:val="24"/>
          <w:szCs w:val="24"/>
        </w:rPr>
      </w:pPr>
      <w:r w:rsidRPr="00BA48BC">
        <w:rPr>
          <w:rFonts w:ascii="Times New Roman" w:hAnsi="Times New Roman" w:cs="Times New Roman"/>
          <w:sz w:val="24"/>
          <w:szCs w:val="24"/>
        </w:rPr>
        <w:t xml:space="preserve">The customer satisfaction index developed based on the </w:t>
      </w:r>
      <w:r w:rsidR="0046109F" w:rsidRPr="00BA48BC">
        <w:rPr>
          <w:rFonts w:ascii="Times New Roman" w:hAnsi="Times New Roman" w:cs="Times New Roman"/>
          <w:sz w:val="24"/>
          <w:szCs w:val="24"/>
        </w:rPr>
        <w:t>above-mentioned</w:t>
      </w:r>
      <w:r w:rsidRPr="00BA48BC">
        <w:rPr>
          <w:rFonts w:ascii="Times New Roman" w:hAnsi="Times New Roman" w:cs="Times New Roman"/>
          <w:sz w:val="24"/>
          <w:szCs w:val="24"/>
        </w:rPr>
        <w:t xml:space="preserve"> parameters was calculated by the following equation;</w:t>
      </w:r>
    </w:p>
    <w:p w14:paraId="52C31B36" w14:textId="77777777" w:rsidR="00B939A0" w:rsidRPr="00BA48BC" w:rsidRDefault="003D130A" w:rsidP="00B939A0">
      <w:pPr>
        <w:spacing w:line="566" w:lineRule="auto"/>
        <w:ind w:left="3391" w:right="1181" w:hanging="1311"/>
        <w:rPr>
          <w:rFonts w:ascii="Times New Roman" w:hAnsi="Times New Roman" w:cs="Times New Roman"/>
          <w:sz w:val="24"/>
          <w:szCs w:val="24"/>
        </w:rPr>
      </w:pPr>
      <w:r w:rsidRPr="00BA48BC">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4241B9A" wp14:editId="0843CAE0">
                <wp:simplePos x="0" y="0"/>
                <wp:positionH relativeFrom="page">
                  <wp:posOffset>1828800</wp:posOffset>
                </wp:positionH>
                <wp:positionV relativeFrom="paragraph">
                  <wp:posOffset>283845</wp:posOffset>
                </wp:positionV>
                <wp:extent cx="4453890" cy="635"/>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8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4D07D7" id="Straight Connector 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22.35pt" to="494.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" strokeweight="1pt">
                <w10:wrap anchorx="page"/>
              </v:line>
            </w:pict>
          </mc:Fallback>
        </mc:AlternateContent>
      </w:r>
      <w:r w:rsidRPr="00BA48BC">
        <w:rPr>
          <w:rFonts w:ascii="Times New Roman" w:hAnsi="Times New Roman" w:cs="Times New Roman"/>
          <w:position w:val="2"/>
          <w:sz w:val="24"/>
          <w:szCs w:val="24"/>
        </w:rPr>
        <w:t>TAN</w:t>
      </w:r>
      <w:r w:rsidRPr="00BA48BC">
        <w:rPr>
          <w:rFonts w:ascii="Times New Roman" w:hAnsi="Times New Roman" w:cs="Times New Roman"/>
          <w:spacing w:val="-1"/>
          <w:position w:val="2"/>
          <w:sz w:val="24"/>
          <w:szCs w:val="24"/>
        </w:rPr>
        <w:t xml:space="preserve"> </w:t>
      </w:r>
      <w:r w:rsidRPr="00BA48BC">
        <w:rPr>
          <w:rFonts w:ascii="Times New Roman" w:hAnsi="Times New Roman" w:cs="Times New Roman"/>
          <w:position w:val="2"/>
          <w:sz w:val="24"/>
          <w:szCs w:val="24"/>
        </w:rPr>
        <w:t>* W</w:t>
      </w:r>
      <w:r w:rsidRPr="00BA48BC">
        <w:rPr>
          <w:rFonts w:ascii="Times New Roman" w:hAnsi="Times New Roman" w:cs="Times New Roman"/>
          <w:sz w:val="24"/>
          <w:szCs w:val="24"/>
        </w:rPr>
        <w:t xml:space="preserve">1 </w:t>
      </w:r>
      <w:r w:rsidRPr="00BA48BC">
        <w:rPr>
          <w:rFonts w:ascii="Times New Roman" w:hAnsi="Times New Roman" w:cs="Times New Roman"/>
          <w:position w:val="2"/>
          <w:sz w:val="24"/>
          <w:szCs w:val="24"/>
        </w:rPr>
        <w:t>+ REL * W</w:t>
      </w:r>
      <w:r w:rsidRPr="00BA48BC">
        <w:rPr>
          <w:rFonts w:ascii="Times New Roman" w:hAnsi="Times New Roman" w:cs="Times New Roman"/>
          <w:sz w:val="24"/>
          <w:szCs w:val="24"/>
        </w:rPr>
        <w:t>2</w:t>
      </w:r>
      <w:r w:rsidRPr="00BA48BC">
        <w:rPr>
          <w:rFonts w:ascii="Times New Roman" w:hAnsi="Times New Roman" w:cs="Times New Roman"/>
          <w:spacing w:val="20"/>
          <w:sz w:val="24"/>
          <w:szCs w:val="24"/>
        </w:rPr>
        <w:t xml:space="preserve"> </w:t>
      </w:r>
      <w:r w:rsidRPr="00BA48BC">
        <w:rPr>
          <w:rFonts w:ascii="Times New Roman" w:hAnsi="Times New Roman" w:cs="Times New Roman"/>
          <w:position w:val="2"/>
          <w:sz w:val="24"/>
          <w:szCs w:val="24"/>
        </w:rPr>
        <w:t>+</w:t>
      </w:r>
      <w:r w:rsidRPr="00BA48BC">
        <w:rPr>
          <w:rFonts w:ascii="Times New Roman" w:hAnsi="Times New Roman" w:cs="Times New Roman"/>
          <w:spacing w:val="-2"/>
          <w:position w:val="2"/>
          <w:sz w:val="24"/>
          <w:szCs w:val="24"/>
        </w:rPr>
        <w:t xml:space="preserve"> </w:t>
      </w:r>
      <w:r w:rsidRPr="00BA48BC">
        <w:rPr>
          <w:rFonts w:ascii="Times New Roman" w:hAnsi="Times New Roman" w:cs="Times New Roman"/>
          <w:position w:val="2"/>
          <w:sz w:val="24"/>
          <w:szCs w:val="24"/>
        </w:rPr>
        <w:t>RES * W</w:t>
      </w:r>
      <w:r w:rsidRPr="00BA48BC">
        <w:rPr>
          <w:rFonts w:ascii="Times New Roman" w:hAnsi="Times New Roman" w:cs="Times New Roman"/>
          <w:sz w:val="24"/>
          <w:szCs w:val="24"/>
        </w:rPr>
        <w:t>3</w:t>
      </w:r>
      <w:r w:rsidRPr="00BA48BC">
        <w:rPr>
          <w:rFonts w:ascii="Times New Roman" w:hAnsi="Times New Roman" w:cs="Times New Roman"/>
          <w:spacing w:val="21"/>
          <w:sz w:val="24"/>
          <w:szCs w:val="24"/>
        </w:rPr>
        <w:t xml:space="preserve"> </w:t>
      </w:r>
      <w:r w:rsidRPr="00BA48BC">
        <w:rPr>
          <w:rFonts w:ascii="Times New Roman" w:hAnsi="Times New Roman" w:cs="Times New Roman"/>
          <w:position w:val="2"/>
          <w:sz w:val="24"/>
          <w:szCs w:val="24"/>
        </w:rPr>
        <w:t>+ AS * W</w:t>
      </w:r>
      <w:r w:rsidRPr="00BA48BC">
        <w:rPr>
          <w:rFonts w:ascii="Times New Roman" w:hAnsi="Times New Roman" w:cs="Times New Roman"/>
          <w:sz w:val="24"/>
          <w:szCs w:val="24"/>
        </w:rPr>
        <w:t>4</w:t>
      </w:r>
      <w:r w:rsidRPr="00BA48BC">
        <w:rPr>
          <w:rFonts w:ascii="Times New Roman" w:hAnsi="Times New Roman" w:cs="Times New Roman"/>
          <w:spacing w:val="20"/>
          <w:sz w:val="24"/>
          <w:szCs w:val="24"/>
        </w:rPr>
        <w:t xml:space="preserve"> </w:t>
      </w:r>
      <w:r w:rsidRPr="00BA48BC">
        <w:rPr>
          <w:rFonts w:ascii="Times New Roman" w:hAnsi="Times New Roman" w:cs="Times New Roman"/>
          <w:position w:val="2"/>
          <w:sz w:val="24"/>
          <w:szCs w:val="24"/>
        </w:rPr>
        <w:t>+</w:t>
      </w:r>
      <w:r w:rsidRPr="00BA48BC">
        <w:rPr>
          <w:rFonts w:ascii="Times New Roman" w:hAnsi="Times New Roman" w:cs="Times New Roman"/>
          <w:spacing w:val="-2"/>
          <w:position w:val="2"/>
          <w:sz w:val="24"/>
          <w:szCs w:val="24"/>
        </w:rPr>
        <w:t xml:space="preserve"> </w:t>
      </w:r>
      <w:r w:rsidRPr="00BA48BC">
        <w:rPr>
          <w:rFonts w:ascii="Times New Roman" w:hAnsi="Times New Roman" w:cs="Times New Roman"/>
          <w:position w:val="2"/>
          <w:sz w:val="24"/>
          <w:szCs w:val="24"/>
        </w:rPr>
        <w:t>EM * W</w:t>
      </w:r>
      <w:r w:rsidRPr="00BA48BC">
        <w:rPr>
          <w:rFonts w:ascii="Times New Roman" w:hAnsi="Times New Roman" w:cs="Times New Roman"/>
          <w:sz w:val="24"/>
          <w:szCs w:val="24"/>
        </w:rPr>
        <w:t>1</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2</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2</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4</w:t>
      </w:r>
      <w:r w:rsidRPr="00BA48BC">
        <w:rPr>
          <w:rFonts w:ascii="Times New Roman" w:hAnsi="Times New Roman" w:cs="Times New Roman"/>
          <w:position w:val="2"/>
          <w:sz w:val="24"/>
          <w:szCs w:val="24"/>
        </w:rPr>
        <w:t>+W</w:t>
      </w:r>
      <w:r w:rsidRPr="00BA48BC">
        <w:rPr>
          <w:rFonts w:ascii="Times New Roman" w:hAnsi="Times New Roman" w:cs="Times New Roman"/>
          <w:sz w:val="24"/>
          <w:szCs w:val="24"/>
        </w:rPr>
        <w:t>5</w:t>
      </w:r>
    </w:p>
    <w:p w14:paraId="21F7C747" w14:textId="77777777" w:rsidR="003D130A" w:rsidRPr="00BA48BC" w:rsidRDefault="003D130A" w:rsidP="00B939A0">
      <w:pPr>
        <w:spacing w:line="240" w:lineRule="auto"/>
        <w:ind w:right="1181"/>
        <w:rPr>
          <w:rFonts w:ascii="Times New Roman" w:hAnsi="Times New Roman" w:cs="Times New Roman"/>
          <w:sz w:val="24"/>
          <w:szCs w:val="24"/>
        </w:rPr>
      </w:pPr>
      <w:r w:rsidRPr="00BA48BC">
        <w:rPr>
          <w:rFonts w:ascii="Times New Roman" w:hAnsi="Times New Roman" w:cs="Times New Roman"/>
          <w:sz w:val="24"/>
          <w:szCs w:val="24"/>
        </w:rPr>
        <w:t>Where,</w:t>
      </w:r>
    </w:p>
    <w:p w14:paraId="39A4AE68" w14:textId="77777777" w:rsidR="003D130A" w:rsidRPr="00BA48BC" w:rsidRDefault="003D130A" w:rsidP="00B939A0">
      <w:pPr>
        <w:pStyle w:val="ListParagraph"/>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TAN = Tangibles,</w:t>
      </w:r>
    </w:p>
    <w:p w14:paraId="7DC3ADC9"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REL = Reliability,</w:t>
      </w:r>
    </w:p>
    <w:p w14:paraId="56EEE856"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RES = Responsiveness,</w:t>
      </w:r>
    </w:p>
    <w:p w14:paraId="26540FDF"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lastRenderedPageBreak/>
        <w:t>AS = Assurance,</w:t>
      </w:r>
    </w:p>
    <w:p w14:paraId="01F1B5AF" w14:textId="77777777" w:rsidR="003D130A" w:rsidRPr="00BA48BC" w:rsidRDefault="003D130A" w:rsidP="00B939A0">
      <w:pPr>
        <w:numPr>
          <w:ilvl w:val="0"/>
          <w:numId w:val="1"/>
        </w:numPr>
        <w:spacing w:line="240" w:lineRule="auto"/>
        <w:rPr>
          <w:rFonts w:ascii="Times New Roman" w:hAnsi="Times New Roman" w:cs="Times New Roman"/>
          <w:sz w:val="24"/>
          <w:szCs w:val="24"/>
        </w:rPr>
      </w:pPr>
      <w:r w:rsidRPr="00BA48BC">
        <w:rPr>
          <w:rFonts w:ascii="Times New Roman" w:hAnsi="Times New Roman" w:cs="Times New Roman"/>
          <w:sz w:val="24"/>
          <w:szCs w:val="24"/>
        </w:rPr>
        <w:t>EM = Empathy</w:t>
      </w:r>
    </w:p>
    <w:p w14:paraId="30D39B9E" w14:textId="77777777" w:rsidR="003D130A" w:rsidRPr="00BA48BC" w:rsidRDefault="003D130A" w:rsidP="003D130A">
      <w:pPr>
        <w:pStyle w:val="BodyText"/>
        <w:spacing w:before="132" w:line="360" w:lineRule="auto"/>
        <w:ind w:right="29"/>
        <w:jc w:val="both"/>
      </w:pPr>
      <w:r w:rsidRPr="00BA48BC">
        <w:t xml:space="preserve">Lastly, the Customer Satisfaction Index was developed and </w:t>
      </w:r>
      <w:r w:rsidR="002E2A1B" w:rsidRPr="00BA48BC">
        <w:t xml:space="preserve">the responses were </w:t>
      </w:r>
      <w:r w:rsidRPr="00BA48BC">
        <w:t xml:space="preserve">classified into three categories </w:t>
      </w:r>
      <w:r w:rsidRPr="00BA48BC">
        <w:rPr>
          <w:i/>
        </w:rPr>
        <w:t>viz</w:t>
      </w:r>
      <w:r w:rsidRPr="00BA48BC">
        <w:t>., low, medium and high based on the Cumulative Square Root Frequency (CSRF) method.</w:t>
      </w:r>
    </w:p>
    <w:p w14:paraId="4105DA36" w14:textId="77777777" w:rsidR="003D130A" w:rsidRPr="00BA48BC" w:rsidRDefault="00FD2F54"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t>RESULTS AND DISCUSSION</w:t>
      </w:r>
    </w:p>
    <w:p w14:paraId="189123FC"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 xml:space="preserve">The extent of customer satisfaction towards FPC products/ services was </w:t>
      </w:r>
      <w:proofErr w:type="spellStart"/>
      <w:r w:rsidRPr="00BA48BC">
        <w:rPr>
          <w:rFonts w:ascii="Times New Roman" w:hAnsi="Times New Roman" w:cs="Times New Roman"/>
          <w:sz w:val="24"/>
        </w:rPr>
        <w:t>analysed</w:t>
      </w:r>
      <w:proofErr w:type="spellEnd"/>
      <w:r w:rsidRPr="00BA48BC">
        <w:rPr>
          <w:rFonts w:ascii="Times New Roman" w:hAnsi="Times New Roman" w:cs="Times New Roman"/>
          <w:sz w:val="24"/>
        </w:rPr>
        <w:t xml:space="preserve"> by developing an index for the study. It comprises of five main components adopted from ‘SERVQUAL’ framework given by </w:t>
      </w:r>
      <w:r w:rsidRPr="00BA48BC">
        <w:rPr>
          <w:rFonts w:ascii="Times New Roman" w:hAnsi="Times New Roman" w:cs="Times New Roman"/>
          <w:color w:val="0070C0"/>
          <w:sz w:val="24"/>
          <w:szCs w:val="24"/>
        </w:rPr>
        <w:t xml:space="preserve">Parasuraman </w:t>
      </w:r>
      <w:r w:rsidRPr="00BA48BC">
        <w:rPr>
          <w:rFonts w:ascii="Times New Roman" w:hAnsi="Times New Roman" w:cs="Times New Roman"/>
          <w:iCs/>
          <w:color w:val="0070C0"/>
          <w:sz w:val="24"/>
          <w:szCs w:val="24"/>
        </w:rPr>
        <w:t>et al</w:t>
      </w:r>
      <w:r w:rsidRPr="00BA48BC">
        <w:rPr>
          <w:rFonts w:ascii="Times New Roman" w:hAnsi="Times New Roman" w:cs="Times New Roman"/>
          <w:i/>
          <w:iCs/>
          <w:color w:val="0070C0"/>
          <w:sz w:val="24"/>
          <w:szCs w:val="24"/>
        </w:rPr>
        <w:t xml:space="preserve">. </w:t>
      </w:r>
      <w:r w:rsidRPr="00BA48BC">
        <w:rPr>
          <w:rFonts w:ascii="Times New Roman" w:hAnsi="Times New Roman" w:cs="Times New Roman"/>
          <w:iCs/>
          <w:color w:val="0070C0"/>
          <w:sz w:val="24"/>
          <w:szCs w:val="24"/>
        </w:rPr>
        <w:t>(</w:t>
      </w:r>
      <w:r w:rsidRPr="00BA48BC">
        <w:rPr>
          <w:rFonts w:ascii="Times New Roman" w:hAnsi="Times New Roman" w:cs="Times New Roman"/>
          <w:color w:val="0070C0"/>
          <w:sz w:val="24"/>
          <w:szCs w:val="24"/>
        </w:rPr>
        <w:t>1988)</w:t>
      </w:r>
      <w:r w:rsidR="00436A50" w:rsidRPr="00BA48BC">
        <w:rPr>
          <w:rFonts w:ascii="Times New Roman" w:hAnsi="Times New Roman" w:cs="Times New Roman"/>
          <w:sz w:val="24"/>
          <w:szCs w:val="24"/>
          <w:vertAlign w:val="superscript"/>
        </w:rPr>
        <w:t>11</w:t>
      </w:r>
      <w:r w:rsidRPr="00BA48BC">
        <w:rPr>
          <w:rFonts w:ascii="Times New Roman" w:hAnsi="Times New Roman" w:cs="Times New Roman"/>
          <w:color w:val="0070C0"/>
          <w:sz w:val="24"/>
          <w:szCs w:val="24"/>
        </w:rPr>
        <w:t xml:space="preserve"> </w:t>
      </w:r>
      <w:r w:rsidRPr="00BA48BC">
        <w:rPr>
          <w:rFonts w:ascii="Times New Roman" w:hAnsi="Times New Roman" w:cs="Times New Roman"/>
          <w:sz w:val="24"/>
        </w:rPr>
        <w:t>namely, (</w:t>
      </w:r>
      <w:proofErr w:type="spellStart"/>
      <w:r w:rsidRPr="00BA48BC">
        <w:rPr>
          <w:rFonts w:ascii="Times New Roman" w:hAnsi="Times New Roman" w:cs="Times New Roman"/>
          <w:sz w:val="24"/>
        </w:rPr>
        <w:t>i</w:t>
      </w:r>
      <w:proofErr w:type="spellEnd"/>
      <w:r w:rsidRPr="00BA48BC">
        <w:rPr>
          <w:rFonts w:ascii="Times New Roman" w:hAnsi="Times New Roman" w:cs="Times New Roman"/>
          <w:sz w:val="24"/>
        </w:rPr>
        <w:t>) Tangibles (ii) Reliability (iii) Responsiveness (iv) Assurance, and (v) Empathy.</w:t>
      </w:r>
    </w:p>
    <w:p w14:paraId="131E3046"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 xml:space="preserve">The weights for each component were assigned using the Principal Component Analysis (PCA) and the weightages, thus obtained through PCA for each of the components were illustrated in Table </w:t>
      </w:r>
      <w:r w:rsidR="00FE1A52" w:rsidRPr="00BA48BC">
        <w:rPr>
          <w:rFonts w:ascii="Times New Roman" w:hAnsi="Times New Roman" w:cs="Times New Roman"/>
          <w:sz w:val="24"/>
        </w:rPr>
        <w:t>2</w:t>
      </w:r>
      <w:r w:rsidRPr="00BA48BC">
        <w:rPr>
          <w:rFonts w:ascii="Times New Roman" w:hAnsi="Times New Roman" w:cs="Times New Roman"/>
          <w:sz w:val="24"/>
        </w:rPr>
        <w:t xml:space="preserve">. The obtained weightages are in support with the findings of </w:t>
      </w:r>
      <w:r w:rsidRPr="00BA48BC">
        <w:rPr>
          <w:rFonts w:ascii="Times New Roman" w:hAnsi="Times New Roman" w:cs="Times New Roman"/>
          <w:color w:val="0070C0"/>
          <w:sz w:val="24"/>
        </w:rPr>
        <w:t>Kumar and Mohan (2018)</w:t>
      </w:r>
      <w:r w:rsidR="00436A50" w:rsidRPr="00BA48BC">
        <w:rPr>
          <w:rFonts w:ascii="Times New Roman" w:hAnsi="Times New Roman" w:cs="Times New Roman"/>
          <w:sz w:val="24"/>
          <w:vertAlign w:val="superscript"/>
        </w:rPr>
        <w:t>17</w:t>
      </w:r>
      <w:r w:rsidRPr="00BA48BC">
        <w:rPr>
          <w:rFonts w:ascii="Times New Roman" w:hAnsi="Times New Roman" w:cs="Times New Roman"/>
          <w:color w:val="0070C0"/>
          <w:sz w:val="24"/>
        </w:rPr>
        <w:t xml:space="preserve"> </w:t>
      </w:r>
      <w:r w:rsidRPr="00BA48BC">
        <w:rPr>
          <w:rFonts w:ascii="Times New Roman" w:hAnsi="Times New Roman" w:cs="Times New Roman"/>
          <w:sz w:val="24"/>
        </w:rPr>
        <w:t>who extracted the prominent factors leading to customer satisfaction.</w:t>
      </w:r>
    </w:p>
    <w:p w14:paraId="082EA9FA" w14:textId="77777777" w:rsidR="005042BE" w:rsidRPr="00BA48BC" w:rsidRDefault="005042BE" w:rsidP="005042BE">
      <w:pPr>
        <w:rPr>
          <w:rFonts w:ascii="Times New Roman" w:hAnsi="Times New Roman" w:cs="Times New Roman"/>
          <w:b/>
          <w:sz w:val="24"/>
        </w:rPr>
      </w:pPr>
      <w:r w:rsidRPr="00BA48BC">
        <w:rPr>
          <w:rFonts w:ascii="Times New Roman" w:hAnsi="Times New Roman" w:cs="Times New Roman"/>
          <w:b/>
          <w:sz w:val="24"/>
        </w:rPr>
        <w:t xml:space="preserve">Table </w:t>
      </w:r>
      <w:r w:rsidR="00FE1A52" w:rsidRPr="00BA48BC">
        <w:rPr>
          <w:rFonts w:ascii="Times New Roman" w:hAnsi="Times New Roman" w:cs="Times New Roman"/>
          <w:b/>
          <w:sz w:val="24"/>
        </w:rPr>
        <w:t>2</w:t>
      </w:r>
      <w:r w:rsidRPr="00BA48BC">
        <w:rPr>
          <w:rFonts w:ascii="Times New Roman" w:hAnsi="Times New Roman" w:cs="Times New Roman"/>
          <w:b/>
          <w:sz w:val="24"/>
        </w:rPr>
        <w:t>.  The customer satisfaction index weight scores for five components</w:t>
      </w:r>
    </w:p>
    <w:tbl>
      <w:tblPr>
        <w:tblStyle w:val="TableGrid"/>
        <w:tblW w:w="5000" w:type="pct"/>
        <w:jc w:val="center"/>
        <w:tblLook w:val="04A0" w:firstRow="1" w:lastRow="0" w:firstColumn="1" w:lastColumn="0" w:noHBand="0" w:noVBand="1"/>
      </w:tblPr>
      <w:tblGrid>
        <w:gridCol w:w="4468"/>
        <w:gridCol w:w="4551"/>
      </w:tblGrid>
      <w:tr w:rsidR="005042BE" w:rsidRPr="00BA48BC" w14:paraId="7B1588AA" w14:textId="77777777" w:rsidTr="00EE558C">
        <w:trPr>
          <w:trHeight w:val="300"/>
          <w:jc w:val="center"/>
        </w:trPr>
        <w:tc>
          <w:tcPr>
            <w:tcW w:w="2477" w:type="pct"/>
            <w:noWrap/>
            <w:vAlign w:val="center"/>
            <w:hideMark/>
          </w:tcPr>
          <w:p w14:paraId="013B864F" w14:textId="77777777" w:rsidR="005042BE" w:rsidRPr="00BA48BC" w:rsidRDefault="005042BE" w:rsidP="00EE558C">
            <w:pPr>
              <w:spacing w:line="360" w:lineRule="auto"/>
              <w:jc w:val="center"/>
              <w:rPr>
                <w:rFonts w:ascii="Times New Roman" w:hAnsi="Times New Roman" w:cs="Times New Roman"/>
                <w:b/>
                <w:sz w:val="24"/>
                <w:szCs w:val="24"/>
              </w:rPr>
            </w:pPr>
            <w:r w:rsidRPr="00BA48BC">
              <w:rPr>
                <w:rFonts w:ascii="Times New Roman" w:hAnsi="Times New Roman" w:cs="Times New Roman"/>
                <w:b/>
                <w:sz w:val="24"/>
                <w:szCs w:val="24"/>
              </w:rPr>
              <w:t>Component</w:t>
            </w:r>
          </w:p>
        </w:tc>
        <w:tc>
          <w:tcPr>
            <w:tcW w:w="2523" w:type="pct"/>
            <w:noWrap/>
            <w:vAlign w:val="center"/>
            <w:hideMark/>
          </w:tcPr>
          <w:p w14:paraId="639C37CC" w14:textId="77777777" w:rsidR="005042BE" w:rsidRPr="00BA48BC" w:rsidRDefault="005042BE" w:rsidP="00EE558C">
            <w:pPr>
              <w:spacing w:line="360" w:lineRule="auto"/>
              <w:jc w:val="center"/>
              <w:rPr>
                <w:rFonts w:ascii="Times New Roman" w:hAnsi="Times New Roman" w:cs="Times New Roman"/>
                <w:b/>
                <w:bCs/>
                <w:sz w:val="24"/>
                <w:szCs w:val="24"/>
              </w:rPr>
            </w:pPr>
            <w:r w:rsidRPr="00BA48BC">
              <w:rPr>
                <w:rFonts w:ascii="Times New Roman" w:hAnsi="Times New Roman" w:cs="Times New Roman"/>
                <w:b/>
                <w:bCs/>
                <w:sz w:val="24"/>
                <w:szCs w:val="24"/>
              </w:rPr>
              <w:t>Weightages from PCA</w:t>
            </w:r>
          </w:p>
        </w:tc>
      </w:tr>
      <w:tr w:rsidR="005042BE" w:rsidRPr="00BA48BC" w14:paraId="688C3ABB" w14:textId="77777777" w:rsidTr="00EE558C">
        <w:trPr>
          <w:trHeight w:val="300"/>
          <w:jc w:val="center"/>
        </w:trPr>
        <w:tc>
          <w:tcPr>
            <w:tcW w:w="2477" w:type="pct"/>
            <w:noWrap/>
            <w:vAlign w:val="center"/>
            <w:hideMark/>
          </w:tcPr>
          <w:p w14:paraId="0428DB38"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Tangibles</w:t>
            </w:r>
          </w:p>
        </w:tc>
        <w:tc>
          <w:tcPr>
            <w:tcW w:w="2523" w:type="pct"/>
            <w:noWrap/>
            <w:vAlign w:val="center"/>
            <w:hideMark/>
          </w:tcPr>
          <w:p w14:paraId="2E6EB7C1"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1.943</w:t>
            </w:r>
          </w:p>
        </w:tc>
      </w:tr>
      <w:tr w:rsidR="005042BE" w:rsidRPr="00BA48BC" w14:paraId="5B071F89" w14:textId="77777777" w:rsidTr="00EE558C">
        <w:trPr>
          <w:trHeight w:val="300"/>
          <w:jc w:val="center"/>
        </w:trPr>
        <w:tc>
          <w:tcPr>
            <w:tcW w:w="2477" w:type="pct"/>
            <w:noWrap/>
            <w:vAlign w:val="center"/>
            <w:hideMark/>
          </w:tcPr>
          <w:p w14:paraId="66B60D0B"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Reliability</w:t>
            </w:r>
          </w:p>
        </w:tc>
        <w:tc>
          <w:tcPr>
            <w:tcW w:w="2523" w:type="pct"/>
            <w:noWrap/>
            <w:vAlign w:val="center"/>
            <w:hideMark/>
          </w:tcPr>
          <w:p w14:paraId="711F5B86"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1.771</w:t>
            </w:r>
          </w:p>
        </w:tc>
      </w:tr>
      <w:tr w:rsidR="005042BE" w:rsidRPr="00BA48BC" w14:paraId="0B9BBD26" w14:textId="77777777" w:rsidTr="00EE558C">
        <w:trPr>
          <w:trHeight w:val="300"/>
          <w:jc w:val="center"/>
        </w:trPr>
        <w:tc>
          <w:tcPr>
            <w:tcW w:w="2477" w:type="pct"/>
            <w:noWrap/>
            <w:vAlign w:val="center"/>
            <w:hideMark/>
          </w:tcPr>
          <w:p w14:paraId="3B51AE5A"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Responsiveness</w:t>
            </w:r>
          </w:p>
        </w:tc>
        <w:tc>
          <w:tcPr>
            <w:tcW w:w="2523" w:type="pct"/>
            <w:noWrap/>
            <w:vAlign w:val="center"/>
            <w:hideMark/>
          </w:tcPr>
          <w:p w14:paraId="479A7588"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1.505</w:t>
            </w:r>
          </w:p>
        </w:tc>
      </w:tr>
      <w:tr w:rsidR="005042BE" w:rsidRPr="00BA48BC" w14:paraId="7EC9E356" w14:textId="77777777" w:rsidTr="00EE558C">
        <w:trPr>
          <w:trHeight w:val="300"/>
          <w:jc w:val="center"/>
        </w:trPr>
        <w:tc>
          <w:tcPr>
            <w:tcW w:w="2477" w:type="pct"/>
            <w:noWrap/>
            <w:vAlign w:val="center"/>
            <w:hideMark/>
          </w:tcPr>
          <w:p w14:paraId="70B40D01"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Assurance</w:t>
            </w:r>
          </w:p>
        </w:tc>
        <w:tc>
          <w:tcPr>
            <w:tcW w:w="2523" w:type="pct"/>
            <w:noWrap/>
            <w:vAlign w:val="center"/>
            <w:hideMark/>
          </w:tcPr>
          <w:p w14:paraId="4663D407"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1.010</w:t>
            </w:r>
          </w:p>
        </w:tc>
      </w:tr>
      <w:tr w:rsidR="005042BE" w:rsidRPr="00BA48BC" w14:paraId="1FFBEC75" w14:textId="77777777" w:rsidTr="00EE558C">
        <w:trPr>
          <w:trHeight w:val="300"/>
          <w:jc w:val="center"/>
        </w:trPr>
        <w:tc>
          <w:tcPr>
            <w:tcW w:w="2477" w:type="pct"/>
            <w:noWrap/>
            <w:vAlign w:val="center"/>
            <w:hideMark/>
          </w:tcPr>
          <w:p w14:paraId="22234F6F" w14:textId="77777777" w:rsidR="005042BE" w:rsidRPr="00BA48BC" w:rsidRDefault="005042BE" w:rsidP="00EE558C">
            <w:pPr>
              <w:spacing w:line="360" w:lineRule="auto"/>
              <w:jc w:val="center"/>
              <w:rPr>
                <w:rFonts w:ascii="Times New Roman" w:hAnsi="Times New Roman" w:cs="Times New Roman"/>
                <w:sz w:val="24"/>
                <w:szCs w:val="24"/>
              </w:rPr>
            </w:pPr>
            <w:r w:rsidRPr="00BA48BC">
              <w:rPr>
                <w:rFonts w:ascii="Times New Roman" w:hAnsi="Times New Roman" w:cs="Times New Roman"/>
                <w:sz w:val="24"/>
                <w:szCs w:val="24"/>
              </w:rPr>
              <w:t>Empathy</w:t>
            </w:r>
          </w:p>
        </w:tc>
        <w:tc>
          <w:tcPr>
            <w:tcW w:w="2523" w:type="pct"/>
            <w:noWrap/>
            <w:vAlign w:val="center"/>
            <w:hideMark/>
          </w:tcPr>
          <w:p w14:paraId="3FAB0C19" w14:textId="77777777" w:rsidR="005042BE" w:rsidRPr="00BA48BC" w:rsidRDefault="005042BE" w:rsidP="00EE558C">
            <w:pPr>
              <w:spacing w:line="360" w:lineRule="auto"/>
              <w:jc w:val="center"/>
              <w:rPr>
                <w:rFonts w:ascii="Times New Roman" w:hAnsi="Times New Roman" w:cs="Times New Roman"/>
                <w:bCs/>
                <w:sz w:val="24"/>
                <w:szCs w:val="24"/>
              </w:rPr>
            </w:pPr>
            <w:r w:rsidRPr="00BA48BC">
              <w:rPr>
                <w:rFonts w:ascii="Times New Roman" w:hAnsi="Times New Roman" w:cs="Times New Roman"/>
                <w:bCs/>
                <w:sz w:val="24"/>
                <w:szCs w:val="24"/>
              </w:rPr>
              <w:t>1.323</w:t>
            </w:r>
          </w:p>
        </w:tc>
      </w:tr>
    </w:tbl>
    <w:p w14:paraId="1EAB0206" w14:textId="77777777" w:rsidR="005042BE" w:rsidRPr="00BA48BC" w:rsidRDefault="00C40116" w:rsidP="005042BE">
      <w:pPr>
        <w:rPr>
          <w:rFonts w:ascii="Times New Roman" w:hAnsi="Times New Roman" w:cs="Times New Roman"/>
          <w:b/>
          <w:sz w:val="24"/>
          <w:szCs w:val="24"/>
        </w:rPr>
      </w:pPr>
      <w:r w:rsidRPr="00BA48BC">
        <w:rPr>
          <w:rFonts w:ascii="Times New Roman" w:hAnsi="Times New Roman" w:cs="Times New Roman"/>
          <w:b/>
          <w:sz w:val="24"/>
          <w:szCs w:val="24"/>
        </w:rPr>
        <w:t>3.</w:t>
      </w:r>
      <w:r w:rsidR="005042BE" w:rsidRPr="00BA48BC">
        <w:rPr>
          <w:rFonts w:ascii="Times New Roman" w:hAnsi="Times New Roman" w:cs="Times New Roman"/>
          <w:b/>
          <w:sz w:val="24"/>
          <w:szCs w:val="24"/>
        </w:rPr>
        <w:t>1 Customer satisfaction with the FPC services based on the component mean score</w:t>
      </w:r>
    </w:p>
    <w:p w14:paraId="21795887"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The mean scores of customer satisfaction obtained under each of the components were depicted in the Table 3</w:t>
      </w:r>
      <w:r w:rsidRPr="00BA48BC">
        <w:rPr>
          <w:rFonts w:ascii="Times New Roman" w:hAnsi="Times New Roman" w:cs="Times New Roman"/>
          <w:color w:val="FF0000"/>
          <w:sz w:val="24"/>
        </w:rPr>
        <w:t xml:space="preserve"> </w:t>
      </w:r>
      <w:r w:rsidRPr="00BA48BC">
        <w:rPr>
          <w:rFonts w:ascii="Times New Roman" w:hAnsi="Times New Roman" w:cs="Times New Roman"/>
          <w:sz w:val="24"/>
        </w:rPr>
        <w:t>and the results were discussed below;</w:t>
      </w:r>
    </w:p>
    <w:p w14:paraId="4745FD4C" w14:textId="77777777" w:rsidR="005042BE" w:rsidRPr="00BA48BC" w:rsidRDefault="005042BE" w:rsidP="005042BE">
      <w:pPr>
        <w:pStyle w:val="ListParagraph"/>
        <w:numPr>
          <w:ilvl w:val="0"/>
          <w:numId w:val="3"/>
        </w:numPr>
        <w:spacing w:before="240" w:after="240"/>
        <w:rPr>
          <w:rFonts w:ascii="Times New Roman" w:hAnsi="Times New Roman" w:cs="Times New Roman"/>
          <w:sz w:val="24"/>
          <w:szCs w:val="24"/>
        </w:rPr>
      </w:pPr>
      <w:r w:rsidRPr="00BA48BC">
        <w:rPr>
          <w:rFonts w:ascii="Times New Roman" w:hAnsi="Times New Roman" w:cs="Times New Roman"/>
          <w:b/>
          <w:sz w:val="24"/>
          <w:szCs w:val="24"/>
        </w:rPr>
        <w:t xml:space="preserve">Tangibles: </w:t>
      </w:r>
      <w:r w:rsidRPr="00BA48BC">
        <w:rPr>
          <w:rFonts w:ascii="Times New Roman" w:hAnsi="Times New Roman" w:cs="Times New Roman"/>
          <w:sz w:val="24"/>
          <w:szCs w:val="24"/>
        </w:rPr>
        <w:t xml:space="preserve">With respect to the assessment of the observable parameters, the highest mean score was obtained by IFPCL (28.5) followed by APOFPCL (24.95) among the crop sector FPCs. The customers of the IFPCL perceived that the FPC was maintaining the quality and grading facilities meeting their expectations. Also, they claimed that they seldom faced any issues regarding irregularities in weighing of the products. On the other hand, customers of APOFPCL were highly satisfied with the well-maintained </w:t>
      </w:r>
      <w:r w:rsidRPr="00BA48BC">
        <w:rPr>
          <w:rFonts w:ascii="Times New Roman" w:hAnsi="Times New Roman" w:cs="Times New Roman"/>
          <w:sz w:val="24"/>
          <w:szCs w:val="24"/>
        </w:rPr>
        <w:lastRenderedPageBreak/>
        <w:t>stores, fresh quality of fruits and vegetables as well as safe packaging of products. However, most of the customers felt that the products were priced on the higher side than the market prices. Among the dairy FPCs, all the FPCs have recorded nearly equal mean scores in terms of customer satisfaction probably due to the stringent measures followed in quality control by the producer companies in product packaging, labelling, and maintaining hygiene along the supply chain.</w:t>
      </w:r>
    </w:p>
    <w:p w14:paraId="631326AC"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Reliability: </w:t>
      </w:r>
      <w:r w:rsidRPr="00BA48BC">
        <w:rPr>
          <w:rFonts w:ascii="Times New Roman" w:hAnsi="Times New Roman" w:cs="Times New Roman"/>
          <w:sz w:val="24"/>
          <w:szCs w:val="24"/>
        </w:rPr>
        <w:t>Under the</w:t>
      </w:r>
      <w:r w:rsidRPr="00BA48BC">
        <w:rPr>
          <w:rFonts w:ascii="Times New Roman" w:hAnsi="Times New Roman" w:cs="Times New Roman"/>
          <w:b/>
          <w:sz w:val="24"/>
          <w:szCs w:val="24"/>
        </w:rPr>
        <w:t xml:space="preserve"> </w:t>
      </w:r>
      <w:r w:rsidRPr="00BA48BC">
        <w:rPr>
          <w:rFonts w:ascii="Times New Roman" w:hAnsi="Times New Roman" w:cs="Times New Roman"/>
          <w:sz w:val="24"/>
          <w:szCs w:val="24"/>
        </w:rPr>
        <w:t>component reliability, APOFPCL had attained highest mean score (15.5) which was followed by IFPCL (13.7). The customers of both the FPCs perceived that the FPCs were promptly delivering the products within the designated time and exhibited consistency in the quality of products (</w:t>
      </w:r>
      <w:r w:rsidRPr="00BA48BC">
        <w:rPr>
          <w:rFonts w:ascii="Times New Roman" w:hAnsi="Times New Roman" w:cs="Times New Roman"/>
          <w:i/>
          <w:sz w:val="24"/>
          <w:szCs w:val="24"/>
        </w:rPr>
        <w:t xml:space="preserve">viz., </w:t>
      </w:r>
      <w:r w:rsidRPr="00BA48BC">
        <w:rPr>
          <w:rFonts w:ascii="Times New Roman" w:hAnsi="Times New Roman" w:cs="Times New Roman"/>
          <w:sz w:val="24"/>
          <w:szCs w:val="24"/>
        </w:rPr>
        <w:t>organic cooking oils, fruits and vegetables in case of APOFPCL and cotton, processed red gram and soyabean products of IFPCL). Moreover, the IFPCL had a systematic maintenance of records related to transactions with its customers from time to time. Among the dairy FPCs, all except SMMPCL had satisfactory mean scores on an approximately equal level. However, the slightly lower scores obtained by SMMPCL compared to the other dairy FPCs might be due to the hindrances faced by the MPC in meeting the demand and delivering the expected volume of its own brand products. This was mainly because the company was committed to regularly supply major volume of the procured milk to ‘Mother Dairy’ which, at times, lead to lower volumes of supply level for its own branded products in the market.</w:t>
      </w:r>
    </w:p>
    <w:p w14:paraId="70BF7B0F"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Responsiveness: </w:t>
      </w:r>
      <w:r w:rsidRPr="00BA48BC">
        <w:rPr>
          <w:rFonts w:ascii="Times New Roman" w:hAnsi="Times New Roman" w:cs="Times New Roman"/>
          <w:sz w:val="24"/>
          <w:szCs w:val="24"/>
        </w:rPr>
        <w:t>In terms of</w:t>
      </w:r>
      <w:r w:rsidRPr="00BA48BC">
        <w:rPr>
          <w:rFonts w:ascii="Times New Roman" w:hAnsi="Times New Roman" w:cs="Times New Roman"/>
          <w:b/>
          <w:sz w:val="24"/>
          <w:szCs w:val="24"/>
        </w:rPr>
        <w:t xml:space="preserve"> </w:t>
      </w:r>
      <w:r w:rsidRPr="00BA48BC">
        <w:rPr>
          <w:rFonts w:ascii="Times New Roman" w:hAnsi="Times New Roman" w:cs="Times New Roman"/>
          <w:sz w:val="24"/>
          <w:szCs w:val="24"/>
        </w:rPr>
        <w:t xml:space="preserve">responsiveness of the FPCs, APOFPCL (22.05) obtained the highest mean score followed by KFSPCL (18.1). The probable reason for the high satisfaction level towards the responsiveness component for APOFPCL might be due to the innovative approach of the FPC in maintaining healthy relations with the customers. The FPCL would schedule appointments with 25 new customers on every fourth Sunday of a month and arrange visit to the organic farms in the operational villages of the FPC. The FPC officials create awareness to the customers regarding organic production practices, grading and quality measures taken along the supply chain. Besides that, a complimentary organic lunch would be served to the customers on the fields of farmers. The customers felt that the officials of both the FPCs were sincere in collecting feedback and redressing grievances, in case if any, reported by them. SMMPCL attained the highest mean scores (20.6) among the dairy FPCs under the responsiveness component as majority of the customers were satisfied with the products/ services of SMMPCL. The probable reason could be due to the dedicated </w:t>
      </w:r>
      <w:r w:rsidRPr="00BA48BC">
        <w:rPr>
          <w:rFonts w:ascii="Times New Roman" w:hAnsi="Times New Roman" w:cs="Times New Roman"/>
          <w:sz w:val="24"/>
          <w:szCs w:val="24"/>
        </w:rPr>
        <w:lastRenderedPageBreak/>
        <w:t xml:space="preserve">service exhibited by the company in retaining its existing customers and expanding the business in view of the stiff competition faced from other private dairies and cooperatives in the Tirupathi region of Andhra Pradesh. </w:t>
      </w:r>
    </w:p>
    <w:p w14:paraId="7CE0E1D6"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Assurance: </w:t>
      </w:r>
      <w:r w:rsidRPr="00BA48BC">
        <w:rPr>
          <w:rFonts w:ascii="Times New Roman" w:hAnsi="Times New Roman" w:cs="Times New Roman"/>
          <w:sz w:val="24"/>
          <w:szCs w:val="24"/>
        </w:rPr>
        <w:t xml:space="preserve">Under this component, IFPCL (18.90) obtained the highest mean score followed by APOFPCL (16.75) among the crop sector FPCs. Among the dairy FPCs, KMPCL (15.80) obtained the highest mean score. However, all the dairy FPCs were found to be successful in fostering trust among their customers as they have obtained satisfactory scores. The customers of the FPCs which had highest mean scores claimed that the FPCs exhibited promptness in business transactions and payments. The FPCs engaged officials who are </w:t>
      </w:r>
      <w:proofErr w:type="spellStart"/>
      <w:r w:rsidRPr="00BA48BC">
        <w:rPr>
          <w:rFonts w:ascii="Times New Roman" w:hAnsi="Times New Roman" w:cs="Times New Roman"/>
          <w:sz w:val="24"/>
          <w:szCs w:val="24"/>
        </w:rPr>
        <w:t>expertised</w:t>
      </w:r>
      <w:proofErr w:type="spellEnd"/>
      <w:r w:rsidRPr="00BA48BC">
        <w:rPr>
          <w:rFonts w:ascii="Times New Roman" w:hAnsi="Times New Roman" w:cs="Times New Roman"/>
          <w:sz w:val="24"/>
          <w:szCs w:val="24"/>
        </w:rPr>
        <w:t xml:space="preserve"> in guiding the customer towards right purchase and rectify any sort of dissatisfaction expressed by them. On the other hand, the customers of SMPCL and SVVMPCL expressed that they are not able to make substantial profits due to the issuance of several new dealerships without considering the distance from the existing outlets. </w:t>
      </w:r>
    </w:p>
    <w:p w14:paraId="5A44C474" w14:textId="77777777" w:rsidR="005042BE" w:rsidRPr="00BA48BC" w:rsidRDefault="005042BE" w:rsidP="005042BE">
      <w:pPr>
        <w:pStyle w:val="ListParagraph"/>
        <w:numPr>
          <w:ilvl w:val="0"/>
          <w:numId w:val="3"/>
        </w:numPr>
        <w:spacing w:before="240" w:after="240"/>
        <w:rPr>
          <w:rFonts w:ascii="Times New Roman" w:hAnsi="Times New Roman" w:cs="Times New Roman"/>
          <w:b/>
          <w:sz w:val="24"/>
          <w:szCs w:val="24"/>
        </w:rPr>
      </w:pPr>
      <w:r w:rsidRPr="00BA48BC">
        <w:rPr>
          <w:rFonts w:ascii="Times New Roman" w:hAnsi="Times New Roman" w:cs="Times New Roman"/>
          <w:b/>
          <w:sz w:val="24"/>
          <w:szCs w:val="24"/>
        </w:rPr>
        <w:t xml:space="preserve">Empathy: </w:t>
      </w:r>
      <w:r w:rsidRPr="00BA48BC">
        <w:rPr>
          <w:rFonts w:ascii="Times New Roman" w:hAnsi="Times New Roman" w:cs="Times New Roman"/>
          <w:sz w:val="24"/>
          <w:szCs w:val="24"/>
        </w:rPr>
        <w:t>In terms of the component ‘empathy’, AOPFPCL attained the highest mean score (22.55) followed by KFSPCL (19.05). Likewise, among the dairy FPCs, SMMPCL obtained the highest mean score (20.35) followed by SVVMPCL (19.05). The probable reason could be the perceived satisfaction of the customers towards the individual attention rendered by the FPCs for identifying the customer preferences. On the other hand, the customers felt that the FPCs which obtained highest mean scores were exhibiting positivity in reception and readiness to learn customers’ specific requirements better than the other FPCs under study.</w:t>
      </w:r>
      <w:r w:rsidRPr="00BA48BC">
        <w:rPr>
          <w:rFonts w:ascii="Times New Roman" w:hAnsi="Times New Roman" w:cs="Times New Roman"/>
          <w:b/>
          <w:color w:val="4472C4" w:themeColor="accent5"/>
          <w:sz w:val="24"/>
        </w:rPr>
        <w:t xml:space="preserve"> </w:t>
      </w:r>
    </w:p>
    <w:p w14:paraId="1B317DC5" w14:textId="77777777" w:rsidR="005042BE" w:rsidRPr="00BA48BC" w:rsidRDefault="005042BE" w:rsidP="005042BE">
      <w:pPr>
        <w:spacing w:after="0"/>
        <w:rPr>
          <w:rFonts w:ascii="Times New Roman" w:hAnsi="Times New Roman" w:cs="Times New Roman"/>
          <w:b/>
          <w:sz w:val="24"/>
          <w:szCs w:val="24"/>
        </w:rPr>
      </w:pPr>
      <w:r w:rsidRPr="00BA48BC">
        <w:rPr>
          <w:rFonts w:ascii="Times New Roman" w:hAnsi="Times New Roman" w:cs="Times New Roman"/>
          <w:b/>
          <w:sz w:val="24"/>
        </w:rPr>
        <w:t>Table 3</w:t>
      </w:r>
      <w:r w:rsidR="00FE1A52" w:rsidRPr="00BA48BC">
        <w:rPr>
          <w:rFonts w:ascii="Times New Roman" w:hAnsi="Times New Roman" w:cs="Times New Roman"/>
          <w:b/>
          <w:sz w:val="24"/>
        </w:rPr>
        <w:t>.</w:t>
      </w:r>
      <w:r w:rsidRPr="00BA48BC">
        <w:rPr>
          <w:rFonts w:ascii="Times New Roman" w:hAnsi="Times New Roman" w:cs="Times New Roman"/>
          <w:b/>
          <w:sz w:val="24"/>
        </w:rPr>
        <w:t xml:space="preserve"> Customer satisfaction towards the FPC services based on components mean score                                                                                                                                 n= 160</w:t>
      </w:r>
    </w:p>
    <w:tbl>
      <w:tblPr>
        <w:tblStyle w:val="TableGrid"/>
        <w:tblW w:w="5000" w:type="pct"/>
        <w:jc w:val="center"/>
        <w:tblLayout w:type="fixed"/>
        <w:tblLook w:val="04A0" w:firstRow="1" w:lastRow="0" w:firstColumn="1" w:lastColumn="0" w:noHBand="0" w:noVBand="1"/>
      </w:tblPr>
      <w:tblGrid>
        <w:gridCol w:w="805"/>
        <w:gridCol w:w="1261"/>
        <w:gridCol w:w="1174"/>
        <w:gridCol w:w="1441"/>
        <w:gridCol w:w="1798"/>
        <w:gridCol w:w="1349"/>
        <w:gridCol w:w="1191"/>
      </w:tblGrid>
      <w:tr w:rsidR="005042BE" w:rsidRPr="00BA48BC" w14:paraId="1A1A5B74" w14:textId="77777777" w:rsidTr="00EE558C">
        <w:trPr>
          <w:trHeight w:val="300"/>
          <w:jc w:val="center"/>
        </w:trPr>
        <w:tc>
          <w:tcPr>
            <w:tcW w:w="446" w:type="pct"/>
            <w:noWrap/>
            <w:vAlign w:val="center"/>
            <w:hideMark/>
          </w:tcPr>
          <w:p w14:paraId="54B2AA0F" w14:textId="77777777" w:rsidR="005042BE" w:rsidRPr="00BA48BC" w:rsidRDefault="005042BE" w:rsidP="00501B34">
            <w:pPr>
              <w:spacing w:line="360" w:lineRule="auto"/>
              <w:jc w:val="center"/>
              <w:rPr>
                <w:rFonts w:ascii="Times New Roman" w:hAnsi="Times New Roman" w:cs="Times New Roman"/>
                <w:b/>
              </w:rPr>
            </w:pPr>
            <w:proofErr w:type="spellStart"/>
            <w:r w:rsidRPr="00BA48BC">
              <w:rPr>
                <w:rFonts w:ascii="Times New Roman" w:hAnsi="Times New Roman" w:cs="Times New Roman"/>
                <w:b/>
              </w:rPr>
              <w:t>S.No</w:t>
            </w:r>
            <w:proofErr w:type="spellEnd"/>
            <w:r w:rsidRPr="00BA48BC">
              <w:rPr>
                <w:rFonts w:ascii="Times New Roman" w:hAnsi="Times New Roman" w:cs="Times New Roman"/>
                <w:b/>
              </w:rPr>
              <w:t>.</w:t>
            </w:r>
          </w:p>
        </w:tc>
        <w:tc>
          <w:tcPr>
            <w:tcW w:w="699" w:type="pct"/>
            <w:noWrap/>
            <w:vAlign w:val="center"/>
            <w:hideMark/>
          </w:tcPr>
          <w:p w14:paraId="6532E3D4"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Name of the FPC</w:t>
            </w:r>
          </w:p>
        </w:tc>
        <w:tc>
          <w:tcPr>
            <w:tcW w:w="651" w:type="pct"/>
            <w:noWrap/>
            <w:vAlign w:val="center"/>
            <w:hideMark/>
          </w:tcPr>
          <w:p w14:paraId="6C5B28CF"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Tangibles</w:t>
            </w:r>
          </w:p>
        </w:tc>
        <w:tc>
          <w:tcPr>
            <w:tcW w:w="799" w:type="pct"/>
            <w:noWrap/>
            <w:vAlign w:val="center"/>
            <w:hideMark/>
          </w:tcPr>
          <w:p w14:paraId="00398384"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Reliability</w:t>
            </w:r>
          </w:p>
        </w:tc>
        <w:tc>
          <w:tcPr>
            <w:tcW w:w="997" w:type="pct"/>
            <w:noWrap/>
            <w:vAlign w:val="center"/>
            <w:hideMark/>
          </w:tcPr>
          <w:p w14:paraId="39770B3D"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Responsiveness</w:t>
            </w:r>
          </w:p>
        </w:tc>
        <w:tc>
          <w:tcPr>
            <w:tcW w:w="748" w:type="pct"/>
            <w:noWrap/>
            <w:vAlign w:val="center"/>
            <w:hideMark/>
          </w:tcPr>
          <w:p w14:paraId="26F6E40D"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Assurance</w:t>
            </w:r>
          </w:p>
        </w:tc>
        <w:tc>
          <w:tcPr>
            <w:tcW w:w="660" w:type="pct"/>
            <w:noWrap/>
            <w:vAlign w:val="center"/>
            <w:hideMark/>
          </w:tcPr>
          <w:p w14:paraId="6897941F" w14:textId="77777777" w:rsidR="005042BE" w:rsidRPr="00BA48BC" w:rsidRDefault="005042BE" w:rsidP="00501B34">
            <w:pPr>
              <w:spacing w:line="360" w:lineRule="auto"/>
              <w:jc w:val="center"/>
              <w:rPr>
                <w:rFonts w:ascii="Times New Roman" w:hAnsi="Times New Roman" w:cs="Times New Roman"/>
                <w:b/>
              </w:rPr>
            </w:pPr>
            <w:r w:rsidRPr="00BA48BC">
              <w:rPr>
                <w:rFonts w:ascii="Times New Roman" w:hAnsi="Times New Roman" w:cs="Times New Roman"/>
                <w:b/>
              </w:rPr>
              <w:t>Empathy</w:t>
            </w:r>
          </w:p>
        </w:tc>
      </w:tr>
      <w:tr w:rsidR="005042BE" w:rsidRPr="00BA48BC" w14:paraId="61CDEAA8" w14:textId="77777777" w:rsidTr="00EE558C">
        <w:trPr>
          <w:trHeight w:val="300"/>
          <w:jc w:val="center"/>
        </w:trPr>
        <w:tc>
          <w:tcPr>
            <w:tcW w:w="446" w:type="pct"/>
            <w:noWrap/>
            <w:vAlign w:val="center"/>
            <w:hideMark/>
          </w:tcPr>
          <w:p w14:paraId="0033441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w:t>
            </w:r>
          </w:p>
        </w:tc>
        <w:tc>
          <w:tcPr>
            <w:tcW w:w="699" w:type="pct"/>
            <w:noWrap/>
            <w:vAlign w:val="center"/>
            <w:hideMark/>
          </w:tcPr>
          <w:p w14:paraId="49C7DCC1"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APOFPCL</w:t>
            </w:r>
          </w:p>
        </w:tc>
        <w:tc>
          <w:tcPr>
            <w:tcW w:w="651" w:type="pct"/>
            <w:noWrap/>
            <w:vAlign w:val="center"/>
            <w:hideMark/>
          </w:tcPr>
          <w:p w14:paraId="136CAD0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24.95</w:t>
            </w:r>
          </w:p>
        </w:tc>
        <w:tc>
          <w:tcPr>
            <w:tcW w:w="799" w:type="pct"/>
            <w:noWrap/>
            <w:vAlign w:val="center"/>
            <w:hideMark/>
          </w:tcPr>
          <w:p w14:paraId="4B36063C"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15.50</w:t>
            </w:r>
          </w:p>
        </w:tc>
        <w:tc>
          <w:tcPr>
            <w:tcW w:w="997" w:type="pct"/>
            <w:noWrap/>
            <w:vAlign w:val="center"/>
            <w:hideMark/>
          </w:tcPr>
          <w:p w14:paraId="729A03D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22.05</w:t>
            </w:r>
          </w:p>
        </w:tc>
        <w:tc>
          <w:tcPr>
            <w:tcW w:w="748" w:type="pct"/>
            <w:noWrap/>
            <w:vAlign w:val="center"/>
            <w:hideMark/>
          </w:tcPr>
          <w:p w14:paraId="199212FE"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16.75</w:t>
            </w:r>
          </w:p>
        </w:tc>
        <w:tc>
          <w:tcPr>
            <w:tcW w:w="660" w:type="pct"/>
            <w:noWrap/>
            <w:vAlign w:val="center"/>
            <w:hideMark/>
          </w:tcPr>
          <w:p w14:paraId="13EF63A2"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22.55</w:t>
            </w:r>
          </w:p>
        </w:tc>
      </w:tr>
      <w:tr w:rsidR="005042BE" w:rsidRPr="00BA48BC" w14:paraId="4E16863F" w14:textId="77777777" w:rsidTr="00EE558C">
        <w:trPr>
          <w:trHeight w:val="300"/>
          <w:jc w:val="center"/>
        </w:trPr>
        <w:tc>
          <w:tcPr>
            <w:tcW w:w="446" w:type="pct"/>
            <w:noWrap/>
            <w:vAlign w:val="center"/>
            <w:hideMark/>
          </w:tcPr>
          <w:p w14:paraId="33B020B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w:t>
            </w:r>
          </w:p>
        </w:tc>
        <w:tc>
          <w:tcPr>
            <w:tcW w:w="699" w:type="pct"/>
            <w:noWrap/>
            <w:vAlign w:val="center"/>
            <w:hideMark/>
          </w:tcPr>
          <w:p w14:paraId="06E33B90"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IFPCL</w:t>
            </w:r>
          </w:p>
        </w:tc>
        <w:tc>
          <w:tcPr>
            <w:tcW w:w="651" w:type="pct"/>
            <w:noWrap/>
            <w:vAlign w:val="center"/>
            <w:hideMark/>
          </w:tcPr>
          <w:p w14:paraId="5670B032"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28.50</w:t>
            </w:r>
          </w:p>
        </w:tc>
        <w:tc>
          <w:tcPr>
            <w:tcW w:w="799" w:type="pct"/>
            <w:noWrap/>
            <w:vAlign w:val="center"/>
            <w:hideMark/>
          </w:tcPr>
          <w:p w14:paraId="3C24407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13.70</w:t>
            </w:r>
          </w:p>
        </w:tc>
        <w:tc>
          <w:tcPr>
            <w:tcW w:w="997" w:type="pct"/>
            <w:noWrap/>
            <w:vAlign w:val="center"/>
            <w:hideMark/>
          </w:tcPr>
          <w:p w14:paraId="55C8CD19"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13.95</w:t>
            </w:r>
          </w:p>
        </w:tc>
        <w:tc>
          <w:tcPr>
            <w:tcW w:w="748" w:type="pct"/>
            <w:noWrap/>
            <w:vAlign w:val="center"/>
            <w:hideMark/>
          </w:tcPr>
          <w:p w14:paraId="13710BB4"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18.90</w:t>
            </w:r>
          </w:p>
        </w:tc>
        <w:tc>
          <w:tcPr>
            <w:tcW w:w="660" w:type="pct"/>
            <w:noWrap/>
            <w:vAlign w:val="center"/>
            <w:hideMark/>
          </w:tcPr>
          <w:p w14:paraId="72DAC72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17.20</w:t>
            </w:r>
          </w:p>
        </w:tc>
      </w:tr>
      <w:tr w:rsidR="005042BE" w:rsidRPr="00BA48BC" w14:paraId="50E690DC" w14:textId="77777777" w:rsidTr="00EE558C">
        <w:trPr>
          <w:trHeight w:val="300"/>
          <w:jc w:val="center"/>
        </w:trPr>
        <w:tc>
          <w:tcPr>
            <w:tcW w:w="446" w:type="pct"/>
            <w:noWrap/>
            <w:vAlign w:val="center"/>
            <w:hideMark/>
          </w:tcPr>
          <w:p w14:paraId="5128F48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3</w:t>
            </w:r>
          </w:p>
        </w:tc>
        <w:tc>
          <w:tcPr>
            <w:tcW w:w="699" w:type="pct"/>
            <w:noWrap/>
            <w:vAlign w:val="center"/>
            <w:hideMark/>
          </w:tcPr>
          <w:p w14:paraId="2B39D07C"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KFSPCL</w:t>
            </w:r>
          </w:p>
        </w:tc>
        <w:tc>
          <w:tcPr>
            <w:tcW w:w="651" w:type="pct"/>
            <w:noWrap/>
            <w:vAlign w:val="center"/>
            <w:hideMark/>
          </w:tcPr>
          <w:p w14:paraId="63FFFF09"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24.25</w:t>
            </w:r>
          </w:p>
        </w:tc>
        <w:tc>
          <w:tcPr>
            <w:tcW w:w="799" w:type="pct"/>
            <w:noWrap/>
            <w:vAlign w:val="center"/>
            <w:hideMark/>
          </w:tcPr>
          <w:p w14:paraId="6EE7DBE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13.50</w:t>
            </w:r>
          </w:p>
        </w:tc>
        <w:tc>
          <w:tcPr>
            <w:tcW w:w="997" w:type="pct"/>
            <w:noWrap/>
            <w:vAlign w:val="center"/>
            <w:hideMark/>
          </w:tcPr>
          <w:p w14:paraId="4FEB17E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18.1</w:t>
            </w:r>
          </w:p>
        </w:tc>
        <w:tc>
          <w:tcPr>
            <w:tcW w:w="748" w:type="pct"/>
            <w:noWrap/>
            <w:vAlign w:val="center"/>
            <w:hideMark/>
          </w:tcPr>
          <w:p w14:paraId="09002E85"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15.00</w:t>
            </w:r>
          </w:p>
        </w:tc>
        <w:tc>
          <w:tcPr>
            <w:tcW w:w="660" w:type="pct"/>
            <w:noWrap/>
            <w:vAlign w:val="center"/>
            <w:hideMark/>
          </w:tcPr>
          <w:p w14:paraId="670549A1"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19.05</w:t>
            </w:r>
          </w:p>
        </w:tc>
      </w:tr>
      <w:tr w:rsidR="005042BE" w:rsidRPr="00BA48BC" w14:paraId="695C4776" w14:textId="77777777" w:rsidTr="00EE558C">
        <w:trPr>
          <w:trHeight w:val="300"/>
          <w:jc w:val="center"/>
        </w:trPr>
        <w:tc>
          <w:tcPr>
            <w:tcW w:w="446" w:type="pct"/>
            <w:noWrap/>
            <w:vAlign w:val="center"/>
            <w:hideMark/>
          </w:tcPr>
          <w:p w14:paraId="38502CED"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4</w:t>
            </w:r>
          </w:p>
        </w:tc>
        <w:tc>
          <w:tcPr>
            <w:tcW w:w="699" w:type="pct"/>
            <w:noWrap/>
            <w:vAlign w:val="center"/>
            <w:hideMark/>
          </w:tcPr>
          <w:p w14:paraId="76D8543D"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SWFPCL</w:t>
            </w:r>
          </w:p>
        </w:tc>
        <w:tc>
          <w:tcPr>
            <w:tcW w:w="651" w:type="pct"/>
            <w:noWrap/>
            <w:vAlign w:val="center"/>
            <w:hideMark/>
          </w:tcPr>
          <w:p w14:paraId="6424A7B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24.35</w:t>
            </w:r>
          </w:p>
        </w:tc>
        <w:tc>
          <w:tcPr>
            <w:tcW w:w="799" w:type="pct"/>
            <w:noWrap/>
            <w:vAlign w:val="center"/>
            <w:hideMark/>
          </w:tcPr>
          <w:p w14:paraId="6D41EAC5"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13.50</w:t>
            </w:r>
          </w:p>
        </w:tc>
        <w:tc>
          <w:tcPr>
            <w:tcW w:w="997" w:type="pct"/>
            <w:noWrap/>
            <w:vAlign w:val="center"/>
            <w:hideMark/>
          </w:tcPr>
          <w:p w14:paraId="14D86D9F"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12.15</w:t>
            </w:r>
          </w:p>
        </w:tc>
        <w:tc>
          <w:tcPr>
            <w:tcW w:w="748" w:type="pct"/>
            <w:noWrap/>
            <w:vAlign w:val="center"/>
            <w:hideMark/>
          </w:tcPr>
          <w:p w14:paraId="4DF22F8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15.30</w:t>
            </w:r>
          </w:p>
        </w:tc>
        <w:tc>
          <w:tcPr>
            <w:tcW w:w="660" w:type="pct"/>
            <w:noWrap/>
            <w:vAlign w:val="center"/>
            <w:hideMark/>
          </w:tcPr>
          <w:p w14:paraId="5F15FB7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14.05</w:t>
            </w:r>
          </w:p>
        </w:tc>
      </w:tr>
      <w:tr w:rsidR="005042BE" w:rsidRPr="00BA48BC" w14:paraId="17421235" w14:textId="77777777" w:rsidTr="00EE558C">
        <w:trPr>
          <w:trHeight w:val="300"/>
          <w:jc w:val="center"/>
        </w:trPr>
        <w:tc>
          <w:tcPr>
            <w:tcW w:w="446" w:type="pct"/>
            <w:noWrap/>
            <w:vAlign w:val="center"/>
            <w:hideMark/>
          </w:tcPr>
          <w:p w14:paraId="142E6E29"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5</w:t>
            </w:r>
          </w:p>
        </w:tc>
        <w:tc>
          <w:tcPr>
            <w:tcW w:w="699" w:type="pct"/>
            <w:noWrap/>
            <w:vAlign w:val="center"/>
            <w:hideMark/>
          </w:tcPr>
          <w:p w14:paraId="5444CAC6"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SMMPCL</w:t>
            </w:r>
          </w:p>
        </w:tc>
        <w:tc>
          <w:tcPr>
            <w:tcW w:w="651" w:type="pct"/>
            <w:noWrap/>
            <w:vAlign w:val="center"/>
            <w:hideMark/>
          </w:tcPr>
          <w:p w14:paraId="6E23EA64"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24.05</w:t>
            </w:r>
          </w:p>
        </w:tc>
        <w:tc>
          <w:tcPr>
            <w:tcW w:w="799" w:type="pct"/>
            <w:noWrap/>
            <w:vAlign w:val="center"/>
            <w:hideMark/>
          </w:tcPr>
          <w:p w14:paraId="72E3DDB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16.10</w:t>
            </w:r>
          </w:p>
        </w:tc>
        <w:tc>
          <w:tcPr>
            <w:tcW w:w="997" w:type="pct"/>
            <w:noWrap/>
            <w:vAlign w:val="center"/>
            <w:hideMark/>
          </w:tcPr>
          <w:p w14:paraId="2ABD71CD"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20.6</w:t>
            </w:r>
          </w:p>
        </w:tc>
        <w:tc>
          <w:tcPr>
            <w:tcW w:w="748" w:type="pct"/>
            <w:noWrap/>
            <w:vAlign w:val="center"/>
            <w:hideMark/>
          </w:tcPr>
          <w:p w14:paraId="40C3817E"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15.10</w:t>
            </w:r>
          </w:p>
        </w:tc>
        <w:tc>
          <w:tcPr>
            <w:tcW w:w="660" w:type="pct"/>
            <w:noWrap/>
            <w:vAlign w:val="center"/>
            <w:hideMark/>
          </w:tcPr>
          <w:p w14:paraId="274B8535"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20.35</w:t>
            </w:r>
          </w:p>
        </w:tc>
      </w:tr>
      <w:tr w:rsidR="005042BE" w:rsidRPr="00BA48BC" w14:paraId="72C43234" w14:textId="77777777" w:rsidTr="00EE558C">
        <w:trPr>
          <w:trHeight w:val="300"/>
          <w:jc w:val="center"/>
        </w:trPr>
        <w:tc>
          <w:tcPr>
            <w:tcW w:w="446" w:type="pct"/>
            <w:noWrap/>
            <w:vAlign w:val="center"/>
            <w:hideMark/>
          </w:tcPr>
          <w:p w14:paraId="5CC1277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6</w:t>
            </w:r>
          </w:p>
        </w:tc>
        <w:tc>
          <w:tcPr>
            <w:tcW w:w="699" w:type="pct"/>
            <w:noWrap/>
            <w:vAlign w:val="center"/>
            <w:hideMark/>
          </w:tcPr>
          <w:p w14:paraId="7913BA26"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KMPCL</w:t>
            </w:r>
          </w:p>
        </w:tc>
        <w:tc>
          <w:tcPr>
            <w:tcW w:w="651" w:type="pct"/>
            <w:noWrap/>
            <w:vAlign w:val="center"/>
            <w:hideMark/>
          </w:tcPr>
          <w:p w14:paraId="04D92D4F"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26.45</w:t>
            </w:r>
          </w:p>
        </w:tc>
        <w:tc>
          <w:tcPr>
            <w:tcW w:w="799" w:type="pct"/>
            <w:noWrap/>
            <w:vAlign w:val="center"/>
            <w:hideMark/>
          </w:tcPr>
          <w:p w14:paraId="1AABD99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17.20</w:t>
            </w:r>
          </w:p>
        </w:tc>
        <w:tc>
          <w:tcPr>
            <w:tcW w:w="997" w:type="pct"/>
            <w:noWrap/>
            <w:vAlign w:val="center"/>
            <w:hideMark/>
          </w:tcPr>
          <w:p w14:paraId="4DC7179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18.15</w:t>
            </w:r>
          </w:p>
        </w:tc>
        <w:tc>
          <w:tcPr>
            <w:tcW w:w="748" w:type="pct"/>
            <w:noWrap/>
            <w:vAlign w:val="center"/>
            <w:hideMark/>
          </w:tcPr>
          <w:p w14:paraId="69E0323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15.80</w:t>
            </w:r>
          </w:p>
        </w:tc>
        <w:tc>
          <w:tcPr>
            <w:tcW w:w="660" w:type="pct"/>
            <w:noWrap/>
            <w:vAlign w:val="center"/>
            <w:hideMark/>
          </w:tcPr>
          <w:p w14:paraId="58F2B98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17.50</w:t>
            </w:r>
          </w:p>
        </w:tc>
      </w:tr>
      <w:tr w:rsidR="005042BE" w:rsidRPr="00BA48BC" w14:paraId="734A06BB" w14:textId="77777777" w:rsidTr="00EE558C">
        <w:trPr>
          <w:trHeight w:val="300"/>
          <w:jc w:val="center"/>
        </w:trPr>
        <w:tc>
          <w:tcPr>
            <w:tcW w:w="446" w:type="pct"/>
            <w:noWrap/>
            <w:vAlign w:val="center"/>
            <w:hideMark/>
          </w:tcPr>
          <w:p w14:paraId="6BC6DDA3"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7</w:t>
            </w:r>
          </w:p>
        </w:tc>
        <w:tc>
          <w:tcPr>
            <w:tcW w:w="699" w:type="pct"/>
            <w:noWrap/>
            <w:vAlign w:val="center"/>
            <w:hideMark/>
          </w:tcPr>
          <w:p w14:paraId="4731B405"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SMPCL</w:t>
            </w:r>
          </w:p>
        </w:tc>
        <w:tc>
          <w:tcPr>
            <w:tcW w:w="651" w:type="pct"/>
            <w:noWrap/>
            <w:vAlign w:val="center"/>
            <w:hideMark/>
          </w:tcPr>
          <w:p w14:paraId="58D3FCC1"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26.30</w:t>
            </w:r>
          </w:p>
        </w:tc>
        <w:tc>
          <w:tcPr>
            <w:tcW w:w="799" w:type="pct"/>
            <w:noWrap/>
            <w:vAlign w:val="center"/>
            <w:hideMark/>
          </w:tcPr>
          <w:p w14:paraId="57946941"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17.20</w:t>
            </w:r>
          </w:p>
        </w:tc>
        <w:tc>
          <w:tcPr>
            <w:tcW w:w="997" w:type="pct"/>
            <w:noWrap/>
            <w:vAlign w:val="center"/>
            <w:hideMark/>
          </w:tcPr>
          <w:p w14:paraId="7396C71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18.35</w:t>
            </w:r>
          </w:p>
        </w:tc>
        <w:tc>
          <w:tcPr>
            <w:tcW w:w="748" w:type="pct"/>
            <w:noWrap/>
            <w:vAlign w:val="center"/>
            <w:hideMark/>
          </w:tcPr>
          <w:p w14:paraId="7A60AD72"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15.05</w:t>
            </w:r>
          </w:p>
        </w:tc>
        <w:tc>
          <w:tcPr>
            <w:tcW w:w="660" w:type="pct"/>
            <w:noWrap/>
            <w:vAlign w:val="center"/>
            <w:hideMark/>
          </w:tcPr>
          <w:p w14:paraId="69EAE46D"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17.40</w:t>
            </w:r>
          </w:p>
        </w:tc>
      </w:tr>
      <w:tr w:rsidR="005042BE" w:rsidRPr="00BA48BC" w14:paraId="12F4B02F" w14:textId="77777777" w:rsidTr="00EE558C">
        <w:trPr>
          <w:trHeight w:val="300"/>
          <w:jc w:val="center"/>
        </w:trPr>
        <w:tc>
          <w:tcPr>
            <w:tcW w:w="446" w:type="pct"/>
            <w:noWrap/>
            <w:vAlign w:val="center"/>
            <w:hideMark/>
          </w:tcPr>
          <w:p w14:paraId="79F12BAA"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lastRenderedPageBreak/>
              <w:t>8</w:t>
            </w:r>
          </w:p>
        </w:tc>
        <w:tc>
          <w:tcPr>
            <w:tcW w:w="699" w:type="pct"/>
            <w:noWrap/>
            <w:vAlign w:val="center"/>
            <w:hideMark/>
          </w:tcPr>
          <w:p w14:paraId="34252327" w14:textId="77777777" w:rsidR="005042BE" w:rsidRPr="00BA48BC" w:rsidRDefault="005042BE" w:rsidP="00501B34">
            <w:pPr>
              <w:spacing w:line="360" w:lineRule="auto"/>
              <w:rPr>
                <w:rFonts w:ascii="Times New Roman" w:hAnsi="Times New Roman" w:cs="Times New Roman"/>
              </w:rPr>
            </w:pPr>
            <w:r w:rsidRPr="00BA48BC">
              <w:rPr>
                <w:rFonts w:ascii="Times New Roman" w:hAnsi="Times New Roman" w:cs="Times New Roman"/>
              </w:rPr>
              <w:t>SVVMPCL</w:t>
            </w:r>
          </w:p>
        </w:tc>
        <w:tc>
          <w:tcPr>
            <w:tcW w:w="651" w:type="pct"/>
            <w:noWrap/>
            <w:vAlign w:val="center"/>
            <w:hideMark/>
          </w:tcPr>
          <w:p w14:paraId="0FC25587"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26.40</w:t>
            </w:r>
          </w:p>
        </w:tc>
        <w:tc>
          <w:tcPr>
            <w:tcW w:w="799" w:type="pct"/>
            <w:noWrap/>
            <w:vAlign w:val="center"/>
            <w:hideMark/>
          </w:tcPr>
          <w:p w14:paraId="2D57E506"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17.10</w:t>
            </w:r>
          </w:p>
        </w:tc>
        <w:tc>
          <w:tcPr>
            <w:tcW w:w="997" w:type="pct"/>
            <w:noWrap/>
            <w:vAlign w:val="center"/>
            <w:hideMark/>
          </w:tcPr>
          <w:p w14:paraId="1FF9EDE0"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18.40</w:t>
            </w:r>
          </w:p>
        </w:tc>
        <w:tc>
          <w:tcPr>
            <w:tcW w:w="748" w:type="pct"/>
            <w:noWrap/>
            <w:vAlign w:val="center"/>
            <w:hideMark/>
          </w:tcPr>
          <w:p w14:paraId="522763EB"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14.95</w:t>
            </w:r>
          </w:p>
        </w:tc>
        <w:tc>
          <w:tcPr>
            <w:tcW w:w="660" w:type="pct"/>
            <w:noWrap/>
            <w:vAlign w:val="center"/>
            <w:hideMark/>
          </w:tcPr>
          <w:p w14:paraId="4C311B64" w14:textId="77777777" w:rsidR="005042BE" w:rsidRPr="00BA48BC" w:rsidRDefault="005042BE" w:rsidP="00501B34">
            <w:pPr>
              <w:spacing w:line="360" w:lineRule="auto"/>
              <w:jc w:val="center"/>
              <w:rPr>
                <w:rFonts w:ascii="Times New Roman" w:hAnsi="Times New Roman" w:cs="Times New Roman"/>
              </w:rPr>
            </w:pPr>
            <w:r w:rsidRPr="00BA48BC">
              <w:rPr>
                <w:rFonts w:ascii="Times New Roman" w:hAnsi="Times New Roman" w:cs="Times New Roman"/>
              </w:rPr>
              <w:t>19.05</w:t>
            </w:r>
          </w:p>
        </w:tc>
      </w:tr>
    </w:tbl>
    <w:p w14:paraId="5017C148" w14:textId="77777777" w:rsidR="005042BE" w:rsidRPr="00BA48BC" w:rsidRDefault="00C40116" w:rsidP="005042BE">
      <w:pPr>
        <w:rPr>
          <w:rFonts w:ascii="Times New Roman" w:hAnsi="Times New Roman" w:cs="Times New Roman"/>
          <w:b/>
          <w:sz w:val="24"/>
        </w:rPr>
      </w:pPr>
      <w:r w:rsidRPr="00BA48BC">
        <w:rPr>
          <w:rFonts w:ascii="Times New Roman" w:hAnsi="Times New Roman" w:cs="Times New Roman"/>
          <w:b/>
          <w:sz w:val="24"/>
        </w:rPr>
        <w:t>3.</w:t>
      </w:r>
      <w:r w:rsidR="005042BE" w:rsidRPr="00BA48BC">
        <w:rPr>
          <w:rFonts w:ascii="Times New Roman" w:hAnsi="Times New Roman" w:cs="Times New Roman"/>
          <w:b/>
          <w:sz w:val="24"/>
        </w:rPr>
        <w:t>2 Ranking of FPCs for the overall customer satisfaction towards FPC services based on mean scores</w:t>
      </w:r>
    </w:p>
    <w:p w14:paraId="3A5EC890"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The results presented in the Table 4 depict the differences in the mean scores for the overall customer satisfaction towards the FPC products/ services. It can be inferred that APOFPCL (Rank I) performed better than the other crop sector FPCs in the study with the mean value of 107.00 followed by IFPCL (Rank II) with the mean score of 101.00. The well-maintained stores, enduring relations with customers, promptness in addressing customer needs and consistency in maintenance of quality of the products/ services could have contributed the higher satisfaction levels of the customers compared to the other two crop sector FPCs.</w:t>
      </w:r>
    </w:p>
    <w:p w14:paraId="61411B3F" w14:textId="77777777" w:rsidR="005042BE" w:rsidRPr="00BA48BC" w:rsidRDefault="005042BE" w:rsidP="005042BE">
      <w:pPr>
        <w:rPr>
          <w:rFonts w:ascii="Times New Roman" w:hAnsi="Times New Roman" w:cs="Times New Roman"/>
          <w:sz w:val="24"/>
        </w:rPr>
      </w:pPr>
      <w:r w:rsidRPr="00BA48BC">
        <w:rPr>
          <w:rFonts w:ascii="Times New Roman" w:hAnsi="Times New Roman" w:cs="Times New Roman"/>
          <w:sz w:val="24"/>
        </w:rPr>
        <w:t>Similarly, among the dairy FPCs, SMMPCL (Rank I) obtained the highest mean score (96.20) followed by SVVMPCL (Rank II) with the mean score of 95.90.  The KMPCL (Rank III) and SMPCL (Rank IV) had the mean scores as 95.10 and 94.30 respectively. The customer satisfaction towards the FPC products/ services was considerably good which might be probably on account of their well-established marketing network and brand value in the areas of operation of the respective FPC with major focus in the villages. As the customers trust for the FPC milk products was high, they were satisfied with the products/ services the dairy FPCs were providing.</w:t>
      </w:r>
    </w:p>
    <w:p w14:paraId="19BF1F0C" w14:textId="77777777" w:rsidR="005042BE" w:rsidRPr="00BA48BC" w:rsidRDefault="005042BE" w:rsidP="005042BE">
      <w:pPr>
        <w:spacing w:after="0"/>
        <w:rPr>
          <w:rFonts w:ascii="Times New Roman" w:hAnsi="Times New Roman" w:cs="Times New Roman"/>
          <w:sz w:val="24"/>
        </w:rPr>
      </w:pPr>
      <w:r w:rsidRPr="00BA48BC">
        <w:rPr>
          <w:rFonts w:ascii="Times New Roman" w:hAnsi="Times New Roman" w:cs="Times New Roman"/>
          <w:b/>
          <w:sz w:val="24"/>
        </w:rPr>
        <w:t>Table 4.</w:t>
      </w:r>
      <w:r w:rsidRPr="00BA48BC">
        <w:rPr>
          <w:rFonts w:ascii="Times New Roman" w:hAnsi="Times New Roman" w:cs="Times New Roman"/>
          <w:sz w:val="24"/>
        </w:rPr>
        <w:t xml:space="preserve"> </w:t>
      </w:r>
      <w:r w:rsidRPr="00BA48BC">
        <w:rPr>
          <w:rFonts w:ascii="Times New Roman" w:hAnsi="Times New Roman" w:cs="Times New Roman"/>
          <w:b/>
          <w:sz w:val="24"/>
        </w:rPr>
        <w:t>Ranking of FPCs based on overall customer satisfaction towards FPCs</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38"/>
        <w:gridCol w:w="861"/>
        <w:gridCol w:w="719"/>
        <w:gridCol w:w="719"/>
        <w:gridCol w:w="866"/>
        <w:gridCol w:w="1205"/>
        <w:gridCol w:w="1242"/>
        <w:gridCol w:w="824"/>
      </w:tblGrid>
      <w:tr w:rsidR="005042BE" w:rsidRPr="00BA48BC" w14:paraId="0769B8FE" w14:textId="77777777" w:rsidTr="00E575CB">
        <w:trPr>
          <w:trHeight w:val="429"/>
          <w:jc w:val="center"/>
        </w:trPr>
        <w:tc>
          <w:tcPr>
            <w:tcW w:w="1492" w:type="pct"/>
            <w:vAlign w:val="center"/>
          </w:tcPr>
          <w:p w14:paraId="5416DD0F" w14:textId="77777777" w:rsidR="005042BE" w:rsidRPr="00BA48BC" w:rsidRDefault="005042BE" w:rsidP="00E575CB">
            <w:pPr>
              <w:pStyle w:val="TableParagraph"/>
              <w:ind w:right="793"/>
              <w:jc w:val="both"/>
              <w:rPr>
                <w:sz w:val="24"/>
                <w:szCs w:val="24"/>
              </w:rPr>
            </w:pPr>
            <w:r w:rsidRPr="00BA48BC">
              <w:rPr>
                <w:b/>
                <w:sz w:val="24"/>
                <w:szCs w:val="24"/>
              </w:rPr>
              <w:t xml:space="preserve">  Crop sector FPCs</w:t>
            </w:r>
          </w:p>
        </w:tc>
        <w:tc>
          <w:tcPr>
            <w:tcW w:w="469" w:type="pct"/>
            <w:shd w:val="clear" w:color="auto" w:fill="auto"/>
            <w:vAlign w:val="center"/>
          </w:tcPr>
          <w:p w14:paraId="0C2B7027" w14:textId="77777777" w:rsidR="005042BE" w:rsidRPr="00BA48BC" w:rsidRDefault="005042BE" w:rsidP="00E575CB">
            <w:pPr>
              <w:pStyle w:val="TableParagraph"/>
              <w:spacing w:before="48"/>
              <w:ind w:left="107"/>
              <w:rPr>
                <w:b/>
                <w:sz w:val="24"/>
                <w:szCs w:val="24"/>
              </w:rPr>
            </w:pPr>
            <w:r w:rsidRPr="00BA48BC">
              <w:rPr>
                <w:b/>
                <w:sz w:val="24"/>
                <w:szCs w:val="24"/>
              </w:rPr>
              <w:t>Mean</w:t>
            </w:r>
          </w:p>
        </w:tc>
        <w:tc>
          <w:tcPr>
            <w:tcW w:w="392" w:type="pct"/>
            <w:shd w:val="clear" w:color="auto" w:fill="auto"/>
            <w:vAlign w:val="center"/>
          </w:tcPr>
          <w:p w14:paraId="797A4AA0" w14:textId="77777777" w:rsidR="005042BE" w:rsidRPr="00BA48BC" w:rsidRDefault="005042BE" w:rsidP="00E575CB">
            <w:pPr>
              <w:pStyle w:val="TableParagraph"/>
              <w:spacing w:before="48"/>
              <w:ind w:left="82" w:right="76"/>
              <w:jc w:val="center"/>
              <w:rPr>
                <w:b/>
                <w:sz w:val="24"/>
                <w:szCs w:val="24"/>
              </w:rPr>
            </w:pPr>
            <w:r w:rsidRPr="00BA48BC">
              <w:rPr>
                <w:b/>
                <w:sz w:val="24"/>
                <w:szCs w:val="24"/>
              </w:rPr>
              <w:t>SD</w:t>
            </w:r>
          </w:p>
        </w:tc>
        <w:tc>
          <w:tcPr>
            <w:tcW w:w="392" w:type="pct"/>
            <w:shd w:val="clear" w:color="auto" w:fill="auto"/>
            <w:vAlign w:val="center"/>
          </w:tcPr>
          <w:p w14:paraId="638DE0BF" w14:textId="77777777" w:rsidR="005042BE" w:rsidRPr="00BA48BC" w:rsidRDefault="005042BE" w:rsidP="00E575CB">
            <w:pPr>
              <w:pStyle w:val="TableParagraph"/>
              <w:spacing w:before="48"/>
              <w:ind w:left="87" w:right="79"/>
              <w:jc w:val="center"/>
              <w:rPr>
                <w:b/>
                <w:sz w:val="24"/>
                <w:szCs w:val="24"/>
              </w:rPr>
            </w:pPr>
            <w:r w:rsidRPr="00BA48BC">
              <w:rPr>
                <w:b/>
                <w:sz w:val="24"/>
                <w:szCs w:val="24"/>
              </w:rPr>
              <w:t>SE</w:t>
            </w:r>
          </w:p>
        </w:tc>
        <w:tc>
          <w:tcPr>
            <w:tcW w:w="472" w:type="pct"/>
            <w:shd w:val="clear" w:color="auto" w:fill="auto"/>
            <w:vAlign w:val="center"/>
          </w:tcPr>
          <w:p w14:paraId="54F3ECB5" w14:textId="77777777" w:rsidR="005042BE" w:rsidRPr="00BA48BC" w:rsidRDefault="005042BE" w:rsidP="00E575CB">
            <w:pPr>
              <w:pStyle w:val="TableParagraph"/>
              <w:spacing w:before="48"/>
              <w:ind w:left="87" w:right="79"/>
              <w:jc w:val="center"/>
              <w:rPr>
                <w:b/>
                <w:sz w:val="24"/>
                <w:szCs w:val="24"/>
              </w:rPr>
            </w:pPr>
            <w:r w:rsidRPr="00BA48BC">
              <w:rPr>
                <w:b/>
                <w:sz w:val="24"/>
                <w:szCs w:val="24"/>
              </w:rPr>
              <w:t>Range</w:t>
            </w:r>
          </w:p>
        </w:tc>
        <w:tc>
          <w:tcPr>
            <w:tcW w:w="657" w:type="pct"/>
            <w:shd w:val="clear" w:color="auto" w:fill="auto"/>
            <w:vAlign w:val="center"/>
          </w:tcPr>
          <w:p w14:paraId="2CCCB61E" w14:textId="77777777" w:rsidR="005042BE" w:rsidRPr="00BA48BC" w:rsidRDefault="005042BE" w:rsidP="00E575CB">
            <w:pPr>
              <w:pStyle w:val="TableParagraph"/>
              <w:spacing w:before="48"/>
              <w:ind w:left="87" w:right="81"/>
              <w:jc w:val="center"/>
              <w:rPr>
                <w:b/>
                <w:sz w:val="24"/>
                <w:szCs w:val="24"/>
              </w:rPr>
            </w:pPr>
            <w:r w:rsidRPr="00BA48BC">
              <w:rPr>
                <w:b/>
                <w:sz w:val="24"/>
                <w:szCs w:val="24"/>
              </w:rPr>
              <w:t>Minimum</w:t>
            </w:r>
          </w:p>
        </w:tc>
        <w:tc>
          <w:tcPr>
            <w:tcW w:w="677" w:type="pct"/>
            <w:shd w:val="clear" w:color="auto" w:fill="auto"/>
            <w:vAlign w:val="center"/>
          </w:tcPr>
          <w:p w14:paraId="447378FC" w14:textId="77777777" w:rsidR="005042BE" w:rsidRPr="00BA48BC" w:rsidRDefault="005042BE" w:rsidP="00E575CB">
            <w:pPr>
              <w:pStyle w:val="TableParagraph"/>
              <w:spacing w:before="48"/>
              <w:ind w:left="85" w:right="80"/>
              <w:jc w:val="center"/>
              <w:rPr>
                <w:b/>
                <w:sz w:val="24"/>
                <w:szCs w:val="24"/>
              </w:rPr>
            </w:pPr>
            <w:r w:rsidRPr="00BA48BC">
              <w:rPr>
                <w:b/>
                <w:sz w:val="24"/>
                <w:szCs w:val="24"/>
              </w:rPr>
              <w:t>Maximum</w:t>
            </w:r>
          </w:p>
        </w:tc>
        <w:tc>
          <w:tcPr>
            <w:tcW w:w="449" w:type="pct"/>
            <w:vAlign w:val="center"/>
          </w:tcPr>
          <w:p w14:paraId="1CF53E74" w14:textId="77777777" w:rsidR="005042BE" w:rsidRPr="00BA48BC" w:rsidRDefault="005042BE" w:rsidP="00E575CB">
            <w:pPr>
              <w:pStyle w:val="TableParagraph"/>
              <w:spacing w:before="48"/>
              <w:ind w:right="99"/>
              <w:jc w:val="right"/>
              <w:rPr>
                <w:b/>
                <w:sz w:val="24"/>
                <w:szCs w:val="24"/>
              </w:rPr>
            </w:pPr>
            <w:r w:rsidRPr="00BA48BC">
              <w:rPr>
                <w:b/>
                <w:sz w:val="24"/>
                <w:szCs w:val="24"/>
              </w:rPr>
              <w:t>Rank</w:t>
            </w:r>
          </w:p>
        </w:tc>
      </w:tr>
      <w:tr w:rsidR="005042BE" w:rsidRPr="00BA48BC" w14:paraId="5594AEFE" w14:textId="77777777" w:rsidTr="00E575CB">
        <w:trPr>
          <w:trHeight w:val="407"/>
          <w:jc w:val="center"/>
        </w:trPr>
        <w:tc>
          <w:tcPr>
            <w:tcW w:w="1492" w:type="pct"/>
            <w:vAlign w:val="center"/>
          </w:tcPr>
          <w:p w14:paraId="7DEA9B5F" w14:textId="77777777" w:rsidR="005042BE" w:rsidRPr="00BA48BC" w:rsidRDefault="005042BE" w:rsidP="00E575CB">
            <w:pPr>
              <w:pStyle w:val="TableParagraph"/>
              <w:ind w:left="107" w:right="793"/>
              <w:jc w:val="both"/>
              <w:rPr>
                <w:sz w:val="24"/>
                <w:szCs w:val="24"/>
              </w:rPr>
            </w:pPr>
            <w:r w:rsidRPr="00BA48BC">
              <w:rPr>
                <w:sz w:val="24"/>
                <w:szCs w:val="24"/>
              </w:rPr>
              <w:t>APOFPCL</w:t>
            </w:r>
          </w:p>
        </w:tc>
        <w:tc>
          <w:tcPr>
            <w:tcW w:w="469" w:type="pct"/>
            <w:shd w:val="clear" w:color="auto" w:fill="auto"/>
            <w:vAlign w:val="bottom"/>
          </w:tcPr>
          <w:p w14:paraId="2C578712"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101.80</w:t>
            </w:r>
          </w:p>
        </w:tc>
        <w:tc>
          <w:tcPr>
            <w:tcW w:w="392" w:type="pct"/>
            <w:shd w:val="clear" w:color="auto" w:fill="auto"/>
            <w:vAlign w:val="bottom"/>
          </w:tcPr>
          <w:p w14:paraId="34E5853F"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2.53</w:t>
            </w:r>
          </w:p>
        </w:tc>
        <w:tc>
          <w:tcPr>
            <w:tcW w:w="392" w:type="pct"/>
            <w:shd w:val="clear" w:color="auto" w:fill="auto"/>
            <w:vAlign w:val="bottom"/>
          </w:tcPr>
          <w:p w14:paraId="6435953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0.56</w:t>
            </w:r>
          </w:p>
        </w:tc>
        <w:tc>
          <w:tcPr>
            <w:tcW w:w="472" w:type="pct"/>
            <w:shd w:val="clear" w:color="auto" w:fill="auto"/>
            <w:vAlign w:val="bottom"/>
          </w:tcPr>
          <w:p w14:paraId="76A9EB7E"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11.00</w:t>
            </w:r>
          </w:p>
        </w:tc>
        <w:tc>
          <w:tcPr>
            <w:tcW w:w="657" w:type="pct"/>
            <w:shd w:val="clear" w:color="auto" w:fill="auto"/>
            <w:vAlign w:val="bottom"/>
          </w:tcPr>
          <w:p w14:paraId="6FBC276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96.00</w:t>
            </w:r>
          </w:p>
        </w:tc>
        <w:tc>
          <w:tcPr>
            <w:tcW w:w="677" w:type="pct"/>
            <w:shd w:val="clear" w:color="auto" w:fill="auto"/>
            <w:vAlign w:val="bottom"/>
          </w:tcPr>
          <w:p w14:paraId="204154BF"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107.00</w:t>
            </w:r>
          </w:p>
        </w:tc>
        <w:tc>
          <w:tcPr>
            <w:tcW w:w="449" w:type="pct"/>
            <w:vAlign w:val="center"/>
          </w:tcPr>
          <w:p w14:paraId="055CD644"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w:t>
            </w:r>
          </w:p>
        </w:tc>
      </w:tr>
      <w:tr w:rsidR="005042BE" w:rsidRPr="00BA48BC" w14:paraId="044B4A4E" w14:textId="77777777" w:rsidTr="00EE558C">
        <w:trPr>
          <w:trHeight w:val="444"/>
          <w:jc w:val="center"/>
        </w:trPr>
        <w:tc>
          <w:tcPr>
            <w:tcW w:w="1492" w:type="pct"/>
            <w:vAlign w:val="center"/>
          </w:tcPr>
          <w:p w14:paraId="440A1A45" w14:textId="77777777" w:rsidR="005042BE" w:rsidRPr="00BA48BC" w:rsidRDefault="005042BE" w:rsidP="00E575CB">
            <w:pPr>
              <w:pStyle w:val="TableParagraph"/>
              <w:spacing w:before="101"/>
              <w:ind w:left="107"/>
              <w:jc w:val="both"/>
              <w:rPr>
                <w:sz w:val="24"/>
                <w:szCs w:val="24"/>
              </w:rPr>
            </w:pPr>
            <w:r w:rsidRPr="00BA48BC">
              <w:rPr>
                <w:sz w:val="24"/>
                <w:szCs w:val="24"/>
              </w:rPr>
              <w:t>IFPCL</w:t>
            </w:r>
          </w:p>
        </w:tc>
        <w:tc>
          <w:tcPr>
            <w:tcW w:w="469" w:type="pct"/>
            <w:shd w:val="clear" w:color="auto" w:fill="auto"/>
            <w:vAlign w:val="bottom"/>
          </w:tcPr>
          <w:p w14:paraId="529E944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93.10</w:t>
            </w:r>
          </w:p>
        </w:tc>
        <w:tc>
          <w:tcPr>
            <w:tcW w:w="392" w:type="pct"/>
            <w:shd w:val="clear" w:color="auto" w:fill="auto"/>
            <w:vAlign w:val="bottom"/>
          </w:tcPr>
          <w:p w14:paraId="28ABE92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3.68</w:t>
            </w:r>
          </w:p>
        </w:tc>
        <w:tc>
          <w:tcPr>
            <w:tcW w:w="392" w:type="pct"/>
            <w:shd w:val="clear" w:color="auto" w:fill="auto"/>
            <w:vAlign w:val="bottom"/>
          </w:tcPr>
          <w:p w14:paraId="661D1459"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0.82</w:t>
            </w:r>
          </w:p>
        </w:tc>
        <w:tc>
          <w:tcPr>
            <w:tcW w:w="472" w:type="pct"/>
            <w:shd w:val="clear" w:color="auto" w:fill="auto"/>
            <w:vAlign w:val="bottom"/>
          </w:tcPr>
          <w:p w14:paraId="04A29299"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15.00</w:t>
            </w:r>
          </w:p>
        </w:tc>
        <w:tc>
          <w:tcPr>
            <w:tcW w:w="657" w:type="pct"/>
            <w:shd w:val="clear" w:color="auto" w:fill="auto"/>
            <w:vAlign w:val="bottom"/>
          </w:tcPr>
          <w:p w14:paraId="6BDE9926"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86.00</w:t>
            </w:r>
          </w:p>
        </w:tc>
        <w:tc>
          <w:tcPr>
            <w:tcW w:w="677" w:type="pct"/>
            <w:shd w:val="clear" w:color="auto" w:fill="auto"/>
            <w:vAlign w:val="bottom"/>
          </w:tcPr>
          <w:p w14:paraId="55A62F07"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636712D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w:t>
            </w:r>
          </w:p>
        </w:tc>
      </w:tr>
      <w:tr w:rsidR="005042BE" w:rsidRPr="00BA48BC" w14:paraId="10F9D020" w14:textId="77777777" w:rsidTr="00EE558C">
        <w:trPr>
          <w:trHeight w:val="143"/>
          <w:jc w:val="center"/>
        </w:trPr>
        <w:tc>
          <w:tcPr>
            <w:tcW w:w="1492" w:type="pct"/>
            <w:vAlign w:val="center"/>
          </w:tcPr>
          <w:p w14:paraId="576E57A5" w14:textId="77777777" w:rsidR="005042BE" w:rsidRPr="00BA48BC" w:rsidRDefault="005042BE" w:rsidP="00E575CB">
            <w:pPr>
              <w:pStyle w:val="TableParagraph"/>
              <w:ind w:left="107" w:right="183"/>
              <w:jc w:val="both"/>
              <w:rPr>
                <w:sz w:val="24"/>
                <w:szCs w:val="24"/>
              </w:rPr>
            </w:pPr>
            <w:r w:rsidRPr="00BA48BC">
              <w:rPr>
                <w:sz w:val="24"/>
                <w:szCs w:val="24"/>
              </w:rPr>
              <w:t>KFSPCL</w:t>
            </w:r>
          </w:p>
        </w:tc>
        <w:tc>
          <w:tcPr>
            <w:tcW w:w="469" w:type="pct"/>
            <w:shd w:val="clear" w:color="auto" w:fill="auto"/>
            <w:vAlign w:val="bottom"/>
          </w:tcPr>
          <w:p w14:paraId="3F252F7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89.90</w:t>
            </w:r>
          </w:p>
        </w:tc>
        <w:tc>
          <w:tcPr>
            <w:tcW w:w="392" w:type="pct"/>
            <w:shd w:val="clear" w:color="auto" w:fill="auto"/>
            <w:vAlign w:val="bottom"/>
          </w:tcPr>
          <w:p w14:paraId="109A5F2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2.95</w:t>
            </w:r>
          </w:p>
        </w:tc>
        <w:tc>
          <w:tcPr>
            <w:tcW w:w="392" w:type="pct"/>
            <w:shd w:val="clear" w:color="auto" w:fill="auto"/>
            <w:vAlign w:val="bottom"/>
          </w:tcPr>
          <w:p w14:paraId="0D41A8ED"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0.66</w:t>
            </w:r>
          </w:p>
        </w:tc>
        <w:tc>
          <w:tcPr>
            <w:tcW w:w="472" w:type="pct"/>
            <w:shd w:val="clear" w:color="auto" w:fill="auto"/>
            <w:vAlign w:val="bottom"/>
          </w:tcPr>
          <w:p w14:paraId="2AFA375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13.00</w:t>
            </w:r>
          </w:p>
        </w:tc>
        <w:tc>
          <w:tcPr>
            <w:tcW w:w="657" w:type="pct"/>
            <w:shd w:val="clear" w:color="auto" w:fill="auto"/>
            <w:vAlign w:val="bottom"/>
          </w:tcPr>
          <w:p w14:paraId="5C298A4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83.00</w:t>
            </w:r>
          </w:p>
        </w:tc>
        <w:tc>
          <w:tcPr>
            <w:tcW w:w="677" w:type="pct"/>
            <w:shd w:val="clear" w:color="auto" w:fill="auto"/>
            <w:vAlign w:val="bottom"/>
          </w:tcPr>
          <w:p w14:paraId="40AB7E52"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96.00</w:t>
            </w:r>
          </w:p>
        </w:tc>
        <w:tc>
          <w:tcPr>
            <w:tcW w:w="449" w:type="pct"/>
            <w:vAlign w:val="center"/>
          </w:tcPr>
          <w:p w14:paraId="0E19DB2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III</w:t>
            </w:r>
          </w:p>
        </w:tc>
      </w:tr>
      <w:tr w:rsidR="005042BE" w:rsidRPr="00BA48BC" w14:paraId="7DFCC663" w14:textId="77777777" w:rsidTr="00EE558C">
        <w:trPr>
          <w:trHeight w:val="460"/>
          <w:jc w:val="center"/>
        </w:trPr>
        <w:tc>
          <w:tcPr>
            <w:tcW w:w="1492" w:type="pct"/>
            <w:vAlign w:val="center"/>
          </w:tcPr>
          <w:p w14:paraId="5AB20462" w14:textId="77777777" w:rsidR="005042BE" w:rsidRPr="00BA48BC" w:rsidRDefault="005042BE" w:rsidP="00E575CB">
            <w:pPr>
              <w:pStyle w:val="TableParagraph"/>
              <w:ind w:left="107"/>
              <w:jc w:val="both"/>
              <w:rPr>
                <w:sz w:val="24"/>
                <w:szCs w:val="24"/>
              </w:rPr>
            </w:pPr>
            <w:r w:rsidRPr="00BA48BC">
              <w:rPr>
                <w:sz w:val="24"/>
                <w:szCs w:val="24"/>
              </w:rPr>
              <w:t>SFPCL</w:t>
            </w:r>
          </w:p>
        </w:tc>
        <w:tc>
          <w:tcPr>
            <w:tcW w:w="469" w:type="pct"/>
            <w:shd w:val="clear" w:color="auto" w:fill="auto"/>
            <w:vAlign w:val="bottom"/>
          </w:tcPr>
          <w:p w14:paraId="7A5F1C9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79.35</w:t>
            </w:r>
          </w:p>
        </w:tc>
        <w:tc>
          <w:tcPr>
            <w:tcW w:w="392" w:type="pct"/>
            <w:shd w:val="clear" w:color="auto" w:fill="auto"/>
            <w:vAlign w:val="bottom"/>
          </w:tcPr>
          <w:p w14:paraId="2DD973ED"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2.70</w:t>
            </w:r>
          </w:p>
        </w:tc>
        <w:tc>
          <w:tcPr>
            <w:tcW w:w="392" w:type="pct"/>
            <w:shd w:val="clear" w:color="auto" w:fill="auto"/>
            <w:vAlign w:val="bottom"/>
          </w:tcPr>
          <w:p w14:paraId="0A410A44"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0.60</w:t>
            </w:r>
          </w:p>
        </w:tc>
        <w:tc>
          <w:tcPr>
            <w:tcW w:w="472" w:type="pct"/>
            <w:shd w:val="clear" w:color="auto" w:fill="auto"/>
            <w:vAlign w:val="bottom"/>
          </w:tcPr>
          <w:p w14:paraId="7C338AE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12.00</w:t>
            </w:r>
          </w:p>
        </w:tc>
        <w:tc>
          <w:tcPr>
            <w:tcW w:w="657" w:type="pct"/>
            <w:shd w:val="clear" w:color="auto" w:fill="auto"/>
            <w:vAlign w:val="bottom"/>
          </w:tcPr>
          <w:p w14:paraId="60647C3C"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74.00</w:t>
            </w:r>
          </w:p>
        </w:tc>
        <w:tc>
          <w:tcPr>
            <w:tcW w:w="677" w:type="pct"/>
            <w:shd w:val="clear" w:color="auto" w:fill="auto"/>
            <w:vAlign w:val="bottom"/>
          </w:tcPr>
          <w:p w14:paraId="09FEEC2E"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86.00</w:t>
            </w:r>
          </w:p>
        </w:tc>
        <w:tc>
          <w:tcPr>
            <w:tcW w:w="449" w:type="pct"/>
            <w:vAlign w:val="center"/>
          </w:tcPr>
          <w:p w14:paraId="13B76726"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IV</w:t>
            </w:r>
          </w:p>
        </w:tc>
      </w:tr>
      <w:tr w:rsidR="005042BE" w:rsidRPr="00BA48BC" w14:paraId="181CB2ED" w14:textId="77777777" w:rsidTr="00E575CB">
        <w:trPr>
          <w:trHeight w:val="541"/>
          <w:jc w:val="center"/>
        </w:trPr>
        <w:tc>
          <w:tcPr>
            <w:tcW w:w="1492" w:type="pct"/>
            <w:vAlign w:val="center"/>
          </w:tcPr>
          <w:p w14:paraId="6553BCE6" w14:textId="77777777" w:rsidR="005042BE" w:rsidRPr="00BA48BC" w:rsidRDefault="005042BE" w:rsidP="00E575CB">
            <w:pPr>
              <w:pStyle w:val="TableParagraph"/>
              <w:spacing w:before="98"/>
              <w:ind w:left="107"/>
              <w:jc w:val="both"/>
              <w:rPr>
                <w:b/>
                <w:sz w:val="24"/>
                <w:szCs w:val="24"/>
              </w:rPr>
            </w:pPr>
            <w:r w:rsidRPr="00BA48BC">
              <w:rPr>
                <w:b/>
                <w:sz w:val="24"/>
                <w:szCs w:val="24"/>
              </w:rPr>
              <w:t>Dairy sector FPCs</w:t>
            </w:r>
          </w:p>
        </w:tc>
        <w:tc>
          <w:tcPr>
            <w:tcW w:w="469" w:type="pct"/>
            <w:shd w:val="clear" w:color="auto" w:fill="auto"/>
            <w:vAlign w:val="center"/>
          </w:tcPr>
          <w:p w14:paraId="5882A3FC" w14:textId="77777777" w:rsidR="005042BE" w:rsidRPr="00BA48BC" w:rsidRDefault="005042BE" w:rsidP="00E575CB">
            <w:pPr>
              <w:pStyle w:val="TableParagraph"/>
              <w:spacing w:before="48"/>
              <w:ind w:left="107"/>
              <w:rPr>
                <w:b/>
                <w:sz w:val="24"/>
                <w:szCs w:val="24"/>
              </w:rPr>
            </w:pPr>
            <w:r w:rsidRPr="00BA48BC">
              <w:rPr>
                <w:b/>
                <w:sz w:val="24"/>
                <w:szCs w:val="24"/>
              </w:rPr>
              <w:t>Mean</w:t>
            </w:r>
          </w:p>
        </w:tc>
        <w:tc>
          <w:tcPr>
            <w:tcW w:w="392" w:type="pct"/>
            <w:shd w:val="clear" w:color="auto" w:fill="auto"/>
            <w:vAlign w:val="center"/>
          </w:tcPr>
          <w:p w14:paraId="26D9F1FC" w14:textId="77777777" w:rsidR="005042BE" w:rsidRPr="00BA48BC" w:rsidRDefault="005042BE" w:rsidP="00E575CB">
            <w:pPr>
              <w:pStyle w:val="TableParagraph"/>
              <w:spacing w:before="48"/>
              <w:ind w:left="82" w:right="76"/>
              <w:jc w:val="center"/>
              <w:rPr>
                <w:b/>
                <w:sz w:val="24"/>
                <w:szCs w:val="24"/>
              </w:rPr>
            </w:pPr>
            <w:r w:rsidRPr="00BA48BC">
              <w:rPr>
                <w:b/>
                <w:sz w:val="24"/>
                <w:szCs w:val="24"/>
              </w:rPr>
              <w:t>SD</w:t>
            </w:r>
          </w:p>
        </w:tc>
        <w:tc>
          <w:tcPr>
            <w:tcW w:w="392" w:type="pct"/>
            <w:shd w:val="clear" w:color="auto" w:fill="auto"/>
            <w:vAlign w:val="center"/>
          </w:tcPr>
          <w:p w14:paraId="1225188E" w14:textId="77777777" w:rsidR="005042BE" w:rsidRPr="00BA48BC" w:rsidRDefault="005042BE" w:rsidP="00E575CB">
            <w:pPr>
              <w:pStyle w:val="TableParagraph"/>
              <w:spacing w:before="48"/>
              <w:ind w:left="87" w:right="79"/>
              <w:jc w:val="center"/>
              <w:rPr>
                <w:b/>
                <w:sz w:val="24"/>
                <w:szCs w:val="24"/>
              </w:rPr>
            </w:pPr>
            <w:r w:rsidRPr="00BA48BC">
              <w:rPr>
                <w:b/>
                <w:sz w:val="24"/>
                <w:szCs w:val="24"/>
              </w:rPr>
              <w:t>SE</w:t>
            </w:r>
          </w:p>
        </w:tc>
        <w:tc>
          <w:tcPr>
            <w:tcW w:w="472" w:type="pct"/>
            <w:shd w:val="clear" w:color="auto" w:fill="auto"/>
            <w:vAlign w:val="center"/>
          </w:tcPr>
          <w:p w14:paraId="342BC86B" w14:textId="77777777" w:rsidR="005042BE" w:rsidRPr="00BA48BC" w:rsidRDefault="005042BE" w:rsidP="00E575CB">
            <w:pPr>
              <w:pStyle w:val="TableParagraph"/>
              <w:spacing w:before="48"/>
              <w:ind w:left="87" w:right="79"/>
              <w:jc w:val="center"/>
              <w:rPr>
                <w:b/>
                <w:sz w:val="24"/>
                <w:szCs w:val="24"/>
              </w:rPr>
            </w:pPr>
            <w:r w:rsidRPr="00BA48BC">
              <w:rPr>
                <w:b/>
                <w:sz w:val="24"/>
                <w:szCs w:val="24"/>
              </w:rPr>
              <w:t>Range</w:t>
            </w:r>
          </w:p>
        </w:tc>
        <w:tc>
          <w:tcPr>
            <w:tcW w:w="657" w:type="pct"/>
            <w:shd w:val="clear" w:color="auto" w:fill="auto"/>
            <w:vAlign w:val="center"/>
          </w:tcPr>
          <w:p w14:paraId="0EB479A1" w14:textId="77777777" w:rsidR="005042BE" w:rsidRPr="00BA48BC" w:rsidRDefault="005042BE" w:rsidP="00E575CB">
            <w:pPr>
              <w:pStyle w:val="TableParagraph"/>
              <w:spacing w:before="48"/>
              <w:ind w:left="87" w:right="81"/>
              <w:jc w:val="center"/>
              <w:rPr>
                <w:b/>
                <w:sz w:val="24"/>
                <w:szCs w:val="24"/>
              </w:rPr>
            </w:pPr>
            <w:r w:rsidRPr="00BA48BC">
              <w:rPr>
                <w:b/>
                <w:sz w:val="24"/>
                <w:szCs w:val="24"/>
              </w:rPr>
              <w:t>Minimum</w:t>
            </w:r>
          </w:p>
        </w:tc>
        <w:tc>
          <w:tcPr>
            <w:tcW w:w="677" w:type="pct"/>
            <w:shd w:val="clear" w:color="auto" w:fill="auto"/>
            <w:vAlign w:val="center"/>
          </w:tcPr>
          <w:p w14:paraId="3CAAD747" w14:textId="77777777" w:rsidR="005042BE" w:rsidRPr="00BA48BC" w:rsidRDefault="005042BE" w:rsidP="00E575CB">
            <w:pPr>
              <w:pStyle w:val="TableParagraph"/>
              <w:spacing w:before="48"/>
              <w:ind w:left="85" w:right="80"/>
              <w:jc w:val="center"/>
              <w:rPr>
                <w:b/>
                <w:sz w:val="24"/>
                <w:szCs w:val="24"/>
              </w:rPr>
            </w:pPr>
            <w:r w:rsidRPr="00BA48BC">
              <w:rPr>
                <w:b/>
                <w:sz w:val="24"/>
                <w:szCs w:val="24"/>
              </w:rPr>
              <w:t>Maximum</w:t>
            </w:r>
          </w:p>
        </w:tc>
        <w:tc>
          <w:tcPr>
            <w:tcW w:w="449" w:type="pct"/>
            <w:vAlign w:val="center"/>
          </w:tcPr>
          <w:p w14:paraId="011184B5" w14:textId="77777777" w:rsidR="005042BE" w:rsidRPr="00BA48BC" w:rsidRDefault="005042BE" w:rsidP="00E575CB">
            <w:pPr>
              <w:pStyle w:val="TableParagraph"/>
              <w:spacing w:before="48"/>
              <w:ind w:right="99"/>
              <w:jc w:val="right"/>
              <w:rPr>
                <w:b/>
                <w:sz w:val="24"/>
                <w:szCs w:val="24"/>
              </w:rPr>
            </w:pPr>
            <w:r w:rsidRPr="00BA48BC">
              <w:rPr>
                <w:b/>
                <w:sz w:val="24"/>
                <w:szCs w:val="24"/>
              </w:rPr>
              <w:t>Rank</w:t>
            </w:r>
          </w:p>
        </w:tc>
      </w:tr>
      <w:tr w:rsidR="005042BE" w:rsidRPr="00BA48BC" w14:paraId="7227F3A9" w14:textId="77777777" w:rsidTr="00EE558C">
        <w:trPr>
          <w:trHeight w:val="441"/>
          <w:jc w:val="center"/>
        </w:trPr>
        <w:tc>
          <w:tcPr>
            <w:tcW w:w="1492" w:type="pct"/>
            <w:vAlign w:val="center"/>
          </w:tcPr>
          <w:p w14:paraId="2008F728" w14:textId="77777777" w:rsidR="005042BE" w:rsidRPr="00BA48BC" w:rsidRDefault="005042BE" w:rsidP="00E575CB">
            <w:pPr>
              <w:pStyle w:val="TableParagraph"/>
              <w:spacing w:before="98"/>
              <w:ind w:left="107"/>
              <w:jc w:val="both"/>
              <w:rPr>
                <w:sz w:val="24"/>
                <w:szCs w:val="24"/>
              </w:rPr>
            </w:pPr>
            <w:r w:rsidRPr="00BA48BC">
              <w:rPr>
                <w:sz w:val="24"/>
                <w:szCs w:val="24"/>
              </w:rPr>
              <w:t>SMMPCL</w:t>
            </w:r>
          </w:p>
        </w:tc>
        <w:tc>
          <w:tcPr>
            <w:tcW w:w="469" w:type="pct"/>
            <w:shd w:val="clear" w:color="auto" w:fill="auto"/>
            <w:vAlign w:val="bottom"/>
          </w:tcPr>
          <w:p w14:paraId="12FE7C55"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96.20</w:t>
            </w:r>
          </w:p>
        </w:tc>
        <w:tc>
          <w:tcPr>
            <w:tcW w:w="392" w:type="pct"/>
            <w:shd w:val="clear" w:color="auto" w:fill="auto"/>
            <w:vAlign w:val="bottom"/>
          </w:tcPr>
          <w:p w14:paraId="47F48CF3"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4.16</w:t>
            </w:r>
          </w:p>
        </w:tc>
        <w:tc>
          <w:tcPr>
            <w:tcW w:w="392" w:type="pct"/>
            <w:shd w:val="clear" w:color="auto" w:fill="auto"/>
            <w:vAlign w:val="bottom"/>
          </w:tcPr>
          <w:p w14:paraId="0BD03417"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0.93</w:t>
            </w:r>
          </w:p>
        </w:tc>
        <w:tc>
          <w:tcPr>
            <w:tcW w:w="472" w:type="pct"/>
            <w:shd w:val="clear" w:color="auto" w:fill="auto"/>
            <w:vAlign w:val="bottom"/>
          </w:tcPr>
          <w:p w14:paraId="4D6AFE11"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14.00</w:t>
            </w:r>
          </w:p>
        </w:tc>
        <w:tc>
          <w:tcPr>
            <w:tcW w:w="657" w:type="pct"/>
            <w:shd w:val="clear" w:color="auto" w:fill="auto"/>
            <w:vAlign w:val="bottom"/>
          </w:tcPr>
          <w:p w14:paraId="1CA1B65B"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88.00</w:t>
            </w:r>
          </w:p>
        </w:tc>
        <w:tc>
          <w:tcPr>
            <w:tcW w:w="677" w:type="pct"/>
            <w:shd w:val="clear" w:color="auto" w:fill="auto"/>
            <w:vAlign w:val="bottom"/>
          </w:tcPr>
          <w:p w14:paraId="02DD9548"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102.00</w:t>
            </w:r>
          </w:p>
        </w:tc>
        <w:tc>
          <w:tcPr>
            <w:tcW w:w="449" w:type="pct"/>
            <w:vAlign w:val="center"/>
          </w:tcPr>
          <w:p w14:paraId="09B4A4EE" w14:textId="77777777" w:rsidR="005042BE" w:rsidRPr="00BA48BC" w:rsidRDefault="005042BE"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w:t>
            </w:r>
          </w:p>
        </w:tc>
      </w:tr>
      <w:tr w:rsidR="004A0D04" w:rsidRPr="00BA48BC" w14:paraId="201B84CE" w14:textId="77777777" w:rsidTr="00EE558C">
        <w:trPr>
          <w:trHeight w:val="441"/>
          <w:jc w:val="center"/>
        </w:trPr>
        <w:tc>
          <w:tcPr>
            <w:tcW w:w="1492" w:type="pct"/>
            <w:vAlign w:val="center"/>
          </w:tcPr>
          <w:p w14:paraId="01BB89E2" w14:textId="77777777" w:rsidR="004A0D04" w:rsidRPr="00BA48BC" w:rsidRDefault="004A0D04" w:rsidP="00E575CB">
            <w:pPr>
              <w:pStyle w:val="TableParagraph"/>
              <w:spacing w:before="98"/>
              <w:ind w:left="107"/>
              <w:jc w:val="both"/>
              <w:rPr>
                <w:sz w:val="24"/>
                <w:szCs w:val="24"/>
              </w:rPr>
            </w:pPr>
            <w:r w:rsidRPr="00BA48BC">
              <w:rPr>
                <w:sz w:val="24"/>
                <w:szCs w:val="24"/>
              </w:rPr>
              <w:t>SVVMPCL</w:t>
            </w:r>
          </w:p>
        </w:tc>
        <w:tc>
          <w:tcPr>
            <w:tcW w:w="469" w:type="pct"/>
            <w:shd w:val="clear" w:color="auto" w:fill="auto"/>
            <w:vAlign w:val="bottom"/>
          </w:tcPr>
          <w:p w14:paraId="12A5523C"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95.90</w:t>
            </w:r>
          </w:p>
        </w:tc>
        <w:tc>
          <w:tcPr>
            <w:tcW w:w="392" w:type="pct"/>
            <w:shd w:val="clear" w:color="auto" w:fill="auto"/>
            <w:vAlign w:val="bottom"/>
          </w:tcPr>
          <w:p w14:paraId="6B5084F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3.43</w:t>
            </w:r>
          </w:p>
        </w:tc>
        <w:tc>
          <w:tcPr>
            <w:tcW w:w="392" w:type="pct"/>
            <w:shd w:val="clear" w:color="auto" w:fill="auto"/>
            <w:vAlign w:val="bottom"/>
          </w:tcPr>
          <w:p w14:paraId="0B08E46D"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0.77</w:t>
            </w:r>
          </w:p>
        </w:tc>
        <w:tc>
          <w:tcPr>
            <w:tcW w:w="472" w:type="pct"/>
            <w:shd w:val="clear" w:color="auto" w:fill="auto"/>
            <w:vAlign w:val="bottom"/>
          </w:tcPr>
          <w:p w14:paraId="6F2FD92D"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12.00</w:t>
            </w:r>
          </w:p>
        </w:tc>
        <w:tc>
          <w:tcPr>
            <w:tcW w:w="657" w:type="pct"/>
            <w:shd w:val="clear" w:color="auto" w:fill="auto"/>
            <w:vAlign w:val="bottom"/>
          </w:tcPr>
          <w:p w14:paraId="19AB7A4D"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89.00</w:t>
            </w:r>
          </w:p>
        </w:tc>
        <w:tc>
          <w:tcPr>
            <w:tcW w:w="677" w:type="pct"/>
            <w:shd w:val="clear" w:color="auto" w:fill="auto"/>
            <w:vAlign w:val="bottom"/>
          </w:tcPr>
          <w:p w14:paraId="627FA5A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5601DA2B"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w:t>
            </w:r>
          </w:p>
        </w:tc>
      </w:tr>
      <w:tr w:rsidR="004A0D04" w:rsidRPr="00BA48BC" w14:paraId="3B8B73B2" w14:textId="77777777" w:rsidTr="00EE558C">
        <w:trPr>
          <w:trHeight w:val="443"/>
          <w:jc w:val="center"/>
        </w:trPr>
        <w:tc>
          <w:tcPr>
            <w:tcW w:w="1492" w:type="pct"/>
            <w:vAlign w:val="center"/>
          </w:tcPr>
          <w:p w14:paraId="5AC29CDD" w14:textId="77777777" w:rsidR="004A0D04" w:rsidRPr="00BA48BC" w:rsidRDefault="004A0D04" w:rsidP="00E575CB">
            <w:pPr>
              <w:pStyle w:val="TableParagraph"/>
              <w:spacing w:before="101"/>
              <w:ind w:left="107"/>
              <w:jc w:val="both"/>
              <w:rPr>
                <w:sz w:val="24"/>
                <w:szCs w:val="24"/>
              </w:rPr>
            </w:pPr>
            <w:r w:rsidRPr="00BA48BC">
              <w:rPr>
                <w:sz w:val="24"/>
                <w:szCs w:val="24"/>
              </w:rPr>
              <w:t>KMPCL</w:t>
            </w:r>
          </w:p>
        </w:tc>
        <w:tc>
          <w:tcPr>
            <w:tcW w:w="469" w:type="pct"/>
            <w:shd w:val="clear" w:color="auto" w:fill="auto"/>
            <w:vAlign w:val="bottom"/>
          </w:tcPr>
          <w:p w14:paraId="7708B5CE"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95.10</w:t>
            </w:r>
          </w:p>
        </w:tc>
        <w:tc>
          <w:tcPr>
            <w:tcW w:w="392" w:type="pct"/>
            <w:shd w:val="clear" w:color="auto" w:fill="auto"/>
            <w:vAlign w:val="bottom"/>
          </w:tcPr>
          <w:p w14:paraId="243392C7"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2.97</w:t>
            </w:r>
          </w:p>
        </w:tc>
        <w:tc>
          <w:tcPr>
            <w:tcW w:w="392" w:type="pct"/>
            <w:shd w:val="clear" w:color="auto" w:fill="auto"/>
            <w:vAlign w:val="bottom"/>
          </w:tcPr>
          <w:p w14:paraId="6992A858"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0.66</w:t>
            </w:r>
          </w:p>
        </w:tc>
        <w:tc>
          <w:tcPr>
            <w:tcW w:w="472" w:type="pct"/>
            <w:shd w:val="clear" w:color="auto" w:fill="auto"/>
            <w:vAlign w:val="bottom"/>
          </w:tcPr>
          <w:p w14:paraId="3A511FD2"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11.00</w:t>
            </w:r>
          </w:p>
        </w:tc>
        <w:tc>
          <w:tcPr>
            <w:tcW w:w="657" w:type="pct"/>
            <w:shd w:val="clear" w:color="auto" w:fill="auto"/>
            <w:vAlign w:val="bottom"/>
          </w:tcPr>
          <w:p w14:paraId="553E8BB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90.00</w:t>
            </w:r>
          </w:p>
        </w:tc>
        <w:tc>
          <w:tcPr>
            <w:tcW w:w="677" w:type="pct"/>
            <w:shd w:val="clear" w:color="auto" w:fill="auto"/>
            <w:vAlign w:val="bottom"/>
          </w:tcPr>
          <w:p w14:paraId="5B81B4F4"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1A07E290"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III</w:t>
            </w:r>
          </w:p>
        </w:tc>
      </w:tr>
      <w:tr w:rsidR="004A0D04" w:rsidRPr="00BA48BC" w14:paraId="029EE9F0" w14:textId="77777777" w:rsidTr="00EE558C">
        <w:trPr>
          <w:trHeight w:val="441"/>
          <w:jc w:val="center"/>
        </w:trPr>
        <w:tc>
          <w:tcPr>
            <w:tcW w:w="1492" w:type="pct"/>
            <w:vAlign w:val="center"/>
          </w:tcPr>
          <w:p w14:paraId="6FE25525" w14:textId="77777777" w:rsidR="004A0D04" w:rsidRPr="00BA48BC" w:rsidRDefault="004A0D04" w:rsidP="00E575CB">
            <w:pPr>
              <w:pStyle w:val="TableParagraph"/>
              <w:spacing w:before="98"/>
              <w:ind w:left="107"/>
              <w:jc w:val="both"/>
              <w:rPr>
                <w:sz w:val="24"/>
                <w:szCs w:val="24"/>
              </w:rPr>
            </w:pPr>
            <w:r w:rsidRPr="00BA48BC">
              <w:rPr>
                <w:sz w:val="24"/>
                <w:szCs w:val="24"/>
              </w:rPr>
              <w:lastRenderedPageBreak/>
              <w:t>SMPCL</w:t>
            </w:r>
          </w:p>
        </w:tc>
        <w:tc>
          <w:tcPr>
            <w:tcW w:w="469" w:type="pct"/>
            <w:shd w:val="clear" w:color="auto" w:fill="auto"/>
            <w:vAlign w:val="bottom"/>
          </w:tcPr>
          <w:p w14:paraId="58E95258"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94.30</w:t>
            </w:r>
          </w:p>
        </w:tc>
        <w:tc>
          <w:tcPr>
            <w:tcW w:w="392" w:type="pct"/>
            <w:shd w:val="clear" w:color="auto" w:fill="auto"/>
            <w:vAlign w:val="bottom"/>
          </w:tcPr>
          <w:p w14:paraId="0A08D503"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3.33</w:t>
            </w:r>
          </w:p>
        </w:tc>
        <w:tc>
          <w:tcPr>
            <w:tcW w:w="392" w:type="pct"/>
            <w:shd w:val="clear" w:color="auto" w:fill="auto"/>
            <w:vAlign w:val="bottom"/>
          </w:tcPr>
          <w:p w14:paraId="0FE07BCE"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0.74</w:t>
            </w:r>
          </w:p>
        </w:tc>
        <w:tc>
          <w:tcPr>
            <w:tcW w:w="472" w:type="pct"/>
            <w:shd w:val="clear" w:color="auto" w:fill="auto"/>
            <w:vAlign w:val="bottom"/>
          </w:tcPr>
          <w:p w14:paraId="31FA4BA7"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12.00</w:t>
            </w:r>
          </w:p>
        </w:tc>
        <w:tc>
          <w:tcPr>
            <w:tcW w:w="657" w:type="pct"/>
            <w:shd w:val="clear" w:color="auto" w:fill="auto"/>
            <w:vAlign w:val="bottom"/>
          </w:tcPr>
          <w:p w14:paraId="6A3519E3"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89.00</w:t>
            </w:r>
          </w:p>
        </w:tc>
        <w:tc>
          <w:tcPr>
            <w:tcW w:w="677" w:type="pct"/>
            <w:shd w:val="clear" w:color="auto" w:fill="auto"/>
            <w:vAlign w:val="bottom"/>
          </w:tcPr>
          <w:p w14:paraId="122EF99A"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101.00</w:t>
            </w:r>
          </w:p>
        </w:tc>
        <w:tc>
          <w:tcPr>
            <w:tcW w:w="449" w:type="pct"/>
            <w:vAlign w:val="center"/>
          </w:tcPr>
          <w:p w14:paraId="2F2A3E25" w14:textId="77777777" w:rsidR="004A0D04" w:rsidRPr="00BA48BC" w:rsidRDefault="004A0D04" w:rsidP="00E575CB">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IV</w:t>
            </w:r>
          </w:p>
        </w:tc>
      </w:tr>
    </w:tbl>
    <w:p w14:paraId="25813D28" w14:textId="77777777" w:rsidR="005042BE" w:rsidRPr="00BA48BC" w:rsidRDefault="00C40116" w:rsidP="005042BE">
      <w:pPr>
        <w:spacing w:after="0"/>
        <w:rPr>
          <w:rFonts w:ascii="Times New Roman" w:hAnsi="Times New Roman" w:cs="Times New Roman"/>
          <w:b/>
          <w:sz w:val="24"/>
        </w:rPr>
      </w:pPr>
      <w:r w:rsidRPr="00BA48BC">
        <w:rPr>
          <w:rFonts w:ascii="Times New Roman" w:hAnsi="Times New Roman" w:cs="Times New Roman"/>
          <w:b/>
          <w:sz w:val="24"/>
        </w:rPr>
        <w:t>3.</w:t>
      </w:r>
      <w:r w:rsidR="005042BE" w:rsidRPr="00BA48BC">
        <w:rPr>
          <w:rFonts w:ascii="Times New Roman" w:hAnsi="Times New Roman" w:cs="Times New Roman"/>
          <w:b/>
          <w:sz w:val="24"/>
        </w:rPr>
        <w:t xml:space="preserve">3 Test of difference in customer satisfaction between crop sector FPCs (ANOVA) </w:t>
      </w:r>
    </w:p>
    <w:p w14:paraId="6A13FE60" w14:textId="77777777" w:rsidR="005042BE" w:rsidRPr="00BA48BC" w:rsidRDefault="005042BE" w:rsidP="005042BE">
      <w:pPr>
        <w:spacing w:before="120" w:after="120"/>
        <w:rPr>
          <w:rFonts w:ascii="Times New Roman" w:hAnsi="Times New Roman" w:cs="Times New Roman"/>
          <w:sz w:val="24"/>
        </w:rPr>
      </w:pPr>
      <w:r w:rsidRPr="00BA48BC">
        <w:rPr>
          <w:rFonts w:ascii="Times New Roman" w:hAnsi="Times New Roman" w:cs="Times New Roman"/>
          <w:sz w:val="24"/>
        </w:rPr>
        <w:t>To study the difference in the extent of customer satisfaction between the crop sector FPCs, initially test of normality was performed (</w:t>
      </w:r>
      <w:r w:rsidRPr="00BA48BC">
        <w:rPr>
          <w:rFonts w:ascii="Times New Roman" w:hAnsi="Times New Roman" w:cs="Times New Roman"/>
          <w:i/>
          <w:sz w:val="24"/>
        </w:rPr>
        <w:t>i.e.,</w:t>
      </w:r>
      <w:r w:rsidRPr="00BA48BC">
        <w:rPr>
          <w:rFonts w:ascii="Times New Roman" w:hAnsi="Times New Roman" w:cs="Times New Roman"/>
          <w:sz w:val="24"/>
        </w:rPr>
        <w:t xml:space="preserve"> Skewness and Kurtosis). The obtained values of skewness and kurtosis for the customer satisfaction scores of crop sector FPCs were 0.062 and -1.05 respectively. As the required threshold (</w:t>
      </w:r>
      <w:r w:rsidRPr="00BA48BC">
        <w:rPr>
          <w:rFonts w:ascii="Times New Roman" w:hAnsi="Times New Roman" w:cs="Times New Roman"/>
          <w:i/>
          <w:sz w:val="24"/>
        </w:rPr>
        <w:t>i.e.,</w:t>
      </w:r>
      <w:r w:rsidRPr="00BA48BC">
        <w:rPr>
          <w:rFonts w:ascii="Times New Roman" w:hAnsi="Times New Roman" w:cs="Times New Roman"/>
          <w:sz w:val="24"/>
        </w:rPr>
        <w:t xml:space="preserve"> Skewness range between -2 and +2; kurtosis range between +10 and -10) for normality as suggested by </w:t>
      </w:r>
      <w:r w:rsidRPr="00BA48BC">
        <w:rPr>
          <w:rFonts w:ascii="Times New Roman" w:hAnsi="Times New Roman" w:cs="Times New Roman"/>
          <w:color w:val="0070C0"/>
          <w:sz w:val="24"/>
        </w:rPr>
        <w:t>George and Mallery (2010)</w:t>
      </w:r>
      <w:r w:rsidR="00436A50" w:rsidRPr="00BA48BC">
        <w:rPr>
          <w:rFonts w:ascii="Times New Roman" w:hAnsi="Times New Roman" w:cs="Times New Roman"/>
          <w:sz w:val="24"/>
          <w:vertAlign w:val="superscript"/>
        </w:rPr>
        <w:t>18</w:t>
      </w:r>
      <w:r w:rsidRPr="00BA48BC">
        <w:rPr>
          <w:rFonts w:ascii="Times New Roman" w:hAnsi="Times New Roman" w:cs="Times New Roman"/>
          <w:sz w:val="24"/>
        </w:rPr>
        <w:t>, were met, one-way ANOVA was used to measure the significance of difference in the customer satisfaction with the FPC products/ services.</w:t>
      </w:r>
    </w:p>
    <w:p w14:paraId="1C12875D" w14:textId="77777777" w:rsidR="005042BE" w:rsidRPr="00BA48BC" w:rsidRDefault="005042BE" w:rsidP="005042BE">
      <w:pPr>
        <w:spacing w:before="120" w:after="120"/>
        <w:rPr>
          <w:rFonts w:ascii="Times New Roman" w:hAnsi="Times New Roman" w:cs="Times New Roman"/>
          <w:sz w:val="24"/>
        </w:rPr>
      </w:pPr>
      <w:r w:rsidRPr="00BA48BC">
        <w:rPr>
          <w:rFonts w:ascii="Times New Roman" w:hAnsi="Times New Roman" w:cs="Times New Roman"/>
          <w:sz w:val="24"/>
        </w:rPr>
        <w:t xml:space="preserve">The results showed in Table </w:t>
      </w:r>
      <w:r w:rsidR="00D919F5" w:rsidRPr="00BA48BC">
        <w:rPr>
          <w:rFonts w:ascii="Times New Roman" w:hAnsi="Times New Roman" w:cs="Times New Roman"/>
          <w:sz w:val="24"/>
        </w:rPr>
        <w:t>5</w:t>
      </w:r>
      <w:r w:rsidRPr="00BA48BC">
        <w:rPr>
          <w:rFonts w:ascii="Times New Roman" w:hAnsi="Times New Roman" w:cs="Times New Roman"/>
          <w:b/>
          <w:sz w:val="24"/>
        </w:rPr>
        <w:t xml:space="preserve"> </w:t>
      </w:r>
      <w:r w:rsidRPr="00BA48BC">
        <w:rPr>
          <w:rFonts w:ascii="Times New Roman" w:hAnsi="Times New Roman" w:cs="Times New Roman"/>
          <w:sz w:val="24"/>
        </w:rPr>
        <w:t>revealed that all the selected crop sector FPCs in the study had significant difference (p &lt; 0.00) in the extent of customer satisfaction with each other.</w:t>
      </w:r>
    </w:p>
    <w:p w14:paraId="0DDFB023" w14:textId="77777777" w:rsidR="005042BE" w:rsidRPr="00BA48BC" w:rsidRDefault="005042BE" w:rsidP="005042BE">
      <w:pPr>
        <w:spacing w:after="0"/>
        <w:rPr>
          <w:rFonts w:ascii="Times New Roman" w:hAnsi="Times New Roman" w:cs="Times New Roman"/>
          <w:b/>
          <w:sz w:val="24"/>
        </w:rPr>
      </w:pPr>
      <w:r w:rsidRPr="00BA48BC">
        <w:rPr>
          <w:rFonts w:ascii="Times New Roman" w:hAnsi="Times New Roman" w:cs="Times New Roman"/>
          <w:b/>
          <w:sz w:val="24"/>
        </w:rPr>
        <w:t xml:space="preserve">Table </w:t>
      </w:r>
      <w:r w:rsidR="00D919F5" w:rsidRPr="00BA48BC">
        <w:rPr>
          <w:rFonts w:ascii="Times New Roman" w:hAnsi="Times New Roman" w:cs="Times New Roman"/>
          <w:b/>
          <w:sz w:val="24"/>
        </w:rPr>
        <w:t>5.</w:t>
      </w:r>
      <w:r w:rsidRPr="00BA48BC">
        <w:rPr>
          <w:rFonts w:ascii="Times New Roman" w:hAnsi="Times New Roman" w:cs="Times New Roman"/>
          <w:b/>
          <w:sz w:val="24"/>
        </w:rPr>
        <w:t xml:space="preserve"> Results of ANOVA for extent of customer satisfaction with crop sector FPC products/ services</w:t>
      </w:r>
      <w:r w:rsidRPr="00BA48BC">
        <w:rPr>
          <w:rFonts w:ascii="Times New Roman" w:hAnsi="Times New Roman" w:cs="Times New Roman"/>
          <w:sz w:val="24"/>
        </w:rPr>
        <w:t xml:space="preserve"> </w:t>
      </w:r>
    </w:p>
    <w:tbl>
      <w:tblPr>
        <w:tblStyle w:val="TableGrid"/>
        <w:tblW w:w="5000" w:type="pct"/>
        <w:tblLook w:val="04A0" w:firstRow="1" w:lastRow="0" w:firstColumn="1" w:lastColumn="0" w:noHBand="0" w:noVBand="1"/>
      </w:tblPr>
      <w:tblGrid>
        <w:gridCol w:w="1824"/>
        <w:gridCol w:w="1831"/>
        <w:gridCol w:w="1073"/>
        <w:gridCol w:w="1596"/>
        <w:gridCol w:w="1153"/>
        <w:gridCol w:w="1542"/>
      </w:tblGrid>
      <w:tr w:rsidR="005042BE" w:rsidRPr="00BA48BC" w14:paraId="26AAC313" w14:textId="77777777" w:rsidTr="00EE558C">
        <w:trPr>
          <w:trHeight w:val="300"/>
        </w:trPr>
        <w:tc>
          <w:tcPr>
            <w:tcW w:w="1011" w:type="pct"/>
            <w:noWrap/>
            <w:vAlign w:val="center"/>
            <w:hideMark/>
          </w:tcPr>
          <w:p w14:paraId="5974EEC7" w14:textId="77777777" w:rsidR="005042BE" w:rsidRPr="00BA48BC" w:rsidRDefault="005042BE" w:rsidP="00EE558C">
            <w:pPr>
              <w:spacing w:line="360" w:lineRule="auto"/>
              <w:rPr>
                <w:rFonts w:ascii="Times New Roman" w:hAnsi="Times New Roman" w:cs="Times New Roman"/>
                <w:b/>
                <w:sz w:val="24"/>
              </w:rPr>
            </w:pPr>
            <w:r w:rsidRPr="00BA48BC">
              <w:rPr>
                <w:rFonts w:ascii="Times New Roman" w:hAnsi="Times New Roman" w:cs="Times New Roman"/>
                <w:b/>
                <w:sz w:val="24"/>
              </w:rPr>
              <w:t> ANOVA</w:t>
            </w:r>
          </w:p>
        </w:tc>
        <w:tc>
          <w:tcPr>
            <w:tcW w:w="1015" w:type="pct"/>
            <w:noWrap/>
            <w:vAlign w:val="center"/>
            <w:hideMark/>
          </w:tcPr>
          <w:p w14:paraId="75F92DBE"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Sum of Squares</w:t>
            </w:r>
          </w:p>
        </w:tc>
        <w:tc>
          <w:tcPr>
            <w:tcW w:w="595" w:type="pct"/>
            <w:noWrap/>
            <w:vAlign w:val="center"/>
            <w:hideMark/>
          </w:tcPr>
          <w:p w14:paraId="735CCFF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df</w:t>
            </w:r>
          </w:p>
        </w:tc>
        <w:tc>
          <w:tcPr>
            <w:tcW w:w="885" w:type="pct"/>
            <w:noWrap/>
            <w:vAlign w:val="center"/>
            <w:hideMark/>
          </w:tcPr>
          <w:p w14:paraId="4AA390B2"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Mean Square</w:t>
            </w:r>
          </w:p>
        </w:tc>
        <w:tc>
          <w:tcPr>
            <w:tcW w:w="639" w:type="pct"/>
            <w:noWrap/>
            <w:vAlign w:val="center"/>
            <w:hideMark/>
          </w:tcPr>
          <w:p w14:paraId="7FF2E5A3"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F</w:t>
            </w:r>
          </w:p>
        </w:tc>
        <w:tc>
          <w:tcPr>
            <w:tcW w:w="855" w:type="pct"/>
            <w:noWrap/>
            <w:vAlign w:val="center"/>
            <w:hideMark/>
          </w:tcPr>
          <w:p w14:paraId="24608A6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Sig.</w:t>
            </w:r>
          </w:p>
        </w:tc>
      </w:tr>
      <w:tr w:rsidR="005042BE" w:rsidRPr="00BA48BC" w14:paraId="4C0906AD" w14:textId="77777777" w:rsidTr="00EE558C">
        <w:trPr>
          <w:trHeight w:val="300"/>
        </w:trPr>
        <w:tc>
          <w:tcPr>
            <w:tcW w:w="1011" w:type="pct"/>
            <w:noWrap/>
            <w:vAlign w:val="center"/>
            <w:hideMark/>
          </w:tcPr>
          <w:p w14:paraId="000A7D15"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Between Groups</w:t>
            </w:r>
          </w:p>
        </w:tc>
        <w:tc>
          <w:tcPr>
            <w:tcW w:w="1015" w:type="pct"/>
            <w:noWrap/>
            <w:vAlign w:val="center"/>
            <w:hideMark/>
          </w:tcPr>
          <w:p w14:paraId="2D6D458E"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1.499</w:t>
            </w:r>
          </w:p>
        </w:tc>
        <w:tc>
          <w:tcPr>
            <w:tcW w:w="595" w:type="pct"/>
            <w:noWrap/>
            <w:vAlign w:val="center"/>
            <w:hideMark/>
          </w:tcPr>
          <w:p w14:paraId="54121188"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w:t>
            </w:r>
          </w:p>
        </w:tc>
        <w:tc>
          <w:tcPr>
            <w:tcW w:w="885" w:type="pct"/>
            <w:noWrap/>
            <w:vAlign w:val="center"/>
            <w:hideMark/>
          </w:tcPr>
          <w:p w14:paraId="543777AE"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0.5</w:t>
            </w:r>
          </w:p>
        </w:tc>
        <w:tc>
          <w:tcPr>
            <w:tcW w:w="639" w:type="pct"/>
            <w:noWrap/>
            <w:vAlign w:val="center"/>
            <w:hideMark/>
          </w:tcPr>
          <w:p w14:paraId="6EF72FEA"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123.766</w:t>
            </w:r>
          </w:p>
        </w:tc>
        <w:tc>
          <w:tcPr>
            <w:tcW w:w="855" w:type="pct"/>
            <w:noWrap/>
            <w:vAlign w:val="center"/>
            <w:hideMark/>
          </w:tcPr>
          <w:p w14:paraId="1BF61ED1"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w:t>
            </w:r>
          </w:p>
        </w:tc>
      </w:tr>
      <w:tr w:rsidR="005042BE" w:rsidRPr="00BA48BC" w14:paraId="441FE59B" w14:textId="77777777" w:rsidTr="00EE558C">
        <w:trPr>
          <w:trHeight w:val="300"/>
        </w:trPr>
        <w:tc>
          <w:tcPr>
            <w:tcW w:w="1011" w:type="pct"/>
            <w:noWrap/>
            <w:vAlign w:val="center"/>
            <w:hideMark/>
          </w:tcPr>
          <w:p w14:paraId="1151F105"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Within Groups</w:t>
            </w:r>
          </w:p>
        </w:tc>
        <w:tc>
          <w:tcPr>
            <w:tcW w:w="1015" w:type="pct"/>
            <w:noWrap/>
            <w:vAlign w:val="center"/>
            <w:hideMark/>
          </w:tcPr>
          <w:p w14:paraId="0F97FBF3"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0.307</w:t>
            </w:r>
          </w:p>
        </w:tc>
        <w:tc>
          <w:tcPr>
            <w:tcW w:w="595" w:type="pct"/>
            <w:noWrap/>
            <w:vAlign w:val="center"/>
            <w:hideMark/>
          </w:tcPr>
          <w:p w14:paraId="54A9566B"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76</w:t>
            </w:r>
          </w:p>
        </w:tc>
        <w:tc>
          <w:tcPr>
            <w:tcW w:w="885" w:type="pct"/>
            <w:noWrap/>
            <w:vAlign w:val="center"/>
            <w:hideMark/>
          </w:tcPr>
          <w:p w14:paraId="7F652919"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0.004</w:t>
            </w:r>
          </w:p>
        </w:tc>
        <w:tc>
          <w:tcPr>
            <w:tcW w:w="639" w:type="pct"/>
            <w:noWrap/>
            <w:vAlign w:val="center"/>
            <w:hideMark/>
          </w:tcPr>
          <w:p w14:paraId="66E6A94D" w14:textId="77777777" w:rsidR="005042BE" w:rsidRPr="00BA48BC" w:rsidRDefault="005042BE" w:rsidP="00EE558C">
            <w:pPr>
              <w:jc w:val="center"/>
              <w:rPr>
                <w:rFonts w:ascii="Times New Roman" w:hAnsi="Times New Roman" w:cs="Times New Roman"/>
                <w:color w:val="000000"/>
                <w:sz w:val="24"/>
                <w:szCs w:val="24"/>
              </w:rPr>
            </w:pPr>
          </w:p>
        </w:tc>
        <w:tc>
          <w:tcPr>
            <w:tcW w:w="855" w:type="pct"/>
            <w:noWrap/>
            <w:vAlign w:val="center"/>
            <w:hideMark/>
          </w:tcPr>
          <w:p w14:paraId="39F9EDAD" w14:textId="77777777" w:rsidR="005042BE" w:rsidRPr="00BA48BC" w:rsidRDefault="005042BE" w:rsidP="00EE558C">
            <w:pPr>
              <w:jc w:val="center"/>
              <w:rPr>
                <w:rFonts w:ascii="Times New Roman" w:hAnsi="Times New Roman" w:cs="Times New Roman"/>
                <w:sz w:val="24"/>
                <w:szCs w:val="24"/>
              </w:rPr>
            </w:pPr>
          </w:p>
        </w:tc>
      </w:tr>
      <w:tr w:rsidR="005042BE" w:rsidRPr="00BA48BC" w14:paraId="786E13A3" w14:textId="77777777" w:rsidTr="00EE558C">
        <w:trPr>
          <w:trHeight w:val="300"/>
        </w:trPr>
        <w:tc>
          <w:tcPr>
            <w:tcW w:w="1011" w:type="pct"/>
            <w:noWrap/>
            <w:vAlign w:val="center"/>
            <w:hideMark/>
          </w:tcPr>
          <w:p w14:paraId="16B84A65"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Total</w:t>
            </w:r>
          </w:p>
        </w:tc>
        <w:tc>
          <w:tcPr>
            <w:tcW w:w="1015" w:type="pct"/>
            <w:noWrap/>
            <w:vAlign w:val="center"/>
            <w:hideMark/>
          </w:tcPr>
          <w:p w14:paraId="370ACB6D"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1.805</w:t>
            </w:r>
          </w:p>
        </w:tc>
        <w:tc>
          <w:tcPr>
            <w:tcW w:w="595" w:type="pct"/>
            <w:noWrap/>
            <w:vAlign w:val="center"/>
            <w:hideMark/>
          </w:tcPr>
          <w:p w14:paraId="342ADA0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79</w:t>
            </w:r>
          </w:p>
        </w:tc>
        <w:tc>
          <w:tcPr>
            <w:tcW w:w="885" w:type="pct"/>
            <w:noWrap/>
            <w:vAlign w:val="center"/>
            <w:hideMark/>
          </w:tcPr>
          <w:p w14:paraId="6AFC3389" w14:textId="77777777" w:rsidR="005042BE" w:rsidRPr="00BA48BC" w:rsidRDefault="005042BE" w:rsidP="00EE558C">
            <w:pPr>
              <w:jc w:val="center"/>
              <w:rPr>
                <w:rFonts w:ascii="Times New Roman" w:hAnsi="Times New Roman" w:cs="Times New Roman"/>
                <w:color w:val="000000"/>
                <w:sz w:val="24"/>
                <w:szCs w:val="24"/>
              </w:rPr>
            </w:pPr>
          </w:p>
        </w:tc>
        <w:tc>
          <w:tcPr>
            <w:tcW w:w="639" w:type="pct"/>
            <w:noWrap/>
            <w:vAlign w:val="center"/>
            <w:hideMark/>
          </w:tcPr>
          <w:p w14:paraId="6851F08C" w14:textId="77777777" w:rsidR="005042BE" w:rsidRPr="00BA48BC" w:rsidRDefault="005042BE" w:rsidP="00EE558C">
            <w:pPr>
              <w:jc w:val="center"/>
              <w:rPr>
                <w:rFonts w:ascii="Times New Roman" w:hAnsi="Times New Roman" w:cs="Times New Roman"/>
                <w:sz w:val="24"/>
                <w:szCs w:val="24"/>
              </w:rPr>
            </w:pPr>
          </w:p>
        </w:tc>
        <w:tc>
          <w:tcPr>
            <w:tcW w:w="855" w:type="pct"/>
            <w:noWrap/>
            <w:vAlign w:val="center"/>
            <w:hideMark/>
          </w:tcPr>
          <w:p w14:paraId="2A862CB6" w14:textId="77777777" w:rsidR="005042BE" w:rsidRPr="00BA48BC" w:rsidRDefault="005042BE" w:rsidP="00EE558C">
            <w:pPr>
              <w:jc w:val="center"/>
              <w:rPr>
                <w:rFonts w:ascii="Times New Roman" w:hAnsi="Times New Roman" w:cs="Times New Roman"/>
                <w:sz w:val="24"/>
                <w:szCs w:val="24"/>
              </w:rPr>
            </w:pPr>
          </w:p>
        </w:tc>
      </w:tr>
    </w:tbl>
    <w:p w14:paraId="31F44608" w14:textId="77777777" w:rsidR="005042BE" w:rsidRPr="00BA48BC" w:rsidRDefault="00C40116" w:rsidP="005042BE">
      <w:pPr>
        <w:spacing w:after="0"/>
        <w:rPr>
          <w:rFonts w:ascii="Times New Roman" w:hAnsi="Times New Roman" w:cs="Times New Roman"/>
          <w:b/>
          <w:sz w:val="24"/>
        </w:rPr>
      </w:pPr>
      <w:r w:rsidRPr="00BA48BC">
        <w:rPr>
          <w:rFonts w:ascii="Times New Roman" w:hAnsi="Times New Roman" w:cs="Times New Roman"/>
          <w:b/>
          <w:sz w:val="24"/>
        </w:rPr>
        <w:t>3.</w:t>
      </w:r>
      <w:r w:rsidR="005042BE" w:rsidRPr="00BA48BC">
        <w:rPr>
          <w:rFonts w:ascii="Times New Roman" w:hAnsi="Times New Roman" w:cs="Times New Roman"/>
          <w:b/>
          <w:sz w:val="24"/>
        </w:rPr>
        <w:t>4</w:t>
      </w:r>
      <w:r w:rsidR="0059238C" w:rsidRPr="00BA48BC">
        <w:rPr>
          <w:rFonts w:ascii="Times New Roman" w:hAnsi="Times New Roman" w:cs="Times New Roman"/>
          <w:b/>
          <w:sz w:val="24"/>
        </w:rPr>
        <w:t xml:space="preserve"> </w:t>
      </w:r>
      <w:r w:rsidR="005042BE" w:rsidRPr="00BA48BC">
        <w:rPr>
          <w:rFonts w:ascii="Times New Roman" w:hAnsi="Times New Roman" w:cs="Times New Roman"/>
          <w:b/>
          <w:sz w:val="24"/>
        </w:rPr>
        <w:t>Test of difference in customer satisfaction between dairy sector FPCs (ANOVA)</w:t>
      </w:r>
    </w:p>
    <w:p w14:paraId="032F7774" w14:textId="65591D16" w:rsidR="005042BE" w:rsidRDefault="005042BE" w:rsidP="005042BE">
      <w:pPr>
        <w:spacing w:before="0" w:after="0"/>
        <w:rPr>
          <w:rFonts w:ascii="Times New Roman" w:hAnsi="Times New Roman" w:cs="Times New Roman"/>
          <w:sz w:val="24"/>
        </w:rPr>
      </w:pPr>
      <w:r w:rsidRPr="00BA48BC">
        <w:rPr>
          <w:rFonts w:ascii="Times New Roman" w:hAnsi="Times New Roman" w:cs="Times New Roman"/>
          <w:sz w:val="24"/>
        </w:rPr>
        <w:t xml:space="preserve">The results of normality test revealed that the skewness value was -0.458 and the kurtosis value was 0.18. Since the obtained values are within the required threshold for normality, one-way ANOVA was performed to measure the significance of difference in the customer satisfaction with the dairy sector FPC products/ services. The results showed in Table </w:t>
      </w:r>
      <w:r w:rsidR="006A166F" w:rsidRPr="00BA48BC">
        <w:rPr>
          <w:rFonts w:ascii="Times New Roman" w:hAnsi="Times New Roman" w:cs="Times New Roman"/>
          <w:sz w:val="24"/>
        </w:rPr>
        <w:t>6</w:t>
      </w:r>
      <w:r w:rsidRPr="00BA48BC">
        <w:rPr>
          <w:rFonts w:ascii="Times New Roman" w:hAnsi="Times New Roman" w:cs="Times New Roman"/>
          <w:b/>
          <w:sz w:val="24"/>
        </w:rPr>
        <w:t xml:space="preserve"> </w:t>
      </w:r>
      <w:r w:rsidRPr="00BA48BC">
        <w:rPr>
          <w:rFonts w:ascii="Times New Roman" w:hAnsi="Times New Roman" w:cs="Times New Roman"/>
          <w:sz w:val="24"/>
        </w:rPr>
        <w:t xml:space="preserve">revealed that the selected dairy sector FPCs in the study had ‘no significant difference’ (p &gt; 0.10) in the extent of customer satisfaction between each other. This could be due to the well-established marketing channels and nearly similar methods of reaching the ultimate consumers by all the dairy FPCs. Besides that, all the dairy FPCs under study were among the top 10 FPCs in the country with respect to highest paid-up capital </w:t>
      </w:r>
      <w:r w:rsidRPr="00BA48BC">
        <w:rPr>
          <w:rFonts w:ascii="Times New Roman" w:hAnsi="Times New Roman" w:cs="Times New Roman"/>
          <w:color w:val="0070C0"/>
          <w:sz w:val="24"/>
        </w:rPr>
        <w:t>(Govil et al</w:t>
      </w:r>
      <w:r w:rsidRPr="00BA48BC">
        <w:rPr>
          <w:rFonts w:ascii="Times New Roman" w:hAnsi="Times New Roman" w:cs="Times New Roman"/>
          <w:i/>
          <w:color w:val="0070C0"/>
          <w:sz w:val="24"/>
        </w:rPr>
        <w:t xml:space="preserve">. </w:t>
      </w:r>
      <w:r w:rsidRPr="00BA48BC">
        <w:rPr>
          <w:rFonts w:ascii="Times New Roman" w:hAnsi="Times New Roman" w:cs="Times New Roman"/>
          <w:color w:val="0070C0"/>
          <w:sz w:val="24"/>
        </w:rPr>
        <w:t>2020)</w:t>
      </w:r>
      <w:r w:rsidR="00436A50" w:rsidRPr="00BA48BC">
        <w:rPr>
          <w:rFonts w:ascii="Times New Roman" w:hAnsi="Times New Roman" w:cs="Times New Roman"/>
          <w:sz w:val="24"/>
          <w:vertAlign w:val="superscript"/>
        </w:rPr>
        <w:t>19</w:t>
      </w:r>
      <w:r w:rsidRPr="00BA48BC">
        <w:rPr>
          <w:rFonts w:ascii="Times New Roman" w:hAnsi="Times New Roman" w:cs="Times New Roman"/>
          <w:sz w:val="24"/>
          <w:vertAlign w:val="superscript"/>
        </w:rPr>
        <w:t xml:space="preserve"> </w:t>
      </w:r>
      <w:r w:rsidRPr="00BA48BC">
        <w:rPr>
          <w:rFonts w:ascii="Times New Roman" w:hAnsi="Times New Roman" w:cs="Times New Roman"/>
          <w:sz w:val="24"/>
        </w:rPr>
        <w:t xml:space="preserve">reflecting the magnitude of trust and </w:t>
      </w:r>
      <w:r w:rsidR="006A166F" w:rsidRPr="00BA48BC">
        <w:rPr>
          <w:rFonts w:ascii="Times New Roman" w:hAnsi="Times New Roman" w:cs="Times New Roman"/>
          <w:sz w:val="24"/>
        </w:rPr>
        <w:t>deep-rooted</w:t>
      </w:r>
      <w:r w:rsidRPr="00BA48BC">
        <w:rPr>
          <w:rFonts w:ascii="Times New Roman" w:hAnsi="Times New Roman" w:cs="Times New Roman"/>
          <w:sz w:val="24"/>
        </w:rPr>
        <w:t xml:space="preserve"> business channel in their respective areas of operation. </w:t>
      </w:r>
    </w:p>
    <w:p w14:paraId="26BDB713" w14:textId="572524D3" w:rsidR="004C6381" w:rsidRDefault="004C6381" w:rsidP="005042BE">
      <w:pPr>
        <w:spacing w:before="0" w:after="0"/>
        <w:rPr>
          <w:rFonts w:ascii="Times New Roman" w:hAnsi="Times New Roman" w:cs="Times New Roman"/>
          <w:sz w:val="24"/>
        </w:rPr>
      </w:pPr>
    </w:p>
    <w:p w14:paraId="47029316" w14:textId="48D18410" w:rsidR="004C6381" w:rsidRDefault="004C6381" w:rsidP="005042BE">
      <w:pPr>
        <w:spacing w:before="0" w:after="0"/>
        <w:rPr>
          <w:rFonts w:ascii="Times New Roman" w:hAnsi="Times New Roman" w:cs="Times New Roman"/>
          <w:sz w:val="24"/>
        </w:rPr>
      </w:pPr>
    </w:p>
    <w:p w14:paraId="28C4482F" w14:textId="0D11FBE8" w:rsidR="004C6381" w:rsidRDefault="004C6381" w:rsidP="005042BE">
      <w:pPr>
        <w:spacing w:before="0" w:after="0"/>
        <w:rPr>
          <w:rFonts w:ascii="Times New Roman" w:hAnsi="Times New Roman" w:cs="Times New Roman"/>
          <w:sz w:val="24"/>
        </w:rPr>
      </w:pPr>
    </w:p>
    <w:p w14:paraId="05F9BC0A" w14:textId="77777777" w:rsidR="004C6381" w:rsidRPr="00BA48BC" w:rsidRDefault="004C6381" w:rsidP="005042BE">
      <w:pPr>
        <w:spacing w:before="0" w:after="0"/>
        <w:rPr>
          <w:rFonts w:ascii="Times New Roman" w:hAnsi="Times New Roman" w:cs="Times New Roman"/>
          <w:sz w:val="24"/>
        </w:rPr>
      </w:pPr>
      <w:bookmarkStart w:id="0" w:name="_GoBack"/>
      <w:bookmarkEnd w:id="0"/>
    </w:p>
    <w:p w14:paraId="4F0648C0" w14:textId="77777777" w:rsidR="005042BE" w:rsidRPr="00BA48BC" w:rsidRDefault="005042BE" w:rsidP="005042BE">
      <w:pPr>
        <w:spacing w:before="0" w:after="0"/>
        <w:rPr>
          <w:rFonts w:ascii="Times New Roman" w:hAnsi="Times New Roman" w:cs="Times New Roman"/>
          <w:b/>
          <w:sz w:val="24"/>
        </w:rPr>
      </w:pPr>
      <w:r w:rsidRPr="00BA48BC">
        <w:rPr>
          <w:rFonts w:ascii="Times New Roman" w:hAnsi="Times New Roman" w:cs="Times New Roman"/>
          <w:b/>
          <w:sz w:val="24"/>
        </w:rPr>
        <w:t xml:space="preserve">Table </w:t>
      </w:r>
      <w:r w:rsidR="006A166F" w:rsidRPr="00BA48BC">
        <w:rPr>
          <w:rFonts w:ascii="Times New Roman" w:hAnsi="Times New Roman" w:cs="Times New Roman"/>
          <w:b/>
          <w:sz w:val="24"/>
        </w:rPr>
        <w:t>6.</w:t>
      </w:r>
      <w:r w:rsidRPr="00BA48BC">
        <w:rPr>
          <w:rFonts w:ascii="Times New Roman" w:hAnsi="Times New Roman" w:cs="Times New Roman"/>
          <w:b/>
          <w:sz w:val="24"/>
        </w:rPr>
        <w:t xml:space="preserve"> Results of ANOVA for extent of customer satisfaction with dairy sector FPC products/ services</w:t>
      </w:r>
    </w:p>
    <w:tbl>
      <w:tblPr>
        <w:tblStyle w:val="TableGrid"/>
        <w:tblW w:w="5019" w:type="pct"/>
        <w:tblLook w:val="04A0" w:firstRow="1" w:lastRow="0" w:firstColumn="1" w:lastColumn="0" w:noHBand="0" w:noVBand="1"/>
      </w:tblPr>
      <w:tblGrid>
        <w:gridCol w:w="1831"/>
        <w:gridCol w:w="1838"/>
        <w:gridCol w:w="1077"/>
        <w:gridCol w:w="1602"/>
        <w:gridCol w:w="1157"/>
        <w:gridCol w:w="1548"/>
      </w:tblGrid>
      <w:tr w:rsidR="005042BE" w:rsidRPr="00BA48BC" w14:paraId="6E89DBB7" w14:textId="77777777" w:rsidTr="00EE558C">
        <w:trPr>
          <w:trHeight w:val="324"/>
        </w:trPr>
        <w:tc>
          <w:tcPr>
            <w:tcW w:w="1011" w:type="pct"/>
            <w:noWrap/>
            <w:vAlign w:val="center"/>
            <w:hideMark/>
          </w:tcPr>
          <w:p w14:paraId="3F21BCA7" w14:textId="77777777" w:rsidR="005042BE" w:rsidRPr="00BA48BC" w:rsidRDefault="005042BE" w:rsidP="00EE558C">
            <w:pPr>
              <w:spacing w:line="360" w:lineRule="auto"/>
              <w:rPr>
                <w:rFonts w:ascii="Times New Roman" w:hAnsi="Times New Roman" w:cs="Times New Roman"/>
                <w:b/>
                <w:sz w:val="24"/>
              </w:rPr>
            </w:pPr>
            <w:r w:rsidRPr="00BA48BC">
              <w:rPr>
                <w:rFonts w:ascii="Times New Roman" w:hAnsi="Times New Roman" w:cs="Times New Roman"/>
                <w:b/>
                <w:sz w:val="24"/>
              </w:rPr>
              <w:t> ANOVA</w:t>
            </w:r>
          </w:p>
        </w:tc>
        <w:tc>
          <w:tcPr>
            <w:tcW w:w="1015" w:type="pct"/>
            <w:noWrap/>
            <w:vAlign w:val="center"/>
            <w:hideMark/>
          </w:tcPr>
          <w:p w14:paraId="0C4F276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Sum of Squares</w:t>
            </w:r>
          </w:p>
        </w:tc>
        <w:tc>
          <w:tcPr>
            <w:tcW w:w="595" w:type="pct"/>
            <w:noWrap/>
            <w:vAlign w:val="center"/>
            <w:hideMark/>
          </w:tcPr>
          <w:p w14:paraId="53A7D1B1"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df</w:t>
            </w:r>
          </w:p>
        </w:tc>
        <w:tc>
          <w:tcPr>
            <w:tcW w:w="885" w:type="pct"/>
            <w:noWrap/>
            <w:vAlign w:val="center"/>
            <w:hideMark/>
          </w:tcPr>
          <w:p w14:paraId="68245860"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Mean Square</w:t>
            </w:r>
          </w:p>
        </w:tc>
        <w:tc>
          <w:tcPr>
            <w:tcW w:w="639" w:type="pct"/>
            <w:noWrap/>
            <w:vAlign w:val="center"/>
            <w:hideMark/>
          </w:tcPr>
          <w:p w14:paraId="555F5C5A"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F</w:t>
            </w:r>
          </w:p>
        </w:tc>
        <w:tc>
          <w:tcPr>
            <w:tcW w:w="855" w:type="pct"/>
            <w:noWrap/>
            <w:vAlign w:val="center"/>
            <w:hideMark/>
          </w:tcPr>
          <w:p w14:paraId="4666BDBD" w14:textId="77777777" w:rsidR="005042BE" w:rsidRPr="00BA48BC" w:rsidRDefault="005042BE" w:rsidP="00EE558C">
            <w:pPr>
              <w:spacing w:line="360" w:lineRule="auto"/>
              <w:jc w:val="center"/>
              <w:rPr>
                <w:rFonts w:ascii="Times New Roman" w:hAnsi="Times New Roman" w:cs="Times New Roman"/>
                <w:b/>
                <w:sz w:val="24"/>
              </w:rPr>
            </w:pPr>
            <w:r w:rsidRPr="00BA48BC">
              <w:rPr>
                <w:rFonts w:ascii="Times New Roman" w:hAnsi="Times New Roman" w:cs="Times New Roman"/>
                <w:b/>
                <w:sz w:val="24"/>
              </w:rPr>
              <w:t>Sig.</w:t>
            </w:r>
          </w:p>
        </w:tc>
      </w:tr>
      <w:tr w:rsidR="005042BE" w:rsidRPr="00BA48BC" w14:paraId="529C846E" w14:textId="77777777" w:rsidTr="00EE558C">
        <w:trPr>
          <w:trHeight w:val="324"/>
        </w:trPr>
        <w:tc>
          <w:tcPr>
            <w:tcW w:w="1011" w:type="pct"/>
            <w:noWrap/>
            <w:vAlign w:val="center"/>
            <w:hideMark/>
          </w:tcPr>
          <w:p w14:paraId="39BEF670"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Between Groups</w:t>
            </w:r>
          </w:p>
        </w:tc>
        <w:tc>
          <w:tcPr>
            <w:tcW w:w="1015" w:type="pct"/>
            <w:noWrap/>
            <w:vAlign w:val="center"/>
            <w:hideMark/>
          </w:tcPr>
          <w:p w14:paraId="6E01035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0.036</w:t>
            </w:r>
          </w:p>
        </w:tc>
        <w:tc>
          <w:tcPr>
            <w:tcW w:w="595" w:type="pct"/>
            <w:noWrap/>
            <w:vAlign w:val="center"/>
            <w:hideMark/>
          </w:tcPr>
          <w:p w14:paraId="37EB47CD"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w:t>
            </w:r>
          </w:p>
        </w:tc>
        <w:tc>
          <w:tcPr>
            <w:tcW w:w="885" w:type="pct"/>
            <w:noWrap/>
            <w:vAlign w:val="center"/>
            <w:hideMark/>
          </w:tcPr>
          <w:p w14:paraId="582E59B7"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0.012</w:t>
            </w:r>
          </w:p>
        </w:tc>
        <w:tc>
          <w:tcPr>
            <w:tcW w:w="639" w:type="pct"/>
            <w:noWrap/>
            <w:vAlign w:val="center"/>
            <w:hideMark/>
          </w:tcPr>
          <w:p w14:paraId="05349DF2"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1.861</w:t>
            </w:r>
          </w:p>
        </w:tc>
        <w:tc>
          <w:tcPr>
            <w:tcW w:w="855" w:type="pct"/>
            <w:noWrap/>
            <w:vAlign w:val="center"/>
            <w:hideMark/>
          </w:tcPr>
          <w:p w14:paraId="4E9C05E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0.143</w:t>
            </w:r>
          </w:p>
        </w:tc>
      </w:tr>
      <w:tr w:rsidR="005042BE" w:rsidRPr="00BA48BC" w14:paraId="4819D05B" w14:textId="77777777" w:rsidTr="00EE558C">
        <w:trPr>
          <w:trHeight w:val="324"/>
        </w:trPr>
        <w:tc>
          <w:tcPr>
            <w:tcW w:w="1011" w:type="pct"/>
            <w:noWrap/>
            <w:vAlign w:val="center"/>
            <w:hideMark/>
          </w:tcPr>
          <w:p w14:paraId="59914B4C"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Within Groups</w:t>
            </w:r>
          </w:p>
        </w:tc>
        <w:tc>
          <w:tcPr>
            <w:tcW w:w="1015" w:type="pct"/>
            <w:noWrap/>
            <w:vAlign w:val="center"/>
            <w:hideMark/>
          </w:tcPr>
          <w:p w14:paraId="36028C8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0.495</w:t>
            </w:r>
          </w:p>
        </w:tc>
        <w:tc>
          <w:tcPr>
            <w:tcW w:w="595" w:type="pct"/>
            <w:noWrap/>
            <w:vAlign w:val="center"/>
            <w:hideMark/>
          </w:tcPr>
          <w:p w14:paraId="1AD71DA6"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76</w:t>
            </w:r>
          </w:p>
        </w:tc>
        <w:tc>
          <w:tcPr>
            <w:tcW w:w="885" w:type="pct"/>
            <w:noWrap/>
            <w:vAlign w:val="center"/>
            <w:hideMark/>
          </w:tcPr>
          <w:p w14:paraId="499918A9"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0.007</w:t>
            </w:r>
          </w:p>
        </w:tc>
        <w:tc>
          <w:tcPr>
            <w:tcW w:w="639" w:type="pct"/>
            <w:noWrap/>
            <w:vAlign w:val="center"/>
            <w:hideMark/>
          </w:tcPr>
          <w:p w14:paraId="1153DD72" w14:textId="77777777" w:rsidR="005042BE" w:rsidRPr="00BA48BC" w:rsidRDefault="005042BE" w:rsidP="00EE558C">
            <w:pPr>
              <w:jc w:val="center"/>
              <w:rPr>
                <w:rFonts w:ascii="Times New Roman" w:hAnsi="Times New Roman" w:cs="Times New Roman"/>
                <w:color w:val="000000"/>
                <w:sz w:val="24"/>
                <w:szCs w:val="24"/>
              </w:rPr>
            </w:pPr>
          </w:p>
        </w:tc>
        <w:tc>
          <w:tcPr>
            <w:tcW w:w="855" w:type="pct"/>
            <w:noWrap/>
            <w:vAlign w:val="center"/>
            <w:hideMark/>
          </w:tcPr>
          <w:p w14:paraId="59630DEB" w14:textId="77777777" w:rsidR="005042BE" w:rsidRPr="00BA48BC" w:rsidRDefault="005042BE" w:rsidP="00EE558C">
            <w:pPr>
              <w:jc w:val="center"/>
              <w:rPr>
                <w:rFonts w:ascii="Times New Roman" w:hAnsi="Times New Roman" w:cs="Times New Roman"/>
                <w:sz w:val="24"/>
                <w:szCs w:val="24"/>
              </w:rPr>
            </w:pPr>
          </w:p>
        </w:tc>
      </w:tr>
      <w:tr w:rsidR="005042BE" w:rsidRPr="00BA48BC" w14:paraId="0579D189" w14:textId="77777777" w:rsidTr="00EE558C">
        <w:trPr>
          <w:trHeight w:val="324"/>
        </w:trPr>
        <w:tc>
          <w:tcPr>
            <w:tcW w:w="1011" w:type="pct"/>
            <w:noWrap/>
            <w:vAlign w:val="center"/>
            <w:hideMark/>
          </w:tcPr>
          <w:p w14:paraId="215B00B0" w14:textId="77777777" w:rsidR="005042BE" w:rsidRPr="00BA48BC" w:rsidRDefault="005042BE" w:rsidP="00EE558C">
            <w:pPr>
              <w:spacing w:line="360" w:lineRule="auto"/>
              <w:rPr>
                <w:rFonts w:ascii="Times New Roman" w:hAnsi="Times New Roman" w:cs="Times New Roman"/>
                <w:sz w:val="24"/>
              </w:rPr>
            </w:pPr>
            <w:r w:rsidRPr="00BA48BC">
              <w:rPr>
                <w:rFonts w:ascii="Times New Roman" w:hAnsi="Times New Roman" w:cs="Times New Roman"/>
                <w:sz w:val="24"/>
              </w:rPr>
              <w:t>Total</w:t>
            </w:r>
          </w:p>
        </w:tc>
        <w:tc>
          <w:tcPr>
            <w:tcW w:w="1015" w:type="pct"/>
            <w:noWrap/>
            <w:vAlign w:val="center"/>
            <w:hideMark/>
          </w:tcPr>
          <w:p w14:paraId="3B361A4F"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0.532</w:t>
            </w:r>
          </w:p>
        </w:tc>
        <w:tc>
          <w:tcPr>
            <w:tcW w:w="595" w:type="pct"/>
            <w:noWrap/>
            <w:vAlign w:val="center"/>
            <w:hideMark/>
          </w:tcPr>
          <w:p w14:paraId="259C0F49" w14:textId="77777777" w:rsidR="005042BE" w:rsidRPr="00BA48BC" w:rsidRDefault="005042BE" w:rsidP="00EE558C">
            <w:pPr>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79</w:t>
            </w:r>
          </w:p>
        </w:tc>
        <w:tc>
          <w:tcPr>
            <w:tcW w:w="885" w:type="pct"/>
            <w:noWrap/>
            <w:vAlign w:val="center"/>
            <w:hideMark/>
          </w:tcPr>
          <w:p w14:paraId="6F031B0A" w14:textId="77777777" w:rsidR="005042BE" w:rsidRPr="00BA48BC" w:rsidRDefault="005042BE" w:rsidP="00EE558C">
            <w:pPr>
              <w:jc w:val="center"/>
              <w:rPr>
                <w:rFonts w:ascii="Times New Roman" w:hAnsi="Times New Roman" w:cs="Times New Roman"/>
                <w:color w:val="000000"/>
                <w:sz w:val="24"/>
                <w:szCs w:val="24"/>
              </w:rPr>
            </w:pPr>
          </w:p>
        </w:tc>
        <w:tc>
          <w:tcPr>
            <w:tcW w:w="639" w:type="pct"/>
            <w:noWrap/>
            <w:vAlign w:val="center"/>
            <w:hideMark/>
          </w:tcPr>
          <w:p w14:paraId="65313F53" w14:textId="77777777" w:rsidR="005042BE" w:rsidRPr="00BA48BC" w:rsidRDefault="005042BE" w:rsidP="00EE558C">
            <w:pPr>
              <w:jc w:val="center"/>
              <w:rPr>
                <w:rFonts w:ascii="Times New Roman" w:hAnsi="Times New Roman" w:cs="Times New Roman"/>
                <w:sz w:val="24"/>
                <w:szCs w:val="24"/>
              </w:rPr>
            </w:pPr>
          </w:p>
        </w:tc>
        <w:tc>
          <w:tcPr>
            <w:tcW w:w="855" w:type="pct"/>
            <w:noWrap/>
            <w:vAlign w:val="center"/>
            <w:hideMark/>
          </w:tcPr>
          <w:p w14:paraId="2D573430" w14:textId="77777777" w:rsidR="005042BE" w:rsidRPr="00BA48BC" w:rsidRDefault="005042BE" w:rsidP="00EE558C">
            <w:pPr>
              <w:jc w:val="center"/>
              <w:rPr>
                <w:rFonts w:ascii="Times New Roman" w:hAnsi="Times New Roman" w:cs="Times New Roman"/>
                <w:sz w:val="24"/>
                <w:szCs w:val="24"/>
              </w:rPr>
            </w:pPr>
          </w:p>
        </w:tc>
      </w:tr>
    </w:tbl>
    <w:p w14:paraId="2D681BCF" w14:textId="77777777" w:rsidR="0059238C" w:rsidRPr="00BA48BC" w:rsidRDefault="0059238C" w:rsidP="0059238C">
      <w:pPr>
        <w:spacing w:after="0"/>
        <w:rPr>
          <w:rFonts w:ascii="Times New Roman" w:hAnsi="Times New Roman" w:cs="Times New Roman"/>
          <w:b/>
          <w:sz w:val="24"/>
        </w:rPr>
      </w:pPr>
      <w:r w:rsidRPr="00BA48BC">
        <w:rPr>
          <w:rFonts w:ascii="Times New Roman" w:hAnsi="Times New Roman" w:cs="Times New Roman"/>
          <w:b/>
          <w:sz w:val="24"/>
        </w:rPr>
        <w:t xml:space="preserve">3.5 </w:t>
      </w:r>
      <w:r w:rsidR="005042BE" w:rsidRPr="00BA48BC">
        <w:rPr>
          <w:rFonts w:ascii="Times New Roman" w:hAnsi="Times New Roman" w:cs="Times New Roman"/>
          <w:b/>
          <w:sz w:val="24"/>
        </w:rPr>
        <w:t xml:space="preserve">Classification of FPCs based on the overall customer satisfaction index scores </w:t>
      </w:r>
    </w:p>
    <w:p w14:paraId="0DFFA008" w14:textId="77777777" w:rsidR="005042BE" w:rsidRPr="00BA48BC" w:rsidRDefault="005042BE" w:rsidP="0059238C">
      <w:pPr>
        <w:spacing w:after="0"/>
        <w:rPr>
          <w:rFonts w:ascii="Times New Roman" w:hAnsi="Times New Roman" w:cs="Times New Roman"/>
          <w:sz w:val="24"/>
        </w:rPr>
      </w:pPr>
      <w:r w:rsidRPr="00BA48BC">
        <w:rPr>
          <w:rFonts w:ascii="Times New Roman" w:hAnsi="Times New Roman" w:cs="Times New Roman"/>
          <w:sz w:val="24"/>
        </w:rPr>
        <w:t xml:space="preserve">Table </w:t>
      </w:r>
      <w:r w:rsidR="006A166F" w:rsidRPr="00BA48BC">
        <w:rPr>
          <w:rFonts w:ascii="Times New Roman" w:hAnsi="Times New Roman" w:cs="Times New Roman"/>
          <w:sz w:val="24"/>
        </w:rPr>
        <w:t>7</w:t>
      </w:r>
      <w:r w:rsidRPr="00BA48BC">
        <w:rPr>
          <w:rFonts w:ascii="Times New Roman" w:hAnsi="Times New Roman" w:cs="Times New Roman"/>
          <w:sz w:val="24"/>
        </w:rPr>
        <w:t xml:space="preserve"> revealed that the extent of customer satisfaction towards the crop sector FPC products/ services was low (55.00 %) followed by medium level (33.75 %). On the other hand, more than three-fourth (78.75 %) of the customers expressed medium level of satisfaction towards the products/ services of the dairy FPCs. The probable reasons for the better satisfaction levels of the customers of dairy FPCs compared to crop sector FPCs could be the reliability in quality of products, steady supply, competitive pricing, and additional services such as marketing assistance, distribution of promotional materials, sustainable and ethical practices followed by the dairy FPCs which were not regularly </w:t>
      </w:r>
      <w:proofErr w:type="spellStart"/>
      <w:r w:rsidRPr="00BA48BC">
        <w:rPr>
          <w:rFonts w:ascii="Times New Roman" w:hAnsi="Times New Roman" w:cs="Times New Roman"/>
          <w:sz w:val="24"/>
        </w:rPr>
        <w:t>practised</w:t>
      </w:r>
      <w:proofErr w:type="spellEnd"/>
      <w:r w:rsidRPr="00BA48BC">
        <w:rPr>
          <w:rFonts w:ascii="Times New Roman" w:hAnsi="Times New Roman" w:cs="Times New Roman"/>
          <w:sz w:val="24"/>
        </w:rPr>
        <w:t xml:space="preserve"> among the selected crop sector FPCs. </w:t>
      </w:r>
    </w:p>
    <w:p w14:paraId="22AAFF7E" w14:textId="77777777" w:rsidR="005042BE" w:rsidRPr="00BA48BC" w:rsidRDefault="005042BE" w:rsidP="005042BE">
      <w:pPr>
        <w:spacing w:before="0" w:after="0"/>
        <w:rPr>
          <w:rFonts w:ascii="Times New Roman" w:hAnsi="Times New Roman" w:cs="Times New Roman"/>
          <w:sz w:val="24"/>
        </w:rPr>
      </w:pPr>
      <w:r w:rsidRPr="00BA48BC">
        <w:rPr>
          <w:rFonts w:ascii="Times New Roman" w:hAnsi="Times New Roman" w:cs="Times New Roman"/>
          <w:sz w:val="24"/>
        </w:rPr>
        <w:t xml:space="preserve">The overall customer satisfaction towards the FPC products/ services as shown in Table </w:t>
      </w:r>
      <w:r w:rsidR="006A166F" w:rsidRPr="00BA48BC">
        <w:rPr>
          <w:rFonts w:ascii="Times New Roman" w:hAnsi="Times New Roman" w:cs="Times New Roman"/>
          <w:sz w:val="24"/>
        </w:rPr>
        <w:t>7</w:t>
      </w:r>
      <w:r w:rsidRPr="00BA48BC">
        <w:rPr>
          <w:rFonts w:ascii="Times New Roman" w:hAnsi="Times New Roman" w:cs="Times New Roman"/>
          <w:sz w:val="24"/>
        </w:rPr>
        <w:t xml:space="preserve"> revealed that most of the customers had expressed medium level (56.25 %) of satisfaction followed by low level (37.50 %) of satisfaction. The FPCs may take appropriate actions by giving due importance to price sensitivity, market research, customer expectations, and provide after-sales support in order to improve the overall customer satisfaction with their products/ services. The results are in conformity with those reported by </w:t>
      </w:r>
      <w:r w:rsidRPr="00BA48BC">
        <w:rPr>
          <w:rFonts w:ascii="Times New Roman" w:hAnsi="Times New Roman" w:cs="Times New Roman"/>
          <w:color w:val="0070C0"/>
          <w:sz w:val="24"/>
        </w:rPr>
        <w:t>Haming et al</w:t>
      </w:r>
      <w:r w:rsidRPr="00BA48BC">
        <w:rPr>
          <w:rFonts w:ascii="Times New Roman" w:hAnsi="Times New Roman" w:cs="Times New Roman"/>
          <w:i/>
          <w:color w:val="0070C0"/>
          <w:sz w:val="24"/>
        </w:rPr>
        <w:t xml:space="preserve">. </w:t>
      </w:r>
      <w:r w:rsidRPr="00BA48BC">
        <w:rPr>
          <w:rFonts w:ascii="Times New Roman" w:hAnsi="Times New Roman" w:cs="Times New Roman"/>
          <w:color w:val="0070C0"/>
          <w:sz w:val="24"/>
        </w:rPr>
        <w:t>(2019)</w:t>
      </w:r>
      <w:r w:rsidR="00436A50" w:rsidRPr="00BA48BC">
        <w:rPr>
          <w:rFonts w:ascii="Times New Roman" w:hAnsi="Times New Roman" w:cs="Times New Roman"/>
          <w:sz w:val="24"/>
          <w:vertAlign w:val="superscript"/>
        </w:rPr>
        <w:t>20</w:t>
      </w:r>
      <w:r w:rsidRPr="00BA48BC">
        <w:rPr>
          <w:rFonts w:ascii="Times New Roman" w:hAnsi="Times New Roman" w:cs="Times New Roman"/>
          <w:color w:val="0070C0"/>
          <w:sz w:val="24"/>
        </w:rPr>
        <w:t xml:space="preserve"> </w:t>
      </w:r>
      <w:r w:rsidRPr="00BA48BC">
        <w:rPr>
          <w:rFonts w:ascii="Times New Roman" w:hAnsi="Times New Roman" w:cs="Times New Roman"/>
          <w:sz w:val="24"/>
        </w:rPr>
        <w:t xml:space="preserve">and </w:t>
      </w:r>
      <w:r w:rsidRPr="00BA48BC">
        <w:rPr>
          <w:rFonts w:ascii="Times New Roman" w:hAnsi="Times New Roman" w:cs="Times New Roman"/>
          <w:color w:val="0070C0"/>
          <w:sz w:val="24"/>
        </w:rPr>
        <w:t>Ponnusamy et al. (2020)</w:t>
      </w:r>
      <w:r w:rsidR="00436A50" w:rsidRPr="00BA48BC">
        <w:rPr>
          <w:rFonts w:ascii="Times New Roman" w:hAnsi="Times New Roman" w:cs="Times New Roman"/>
          <w:sz w:val="24"/>
          <w:vertAlign w:val="superscript"/>
        </w:rPr>
        <w:t>21</w:t>
      </w:r>
      <w:r w:rsidRPr="00BA48BC">
        <w:rPr>
          <w:rFonts w:ascii="Times New Roman" w:hAnsi="Times New Roman" w:cs="Times New Roman"/>
          <w:color w:val="0070C0"/>
          <w:sz w:val="24"/>
        </w:rPr>
        <w:t xml:space="preserve"> </w:t>
      </w:r>
      <w:r w:rsidRPr="00BA48BC">
        <w:rPr>
          <w:rFonts w:ascii="Times New Roman" w:hAnsi="Times New Roman" w:cs="Times New Roman"/>
          <w:sz w:val="24"/>
        </w:rPr>
        <w:t xml:space="preserve">who </w:t>
      </w:r>
      <w:proofErr w:type="spellStart"/>
      <w:r w:rsidRPr="00BA48BC">
        <w:rPr>
          <w:rFonts w:ascii="Times New Roman" w:hAnsi="Times New Roman" w:cs="Times New Roman"/>
          <w:sz w:val="24"/>
        </w:rPr>
        <w:t>analysed</w:t>
      </w:r>
      <w:proofErr w:type="spellEnd"/>
      <w:r w:rsidRPr="00BA48BC">
        <w:rPr>
          <w:rFonts w:ascii="Times New Roman" w:hAnsi="Times New Roman" w:cs="Times New Roman"/>
          <w:sz w:val="24"/>
        </w:rPr>
        <w:t xml:space="preserve"> the customer satisfaction with the services provided by various producer company outlets.</w:t>
      </w:r>
    </w:p>
    <w:p w14:paraId="15183B2D" w14:textId="77777777" w:rsidR="005042BE" w:rsidRPr="00BA48BC" w:rsidRDefault="005042BE" w:rsidP="005042BE">
      <w:pPr>
        <w:spacing w:before="0" w:after="0"/>
        <w:rPr>
          <w:rFonts w:ascii="Times New Roman" w:hAnsi="Times New Roman" w:cs="Times New Roman"/>
          <w:b/>
          <w:sz w:val="24"/>
        </w:rPr>
      </w:pPr>
      <w:r w:rsidRPr="00BA48BC">
        <w:rPr>
          <w:rFonts w:ascii="Times New Roman" w:hAnsi="Times New Roman" w:cs="Times New Roman"/>
          <w:b/>
          <w:sz w:val="24"/>
        </w:rPr>
        <w:t xml:space="preserve">Table </w:t>
      </w:r>
      <w:r w:rsidR="006A166F" w:rsidRPr="00BA48BC">
        <w:rPr>
          <w:rFonts w:ascii="Times New Roman" w:hAnsi="Times New Roman" w:cs="Times New Roman"/>
          <w:b/>
          <w:sz w:val="24"/>
        </w:rPr>
        <w:t>7.</w:t>
      </w:r>
      <w:r w:rsidRPr="00BA48BC">
        <w:rPr>
          <w:rFonts w:ascii="Times New Roman" w:hAnsi="Times New Roman" w:cs="Times New Roman"/>
          <w:b/>
          <w:sz w:val="24"/>
        </w:rPr>
        <w:t xml:space="preserve"> Classification of FPCs based on the overall customer satisfaction index scores</w:t>
      </w:r>
    </w:p>
    <w:p w14:paraId="5DA2DBE0" w14:textId="77777777" w:rsidR="005042BE" w:rsidRPr="00BA48BC" w:rsidRDefault="005042BE" w:rsidP="005042BE">
      <w:pPr>
        <w:spacing w:before="0" w:after="0" w:line="240" w:lineRule="auto"/>
        <w:jc w:val="right"/>
        <w:rPr>
          <w:rFonts w:ascii="Times New Roman" w:hAnsi="Times New Roman" w:cs="Times New Roman"/>
          <w:b/>
          <w:sz w:val="24"/>
          <w:szCs w:val="24"/>
        </w:rPr>
      </w:pPr>
      <w:r w:rsidRPr="00BA48BC">
        <w:rPr>
          <w:rFonts w:ascii="Times New Roman" w:hAnsi="Times New Roman" w:cs="Times New Roman"/>
          <w:b/>
          <w:sz w:val="24"/>
        </w:rPr>
        <w:t>n= 160</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967"/>
        <w:gridCol w:w="1173"/>
        <w:gridCol w:w="901"/>
        <w:gridCol w:w="810"/>
        <w:gridCol w:w="902"/>
        <w:gridCol w:w="836"/>
      </w:tblGrid>
      <w:tr w:rsidR="005042BE" w:rsidRPr="00BA48BC" w14:paraId="624DCC85" w14:textId="77777777" w:rsidTr="00EE558C">
        <w:trPr>
          <w:trHeight w:val="377"/>
        </w:trPr>
        <w:tc>
          <w:tcPr>
            <w:tcW w:w="1903" w:type="pct"/>
            <w:vMerge w:val="restart"/>
            <w:shd w:val="clear" w:color="auto" w:fill="auto"/>
            <w:noWrap/>
            <w:vAlign w:val="center"/>
          </w:tcPr>
          <w:p w14:paraId="4BDA18DC"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Category</w:t>
            </w:r>
          </w:p>
        </w:tc>
        <w:tc>
          <w:tcPr>
            <w:tcW w:w="1186" w:type="pct"/>
            <w:gridSpan w:val="2"/>
            <w:vAlign w:val="center"/>
          </w:tcPr>
          <w:p w14:paraId="08F88CC3"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Crop sector FPCs</w:t>
            </w:r>
          </w:p>
        </w:tc>
        <w:tc>
          <w:tcPr>
            <w:tcW w:w="948" w:type="pct"/>
            <w:gridSpan w:val="2"/>
            <w:vAlign w:val="center"/>
          </w:tcPr>
          <w:p w14:paraId="423CCA57"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Dairy FPCs</w:t>
            </w:r>
          </w:p>
        </w:tc>
        <w:tc>
          <w:tcPr>
            <w:tcW w:w="963" w:type="pct"/>
            <w:gridSpan w:val="2"/>
            <w:vAlign w:val="center"/>
          </w:tcPr>
          <w:p w14:paraId="312B399B"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Overall FPCs</w:t>
            </w:r>
          </w:p>
        </w:tc>
      </w:tr>
      <w:tr w:rsidR="005042BE" w:rsidRPr="00BA48BC" w14:paraId="3338BA3A" w14:textId="77777777" w:rsidTr="00EE558C">
        <w:trPr>
          <w:trHeight w:val="316"/>
        </w:trPr>
        <w:tc>
          <w:tcPr>
            <w:tcW w:w="1903" w:type="pct"/>
            <w:vMerge/>
            <w:shd w:val="clear" w:color="auto" w:fill="auto"/>
            <w:noWrap/>
            <w:vAlign w:val="center"/>
          </w:tcPr>
          <w:p w14:paraId="5DABE2A8"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p>
        </w:tc>
        <w:tc>
          <w:tcPr>
            <w:tcW w:w="536" w:type="pct"/>
            <w:vAlign w:val="center"/>
          </w:tcPr>
          <w:p w14:paraId="262326CB"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f</w:t>
            </w:r>
          </w:p>
        </w:tc>
        <w:tc>
          <w:tcPr>
            <w:tcW w:w="650" w:type="pct"/>
            <w:vAlign w:val="center"/>
          </w:tcPr>
          <w:p w14:paraId="2D93F278"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w:t>
            </w:r>
          </w:p>
        </w:tc>
        <w:tc>
          <w:tcPr>
            <w:tcW w:w="499" w:type="pct"/>
            <w:vAlign w:val="center"/>
          </w:tcPr>
          <w:p w14:paraId="1FC9AC54"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f</w:t>
            </w:r>
          </w:p>
        </w:tc>
        <w:tc>
          <w:tcPr>
            <w:tcW w:w="449" w:type="pct"/>
            <w:vAlign w:val="center"/>
          </w:tcPr>
          <w:p w14:paraId="16E4D7FA"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w:t>
            </w:r>
          </w:p>
        </w:tc>
        <w:tc>
          <w:tcPr>
            <w:tcW w:w="500" w:type="pct"/>
            <w:vAlign w:val="center"/>
          </w:tcPr>
          <w:p w14:paraId="643E53E8"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f</w:t>
            </w:r>
          </w:p>
        </w:tc>
        <w:tc>
          <w:tcPr>
            <w:tcW w:w="463" w:type="pct"/>
            <w:vAlign w:val="center"/>
          </w:tcPr>
          <w:p w14:paraId="4625CD10" w14:textId="77777777" w:rsidR="005042BE" w:rsidRPr="00BA48BC" w:rsidRDefault="005042BE" w:rsidP="00EE558C">
            <w:pPr>
              <w:pStyle w:val="NoSpacing"/>
              <w:spacing w:line="276" w:lineRule="auto"/>
              <w:jc w:val="center"/>
              <w:rPr>
                <w:rFonts w:ascii="Times New Roman" w:hAnsi="Times New Roman" w:cs="Times New Roman"/>
                <w:b/>
                <w:color w:val="000000"/>
                <w:sz w:val="24"/>
                <w:szCs w:val="24"/>
              </w:rPr>
            </w:pPr>
            <w:r w:rsidRPr="00BA48BC">
              <w:rPr>
                <w:rFonts w:ascii="Times New Roman" w:hAnsi="Times New Roman" w:cs="Times New Roman"/>
                <w:b/>
                <w:color w:val="000000"/>
                <w:sz w:val="24"/>
                <w:szCs w:val="24"/>
              </w:rPr>
              <w:t>%</w:t>
            </w:r>
          </w:p>
        </w:tc>
      </w:tr>
      <w:tr w:rsidR="005042BE" w:rsidRPr="00BA48BC" w14:paraId="6719E66E" w14:textId="77777777" w:rsidTr="00EE558C">
        <w:trPr>
          <w:trHeight w:val="377"/>
        </w:trPr>
        <w:tc>
          <w:tcPr>
            <w:tcW w:w="1903" w:type="pct"/>
            <w:shd w:val="clear" w:color="auto" w:fill="auto"/>
            <w:noWrap/>
            <w:vAlign w:val="center"/>
            <w:hideMark/>
          </w:tcPr>
          <w:p w14:paraId="224D0DA0" w14:textId="77777777" w:rsidR="005042BE" w:rsidRPr="00BA48BC" w:rsidRDefault="005042BE" w:rsidP="00EE558C">
            <w:pPr>
              <w:pStyle w:val="NoSpacing"/>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Low (0.13-0.49)</w:t>
            </w:r>
          </w:p>
        </w:tc>
        <w:tc>
          <w:tcPr>
            <w:tcW w:w="536" w:type="pct"/>
            <w:vAlign w:val="bottom"/>
          </w:tcPr>
          <w:p w14:paraId="011082B4"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44</w:t>
            </w:r>
          </w:p>
        </w:tc>
        <w:tc>
          <w:tcPr>
            <w:tcW w:w="650" w:type="pct"/>
            <w:shd w:val="clear" w:color="auto" w:fill="auto"/>
            <w:noWrap/>
            <w:vAlign w:val="bottom"/>
          </w:tcPr>
          <w:p w14:paraId="7172E31E"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55</w:t>
            </w:r>
          </w:p>
        </w:tc>
        <w:tc>
          <w:tcPr>
            <w:tcW w:w="499" w:type="pct"/>
            <w:vAlign w:val="bottom"/>
          </w:tcPr>
          <w:p w14:paraId="5F7FEAC9"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16</w:t>
            </w:r>
          </w:p>
        </w:tc>
        <w:tc>
          <w:tcPr>
            <w:tcW w:w="449" w:type="pct"/>
            <w:shd w:val="clear" w:color="auto" w:fill="auto"/>
            <w:noWrap/>
            <w:vAlign w:val="bottom"/>
          </w:tcPr>
          <w:p w14:paraId="495F142F"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20</w:t>
            </w:r>
          </w:p>
        </w:tc>
        <w:tc>
          <w:tcPr>
            <w:tcW w:w="500" w:type="pct"/>
            <w:vAlign w:val="bottom"/>
          </w:tcPr>
          <w:p w14:paraId="5F962FE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60</w:t>
            </w:r>
          </w:p>
        </w:tc>
        <w:tc>
          <w:tcPr>
            <w:tcW w:w="463" w:type="pct"/>
            <w:shd w:val="clear" w:color="auto" w:fill="auto"/>
            <w:noWrap/>
            <w:vAlign w:val="bottom"/>
          </w:tcPr>
          <w:p w14:paraId="1FB7BEA8"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37.50</w:t>
            </w:r>
          </w:p>
        </w:tc>
      </w:tr>
      <w:tr w:rsidR="005042BE" w:rsidRPr="00BA48BC" w14:paraId="4BD53189" w14:textId="77777777" w:rsidTr="00EE558C">
        <w:trPr>
          <w:trHeight w:val="316"/>
        </w:trPr>
        <w:tc>
          <w:tcPr>
            <w:tcW w:w="1903" w:type="pct"/>
            <w:shd w:val="clear" w:color="auto" w:fill="auto"/>
            <w:noWrap/>
            <w:vAlign w:val="center"/>
            <w:hideMark/>
          </w:tcPr>
          <w:p w14:paraId="67A9FB07" w14:textId="77777777" w:rsidR="005042BE" w:rsidRPr="00BA48BC" w:rsidRDefault="005042BE" w:rsidP="00EE558C">
            <w:pPr>
              <w:pStyle w:val="NoSpacing"/>
              <w:jc w:val="center"/>
            </w:pPr>
            <w:r w:rsidRPr="00BA48BC">
              <w:rPr>
                <w:rFonts w:ascii="Times New Roman" w:hAnsi="Times New Roman" w:cs="Times New Roman"/>
                <w:color w:val="000000"/>
                <w:sz w:val="24"/>
                <w:szCs w:val="24"/>
              </w:rPr>
              <w:t>Medium</w:t>
            </w:r>
            <w:r w:rsidRPr="00BA48BC">
              <w:t xml:space="preserve"> </w:t>
            </w:r>
            <w:r w:rsidRPr="00BA48BC">
              <w:rPr>
                <w:rFonts w:ascii="Times New Roman" w:hAnsi="Times New Roman" w:cs="Times New Roman"/>
                <w:color w:val="000000"/>
                <w:sz w:val="24"/>
                <w:szCs w:val="24"/>
              </w:rPr>
              <w:t>(0.50-0.70)</w:t>
            </w:r>
          </w:p>
        </w:tc>
        <w:tc>
          <w:tcPr>
            <w:tcW w:w="536" w:type="pct"/>
            <w:vAlign w:val="bottom"/>
          </w:tcPr>
          <w:p w14:paraId="7F10190D"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27</w:t>
            </w:r>
          </w:p>
        </w:tc>
        <w:tc>
          <w:tcPr>
            <w:tcW w:w="650" w:type="pct"/>
            <w:shd w:val="clear" w:color="auto" w:fill="auto"/>
            <w:noWrap/>
            <w:vAlign w:val="bottom"/>
          </w:tcPr>
          <w:p w14:paraId="279DFBF0"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33.75</w:t>
            </w:r>
          </w:p>
        </w:tc>
        <w:tc>
          <w:tcPr>
            <w:tcW w:w="499" w:type="pct"/>
            <w:vAlign w:val="bottom"/>
          </w:tcPr>
          <w:p w14:paraId="72D6F589"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63</w:t>
            </w:r>
          </w:p>
        </w:tc>
        <w:tc>
          <w:tcPr>
            <w:tcW w:w="449" w:type="pct"/>
            <w:shd w:val="clear" w:color="auto" w:fill="auto"/>
            <w:noWrap/>
            <w:vAlign w:val="bottom"/>
          </w:tcPr>
          <w:p w14:paraId="3B967052"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78.75</w:t>
            </w:r>
          </w:p>
        </w:tc>
        <w:tc>
          <w:tcPr>
            <w:tcW w:w="500" w:type="pct"/>
            <w:vAlign w:val="bottom"/>
          </w:tcPr>
          <w:p w14:paraId="155FD4D4"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90</w:t>
            </w:r>
          </w:p>
        </w:tc>
        <w:tc>
          <w:tcPr>
            <w:tcW w:w="463" w:type="pct"/>
            <w:shd w:val="clear" w:color="auto" w:fill="auto"/>
            <w:noWrap/>
            <w:vAlign w:val="bottom"/>
          </w:tcPr>
          <w:p w14:paraId="18749718"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56.25</w:t>
            </w:r>
          </w:p>
        </w:tc>
      </w:tr>
      <w:tr w:rsidR="005042BE" w:rsidRPr="00BA48BC" w14:paraId="48A35AD7" w14:textId="77777777" w:rsidTr="00EE558C">
        <w:trPr>
          <w:trHeight w:val="179"/>
        </w:trPr>
        <w:tc>
          <w:tcPr>
            <w:tcW w:w="1903" w:type="pct"/>
            <w:shd w:val="clear" w:color="auto" w:fill="auto"/>
            <w:noWrap/>
            <w:vAlign w:val="center"/>
            <w:hideMark/>
          </w:tcPr>
          <w:p w14:paraId="4CDA28FD" w14:textId="77777777" w:rsidR="005042BE" w:rsidRPr="00BA48BC" w:rsidRDefault="005042BE" w:rsidP="00EE558C">
            <w:pPr>
              <w:pStyle w:val="NoSpacing"/>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High (0.71-0.80)</w:t>
            </w:r>
          </w:p>
        </w:tc>
        <w:tc>
          <w:tcPr>
            <w:tcW w:w="536" w:type="pct"/>
            <w:vAlign w:val="bottom"/>
          </w:tcPr>
          <w:p w14:paraId="6863520A"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9</w:t>
            </w:r>
          </w:p>
        </w:tc>
        <w:tc>
          <w:tcPr>
            <w:tcW w:w="650" w:type="pct"/>
            <w:shd w:val="clear" w:color="auto" w:fill="auto"/>
            <w:noWrap/>
            <w:vAlign w:val="bottom"/>
          </w:tcPr>
          <w:p w14:paraId="454F4B8F"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11.25</w:t>
            </w:r>
          </w:p>
        </w:tc>
        <w:tc>
          <w:tcPr>
            <w:tcW w:w="499" w:type="pct"/>
            <w:vAlign w:val="bottom"/>
          </w:tcPr>
          <w:p w14:paraId="0E12857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w:t>
            </w:r>
          </w:p>
        </w:tc>
        <w:tc>
          <w:tcPr>
            <w:tcW w:w="449" w:type="pct"/>
            <w:shd w:val="clear" w:color="auto" w:fill="auto"/>
            <w:noWrap/>
            <w:vAlign w:val="bottom"/>
          </w:tcPr>
          <w:p w14:paraId="7796076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1.25</w:t>
            </w:r>
          </w:p>
        </w:tc>
        <w:tc>
          <w:tcPr>
            <w:tcW w:w="500" w:type="pct"/>
            <w:vAlign w:val="bottom"/>
          </w:tcPr>
          <w:p w14:paraId="51A61171"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10</w:t>
            </w:r>
          </w:p>
        </w:tc>
        <w:tc>
          <w:tcPr>
            <w:tcW w:w="463" w:type="pct"/>
            <w:shd w:val="clear" w:color="auto" w:fill="auto"/>
            <w:noWrap/>
            <w:vAlign w:val="bottom"/>
          </w:tcPr>
          <w:p w14:paraId="6AF809F8" w14:textId="77777777" w:rsidR="005042BE" w:rsidRPr="00BA48BC" w:rsidRDefault="005042BE" w:rsidP="00EE558C">
            <w:pPr>
              <w:spacing w:line="240" w:lineRule="auto"/>
              <w:jc w:val="center"/>
              <w:rPr>
                <w:rFonts w:ascii="Times New Roman" w:hAnsi="Times New Roman" w:cs="Times New Roman"/>
                <w:color w:val="000000"/>
                <w:sz w:val="24"/>
                <w:szCs w:val="24"/>
              </w:rPr>
            </w:pPr>
            <w:r w:rsidRPr="00BA48BC">
              <w:rPr>
                <w:rFonts w:ascii="Times New Roman" w:hAnsi="Times New Roman" w:cs="Times New Roman"/>
                <w:color w:val="000000"/>
                <w:sz w:val="24"/>
                <w:szCs w:val="24"/>
              </w:rPr>
              <w:t>6.25</w:t>
            </w:r>
          </w:p>
        </w:tc>
      </w:tr>
    </w:tbl>
    <w:p w14:paraId="3DE0CBBD" w14:textId="77777777" w:rsidR="005042BE" w:rsidRPr="00BA48BC" w:rsidRDefault="00C36D71" w:rsidP="00C36D71">
      <w:pPr>
        <w:pStyle w:val="ListParagraph"/>
        <w:numPr>
          <w:ilvl w:val="0"/>
          <w:numId w:val="5"/>
        </w:numPr>
        <w:rPr>
          <w:rFonts w:ascii="Times New Roman" w:hAnsi="Times New Roman" w:cs="Times New Roman"/>
          <w:b/>
          <w:sz w:val="24"/>
          <w:szCs w:val="24"/>
        </w:rPr>
      </w:pPr>
      <w:r w:rsidRPr="00BA48BC">
        <w:rPr>
          <w:rFonts w:ascii="Times New Roman" w:hAnsi="Times New Roman" w:cs="Times New Roman"/>
          <w:b/>
          <w:sz w:val="24"/>
          <w:szCs w:val="24"/>
        </w:rPr>
        <w:lastRenderedPageBreak/>
        <w:t>CONCLUSION</w:t>
      </w:r>
    </w:p>
    <w:p w14:paraId="73F4DF22" w14:textId="77777777" w:rsidR="00876861" w:rsidRPr="00BA48BC" w:rsidRDefault="00876861" w:rsidP="002212DB">
      <w:pPr>
        <w:rPr>
          <w:rFonts w:ascii="Times New Roman" w:hAnsi="Times New Roman" w:cs="Times New Roman"/>
          <w:sz w:val="24"/>
          <w:szCs w:val="24"/>
        </w:rPr>
      </w:pPr>
      <w:r w:rsidRPr="00BA48BC">
        <w:rPr>
          <w:rFonts w:ascii="Times New Roman" w:hAnsi="Times New Roman" w:cs="Times New Roman"/>
          <w:sz w:val="24"/>
          <w:szCs w:val="24"/>
        </w:rPr>
        <w:t xml:space="preserve">The study comprehensively analyzed </w:t>
      </w:r>
      <w:r w:rsidR="0087525D" w:rsidRPr="00BA48BC">
        <w:rPr>
          <w:rFonts w:ascii="Times New Roman" w:hAnsi="Times New Roman" w:cs="Times New Roman"/>
          <w:sz w:val="24"/>
          <w:szCs w:val="24"/>
        </w:rPr>
        <w:t xml:space="preserve">the </w:t>
      </w:r>
      <w:r w:rsidRPr="00BA48BC">
        <w:rPr>
          <w:rFonts w:ascii="Times New Roman" w:hAnsi="Times New Roman" w:cs="Times New Roman"/>
          <w:sz w:val="24"/>
          <w:szCs w:val="24"/>
        </w:rPr>
        <w:t>customer satisfaction towards FPC products and services</w:t>
      </w:r>
      <w:r w:rsidR="002212DB" w:rsidRPr="00BA48BC">
        <w:rPr>
          <w:rFonts w:ascii="Times New Roman" w:hAnsi="Times New Roman" w:cs="Times New Roman"/>
          <w:sz w:val="24"/>
          <w:szCs w:val="24"/>
        </w:rPr>
        <w:t xml:space="preserve"> </w:t>
      </w:r>
      <w:r w:rsidRPr="00BA48BC">
        <w:rPr>
          <w:rFonts w:ascii="Times New Roman" w:hAnsi="Times New Roman" w:cs="Times New Roman"/>
          <w:sz w:val="24"/>
          <w:szCs w:val="24"/>
        </w:rPr>
        <w:t>by developing an index based on the SERVQUAL framework. The findings revealed that among crop sector FPCs, APOFPCL ranked highest in customer satisfaction, owing to well-maintained stores, quality products, and proactive customer engagement. Similarly, SMMPCL emerged as the top-ranked dairy FPC, attributed to its strong brand presence, effective distribution network, and customer-centric approach.</w:t>
      </w:r>
      <w:r w:rsidR="0087525D" w:rsidRPr="00BA48BC">
        <w:rPr>
          <w:rFonts w:ascii="Times New Roman" w:hAnsi="Times New Roman" w:cs="Times New Roman"/>
          <w:sz w:val="24"/>
          <w:szCs w:val="24"/>
        </w:rPr>
        <w:t xml:space="preserve"> Further, the customer satisfaction levels for crop sector FPCs was lower than the dairy sector FPCs. </w:t>
      </w:r>
    </w:p>
    <w:p w14:paraId="14211483" w14:textId="77777777" w:rsidR="0087525D" w:rsidRPr="00BA48BC" w:rsidRDefault="0087525D" w:rsidP="0087525D">
      <w:pPr>
        <w:rPr>
          <w:rFonts w:ascii="Times New Roman" w:hAnsi="Times New Roman" w:cs="Times New Roman"/>
          <w:sz w:val="24"/>
          <w:szCs w:val="24"/>
          <w:lang w:val="en-IN"/>
        </w:rPr>
      </w:pPr>
      <w:r w:rsidRPr="00BA48BC">
        <w:rPr>
          <w:rFonts w:ascii="Times New Roman" w:hAnsi="Times New Roman" w:cs="Times New Roman"/>
          <w:sz w:val="24"/>
          <w:szCs w:val="24"/>
          <w:lang w:val="en-IN"/>
        </w:rPr>
        <w:t xml:space="preserve">The findings of present study underscore the need for </w:t>
      </w:r>
      <w:r w:rsidR="00F04464" w:rsidRPr="00BA48BC">
        <w:rPr>
          <w:rFonts w:ascii="Times New Roman" w:hAnsi="Times New Roman" w:cs="Times New Roman"/>
          <w:sz w:val="24"/>
          <w:szCs w:val="24"/>
          <w:lang w:val="en-IN"/>
        </w:rPr>
        <w:t>focussed</w:t>
      </w:r>
      <w:r w:rsidRPr="00BA48BC">
        <w:rPr>
          <w:rFonts w:ascii="Times New Roman" w:hAnsi="Times New Roman" w:cs="Times New Roman"/>
          <w:sz w:val="24"/>
          <w:szCs w:val="24"/>
          <w:lang w:val="en-IN"/>
        </w:rPr>
        <w:t xml:space="preserve"> strategies to enhance customer satisfaction across FPCs. While dairy FPCs benefit from structured operations and strong consumer trust, crop sector FPCs require targeted interventions to address market fragmentation and quality inconsistencies. Strengthening market infrastructure, </w:t>
      </w:r>
      <w:r w:rsidR="002E09FD" w:rsidRPr="00BA48BC">
        <w:rPr>
          <w:rFonts w:ascii="Times New Roman" w:hAnsi="Times New Roman" w:cs="Times New Roman"/>
          <w:sz w:val="24"/>
          <w:szCs w:val="24"/>
        </w:rPr>
        <w:t>competitive pricing strategies, adopting innovative customer relationship management practices, ensuring product consistency and improved after-sales services</w:t>
      </w:r>
      <w:r w:rsidR="002E09FD" w:rsidRPr="00BA48BC">
        <w:rPr>
          <w:rFonts w:ascii="Times New Roman" w:hAnsi="Times New Roman" w:cs="Times New Roman"/>
          <w:sz w:val="24"/>
          <w:szCs w:val="24"/>
          <w:lang w:val="en-IN"/>
        </w:rPr>
        <w:t xml:space="preserve"> </w:t>
      </w:r>
      <w:r w:rsidRPr="00BA48BC">
        <w:rPr>
          <w:rFonts w:ascii="Times New Roman" w:hAnsi="Times New Roman" w:cs="Times New Roman"/>
          <w:sz w:val="24"/>
          <w:szCs w:val="24"/>
          <w:lang w:val="en-IN"/>
        </w:rPr>
        <w:t xml:space="preserve">will be crucial in improving </w:t>
      </w:r>
      <w:r w:rsidR="002E09FD" w:rsidRPr="00BA48BC">
        <w:rPr>
          <w:rFonts w:ascii="Times New Roman" w:hAnsi="Times New Roman" w:cs="Times New Roman"/>
          <w:sz w:val="24"/>
          <w:szCs w:val="24"/>
          <w:lang w:val="en-IN"/>
        </w:rPr>
        <w:t xml:space="preserve">the </w:t>
      </w:r>
      <w:r w:rsidRPr="00BA48BC">
        <w:rPr>
          <w:rFonts w:ascii="Times New Roman" w:hAnsi="Times New Roman" w:cs="Times New Roman"/>
          <w:sz w:val="24"/>
          <w:szCs w:val="24"/>
          <w:lang w:val="en-IN"/>
        </w:rPr>
        <w:t>FPC performance</w:t>
      </w:r>
      <w:r w:rsidR="007978B1" w:rsidRPr="00BA48BC">
        <w:rPr>
          <w:rFonts w:ascii="Times New Roman" w:hAnsi="Times New Roman" w:cs="Times New Roman"/>
          <w:sz w:val="24"/>
          <w:szCs w:val="24"/>
          <w:lang w:val="en-IN"/>
        </w:rPr>
        <w:t xml:space="preserve"> in terms of improving customer satisfaction</w:t>
      </w:r>
      <w:r w:rsidRPr="00BA48BC">
        <w:rPr>
          <w:rFonts w:ascii="Times New Roman" w:hAnsi="Times New Roman" w:cs="Times New Roman"/>
          <w:sz w:val="24"/>
          <w:szCs w:val="24"/>
          <w:lang w:val="en-IN"/>
        </w:rPr>
        <w:t>. Aligning these strategies with national agricultural development policies can enhance farmer incomes, boost consumer confidence, and ensure the long-term sustainability of FPCs in India.</w:t>
      </w:r>
    </w:p>
    <w:p w14:paraId="336BC638" w14:textId="77777777" w:rsidR="00D538E5" w:rsidRPr="00BA48BC" w:rsidRDefault="00D538E5" w:rsidP="00D538E5">
      <w:pPr>
        <w:outlineLvl w:val="0"/>
        <w:rPr>
          <w:rFonts w:ascii="Arial" w:hAnsi="Arial" w:cs="Arial"/>
        </w:rPr>
      </w:pPr>
      <w:r w:rsidRPr="00BA48BC">
        <w:rPr>
          <w:rFonts w:ascii="Arial" w:hAnsi="Arial" w:cs="Arial"/>
          <w:b/>
          <w:bCs/>
        </w:rPr>
        <w:t>COMPETING INTERESTS DISCLAIMER:</w:t>
      </w:r>
    </w:p>
    <w:p w14:paraId="48A01375" w14:textId="77777777" w:rsidR="00D538E5" w:rsidRPr="00BA48BC" w:rsidRDefault="00D538E5" w:rsidP="00D538E5">
      <w:r w:rsidRPr="00BA48BC">
        <w:t>Authors have declared that they have no known competing financial interests OR non-financial interests OR personal relationships that could have appeared to influence the work reported in this paper.</w:t>
      </w:r>
    </w:p>
    <w:p w14:paraId="4017436D" w14:textId="77777777" w:rsidR="00D538E5" w:rsidRPr="00BA48BC" w:rsidRDefault="00D538E5" w:rsidP="00D538E5"/>
    <w:p w14:paraId="1E4AF8A6" w14:textId="77777777" w:rsidR="00D538E5" w:rsidRPr="00BA48BC" w:rsidRDefault="00D538E5" w:rsidP="0087525D">
      <w:pPr>
        <w:rPr>
          <w:rFonts w:ascii="Times New Roman" w:hAnsi="Times New Roman" w:cs="Times New Roman"/>
          <w:sz w:val="24"/>
          <w:szCs w:val="24"/>
          <w:lang w:val="en-IN"/>
        </w:rPr>
      </w:pPr>
    </w:p>
    <w:p w14:paraId="541CB47D" w14:textId="77777777" w:rsidR="00670B6E" w:rsidRPr="00BA48BC" w:rsidRDefault="007D38AE" w:rsidP="00761E7B">
      <w:pPr>
        <w:rPr>
          <w:rFonts w:ascii="Times New Roman" w:hAnsi="Times New Roman" w:cs="Times New Roman"/>
          <w:b/>
          <w:sz w:val="24"/>
          <w:szCs w:val="24"/>
        </w:rPr>
      </w:pPr>
      <w:r w:rsidRPr="00BA48BC">
        <w:rPr>
          <w:rFonts w:ascii="Times New Roman" w:hAnsi="Times New Roman" w:cs="Times New Roman"/>
          <w:b/>
          <w:sz w:val="24"/>
          <w:szCs w:val="24"/>
        </w:rPr>
        <w:t>REFERENCES</w:t>
      </w:r>
    </w:p>
    <w:p w14:paraId="6C450383"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Bairwa SL, Lakra K, Kushwaha S, Meena LK and Kumar P. </w:t>
      </w:r>
      <w:proofErr w:type="spellStart"/>
      <w:r w:rsidRPr="00BA48BC">
        <w:rPr>
          <w:rFonts w:ascii="Times New Roman" w:hAnsi="Times New Roman" w:cs="Times New Roman"/>
          <w:sz w:val="24"/>
          <w:szCs w:val="24"/>
        </w:rPr>
        <w:t>Agripreneurship</w:t>
      </w:r>
      <w:proofErr w:type="spellEnd"/>
      <w:r w:rsidRPr="00BA48BC">
        <w:rPr>
          <w:rFonts w:ascii="Times New Roman" w:hAnsi="Times New Roman" w:cs="Times New Roman"/>
          <w:sz w:val="24"/>
          <w:szCs w:val="24"/>
        </w:rPr>
        <w:t xml:space="preserve"> development as a tool to upliftment of agriculture. </w:t>
      </w:r>
      <w:r w:rsidRPr="00BA48BC">
        <w:rPr>
          <w:rFonts w:ascii="Times New Roman" w:hAnsi="Times New Roman" w:cs="Times New Roman"/>
          <w:i/>
          <w:iCs/>
          <w:sz w:val="24"/>
          <w:szCs w:val="24"/>
        </w:rPr>
        <w:t>International Journal of Scientific and Research Publications,</w:t>
      </w:r>
      <w:r w:rsidRPr="00BA48BC">
        <w:rPr>
          <w:rFonts w:ascii="Times New Roman" w:hAnsi="Times New Roman" w:cs="Times New Roman"/>
          <w:sz w:val="24"/>
          <w:szCs w:val="24"/>
        </w:rPr>
        <w:t xml:space="preserve"> 2014, </w:t>
      </w:r>
      <w:r w:rsidRPr="00BA48BC">
        <w:rPr>
          <w:rFonts w:ascii="Times New Roman" w:hAnsi="Times New Roman" w:cs="Times New Roman"/>
          <w:bCs/>
          <w:sz w:val="24"/>
          <w:szCs w:val="24"/>
        </w:rPr>
        <w:t>4</w:t>
      </w:r>
      <w:r w:rsidRPr="00BA48BC">
        <w:rPr>
          <w:rFonts w:ascii="Times New Roman" w:hAnsi="Times New Roman" w:cs="Times New Roman"/>
          <w:sz w:val="24"/>
          <w:szCs w:val="24"/>
        </w:rPr>
        <w:t>(3): 1-4.</w:t>
      </w:r>
    </w:p>
    <w:p w14:paraId="2EA4AC35"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Kumar K, Babu TR and Deshmukh SS. Nurturing Growth: Agri-Startup Landscape in India and the Challenges Ahead. </w:t>
      </w:r>
      <w:r w:rsidRPr="00BA48BC">
        <w:rPr>
          <w:rFonts w:ascii="Times New Roman" w:hAnsi="Times New Roman" w:cs="Times New Roman"/>
          <w:i/>
          <w:iCs/>
          <w:sz w:val="24"/>
          <w:szCs w:val="24"/>
        </w:rPr>
        <w:t>Research on World Agricultural Economy</w:t>
      </w:r>
      <w:r w:rsidRPr="00BA48BC">
        <w:rPr>
          <w:rFonts w:ascii="Times New Roman" w:hAnsi="Times New Roman" w:cs="Times New Roman"/>
          <w:sz w:val="24"/>
          <w:szCs w:val="24"/>
        </w:rPr>
        <w:t xml:space="preserve">, 2024, </w:t>
      </w:r>
      <w:r w:rsidRPr="00BA48BC">
        <w:rPr>
          <w:rFonts w:ascii="Times New Roman" w:hAnsi="Times New Roman" w:cs="Times New Roman"/>
          <w:i/>
          <w:iCs/>
          <w:sz w:val="24"/>
          <w:szCs w:val="24"/>
        </w:rPr>
        <w:t>5</w:t>
      </w:r>
      <w:r w:rsidRPr="00BA48BC">
        <w:rPr>
          <w:rFonts w:ascii="Times New Roman" w:hAnsi="Times New Roman" w:cs="Times New Roman"/>
          <w:sz w:val="24"/>
          <w:szCs w:val="24"/>
        </w:rPr>
        <w:t>(2): 131-149.</w:t>
      </w:r>
    </w:p>
    <w:p w14:paraId="7E6F2B3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lastRenderedPageBreak/>
        <w:t>Agriculture Census. (2016). Agriculture Census Division, Department of Agriculture and Co-operation, Ministry of Agriculture and Farmers’ Welfare, New Delhi.</w:t>
      </w:r>
    </w:p>
    <w:p w14:paraId="09D9E581" w14:textId="77777777" w:rsidR="00872A64" w:rsidRPr="00BA48BC" w:rsidRDefault="00872A64" w:rsidP="00872A64">
      <w:pPr>
        <w:pStyle w:val="ListParagraph"/>
        <w:numPr>
          <w:ilvl w:val="0"/>
          <w:numId w:val="8"/>
        </w:numPr>
        <w:rPr>
          <w:rFonts w:ascii="Times New Roman" w:hAnsi="Times New Roman" w:cs="Times New Roman"/>
          <w:sz w:val="24"/>
          <w:szCs w:val="24"/>
        </w:rPr>
      </w:pPr>
      <w:proofErr w:type="spellStart"/>
      <w:r w:rsidRPr="00BA48BC">
        <w:rPr>
          <w:rFonts w:ascii="Times New Roman" w:hAnsi="Times New Roman" w:cs="Times New Roman"/>
          <w:sz w:val="24"/>
          <w:szCs w:val="24"/>
        </w:rPr>
        <w:t>Padmanand</w:t>
      </w:r>
      <w:proofErr w:type="spellEnd"/>
      <w:r w:rsidRPr="00BA48BC">
        <w:rPr>
          <w:rFonts w:ascii="Times New Roman" w:hAnsi="Times New Roman" w:cs="Times New Roman"/>
          <w:sz w:val="24"/>
          <w:szCs w:val="24"/>
        </w:rPr>
        <w:t xml:space="preserve"> V, </w:t>
      </w:r>
      <w:proofErr w:type="spellStart"/>
      <w:r w:rsidRPr="00BA48BC">
        <w:rPr>
          <w:rFonts w:ascii="Times New Roman" w:hAnsi="Times New Roman" w:cs="Times New Roman"/>
          <w:sz w:val="24"/>
          <w:szCs w:val="24"/>
        </w:rPr>
        <w:t>Khodwekar</w:t>
      </w:r>
      <w:proofErr w:type="spellEnd"/>
      <w:r w:rsidRPr="00BA48BC">
        <w:rPr>
          <w:rFonts w:ascii="Times New Roman" w:hAnsi="Times New Roman" w:cs="Times New Roman"/>
          <w:sz w:val="24"/>
          <w:szCs w:val="24"/>
        </w:rPr>
        <w:t xml:space="preserve"> S and Kunal S. Manual on </w:t>
      </w:r>
      <w:proofErr w:type="spellStart"/>
      <w:r w:rsidRPr="00BA48BC">
        <w:rPr>
          <w:rFonts w:ascii="Times New Roman" w:hAnsi="Times New Roman" w:cs="Times New Roman"/>
          <w:sz w:val="24"/>
          <w:szCs w:val="24"/>
        </w:rPr>
        <w:t>Intraprenuership</w:t>
      </w:r>
      <w:proofErr w:type="spellEnd"/>
      <w:r w:rsidRPr="00BA48BC">
        <w:rPr>
          <w:rFonts w:ascii="Times New Roman" w:hAnsi="Times New Roman" w:cs="Times New Roman"/>
          <w:sz w:val="24"/>
          <w:szCs w:val="24"/>
        </w:rPr>
        <w:t xml:space="preserve"> and management for farmer producer companies, 2018, pp. 2-25.</w:t>
      </w:r>
    </w:p>
    <w:p w14:paraId="0746378B"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Dash SK. Producer companies and small holder’ inclusion in the market system; Emerging issues, opportunities and challenges in India. </w:t>
      </w:r>
      <w:r w:rsidRPr="00BA48BC">
        <w:rPr>
          <w:rFonts w:ascii="Times New Roman" w:hAnsi="Times New Roman" w:cs="Times New Roman"/>
          <w:i/>
          <w:sz w:val="24"/>
          <w:szCs w:val="24"/>
        </w:rPr>
        <w:t>Journal of Research Innovation and Management Science</w:t>
      </w:r>
      <w:r w:rsidRPr="00BA48BC">
        <w:rPr>
          <w:rFonts w:ascii="Times New Roman" w:hAnsi="Times New Roman" w:cs="Times New Roman"/>
          <w:sz w:val="24"/>
          <w:szCs w:val="24"/>
        </w:rPr>
        <w:t xml:space="preserve">, 2016, </w:t>
      </w:r>
      <w:r w:rsidRPr="00BA48BC">
        <w:rPr>
          <w:rFonts w:ascii="Times New Roman" w:hAnsi="Times New Roman" w:cs="Times New Roman"/>
          <w:bCs/>
          <w:sz w:val="24"/>
          <w:szCs w:val="24"/>
        </w:rPr>
        <w:t>2</w:t>
      </w:r>
      <w:r w:rsidRPr="00BA48BC">
        <w:rPr>
          <w:rFonts w:ascii="Times New Roman" w:hAnsi="Times New Roman" w:cs="Times New Roman"/>
          <w:sz w:val="24"/>
          <w:szCs w:val="24"/>
        </w:rPr>
        <w:t>(1): 35-40.</w:t>
      </w:r>
    </w:p>
    <w:p w14:paraId="2BCD9362"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lang w:val="en-IN"/>
        </w:rPr>
        <w:t>Freeman RE. Strategy management: A stakeholder approach. Boston: Cambridge University Press, 1984, 242-266.</w:t>
      </w:r>
    </w:p>
    <w:p w14:paraId="089BDFCF" w14:textId="77777777" w:rsidR="00872A64" w:rsidRPr="00BA48BC" w:rsidRDefault="00872A64" w:rsidP="00872A64">
      <w:pPr>
        <w:pStyle w:val="ListParagraph"/>
        <w:numPr>
          <w:ilvl w:val="0"/>
          <w:numId w:val="8"/>
        </w:numPr>
        <w:rPr>
          <w:rStyle w:val="Hyperlink"/>
          <w:rFonts w:ascii="Times New Roman" w:hAnsi="Times New Roman" w:cs="Times New Roman"/>
          <w:color w:val="auto"/>
          <w:sz w:val="24"/>
          <w:szCs w:val="24"/>
          <w:u w:val="none"/>
        </w:rPr>
      </w:pPr>
      <w:r w:rsidRPr="00BA48BC">
        <w:rPr>
          <w:rFonts w:ascii="Times New Roman" w:hAnsi="Times New Roman" w:cs="Times New Roman"/>
          <w:bCs/>
          <w:sz w:val="24"/>
          <w:szCs w:val="24"/>
        </w:rPr>
        <w:t>Pabba AS and Ponnusamy K</w:t>
      </w:r>
      <w:r w:rsidRPr="00BA48BC">
        <w:rPr>
          <w:rFonts w:ascii="Times New Roman" w:hAnsi="Times New Roman" w:cs="Times New Roman"/>
          <w:sz w:val="24"/>
          <w:szCs w:val="24"/>
        </w:rPr>
        <w:t xml:space="preserve">. Evolving strategies for improving the performance of farmer producer companies through field studies. </w:t>
      </w:r>
      <w:r w:rsidRPr="00BA48BC">
        <w:rPr>
          <w:rFonts w:ascii="Times New Roman" w:hAnsi="Times New Roman" w:cs="Times New Roman"/>
          <w:i/>
          <w:sz w:val="24"/>
          <w:szCs w:val="24"/>
        </w:rPr>
        <w:t>Indian Journal of Animal Sciences</w:t>
      </w:r>
      <w:r w:rsidRPr="00BA48BC">
        <w:rPr>
          <w:rFonts w:ascii="Times New Roman" w:hAnsi="Times New Roman" w:cs="Times New Roman"/>
          <w:sz w:val="24"/>
          <w:szCs w:val="24"/>
        </w:rPr>
        <w:t xml:space="preserve">, 2024, 94(8): 725-730.  </w:t>
      </w:r>
      <w:hyperlink r:id="rId7" w:history="1">
        <w:r w:rsidRPr="00BA48BC">
          <w:rPr>
            <w:rStyle w:val="Hyperlink"/>
            <w:rFonts w:ascii="Times New Roman" w:hAnsi="Times New Roman" w:cs="Times New Roman"/>
            <w:color w:val="0070C0"/>
            <w:sz w:val="24"/>
            <w:szCs w:val="24"/>
            <w:shd w:val="clear" w:color="auto" w:fill="FFFFFF"/>
          </w:rPr>
          <w:t>https://doi.org/10.56093/ijans.v94i8.151409</w:t>
        </w:r>
      </w:hyperlink>
    </w:p>
    <w:p w14:paraId="5EE5CD6E"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Vijayakumar AN. Farmer Producer </w:t>
      </w:r>
      <w:proofErr w:type="spellStart"/>
      <w:r w:rsidRPr="00BA48BC">
        <w:rPr>
          <w:rFonts w:ascii="Times New Roman" w:hAnsi="Times New Roman" w:cs="Times New Roman"/>
          <w:sz w:val="24"/>
          <w:szCs w:val="24"/>
        </w:rPr>
        <w:t>Organisation</w:t>
      </w:r>
      <w:proofErr w:type="spellEnd"/>
      <w:r w:rsidRPr="00BA48BC">
        <w:rPr>
          <w:rFonts w:ascii="Times New Roman" w:hAnsi="Times New Roman" w:cs="Times New Roman"/>
          <w:sz w:val="24"/>
          <w:szCs w:val="24"/>
        </w:rPr>
        <w:t>: An emerging business model for empowering small and marginal farmers in India-a case study. </w:t>
      </w:r>
      <w:r w:rsidRPr="00BA48BC">
        <w:rPr>
          <w:rFonts w:ascii="Times New Roman" w:hAnsi="Times New Roman" w:cs="Times New Roman"/>
          <w:i/>
          <w:iCs/>
          <w:sz w:val="24"/>
          <w:szCs w:val="24"/>
        </w:rPr>
        <w:t>International Journal of Indian Culture and Business Management</w:t>
      </w:r>
      <w:r w:rsidRPr="00BA48BC">
        <w:rPr>
          <w:rFonts w:ascii="Times New Roman" w:hAnsi="Times New Roman" w:cs="Times New Roman"/>
          <w:sz w:val="24"/>
          <w:szCs w:val="24"/>
        </w:rPr>
        <w:t xml:space="preserve">, 2021, </w:t>
      </w:r>
      <w:r w:rsidRPr="00BA48BC">
        <w:rPr>
          <w:rFonts w:ascii="Times New Roman" w:hAnsi="Times New Roman" w:cs="Times New Roman"/>
          <w:iCs/>
          <w:sz w:val="24"/>
          <w:szCs w:val="24"/>
        </w:rPr>
        <w:t>24</w:t>
      </w:r>
      <w:r w:rsidRPr="00BA48BC">
        <w:rPr>
          <w:rFonts w:ascii="Times New Roman" w:hAnsi="Times New Roman" w:cs="Times New Roman"/>
          <w:sz w:val="24"/>
          <w:szCs w:val="24"/>
        </w:rPr>
        <w:t>(4): 481-502.</w:t>
      </w:r>
    </w:p>
    <w:p w14:paraId="3106EEDF"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Neti A and Richa Govil. Farmer Producer Companies: Report II, Inclusion, </w:t>
      </w:r>
      <w:proofErr w:type="spellStart"/>
      <w:r w:rsidRPr="00BA48BC">
        <w:rPr>
          <w:rFonts w:ascii="Times New Roman" w:hAnsi="Times New Roman" w:cs="Times New Roman"/>
          <w:sz w:val="24"/>
          <w:szCs w:val="24"/>
        </w:rPr>
        <w:t>Capitalisation</w:t>
      </w:r>
      <w:proofErr w:type="spellEnd"/>
      <w:r w:rsidRPr="00BA48BC">
        <w:rPr>
          <w:rFonts w:ascii="Times New Roman" w:hAnsi="Times New Roman" w:cs="Times New Roman"/>
          <w:sz w:val="24"/>
          <w:szCs w:val="24"/>
        </w:rPr>
        <w:t xml:space="preserve"> and Incubation. </w:t>
      </w:r>
      <w:r w:rsidRPr="00BA48BC">
        <w:rPr>
          <w:rFonts w:ascii="Times New Roman" w:hAnsi="Times New Roman" w:cs="Times New Roman"/>
          <w:i/>
          <w:sz w:val="24"/>
          <w:szCs w:val="24"/>
        </w:rPr>
        <w:t>Azim Premji University</w:t>
      </w:r>
      <w:r w:rsidRPr="00BA48BC">
        <w:rPr>
          <w:rFonts w:ascii="Times New Roman" w:hAnsi="Times New Roman" w:cs="Times New Roman"/>
          <w:sz w:val="24"/>
          <w:szCs w:val="24"/>
        </w:rPr>
        <w:t>, Bangalore, 2022.</w:t>
      </w:r>
    </w:p>
    <w:p w14:paraId="7206A8CA"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Government of India. Operational guidelines ‘Formation and Promotion of 10,000 Farmer</w:t>
      </w:r>
      <w:r w:rsidRPr="00BA48BC">
        <w:rPr>
          <w:rFonts w:ascii="Times New Roman" w:hAnsi="Times New Roman" w:cs="Times New Roman"/>
          <w:b/>
          <w:bCs/>
          <w:sz w:val="24"/>
          <w:szCs w:val="24"/>
        </w:rPr>
        <w:t xml:space="preserve"> </w:t>
      </w:r>
      <w:r w:rsidRPr="00BA48BC">
        <w:rPr>
          <w:rFonts w:ascii="Times New Roman" w:hAnsi="Times New Roman" w:cs="Times New Roman"/>
          <w:sz w:val="24"/>
          <w:szCs w:val="24"/>
        </w:rPr>
        <w:t>Producer Organizations (FPOs). Ministry of Agriculture &amp; Farmers’ Welfare</w:t>
      </w:r>
      <w:r w:rsidRPr="00BA48BC">
        <w:rPr>
          <w:rFonts w:ascii="Times New Roman" w:hAnsi="Times New Roman" w:cs="Times New Roman"/>
          <w:b/>
          <w:bCs/>
          <w:sz w:val="24"/>
          <w:szCs w:val="24"/>
        </w:rPr>
        <w:br/>
      </w:r>
      <w:r w:rsidRPr="00BA48BC">
        <w:rPr>
          <w:rFonts w:ascii="Times New Roman" w:hAnsi="Times New Roman" w:cs="Times New Roman"/>
          <w:sz w:val="24"/>
          <w:szCs w:val="24"/>
        </w:rPr>
        <w:t>Department of Agriculture, Cooperation &amp; Farmers’ Welfare, Government of India, 2020.</w:t>
      </w:r>
    </w:p>
    <w:p w14:paraId="04864E0A"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Parasuraman A, Zeithaml VA and Berry LL. A conceptual model of service quality and its implications for future research. </w:t>
      </w:r>
      <w:r w:rsidRPr="00BA48BC">
        <w:rPr>
          <w:rFonts w:ascii="Times New Roman" w:hAnsi="Times New Roman" w:cs="Times New Roman"/>
          <w:i/>
          <w:iCs/>
          <w:sz w:val="24"/>
          <w:szCs w:val="24"/>
        </w:rPr>
        <w:t>Journal of marketing</w:t>
      </w:r>
      <w:r w:rsidRPr="00BA48BC">
        <w:rPr>
          <w:rFonts w:ascii="Times New Roman" w:hAnsi="Times New Roman" w:cs="Times New Roman"/>
          <w:sz w:val="24"/>
          <w:szCs w:val="24"/>
        </w:rPr>
        <w:t xml:space="preserve">, 1988, </w:t>
      </w:r>
      <w:r w:rsidRPr="00BA48BC">
        <w:rPr>
          <w:rFonts w:ascii="Times New Roman" w:hAnsi="Times New Roman" w:cs="Times New Roman"/>
          <w:bCs/>
          <w:iCs/>
          <w:sz w:val="24"/>
          <w:szCs w:val="24"/>
        </w:rPr>
        <w:t>49</w:t>
      </w:r>
      <w:r w:rsidRPr="00BA48BC">
        <w:rPr>
          <w:rFonts w:ascii="Times New Roman" w:hAnsi="Times New Roman" w:cs="Times New Roman"/>
          <w:sz w:val="24"/>
          <w:szCs w:val="24"/>
        </w:rPr>
        <w:t>(4): 41-50.</w:t>
      </w:r>
    </w:p>
    <w:p w14:paraId="2F6C847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 xml:space="preserve">Balaganesh G, Malhotra R, </w:t>
      </w:r>
      <w:proofErr w:type="spellStart"/>
      <w:r w:rsidRPr="00BA48BC">
        <w:rPr>
          <w:rFonts w:ascii="Times New Roman" w:hAnsi="Times New Roman" w:cs="Times New Roman"/>
          <w:sz w:val="24"/>
          <w:szCs w:val="24"/>
          <w:shd w:val="clear" w:color="auto" w:fill="FFFFFF"/>
        </w:rPr>
        <w:t>Sendhil</w:t>
      </w:r>
      <w:proofErr w:type="spellEnd"/>
      <w:r w:rsidRPr="00BA48BC">
        <w:rPr>
          <w:rFonts w:ascii="Times New Roman" w:hAnsi="Times New Roman" w:cs="Times New Roman"/>
          <w:sz w:val="24"/>
          <w:szCs w:val="24"/>
          <w:shd w:val="clear" w:color="auto" w:fill="FFFFFF"/>
        </w:rPr>
        <w:t xml:space="preserve"> R, </w:t>
      </w:r>
      <w:proofErr w:type="spellStart"/>
      <w:r w:rsidRPr="00BA48BC">
        <w:rPr>
          <w:rFonts w:ascii="Times New Roman" w:hAnsi="Times New Roman" w:cs="Times New Roman"/>
          <w:sz w:val="24"/>
          <w:szCs w:val="24"/>
          <w:shd w:val="clear" w:color="auto" w:fill="FFFFFF"/>
        </w:rPr>
        <w:t>Sirohi</w:t>
      </w:r>
      <w:proofErr w:type="spellEnd"/>
      <w:r w:rsidRPr="00BA48BC">
        <w:rPr>
          <w:rFonts w:ascii="Times New Roman" w:hAnsi="Times New Roman" w:cs="Times New Roman"/>
          <w:sz w:val="24"/>
          <w:szCs w:val="24"/>
          <w:shd w:val="clear" w:color="auto" w:fill="FFFFFF"/>
        </w:rPr>
        <w:t xml:space="preserve"> S, </w:t>
      </w:r>
      <w:proofErr w:type="spellStart"/>
      <w:r w:rsidRPr="00BA48BC">
        <w:rPr>
          <w:rFonts w:ascii="Times New Roman" w:hAnsi="Times New Roman" w:cs="Times New Roman"/>
          <w:sz w:val="24"/>
          <w:szCs w:val="24"/>
          <w:shd w:val="clear" w:color="auto" w:fill="FFFFFF"/>
        </w:rPr>
        <w:t>Maiti</w:t>
      </w:r>
      <w:proofErr w:type="spellEnd"/>
      <w:r w:rsidRPr="00BA48BC">
        <w:rPr>
          <w:rFonts w:ascii="Times New Roman" w:hAnsi="Times New Roman" w:cs="Times New Roman"/>
          <w:sz w:val="24"/>
          <w:szCs w:val="24"/>
          <w:shd w:val="clear" w:color="auto" w:fill="FFFFFF"/>
        </w:rPr>
        <w:t xml:space="preserve"> S, Ponnusamy K and Sharma AK. Development of composite vulnerability index and district level mapping of climate change induced drought in Tamil Nadu, India. </w:t>
      </w:r>
      <w:r w:rsidRPr="00BA48BC">
        <w:rPr>
          <w:rFonts w:ascii="Times New Roman" w:hAnsi="Times New Roman" w:cs="Times New Roman"/>
          <w:i/>
          <w:sz w:val="24"/>
          <w:szCs w:val="24"/>
          <w:shd w:val="clear" w:color="auto" w:fill="FFFFFF"/>
        </w:rPr>
        <w:t xml:space="preserve">Ecological Indicators, </w:t>
      </w:r>
      <w:r w:rsidRPr="00BA48BC">
        <w:rPr>
          <w:rFonts w:ascii="Times New Roman" w:hAnsi="Times New Roman" w:cs="Times New Roman"/>
          <w:sz w:val="24"/>
          <w:szCs w:val="24"/>
          <w:shd w:val="clear" w:color="auto" w:fill="FFFFFF"/>
        </w:rPr>
        <w:t>2020. 113, 106197.</w:t>
      </w:r>
    </w:p>
    <w:p w14:paraId="712290DC"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OECD. Adoption of Technologies for sustainable farming systems: Wageningen Workshop Proceedings, OECD, Paris, 2002.</w:t>
      </w:r>
    </w:p>
    <w:p w14:paraId="561C3AA3"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t xml:space="preserve">Kale B, Ponnusamy K, Chakravarthy K, Senthil R and Asif Mohammad. Assessing resource and infrastructure disparities to strengthen Indian dairy sector. </w:t>
      </w:r>
      <w:r w:rsidRPr="00BA48BC">
        <w:rPr>
          <w:rFonts w:ascii="Times New Roman" w:hAnsi="Times New Roman" w:cs="Times New Roman"/>
          <w:i/>
          <w:sz w:val="24"/>
          <w:szCs w:val="24"/>
          <w:shd w:val="clear" w:color="auto" w:fill="FFFFFF"/>
        </w:rPr>
        <w:t xml:space="preserve">Indian Journal of Animal Sciences, </w:t>
      </w:r>
      <w:r w:rsidRPr="00BA48BC">
        <w:rPr>
          <w:rFonts w:ascii="Times New Roman" w:hAnsi="Times New Roman" w:cs="Times New Roman"/>
          <w:sz w:val="24"/>
          <w:szCs w:val="24"/>
          <w:shd w:val="clear" w:color="auto" w:fill="FFFFFF"/>
        </w:rPr>
        <w:t>2016,</w:t>
      </w:r>
      <w:r w:rsidRPr="00BA48BC">
        <w:rPr>
          <w:rFonts w:ascii="Times New Roman" w:hAnsi="Times New Roman" w:cs="Times New Roman"/>
          <w:i/>
          <w:sz w:val="24"/>
          <w:szCs w:val="24"/>
          <w:shd w:val="clear" w:color="auto" w:fill="FFFFFF"/>
        </w:rPr>
        <w:t xml:space="preserve"> </w:t>
      </w:r>
      <w:r w:rsidRPr="00BA48BC">
        <w:rPr>
          <w:rFonts w:ascii="Times New Roman" w:hAnsi="Times New Roman" w:cs="Times New Roman"/>
          <w:sz w:val="24"/>
          <w:szCs w:val="24"/>
          <w:shd w:val="clear" w:color="auto" w:fill="FFFFFF"/>
        </w:rPr>
        <w:t>86(6): 720-725.</w:t>
      </w:r>
    </w:p>
    <w:p w14:paraId="14025CA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Greyling T and Tregenna F. Construction and analysis of a composite quality of life index for a region of South Africa. </w:t>
      </w:r>
      <w:r w:rsidRPr="00BA48BC">
        <w:rPr>
          <w:rFonts w:ascii="Times New Roman" w:hAnsi="Times New Roman" w:cs="Times New Roman"/>
          <w:i/>
          <w:iCs/>
          <w:sz w:val="24"/>
          <w:szCs w:val="24"/>
        </w:rPr>
        <w:t>Social Indicators Research</w:t>
      </w:r>
      <w:r w:rsidRPr="00BA48BC">
        <w:rPr>
          <w:rFonts w:ascii="Times New Roman" w:hAnsi="Times New Roman" w:cs="Times New Roman"/>
          <w:sz w:val="24"/>
          <w:szCs w:val="24"/>
        </w:rPr>
        <w:t>, 2017, </w:t>
      </w:r>
      <w:r w:rsidRPr="00BA48BC">
        <w:rPr>
          <w:rFonts w:ascii="Times New Roman" w:hAnsi="Times New Roman" w:cs="Times New Roman"/>
          <w:iCs/>
          <w:sz w:val="24"/>
          <w:szCs w:val="24"/>
        </w:rPr>
        <w:t>131</w:t>
      </w:r>
      <w:r w:rsidRPr="00BA48BC">
        <w:rPr>
          <w:rFonts w:ascii="Times New Roman" w:hAnsi="Times New Roman" w:cs="Times New Roman"/>
          <w:sz w:val="24"/>
          <w:szCs w:val="24"/>
        </w:rPr>
        <w:t>, 887-930.</w:t>
      </w:r>
    </w:p>
    <w:p w14:paraId="39A9398D"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shd w:val="clear" w:color="auto" w:fill="FFFFFF"/>
        </w:rPr>
        <w:lastRenderedPageBreak/>
        <w:t xml:space="preserve">Patel D, Ponnusamy K and Sendhil R. Development and testing of potential indicators for evaluation of dairy production systems. </w:t>
      </w:r>
      <w:r w:rsidRPr="00BA48BC">
        <w:rPr>
          <w:rFonts w:ascii="Times New Roman" w:hAnsi="Times New Roman" w:cs="Times New Roman"/>
          <w:i/>
          <w:sz w:val="24"/>
          <w:szCs w:val="24"/>
          <w:shd w:val="clear" w:color="auto" w:fill="FFFFFF"/>
        </w:rPr>
        <w:t>Indian Journal of Animal Sciences</w:t>
      </w:r>
      <w:r w:rsidRPr="00BA48BC">
        <w:rPr>
          <w:rFonts w:ascii="Times New Roman" w:hAnsi="Times New Roman" w:cs="Times New Roman"/>
          <w:sz w:val="24"/>
          <w:szCs w:val="24"/>
          <w:shd w:val="clear" w:color="auto" w:fill="FFFFFF"/>
        </w:rPr>
        <w:t>, 2019, 89(11): 1274-1282.</w:t>
      </w:r>
    </w:p>
    <w:p w14:paraId="2C11A99F" w14:textId="77777777" w:rsidR="00872A64" w:rsidRPr="00BA48BC" w:rsidRDefault="00872A64" w:rsidP="00872A64">
      <w:pPr>
        <w:pStyle w:val="ListParagraph"/>
        <w:numPr>
          <w:ilvl w:val="0"/>
          <w:numId w:val="8"/>
        </w:numPr>
        <w:rPr>
          <w:rFonts w:ascii="Times New Roman" w:hAnsi="Times New Roman" w:cs="Times New Roman"/>
          <w:sz w:val="24"/>
          <w:szCs w:val="24"/>
          <w:shd w:val="clear" w:color="auto" w:fill="FFFFFF"/>
        </w:rPr>
      </w:pPr>
      <w:r w:rsidRPr="00BA48BC">
        <w:rPr>
          <w:rFonts w:ascii="Times New Roman" w:hAnsi="Times New Roman" w:cs="Times New Roman"/>
          <w:sz w:val="24"/>
          <w:szCs w:val="24"/>
          <w:shd w:val="clear" w:color="auto" w:fill="FFFFFF"/>
        </w:rPr>
        <w:t>Kumar DR and Mohan A. Factors leading to customer satisfaction in dairy industry: A study in Indian perspective. </w:t>
      </w:r>
      <w:r w:rsidRPr="00BA48BC">
        <w:rPr>
          <w:rFonts w:ascii="Times New Roman" w:hAnsi="Times New Roman" w:cs="Times New Roman"/>
          <w:i/>
          <w:iCs/>
          <w:sz w:val="24"/>
          <w:szCs w:val="24"/>
          <w:shd w:val="clear" w:color="auto" w:fill="FFFFFF"/>
        </w:rPr>
        <w:t>International Journal on Customer Relations</w:t>
      </w:r>
      <w:r w:rsidRPr="00BA48BC">
        <w:rPr>
          <w:rFonts w:ascii="Times New Roman" w:hAnsi="Times New Roman" w:cs="Times New Roman"/>
          <w:sz w:val="24"/>
          <w:szCs w:val="24"/>
          <w:shd w:val="clear" w:color="auto" w:fill="FFFFFF"/>
        </w:rPr>
        <w:t xml:space="preserve">, 2018, </w:t>
      </w:r>
      <w:r w:rsidRPr="00BA48BC">
        <w:rPr>
          <w:rFonts w:ascii="Times New Roman" w:hAnsi="Times New Roman" w:cs="Times New Roman"/>
          <w:bCs/>
          <w:iCs/>
          <w:sz w:val="24"/>
          <w:szCs w:val="24"/>
          <w:shd w:val="clear" w:color="auto" w:fill="FFFFFF"/>
        </w:rPr>
        <w:t>6</w:t>
      </w:r>
      <w:r w:rsidRPr="00BA48BC">
        <w:rPr>
          <w:rFonts w:ascii="Times New Roman" w:hAnsi="Times New Roman" w:cs="Times New Roman"/>
          <w:sz w:val="24"/>
          <w:szCs w:val="24"/>
          <w:shd w:val="clear" w:color="auto" w:fill="FFFFFF"/>
        </w:rPr>
        <w:t>(1): 126-132.</w:t>
      </w:r>
    </w:p>
    <w:p w14:paraId="3CA4F29B"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George D and Mallery M. SPSS for Windows Step by Step: A simple guide and reference, 17.0 update, 10</w:t>
      </w:r>
      <w:r w:rsidRPr="00BA48BC">
        <w:rPr>
          <w:rFonts w:ascii="Times New Roman" w:hAnsi="Times New Roman" w:cs="Times New Roman"/>
          <w:sz w:val="24"/>
          <w:szCs w:val="24"/>
          <w:vertAlign w:val="superscript"/>
        </w:rPr>
        <w:t>th</w:t>
      </w:r>
      <w:r w:rsidRPr="00BA48BC">
        <w:rPr>
          <w:rFonts w:ascii="Times New Roman" w:hAnsi="Times New Roman" w:cs="Times New Roman"/>
          <w:sz w:val="24"/>
          <w:szCs w:val="24"/>
        </w:rPr>
        <w:t xml:space="preserve"> Edition. Boston: Pearson, 2010.</w:t>
      </w:r>
    </w:p>
    <w:p w14:paraId="1EFC06D7" w14:textId="77777777" w:rsidR="00872A64"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Govil R, Neti A and Madhushree RR. Farmer Producer Companies: Past, Present and Future. Azim Premji University, Bangalore, 2020. 26-184.</w:t>
      </w:r>
    </w:p>
    <w:p w14:paraId="459F3A7A" w14:textId="77777777" w:rsidR="00872A64" w:rsidRPr="00BA48BC" w:rsidRDefault="00872A64" w:rsidP="00872A64">
      <w:pPr>
        <w:pStyle w:val="ListParagraph"/>
        <w:numPr>
          <w:ilvl w:val="0"/>
          <w:numId w:val="8"/>
        </w:numPr>
        <w:rPr>
          <w:rFonts w:ascii="Times New Roman" w:hAnsi="Times New Roman" w:cs="Times New Roman"/>
          <w:sz w:val="24"/>
          <w:szCs w:val="24"/>
        </w:rPr>
      </w:pPr>
      <w:proofErr w:type="spellStart"/>
      <w:r w:rsidRPr="00BA48BC">
        <w:rPr>
          <w:rFonts w:ascii="Times New Roman" w:hAnsi="Times New Roman" w:cs="Times New Roman"/>
          <w:sz w:val="24"/>
          <w:szCs w:val="24"/>
        </w:rPr>
        <w:t>Haming</w:t>
      </w:r>
      <w:proofErr w:type="spellEnd"/>
      <w:r w:rsidRPr="00BA48BC">
        <w:rPr>
          <w:rFonts w:ascii="Times New Roman" w:hAnsi="Times New Roman" w:cs="Times New Roman"/>
          <w:sz w:val="24"/>
          <w:szCs w:val="24"/>
        </w:rPr>
        <w:t xml:space="preserve"> M, </w:t>
      </w:r>
      <w:proofErr w:type="spellStart"/>
      <w:r w:rsidRPr="00BA48BC">
        <w:rPr>
          <w:rFonts w:ascii="Times New Roman" w:hAnsi="Times New Roman" w:cs="Times New Roman"/>
          <w:sz w:val="24"/>
          <w:szCs w:val="24"/>
        </w:rPr>
        <w:t>Murdifin</w:t>
      </w:r>
      <w:proofErr w:type="spellEnd"/>
      <w:r w:rsidRPr="00BA48BC">
        <w:rPr>
          <w:rFonts w:ascii="Times New Roman" w:hAnsi="Times New Roman" w:cs="Times New Roman"/>
          <w:sz w:val="24"/>
          <w:szCs w:val="24"/>
        </w:rPr>
        <w:t xml:space="preserve"> AI, </w:t>
      </w:r>
      <w:proofErr w:type="spellStart"/>
      <w:r w:rsidRPr="00BA48BC">
        <w:rPr>
          <w:rFonts w:ascii="Times New Roman" w:hAnsi="Times New Roman" w:cs="Times New Roman"/>
          <w:sz w:val="24"/>
          <w:szCs w:val="24"/>
        </w:rPr>
        <w:t>Syaiful</w:t>
      </w:r>
      <w:proofErr w:type="spellEnd"/>
      <w:r w:rsidRPr="00BA48BC">
        <w:rPr>
          <w:rFonts w:ascii="Times New Roman" w:hAnsi="Times New Roman" w:cs="Times New Roman"/>
          <w:sz w:val="24"/>
          <w:szCs w:val="24"/>
        </w:rPr>
        <w:t xml:space="preserve"> Z and Putra AHPK. The application of SERVQUAL distribution in measuring customer satisfaction of retails company. </w:t>
      </w:r>
      <w:r w:rsidRPr="00BA48BC">
        <w:rPr>
          <w:rFonts w:ascii="Times New Roman" w:hAnsi="Times New Roman" w:cs="Times New Roman"/>
          <w:i/>
          <w:sz w:val="24"/>
          <w:szCs w:val="24"/>
        </w:rPr>
        <w:t>Journal of Distribution Science,</w:t>
      </w:r>
      <w:r w:rsidRPr="00BA48BC">
        <w:rPr>
          <w:rFonts w:ascii="Times New Roman" w:hAnsi="Times New Roman" w:cs="Times New Roman"/>
          <w:sz w:val="24"/>
          <w:szCs w:val="24"/>
        </w:rPr>
        <w:t xml:space="preserve"> 2019, </w:t>
      </w:r>
      <w:r w:rsidRPr="00BA48BC">
        <w:rPr>
          <w:rFonts w:ascii="Times New Roman" w:hAnsi="Times New Roman" w:cs="Times New Roman"/>
          <w:bCs/>
          <w:sz w:val="24"/>
          <w:szCs w:val="24"/>
        </w:rPr>
        <w:t>17</w:t>
      </w:r>
      <w:r w:rsidRPr="00BA48BC">
        <w:rPr>
          <w:rFonts w:ascii="Times New Roman" w:hAnsi="Times New Roman" w:cs="Times New Roman"/>
          <w:iCs/>
          <w:sz w:val="24"/>
          <w:szCs w:val="24"/>
        </w:rPr>
        <w:t>(2):</w:t>
      </w:r>
      <w:r w:rsidRPr="00BA48BC">
        <w:rPr>
          <w:rFonts w:ascii="Times New Roman" w:hAnsi="Times New Roman" w:cs="Times New Roman"/>
          <w:sz w:val="24"/>
          <w:szCs w:val="24"/>
        </w:rPr>
        <w:t xml:space="preserve"> 25-31.</w:t>
      </w:r>
    </w:p>
    <w:p w14:paraId="08932208" w14:textId="77777777" w:rsidR="00A67DC3" w:rsidRPr="00BA48BC" w:rsidRDefault="00872A64" w:rsidP="00872A64">
      <w:pPr>
        <w:pStyle w:val="ListParagraph"/>
        <w:numPr>
          <w:ilvl w:val="0"/>
          <w:numId w:val="8"/>
        </w:numPr>
        <w:rPr>
          <w:rFonts w:ascii="Times New Roman" w:hAnsi="Times New Roman" w:cs="Times New Roman"/>
          <w:sz w:val="24"/>
          <w:szCs w:val="24"/>
        </w:rPr>
      </w:pPr>
      <w:r w:rsidRPr="00BA48BC">
        <w:rPr>
          <w:rFonts w:ascii="Times New Roman" w:hAnsi="Times New Roman" w:cs="Times New Roman"/>
          <w:sz w:val="24"/>
          <w:szCs w:val="24"/>
        </w:rPr>
        <w:t xml:space="preserve">Ponnusamy K, Oberoi PS and Kumar A. Impact analysis of women centric technological interventions in rural dairy farming. </w:t>
      </w:r>
      <w:r w:rsidRPr="00BA48BC">
        <w:rPr>
          <w:rFonts w:ascii="Times New Roman" w:hAnsi="Times New Roman" w:cs="Times New Roman"/>
          <w:i/>
          <w:sz w:val="24"/>
          <w:szCs w:val="24"/>
        </w:rPr>
        <w:t>Indian Journal of Dairy Science</w:t>
      </w:r>
      <w:r w:rsidRPr="00BA48BC">
        <w:rPr>
          <w:rFonts w:ascii="Times New Roman" w:hAnsi="Times New Roman" w:cs="Times New Roman"/>
          <w:sz w:val="24"/>
          <w:szCs w:val="24"/>
        </w:rPr>
        <w:t>, 2020, 73(4): 365-370.</w:t>
      </w:r>
    </w:p>
    <w:p w14:paraId="0F8D39DE" w14:textId="77777777" w:rsidR="00A67DC3" w:rsidRDefault="00A67DC3" w:rsidP="0059238C">
      <w:pPr>
        <w:rPr>
          <w:rFonts w:ascii="Times New Roman" w:hAnsi="Times New Roman" w:cs="Times New Roman"/>
          <w:sz w:val="24"/>
          <w:szCs w:val="24"/>
        </w:rPr>
      </w:pPr>
    </w:p>
    <w:p w14:paraId="37F1AC87" w14:textId="77777777" w:rsidR="00A67DC3" w:rsidRPr="00BF22BE" w:rsidRDefault="00A67DC3" w:rsidP="00A67DC3">
      <w:pPr>
        <w:ind w:left="360" w:hanging="720"/>
        <w:rPr>
          <w:rFonts w:ascii="Times New Roman" w:hAnsi="Times New Roman" w:cs="Times New Roman"/>
          <w:sz w:val="24"/>
          <w:szCs w:val="24"/>
        </w:rPr>
      </w:pPr>
    </w:p>
    <w:p w14:paraId="4D747755" w14:textId="77777777" w:rsidR="00A67DC3" w:rsidRDefault="00A67DC3" w:rsidP="00A67DC3">
      <w:pPr>
        <w:tabs>
          <w:tab w:val="left" w:pos="2745"/>
        </w:tabs>
        <w:rPr>
          <w:rFonts w:ascii="Times New Roman" w:hAnsi="Times New Roman" w:cs="Times New Roman"/>
          <w:sz w:val="24"/>
          <w:szCs w:val="24"/>
        </w:rPr>
      </w:pPr>
    </w:p>
    <w:p w14:paraId="0812CBE1" w14:textId="77777777" w:rsidR="00A67DC3" w:rsidRPr="007D38AE" w:rsidRDefault="00A67DC3" w:rsidP="007D38AE">
      <w:pPr>
        <w:rPr>
          <w:rFonts w:ascii="Times New Roman" w:hAnsi="Times New Roman" w:cs="Times New Roman"/>
          <w:sz w:val="24"/>
          <w:szCs w:val="24"/>
          <w:lang w:val="en-IN"/>
        </w:rPr>
      </w:pPr>
    </w:p>
    <w:sectPr w:rsidR="00A67DC3" w:rsidRPr="007D38AE" w:rsidSect="00041D2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9759" w14:textId="77777777" w:rsidR="009179CB" w:rsidRDefault="009179CB" w:rsidP="004C6381">
      <w:pPr>
        <w:spacing w:before="0" w:after="0" w:line="240" w:lineRule="auto"/>
      </w:pPr>
      <w:r>
        <w:separator/>
      </w:r>
    </w:p>
  </w:endnote>
  <w:endnote w:type="continuationSeparator" w:id="0">
    <w:p w14:paraId="678C7208" w14:textId="77777777" w:rsidR="009179CB" w:rsidRDefault="009179CB" w:rsidP="004C63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D39B" w14:textId="77777777" w:rsidR="004C6381" w:rsidRDefault="004C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9AFF" w14:textId="77777777" w:rsidR="004C6381" w:rsidRDefault="004C6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3E0C" w14:textId="77777777" w:rsidR="004C6381" w:rsidRDefault="004C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0098" w14:textId="77777777" w:rsidR="009179CB" w:rsidRDefault="009179CB" w:rsidP="004C6381">
      <w:pPr>
        <w:spacing w:before="0" w:after="0" w:line="240" w:lineRule="auto"/>
      </w:pPr>
      <w:r>
        <w:separator/>
      </w:r>
    </w:p>
  </w:footnote>
  <w:footnote w:type="continuationSeparator" w:id="0">
    <w:p w14:paraId="74C68F27" w14:textId="77777777" w:rsidR="009179CB" w:rsidRDefault="009179CB" w:rsidP="004C63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B1E4" w14:textId="5D052D98" w:rsidR="004C6381" w:rsidRDefault="004C6381">
    <w:pPr>
      <w:pStyle w:val="Header"/>
    </w:pPr>
    <w:r>
      <w:rPr>
        <w:noProof/>
      </w:rPr>
      <w:pict w14:anchorId="337CF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05751" o:spid="_x0000_s2050" type="#_x0000_t136" style="position:absolute;left:0;text-align:left;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972D" w14:textId="6B9B5BFA" w:rsidR="004C6381" w:rsidRDefault="004C6381">
    <w:pPr>
      <w:pStyle w:val="Header"/>
    </w:pPr>
    <w:r>
      <w:rPr>
        <w:noProof/>
      </w:rPr>
      <w:pict w14:anchorId="7F72A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05752"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FA55" w14:textId="737650BA" w:rsidR="004C6381" w:rsidRDefault="004C6381">
    <w:pPr>
      <w:pStyle w:val="Header"/>
    </w:pPr>
    <w:r>
      <w:rPr>
        <w:noProof/>
      </w:rPr>
      <w:pict w14:anchorId="00B3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05750" o:spid="_x0000_s2049" type="#_x0000_t136" style="position:absolute;left:0;text-align:left;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5F0B"/>
    <w:multiLevelType w:val="hybridMultilevel"/>
    <w:tmpl w:val="15B664B6"/>
    <w:lvl w:ilvl="0" w:tplc="27A8D610">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A206D2"/>
    <w:multiLevelType w:val="hybridMultilevel"/>
    <w:tmpl w:val="E6A4E2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3332A3"/>
    <w:multiLevelType w:val="hybridMultilevel"/>
    <w:tmpl w:val="AAEA4D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41A35DD"/>
    <w:multiLevelType w:val="multilevel"/>
    <w:tmpl w:val="5F20A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C3A3D"/>
    <w:multiLevelType w:val="hybridMultilevel"/>
    <w:tmpl w:val="08AAB010"/>
    <w:lvl w:ilvl="0" w:tplc="632AC80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8B7823"/>
    <w:multiLevelType w:val="multilevel"/>
    <w:tmpl w:val="F208E1F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462DB3"/>
    <w:multiLevelType w:val="multilevel"/>
    <w:tmpl w:val="E86E5922"/>
    <w:lvl w:ilvl="0">
      <w:start w:val="1"/>
      <w:numFmt w:val="lowerLetter"/>
      <w:lvlText w:val="%1)"/>
      <w:lvlJc w:val="left"/>
      <w:pPr>
        <w:tabs>
          <w:tab w:val="num" w:pos="720"/>
        </w:tabs>
        <w:ind w:left="720" w:hanging="360"/>
      </w:pPr>
      <w:rPr>
        <w:rFonts w:ascii="Times New Roman" w:eastAsia="Times New Roman" w:hAnsi="Times New Roman" w:cs="Times New Roman" w:hint="default"/>
        <w:w w:val="100"/>
        <w:sz w:val="22"/>
        <w:szCs w:val="22"/>
        <w:lang w:val="en-US" w:eastAsia="en-US" w:bidi="ar-SA"/>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306853"/>
    <w:multiLevelType w:val="hybridMultilevel"/>
    <w:tmpl w:val="D422BE44"/>
    <w:lvl w:ilvl="0" w:tplc="E3469AB8">
      <w:start w:val="1"/>
      <w:numFmt w:val="decimal"/>
      <w:lvlText w:val="%1."/>
      <w:lvlJc w:val="left"/>
      <w:pPr>
        <w:ind w:left="1278" w:hanging="339"/>
      </w:pPr>
      <w:rPr>
        <w:rFonts w:ascii="Times New Roman" w:eastAsiaTheme="minorHAnsi" w:hAnsi="Times New Roman" w:cs="Times New Roman"/>
        <w:w w:val="99"/>
        <w:sz w:val="24"/>
        <w:szCs w:val="24"/>
        <w:lang w:val="en-US" w:eastAsia="en-US" w:bidi="ar-SA"/>
      </w:rPr>
    </w:lvl>
    <w:lvl w:ilvl="1" w:tplc="758259FE">
      <w:numFmt w:val="bullet"/>
      <w:lvlText w:val="•"/>
      <w:lvlJc w:val="left"/>
      <w:pPr>
        <w:ind w:left="2122" w:hanging="339"/>
      </w:pPr>
      <w:rPr>
        <w:rFonts w:hint="default"/>
        <w:lang w:val="en-US" w:eastAsia="en-US" w:bidi="ar-SA"/>
      </w:rPr>
    </w:lvl>
    <w:lvl w:ilvl="2" w:tplc="DDF20EBE">
      <w:numFmt w:val="bullet"/>
      <w:lvlText w:val="•"/>
      <w:lvlJc w:val="left"/>
      <w:pPr>
        <w:ind w:left="2965" w:hanging="339"/>
      </w:pPr>
      <w:rPr>
        <w:rFonts w:hint="default"/>
        <w:lang w:val="en-US" w:eastAsia="en-US" w:bidi="ar-SA"/>
      </w:rPr>
    </w:lvl>
    <w:lvl w:ilvl="3" w:tplc="CB200632">
      <w:numFmt w:val="bullet"/>
      <w:lvlText w:val="•"/>
      <w:lvlJc w:val="left"/>
      <w:pPr>
        <w:ind w:left="3808" w:hanging="339"/>
      </w:pPr>
      <w:rPr>
        <w:rFonts w:hint="default"/>
        <w:lang w:val="en-US" w:eastAsia="en-US" w:bidi="ar-SA"/>
      </w:rPr>
    </w:lvl>
    <w:lvl w:ilvl="4" w:tplc="078616F0">
      <w:numFmt w:val="bullet"/>
      <w:lvlText w:val="•"/>
      <w:lvlJc w:val="left"/>
      <w:pPr>
        <w:ind w:left="4651" w:hanging="339"/>
      </w:pPr>
      <w:rPr>
        <w:rFonts w:hint="default"/>
        <w:lang w:val="en-US" w:eastAsia="en-US" w:bidi="ar-SA"/>
      </w:rPr>
    </w:lvl>
    <w:lvl w:ilvl="5" w:tplc="5B44D1AA">
      <w:numFmt w:val="bullet"/>
      <w:lvlText w:val="•"/>
      <w:lvlJc w:val="left"/>
      <w:pPr>
        <w:ind w:left="5494" w:hanging="339"/>
      </w:pPr>
      <w:rPr>
        <w:rFonts w:hint="default"/>
        <w:lang w:val="en-US" w:eastAsia="en-US" w:bidi="ar-SA"/>
      </w:rPr>
    </w:lvl>
    <w:lvl w:ilvl="6" w:tplc="E7A2DB7A">
      <w:numFmt w:val="bullet"/>
      <w:lvlText w:val="•"/>
      <w:lvlJc w:val="left"/>
      <w:pPr>
        <w:ind w:left="6337" w:hanging="339"/>
      </w:pPr>
      <w:rPr>
        <w:rFonts w:hint="default"/>
        <w:lang w:val="en-US" w:eastAsia="en-US" w:bidi="ar-SA"/>
      </w:rPr>
    </w:lvl>
    <w:lvl w:ilvl="7" w:tplc="817AC1D4">
      <w:numFmt w:val="bullet"/>
      <w:lvlText w:val="•"/>
      <w:lvlJc w:val="left"/>
      <w:pPr>
        <w:ind w:left="7180" w:hanging="339"/>
      </w:pPr>
      <w:rPr>
        <w:rFonts w:hint="default"/>
        <w:lang w:val="en-US" w:eastAsia="en-US" w:bidi="ar-SA"/>
      </w:rPr>
    </w:lvl>
    <w:lvl w:ilvl="8" w:tplc="70422C8A">
      <w:numFmt w:val="bullet"/>
      <w:lvlText w:val="•"/>
      <w:lvlJc w:val="left"/>
      <w:pPr>
        <w:ind w:left="8023" w:hanging="339"/>
      </w:pPr>
      <w:rPr>
        <w:rFonts w:hint="default"/>
        <w:lang w:val="en-US" w:eastAsia="en-US" w:bidi="ar-SA"/>
      </w:r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CE"/>
    <w:rsid w:val="00003385"/>
    <w:rsid w:val="00006339"/>
    <w:rsid w:val="00012F1B"/>
    <w:rsid w:val="00024B08"/>
    <w:rsid w:val="00025CFD"/>
    <w:rsid w:val="00027DFC"/>
    <w:rsid w:val="000334A3"/>
    <w:rsid w:val="00033EC6"/>
    <w:rsid w:val="00040928"/>
    <w:rsid w:val="00041D27"/>
    <w:rsid w:val="0004307E"/>
    <w:rsid w:val="00046483"/>
    <w:rsid w:val="00062D4C"/>
    <w:rsid w:val="000720C1"/>
    <w:rsid w:val="00097784"/>
    <w:rsid w:val="000A4373"/>
    <w:rsid w:val="000B5571"/>
    <w:rsid w:val="000B6119"/>
    <w:rsid w:val="000C6E9C"/>
    <w:rsid w:val="000D221E"/>
    <w:rsid w:val="000D2E51"/>
    <w:rsid w:val="000D4549"/>
    <w:rsid w:val="000D7261"/>
    <w:rsid w:val="000E2F71"/>
    <w:rsid w:val="000E31D7"/>
    <w:rsid w:val="000F2FB9"/>
    <w:rsid w:val="0010109D"/>
    <w:rsid w:val="0011565D"/>
    <w:rsid w:val="00122B84"/>
    <w:rsid w:val="00125545"/>
    <w:rsid w:val="00131C6C"/>
    <w:rsid w:val="001366DE"/>
    <w:rsid w:val="00137631"/>
    <w:rsid w:val="00140FC0"/>
    <w:rsid w:val="00145251"/>
    <w:rsid w:val="001548A0"/>
    <w:rsid w:val="00157ADF"/>
    <w:rsid w:val="00165A2F"/>
    <w:rsid w:val="0018005F"/>
    <w:rsid w:val="00191293"/>
    <w:rsid w:val="00194C6C"/>
    <w:rsid w:val="001C37E7"/>
    <w:rsid w:val="001C4C77"/>
    <w:rsid w:val="001C69D3"/>
    <w:rsid w:val="001D1719"/>
    <w:rsid w:val="001D3A08"/>
    <w:rsid w:val="001E1874"/>
    <w:rsid w:val="001E3811"/>
    <w:rsid w:val="001F423F"/>
    <w:rsid w:val="0020124C"/>
    <w:rsid w:val="00216028"/>
    <w:rsid w:val="00220446"/>
    <w:rsid w:val="002212DB"/>
    <w:rsid w:val="0022147F"/>
    <w:rsid w:val="00225ADC"/>
    <w:rsid w:val="00225F7C"/>
    <w:rsid w:val="002337CE"/>
    <w:rsid w:val="00235FC3"/>
    <w:rsid w:val="002416D7"/>
    <w:rsid w:val="00242D27"/>
    <w:rsid w:val="00253FC8"/>
    <w:rsid w:val="00257110"/>
    <w:rsid w:val="00263D98"/>
    <w:rsid w:val="00280C05"/>
    <w:rsid w:val="00280DC5"/>
    <w:rsid w:val="00294F27"/>
    <w:rsid w:val="002B18D9"/>
    <w:rsid w:val="002C0071"/>
    <w:rsid w:val="002D11A3"/>
    <w:rsid w:val="002E09FD"/>
    <w:rsid w:val="002E2A1B"/>
    <w:rsid w:val="003111B8"/>
    <w:rsid w:val="00313DA5"/>
    <w:rsid w:val="0031734D"/>
    <w:rsid w:val="00320034"/>
    <w:rsid w:val="00324418"/>
    <w:rsid w:val="00327741"/>
    <w:rsid w:val="00327F2A"/>
    <w:rsid w:val="00335035"/>
    <w:rsid w:val="00337A12"/>
    <w:rsid w:val="00342038"/>
    <w:rsid w:val="00362A1E"/>
    <w:rsid w:val="00365046"/>
    <w:rsid w:val="00383EF7"/>
    <w:rsid w:val="003A0501"/>
    <w:rsid w:val="003A3B31"/>
    <w:rsid w:val="003B17B7"/>
    <w:rsid w:val="003C0F72"/>
    <w:rsid w:val="003C1B46"/>
    <w:rsid w:val="003C2772"/>
    <w:rsid w:val="003C34D0"/>
    <w:rsid w:val="003C63B1"/>
    <w:rsid w:val="003D130A"/>
    <w:rsid w:val="003F191A"/>
    <w:rsid w:val="00401FA9"/>
    <w:rsid w:val="00412F64"/>
    <w:rsid w:val="00434014"/>
    <w:rsid w:val="00434B54"/>
    <w:rsid w:val="00436A50"/>
    <w:rsid w:val="00445E5F"/>
    <w:rsid w:val="0046109F"/>
    <w:rsid w:val="0046135C"/>
    <w:rsid w:val="004634F6"/>
    <w:rsid w:val="00464B43"/>
    <w:rsid w:val="00493B66"/>
    <w:rsid w:val="00496D2A"/>
    <w:rsid w:val="004A0D04"/>
    <w:rsid w:val="004A5184"/>
    <w:rsid w:val="004C6381"/>
    <w:rsid w:val="004D5596"/>
    <w:rsid w:val="004D6A2C"/>
    <w:rsid w:val="004F5E38"/>
    <w:rsid w:val="00501B34"/>
    <w:rsid w:val="0050375C"/>
    <w:rsid w:val="005042BE"/>
    <w:rsid w:val="00506F8F"/>
    <w:rsid w:val="005178DC"/>
    <w:rsid w:val="00544057"/>
    <w:rsid w:val="005757E4"/>
    <w:rsid w:val="005821FC"/>
    <w:rsid w:val="0059238C"/>
    <w:rsid w:val="005964E8"/>
    <w:rsid w:val="00596E01"/>
    <w:rsid w:val="005B2D75"/>
    <w:rsid w:val="005B7E9F"/>
    <w:rsid w:val="005C32C2"/>
    <w:rsid w:val="005E51A4"/>
    <w:rsid w:val="005E6A4D"/>
    <w:rsid w:val="005F0215"/>
    <w:rsid w:val="005F1829"/>
    <w:rsid w:val="005F3261"/>
    <w:rsid w:val="005F4907"/>
    <w:rsid w:val="005F7BDC"/>
    <w:rsid w:val="0060510F"/>
    <w:rsid w:val="00613E10"/>
    <w:rsid w:val="00614D0C"/>
    <w:rsid w:val="00615B01"/>
    <w:rsid w:val="006268AA"/>
    <w:rsid w:val="00630360"/>
    <w:rsid w:val="00640B97"/>
    <w:rsid w:val="006417DE"/>
    <w:rsid w:val="00642113"/>
    <w:rsid w:val="0064439C"/>
    <w:rsid w:val="00645AC5"/>
    <w:rsid w:val="006513EC"/>
    <w:rsid w:val="006642EA"/>
    <w:rsid w:val="00670B6E"/>
    <w:rsid w:val="00675105"/>
    <w:rsid w:val="00675536"/>
    <w:rsid w:val="0068348A"/>
    <w:rsid w:val="006A03E1"/>
    <w:rsid w:val="006A166F"/>
    <w:rsid w:val="006B46E3"/>
    <w:rsid w:val="006B6FFD"/>
    <w:rsid w:val="006C53C6"/>
    <w:rsid w:val="006D3917"/>
    <w:rsid w:val="006D3BF4"/>
    <w:rsid w:val="006E2E6D"/>
    <w:rsid w:val="006E5994"/>
    <w:rsid w:val="00704AC9"/>
    <w:rsid w:val="00710277"/>
    <w:rsid w:val="0071469B"/>
    <w:rsid w:val="007202F5"/>
    <w:rsid w:val="00726636"/>
    <w:rsid w:val="0073277F"/>
    <w:rsid w:val="0073421E"/>
    <w:rsid w:val="00735496"/>
    <w:rsid w:val="007456F8"/>
    <w:rsid w:val="00756873"/>
    <w:rsid w:val="00760EEC"/>
    <w:rsid w:val="00761E7B"/>
    <w:rsid w:val="00777ACA"/>
    <w:rsid w:val="00786D3E"/>
    <w:rsid w:val="007978B1"/>
    <w:rsid w:val="007A0A07"/>
    <w:rsid w:val="007A2204"/>
    <w:rsid w:val="007A7110"/>
    <w:rsid w:val="007A7D9F"/>
    <w:rsid w:val="007C0175"/>
    <w:rsid w:val="007C6D8A"/>
    <w:rsid w:val="007C6DA5"/>
    <w:rsid w:val="007D38AE"/>
    <w:rsid w:val="007D548F"/>
    <w:rsid w:val="007F625F"/>
    <w:rsid w:val="0080181A"/>
    <w:rsid w:val="00802084"/>
    <w:rsid w:val="008062FB"/>
    <w:rsid w:val="008075E8"/>
    <w:rsid w:val="00813F11"/>
    <w:rsid w:val="00815A9C"/>
    <w:rsid w:val="008167FB"/>
    <w:rsid w:val="00845AAA"/>
    <w:rsid w:val="0086072A"/>
    <w:rsid w:val="00872A64"/>
    <w:rsid w:val="0087525D"/>
    <w:rsid w:val="00876861"/>
    <w:rsid w:val="008B61F8"/>
    <w:rsid w:val="008D3EF7"/>
    <w:rsid w:val="008D5808"/>
    <w:rsid w:val="008E6B3C"/>
    <w:rsid w:val="00907716"/>
    <w:rsid w:val="00914C51"/>
    <w:rsid w:val="00915761"/>
    <w:rsid w:val="00915EFA"/>
    <w:rsid w:val="009179CB"/>
    <w:rsid w:val="00922E38"/>
    <w:rsid w:val="00926E94"/>
    <w:rsid w:val="00936859"/>
    <w:rsid w:val="009371E9"/>
    <w:rsid w:val="00946805"/>
    <w:rsid w:val="00953631"/>
    <w:rsid w:val="00964686"/>
    <w:rsid w:val="00965C2D"/>
    <w:rsid w:val="00966F6C"/>
    <w:rsid w:val="009717DA"/>
    <w:rsid w:val="0098724B"/>
    <w:rsid w:val="009B5A65"/>
    <w:rsid w:val="009C7FB2"/>
    <w:rsid w:val="009D00AA"/>
    <w:rsid w:val="009D5EEC"/>
    <w:rsid w:val="009E2627"/>
    <w:rsid w:val="00A0597D"/>
    <w:rsid w:val="00A1196F"/>
    <w:rsid w:val="00A328E4"/>
    <w:rsid w:val="00A3631B"/>
    <w:rsid w:val="00A44257"/>
    <w:rsid w:val="00A469A6"/>
    <w:rsid w:val="00A46F83"/>
    <w:rsid w:val="00A47190"/>
    <w:rsid w:val="00A67DC3"/>
    <w:rsid w:val="00A92632"/>
    <w:rsid w:val="00A9484E"/>
    <w:rsid w:val="00AC1B03"/>
    <w:rsid w:val="00AC6DFD"/>
    <w:rsid w:val="00AE27D5"/>
    <w:rsid w:val="00AE62BF"/>
    <w:rsid w:val="00B00AEC"/>
    <w:rsid w:val="00B03D02"/>
    <w:rsid w:val="00B11F12"/>
    <w:rsid w:val="00B415B7"/>
    <w:rsid w:val="00B4398A"/>
    <w:rsid w:val="00B47CDE"/>
    <w:rsid w:val="00B543E3"/>
    <w:rsid w:val="00B544F6"/>
    <w:rsid w:val="00B60DCF"/>
    <w:rsid w:val="00B61E6C"/>
    <w:rsid w:val="00B63669"/>
    <w:rsid w:val="00B66076"/>
    <w:rsid w:val="00B66503"/>
    <w:rsid w:val="00B66558"/>
    <w:rsid w:val="00B67620"/>
    <w:rsid w:val="00B70A1F"/>
    <w:rsid w:val="00B86E4A"/>
    <w:rsid w:val="00B939A0"/>
    <w:rsid w:val="00B9548D"/>
    <w:rsid w:val="00BA48BC"/>
    <w:rsid w:val="00BC0672"/>
    <w:rsid w:val="00BD49D6"/>
    <w:rsid w:val="00BE033A"/>
    <w:rsid w:val="00BE3263"/>
    <w:rsid w:val="00BE4464"/>
    <w:rsid w:val="00BF64E2"/>
    <w:rsid w:val="00BF6E66"/>
    <w:rsid w:val="00C0080D"/>
    <w:rsid w:val="00C156FD"/>
    <w:rsid w:val="00C22328"/>
    <w:rsid w:val="00C227A3"/>
    <w:rsid w:val="00C2310B"/>
    <w:rsid w:val="00C26766"/>
    <w:rsid w:val="00C3174D"/>
    <w:rsid w:val="00C34CAC"/>
    <w:rsid w:val="00C363CB"/>
    <w:rsid w:val="00C36D71"/>
    <w:rsid w:val="00C40116"/>
    <w:rsid w:val="00C41EDC"/>
    <w:rsid w:val="00C47E51"/>
    <w:rsid w:val="00C53122"/>
    <w:rsid w:val="00C75755"/>
    <w:rsid w:val="00C81763"/>
    <w:rsid w:val="00C82BFE"/>
    <w:rsid w:val="00C85CF9"/>
    <w:rsid w:val="00CA595B"/>
    <w:rsid w:val="00CC1024"/>
    <w:rsid w:val="00CC2CB8"/>
    <w:rsid w:val="00CD11D0"/>
    <w:rsid w:val="00D023DB"/>
    <w:rsid w:val="00D20EAB"/>
    <w:rsid w:val="00D22CEE"/>
    <w:rsid w:val="00D30458"/>
    <w:rsid w:val="00D37961"/>
    <w:rsid w:val="00D405AB"/>
    <w:rsid w:val="00D4180D"/>
    <w:rsid w:val="00D4211F"/>
    <w:rsid w:val="00D45E0E"/>
    <w:rsid w:val="00D52101"/>
    <w:rsid w:val="00D538E5"/>
    <w:rsid w:val="00D565B9"/>
    <w:rsid w:val="00D638ED"/>
    <w:rsid w:val="00D6454C"/>
    <w:rsid w:val="00D67EA6"/>
    <w:rsid w:val="00D703CE"/>
    <w:rsid w:val="00D85675"/>
    <w:rsid w:val="00D86D1E"/>
    <w:rsid w:val="00D873ED"/>
    <w:rsid w:val="00D919F5"/>
    <w:rsid w:val="00D96CD2"/>
    <w:rsid w:val="00D977F3"/>
    <w:rsid w:val="00DA28D3"/>
    <w:rsid w:val="00DA6303"/>
    <w:rsid w:val="00DB163C"/>
    <w:rsid w:val="00DB62EF"/>
    <w:rsid w:val="00DB6947"/>
    <w:rsid w:val="00DC1161"/>
    <w:rsid w:val="00DE17A1"/>
    <w:rsid w:val="00DE2A5A"/>
    <w:rsid w:val="00DE51F5"/>
    <w:rsid w:val="00DF275A"/>
    <w:rsid w:val="00DF53E9"/>
    <w:rsid w:val="00DF6013"/>
    <w:rsid w:val="00E01C1A"/>
    <w:rsid w:val="00E02849"/>
    <w:rsid w:val="00E04A55"/>
    <w:rsid w:val="00E2291A"/>
    <w:rsid w:val="00E23ADF"/>
    <w:rsid w:val="00E36BF0"/>
    <w:rsid w:val="00E43736"/>
    <w:rsid w:val="00E575CB"/>
    <w:rsid w:val="00E6644A"/>
    <w:rsid w:val="00E745E9"/>
    <w:rsid w:val="00E90797"/>
    <w:rsid w:val="00E9414E"/>
    <w:rsid w:val="00E943C3"/>
    <w:rsid w:val="00EE13ED"/>
    <w:rsid w:val="00EE514C"/>
    <w:rsid w:val="00EE558C"/>
    <w:rsid w:val="00EF4F61"/>
    <w:rsid w:val="00EF7704"/>
    <w:rsid w:val="00F04464"/>
    <w:rsid w:val="00F046CC"/>
    <w:rsid w:val="00F07C52"/>
    <w:rsid w:val="00F26483"/>
    <w:rsid w:val="00F30038"/>
    <w:rsid w:val="00F34E29"/>
    <w:rsid w:val="00F40F46"/>
    <w:rsid w:val="00F42B6B"/>
    <w:rsid w:val="00F535A8"/>
    <w:rsid w:val="00F5671D"/>
    <w:rsid w:val="00F642D9"/>
    <w:rsid w:val="00F6461B"/>
    <w:rsid w:val="00F71E29"/>
    <w:rsid w:val="00F8528D"/>
    <w:rsid w:val="00F91F34"/>
    <w:rsid w:val="00FA7019"/>
    <w:rsid w:val="00FA71CB"/>
    <w:rsid w:val="00FB2047"/>
    <w:rsid w:val="00FB3C1B"/>
    <w:rsid w:val="00FD021E"/>
    <w:rsid w:val="00FD2F54"/>
    <w:rsid w:val="00FE1A52"/>
    <w:rsid w:val="00FF24D0"/>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2D9A5"/>
  <w15:chartTrackingRefBased/>
  <w15:docId w15:val="{D680A2AA-0DB9-4848-BE78-0864FAFB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3D130A"/>
    <w:pPr>
      <w:widowControl w:val="0"/>
      <w:autoSpaceDE w:val="0"/>
      <w:autoSpaceDN w:val="0"/>
      <w:spacing w:before="0" w:after="0" w:line="240" w:lineRule="auto"/>
      <w:ind w:left="9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C63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D130A"/>
    <w:rPr>
      <w:rFonts w:ascii="Times New Roman" w:eastAsia="Times New Roman" w:hAnsi="Times New Roman" w:cs="Times New Roman"/>
      <w:b/>
      <w:bCs/>
      <w:sz w:val="24"/>
      <w:szCs w:val="24"/>
    </w:rPr>
  </w:style>
  <w:style w:type="paragraph" w:styleId="ListParagraph">
    <w:name w:val="List Paragraph"/>
    <w:basedOn w:val="Normal"/>
    <w:uiPriority w:val="34"/>
    <w:qFormat/>
    <w:rsid w:val="003D130A"/>
    <w:pPr>
      <w:ind w:left="720"/>
      <w:contextualSpacing/>
    </w:pPr>
  </w:style>
  <w:style w:type="paragraph" w:styleId="NoSpacing">
    <w:name w:val="No Spacing"/>
    <w:uiPriority w:val="1"/>
    <w:qFormat/>
    <w:rsid w:val="003D130A"/>
    <w:pPr>
      <w:spacing w:before="0" w:after="0" w:line="240" w:lineRule="auto"/>
    </w:pPr>
  </w:style>
  <w:style w:type="table" w:styleId="TableGrid">
    <w:name w:val="Table Grid"/>
    <w:basedOn w:val="TableNormal"/>
    <w:uiPriority w:val="39"/>
    <w:rsid w:val="003D130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130A"/>
    <w:pPr>
      <w:widowControl w:val="0"/>
      <w:autoSpaceDE w:val="0"/>
      <w:autoSpaceDN w:val="0"/>
      <w:spacing w:before="0" w:after="0" w:line="240" w:lineRule="auto"/>
      <w:jc w:val="left"/>
    </w:pPr>
    <w:rPr>
      <w:rFonts w:ascii="Times New Roman" w:eastAsia="Times New Roman" w:hAnsi="Times New Roman" w:cs="Times New Roman"/>
    </w:rPr>
  </w:style>
  <w:style w:type="paragraph" w:styleId="BodyText">
    <w:name w:val="Body Text"/>
    <w:basedOn w:val="Normal"/>
    <w:link w:val="BodyTextChar"/>
    <w:uiPriority w:val="1"/>
    <w:qFormat/>
    <w:rsid w:val="003D130A"/>
    <w:pPr>
      <w:widowControl w:val="0"/>
      <w:autoSpaceDE w:val="0"/>
      <w:autoSpaceDN w:val="0"/>
      <w:spacing w:before="0"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130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63B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C63B1"/>
    <w:rPr>
      <w:b/>
      <w:bCs/>
    </w:rPr>
  </w:style>
  <w:style w:type="paragraph" w:styleId="NormalWeb">
    <w:name w:val="Normal (Web)"/>
    <w:basedOn w:val="Normal"/>
    <w:uiPriority w:val="99"/>
    <w:semiHidden/>
    <w:unhideWhenUsed/>
    <w:rsid w:val="003C63B1"/>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B70A1F"/>
    <w:rPr>
      <w:sz w:val="16"/>
      <w:szCs w:val="16"/>
    </w:rPr>
  </w:style>
  <w:style w:type="paragraph" w:styleId="CommentText">
    <w:name w:val="annotation text"/>
    <w:basedOn w:val="Normal"/>
    <w:link w:val="CommentTextChar"/>
    <w:uiPriority w:val="99"/>
    <w:semiHidden/>
    <w:unhideWhenUsed/>
    <w:rsid w:val="00B70A1F"/>
    <w:pPr>
      <w:spacing w:line="240" w:lineRule="auto"/>
    </w:pPr>
    <w:rPr>
      <w:sz w:val="20"/>
      <w:szCs w:val="20"/>
    </w:rPr>
  </w:style>
  <w:style w:type="character" w:customStyle="1" w:styleId="CommentTextChar">
    <w:name w:val="Comment Text Char"/>
    <w:basedOn w:val="DefaultParagraphFont"/>
    <w:link w:val="CommentText"/>
    <w:uiPriority w:val="99"/>
    <w:semiHidden/>
    <w:rsid w:val="00B70A1F"/>
    <w:rPr>
      <w:sz w:val="20"/>
      <w:szCs w:val="20"/>
    </w:rPr>
  </w:style>
  <w:style w:type="paragraph" w:styleId="BalloonText">
    <w:name w:val="Balloon Text"/>
    <w:basedOn w:val="Normal"/>
    <w:link w:val="BalloonTextChar"/>
    <w:uiPriority w:val="99"/>
    <w:semiHidden/>
    <w:unhideWhenUsed/>
    <w:rsid w:val="00B70A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1F"/>
    <w:rPr>
      <w:rFonts w:ascii="Segoe UI" w:hAnsi="Segoe UI" w:cs="Segoe UI"/>
      <w:sz w:val="18"/>
      <w:szCs w:val="18"/>
    </w:rPr>
  </w:style>
  <w:style w:type="character" w:styleId="Hyperlink">
    <w:name w:val="Hyperlink"/>
    <w:basedOn w:val="DefaultParagraphFont"/>
    <w:uiPriority w:val="99"/>
    <w:unhideWhenUsed/>
    <w:rsid w:val="00122B84"/>
    <w:rPr>
      <w:color w:val="0563C1" w:themeColor="hyperlink"/>
      <w:u w:val="single"/>
    </w:rPr>
  </w:style>
  <w:style w:type="character" w:styleId="UnresolvedMention">
    <w:name w:val="Unresolved Mention"/>
    <w:basedOn w:val="DefaultParagraphFont"/>
    <w:uiPriority w:val="99"/>
    <w:semiHidden/>
    <w:unhideWhenUsed/>
    <w:rsid w:val="00122B84"/>
    <w:rPr>
      <w:color w:val="605E5C"/>
      <w:shd w:val="clear" w:color="auto" w:fill="E1DFDD"/>
    </w:rPr>
  </w:style>
  <w:style w:type="paragraph" w:styleId="Header">
    <w:name w:val="header"/>
    <w:basedOn w:val="Normal"/>
    <w:link w:val="HeaderChar"/>
    <w:uiPriority w:val="99"/>
    <w:unhideWhenUsed/>
    <w:rsid w:val="004C638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6381"/>
  </w:style>
  <w:style w:type="paragraph" w:styleId="Footer">
    <w:name w:val="footer"/>
    <w:basedOn w:val="Normal"/>
    <w:link w:val="FooterChar"/>
    <w:uiPriority w:val="99"/>
    <w:unhideWhenUsed/>
    <w:rsid w:val="004C638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3141">
      <w:bodyDiv w:val="1"/>
      <w:marLeft w:val="0"/>
      <w:marRight w:val="0"/>
      <w:marTop w:val="0"/>
      <w:marBottom w:val="0"/>
      <w:divBdr>
        <w:top w:val="none" w:sz="0" w:space="0" w:color="auto"/>
        <w:left w:val="none" w:sz="0" w:space="0" w:color="auto"/>
        <w:bottom w:val="none" w:sz="0" w:space="0" w:color="auto"/>
        <w:right w:val="none" w:sz="0" w:space="0" w:color="auto"/>
      </w:divBdr>
    </w:div>
    <w:div w:id="602150345">
      <w:bodyDiv w:val="1"/>
      <w:marLeft w:val="0"/>
      <w:marRight w:val="0"/>
      <w:marTop w:val="0"/>
      <w:marBottom w:val="0"/>
      <w:divBdr>
        <w:top w:val="none" w:sz="0" w:space="0" w:color="auto"/>
        <w:left w:val="none" w:sz="0" w:space="0" w:color="auto"/>
        <w:bottom w:val="none" w:sz="0" w:space="0" w:color="auto"/>
        <w:right w:val="none" w:sz="0" w:space="0" w:color="auto"/>
      </w:divBdr>
    </w:div>
    <w:div w:id="1416896683">
      <w:bodyDiv w:val="1"/>
      <w:marLeft w:val="0"/>
      <w:marRight w:val="0"/>
      <w:marTop w:val="0"/>
      <w:marBottom w:val="0"/>
      <w:divBdr>
        <w:top w:val="none" w:sz="0" w:space="0" w:color="auto"/>
        <w:left w:val="none" w:sz="0" w:space="0" w:color="auto"/>
        <w:bottom w:val="none" w:sz="0" w:space="0" w:color="auto"/>
        <w:right w:val="none" w:sz="0" w:space="0" w:color="auto"/>
      </w:divBdr>
      <w:divsChild>
        <w:div w:id="823546464">
          <w:marLeft w:val="0"/>
          <w:marRight w:val="0"/>
          <w:marTop w:val="0"/>
          <w:marBottom w:val="0"/>
          <w:divBdr>
            <w:top w:val="none" w:sz="0" w:space="0" w:color="auto"/>
            <w:left w:val="none" w:sz="0" w:space="0" w:color="auto"/>
            <w:bottom w:val="none" w:sz="0" w:space="0" w:color="auto"/>
            <w:right w:val="none" w:sz="0" w:space="0" w:color="auto"/>
          </w:divBdr>
        </w:div>
      </w:divsChild>
    </w:div>
    <w:div w:id="1426657410">
      <w:bodyDiv w:val="1"/>
      <w:marLeft w:val="0"/>
      <w:marRight w:val="0"/>
      <w:marTop w:val="0"/>
      <w:marBottom w:val="0"/>
      <w:divBdr>
        <w:top w:val="none" w:sz="0" w:space="0" w:color="auto"/>
        <w:left w:val="none" w:sz="0" w:space="0" w:color="auto"/>
        <w:bottom w:val="none" w:sz="0" w:space="0" w:color="auto"/>
        <w:right w:val="none" w:sz="0" w:space="0" w:color="auto"/>
      </w:divBdr>
      <w:divsChild>
        <w:div w:id="156640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6093/ijans.v94i8.1514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14</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akshithsai pabba</dc:creator>
  <cp:keywords/>
  <dc:description/>
  <cp:lastModifiedBy>SDI 1084</cp:lastModifiedBy>
  <cp:revision>510</cp:revision>
  <dcterms:created xsi:type="dcterms:W3CDTF">2024-03-04T17:50:00Z</dcterms:created>
  <dcterms:modified xsi:type="dcterms:W3CDTF">2025-02-19T07:19:00Z</dcterms:modified>
</cp:coreProperties>
</file>