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C59EF4" w14:textId="77777777" w:rsidR="00573EA0" w:rsidRPr="005B6519" w:rsidRDefault="007D55AB">
      <w:pPr>
        <w:pStyle w:val="Normal1"/>
        <w:pBdr>
          <w:top w:val="nil"/>
          <w:left w:val="nil"/>
          <w:bottom w:val="nil"/>
          <w:right w:val="nil"/>
          <w:between w:val="nil"/>
        </w:pBdr>
        <w:jc w:val="both"/>
        <w:rPr>
          <w:rFonts w:ascii="Times New Roman" w:eastAsia="Times New Roman" w:hAnsi="Times New Roman" w:cs="Times New Roman"/>
          <w:b/>
          <w:color w:val="000000"/>
          <w:sz w:val="32"/>
          <w:szCs w:val="32"/>
        </w:rPr>
      </w:pPr>
      <w:r w:rsidRPr="005B6519">
        <w:rPr>
          <w:rFonts w:ascii="Times New Roman" w:eastAsia="Times New Roman" w:hAnsi="Times New Roman" w:cs="Times New Roman"/>
          <w:b/>
          <w:color w:val="000000"/>
          <w:sz w:val="32"/>
          <w:szCs w:val="32"/>
        </w:rPr>
        <w:t xml:space="preserve">A Study on concentration of uranium in groundwater and its health effects in the area around the Indira Gandhi Super Thermal Power Project in </w:t>
      </w:r>
      <w:proofErr w:type="spellStart"/>
      <w:r w:rsidRPr="005B6519">
        <w:rPr>
          <w:rFonts w:ascii="Times New Roman" w:eastAsia="Times New Roman" w:hAnsi="Times New Roman" w:cs="Times New Roman"/>
          <w:b/>
          <w:color w:val="000000"/>
          <w:sz w:val="32"/>
          <w:szCs w:val="32"/>
        </w:rPr>
        <w:t>Jharli</w:t>
      </w:r>
      <w:proofErr w:type="spellEnd"/>
      <w:r w:rsidRPr="005B6519">
        <w:rPr>
          <w:rFonts w:ascii="Times New Roman" w:eastAsia="Times New Roman" w:hAnsi="Times New Roman" w:cs="Times New Roman"/>
          <w:b/>
          <w:color w:val="000000"/>
          <w:sz w:val="32"/>
          <w:szCs w:val="32"/>
        </w:rPr>
        <w:t xml:space="preserve">, Haryana (India), Range: 0-4 km around the project. </w:t>
      </w:r>
    </w:p>
    <w:p w14:paraId="7F13038B" w14:textId="77777777" w:rsidR="00B35F61" w:rsidRDefault="00B35F61">
      <w:pPr>
        <w:pStyle w:val="Normal1"/>
        <w:pBdr>
          <w:top w:val="single" w:sz="6" w:space="1" w:color="000000"/>
          <w:left w:val="nil"/>
          <w:bottom w:val="single" w:sz="6" w:space="1" w:color="000000"/>
          <w:right w:val="nil"/>
          <w:between w:val="nil"/>
        </w:pBdr>
        <w:jc w:val="both"/>
        <w:rPr>
          <w:rFonts w:ascii="Times New Roman" w:eastAsia="Times New Roman" w:hAnsi="Times New Roman" w:cs="Times New Roman"/>
          <w:b/>
          <w:color w:val="000000"/>
          <w:sz w:val="24"/>
          <w:szCs w:val="24"/>
        </w:rPr>
      </w:pPr>
    </w:p>
    <w:p w14:paraId="55A42C40" w14:textId="305D1C4A" w:rsidR="00573EA0" w:rsidRDefault="007D55AB">
      <w:pPr>
        <w:pStyle w:val="Normal1"/>
        <w:pBdr>
          <w:top w:val="single" w:sz="6" w:space="1" w:color="000000"/>
          <w:left w:val="nil"/>
          <w:bottom w:val="single" w:sz="6" w:space="1" w:color="000000"/>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Abstract</w:t>
      </w:r>
    </w:p>
    <w:p w14:paraId="1642855E" w14:textId="77777777" w:rsidR="00573EA0" w:rsidRDefault="007D55AB">
      <w:pPr>
        <w:pStyle w:val="Normal1"/>
        <w:pBdr>
          <w:top w:val="single" w:sz="6" w:space="1" w:color="000000"/>
          <w:left w:val="nil"/>
          <w:bottom w:val="single" w:sz="6" w:space="1" w:color="000000"/>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Thermal pollution is the process via which the local surroundings deteriorates.  Burning coal in thermal power projects is one of the several actions that might discharge uranium into the environment.  These efforts unintentionally raised the Technically Enhanced Natural Radioactivity (TENR) levels of natural radionuclides and their radiation levels in the surroundings.  The most significant sources of electricity produced are thermal power projects.  But the environmental effects of these industrial operations cause questions, particularly with relation to uranium contamination of groundwater. This study examines the uranium concentration in groundwater around the Power Plant and its health effects on nearby </w:t>
      </w:r>
      <w:proofErr w:type="gramStart"/>
      <w:r>
        <w:rPr>
          <w:rFonts w:ascii="Times New Roman" w:eastAsia="Times New Roman" w:hAnsi="Times New Roman" w:cs="Times New Roman"/>
          <w:color w:val="000000"/>
          <w:sz w:val="24"/>
          <w:szCs w:val="24"/>
        </w:rPr>
        <w:t>populations..</w:t>
      </w:r>
      <w:proofErr w:type="gramEnd"/>
      <w:r>
        <w:rPr>
          <w:rFonts w:ascii="Times New Roman" w:eastAsia="Times New Roman" w:hAnsi="Times New Roman" w:cs="Times New Roman"/>
          <w:color w:val="000000"/>
          <w:sz w:val="24"/>
          <w:szCs w:val="24"/>
        </w:rPr>
        <w:t xml:space="preserve">  High uranium content in drinking water can seriously compromise your health. This is so because uranium is radioactive and can cause nephrotoxicity and higher cancer risk. Groundwater samples were gathered and examined within a 0 to 4 </w:t>
      </w:r>
      <w:proofErr w:type="spellStart"/>
      <w:r>
        <w:rPr>
          <w:rFonts w:ascii="Times New Roman" w:eastAsia="Times New Roman" w:hAnsi="Times New Roman" w:cs="Times New Roman"/>
          <w:color w:val="000000"/>
          <w:sz w:val="24"/>
          <w:szCs w:val="24"/>
        </w:rPr>
        <w:t>kilometer</w:t>
      </w:r>
      <w:proofErr w:type="spellEnd"/>
      <w:r>
        <w:rPr>
          <w:rFonts w:ascii="Times New Roman" w:eastAsia="Times New Roman" w:hAnsi="Times New Roman" w:cs="Times New Roman"/>
          <w:color w:val="000000"/>
          <w:sz w:val="24"/>
          <w:szCs w:val="24"/>
        </w:rPr>
        <w:t xml:space="preserve"> range from many locations surrounding the water plant.  Finding the degree of Uranium contamination is the aim of the project.  In terms of radiation and chemistry as well, uranium is a well-known dangerous element. The USEPA </w:t>
      </w:r>
      <w:proofErr w:type="spellStart"/>
      <w:r>
        <w:rPr>
          <w:rFonts w:ascii="Times New Roman" w:eastAsia="Times New Roman" w:hAnsi="Times New Roman" w:cs="Times New Roman"/>
          <w:color w:val="000000"/>
          <w:sz w:val="24"/>
          <w:szCs w:val="24"/>
        </w:rPr>
        <w:t>labeled</w:t>
      </w:r>
      <w:proofErr w:type="spellEnd"/>
      <w:r>
        <w:rPr>
          <w:rFonts w:ascii="Times New Roman" w:eastAsia="Times New Roman" w:hAnsi="Times New Roman" w:cs="Times New Roman"/>
          <w:color w:val="000000"/>
          <w:sz w:val="24"/>
          <w:szCs w:val="24"/>
        </w:rPr>
        <w:t xml:space="preserve"> uranium a carcinogen in 1991 and urged that drinking water should contain no uranium.  Figure 2 shows the uranium concentration in water samples from hand pumps, </w:t>
      </w:r>
      <w:proofErr w:type="spellStart"/>
      <w:r>
        <w:rPr>
          <w:rFonts w:ascii="Times New Roman" w:eastAsia="Times New Roman" w:hAnsi="Times New Roman" w:cs="Times New Roman"/>
          <w:color w:val="000000"/>
          <w:sz w:val="24"/>
          <w:szCs w:val="24"/>
        </w:rPr>
        <w:t>bowli</w:t>
      </w:r>
      <w:proofErr w:type="spellEnd"/>
      <w:r>
        <w:rPr>
          <w:rFonts w:ascii="Times New Roman" w:eastAsia="Times New Roman" w:hAnsi="Times New Roman" w:cs="Times New Roman"/>
          <w:color w:val="000000"/>
          <w:sz w:val="24"/>
          <w:szCs w:val="24"/>
        </w:rPr>
        <w:t>, river water, and canals around the project measured using an LED fluorimeter (</w:t>
      </w:r>
      <w:proofErr w:type="spellStart"/>
      <w:r>
        <w:rPr>
          <w:rFonts w:ascii="Times New Roman" w:eastAsia="Times New Roman" w:hAnsi="Times New Roman" w:cs="Times New Roman"/>
          <w:color w:val="000000"/>
          <w:sz w:val="24"/>
          <w:szCs w:val="24"/>
        </w:rPr>
        <w:t>Quantalase</w:t>
      </w:r>
      <w:proofErr w:type="spellEnd"/>
      <w:r>
        <w:rPr>
          <w:rFonts w:ascii="Times New Roman" w:eastAsia="Times New Roman" w:hAnsi="Times New Roman" w:cs="Times New Roman"/>
          <w:color w:val="000000"/>
          <w:sz w:val="24"/>
          <w:szCs w:val="24"/>
        </w:rPr>
        <w:t xml:space="preserve"> LF-2a). With an average of 47.59 µg/L, the uranium content ranged from 2.64 to 201.9 µg/L. Average of 1.18 </w:t>
      </w:r>
      <w:proofErr w:type="spellStart"/>
      <w:r>
        <w:rPr>
          <w:rFonts w:ascii="Times New Roman" w:eastAsia="Times New Roman" w:hAnsi="Times New Roman" w:cs="Times New Roman"/>
          <w:color w:val="000000"/>
          <w:sz w:val="24"/>
          <w:szCs w:val="24"/>
        </w:rPr>
        <w:t>Bq</w:t>
      </w:r>
      <w:proofErr w:type="spellEnd"/>
      <w:r>
        <w:rPr>
          <w:rFonts w:ascii="Times New Roman" w:eastAsia="Times New Roman" w:hAnsi="Times New Roman" w:cs="Times New Roman"/>
          <w:color w:val="000000"/>
          <w:sz w:val="24"/>
          <w:szCs w:val="24"/>
        </w:rPr>
        <w:t xml:space="preserve">/L, the activity concentration (Ac) ranged from 0.06 to 5.07 </w:t>
      </w:r>
      <w:proofErr w:type="spellStart"/>
      <w:r>
        <w:rPr>
          <w:rFonts w:ascii="Times New Roman" w:eastAsia="Times New Roman" w:hAnsi="Times New Roman" w:cs="Times New Roman"/>
          <w:color w:val="000000"/>
          <w:sz w:val="24"/>
          <w:szCs w:val="24"/>
        </w:rPr>
        <w:t>Bq</w:t>
      </w:r>
      <w:proofErr w:type="spellEnd"/>
      <w:r>
        <w:rPr>
          <w:rFonts w:ascii="Times New Roman" w:eastAsia="Times New Roman" w:hAnsi="Times New Roman" w:cs="Times New Roman"/>
          <w:color w:val="000000"/>
          <w:sz w:val="24"/>
          <w:szCs w:val="24"/>
        </w:rPr>
        <w:t>/L. From 0.05 to 4 µg/kg/day, the lifetime average daily dose (LADD) ranged.  The findings of this study will enable us to better manage groundwater in the area and assist us to grasp how thermal power plants influence the surroundings.</w:t>
      </w:r>
    </w:p>
    <w:p w14:paraId="11033321" w14:textId="77777777" w:rsidR="00573EA0" w:rsidRDefault="007D55AB">
      <w:pPr>
        <w:pStyle w:val="Normal1"/>
        <w:pBdr>
          <w:top w:val="single" w:sz="6" w:space="1" w:color="000000"/>
          <w:left w:val="nil"/>
          <w:bottom w:val="single" w:sz="6" w:space="1" w:color="000000"/>
          <w:right w:val="nil"/>
          <w:between w:val="nil"/>
        </w:pBdr>
        <w:jc w:val="both"/>
        <w:rPr>
          <w:rFonts w:ascii="Times New Roman" w:eastAsia="Times New Roman" w:hAnsi="Times New Roman" w:cs="Times New Roman"/>
          <w:color w:val="000000"/>
          <w:sz w:val="24"/>
          <w:szCs w:val="24"/>
        </w:rPr>
        <w:sectPr w:rsidR="00573EA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pgNumType w:start="1"/>
          <w:cols w:space="720"/>
        </w:sectPr>
      </w:pPr>
      <w:r>
        <w:rPr>
          <w:rFonts w:ascii="Times New Roman" w:eastAsia="Times New Roman" w:hAnsi="Times New Roman" w:cs="Times New Roman"/>
          <w:b/>
          <w:color w:val="000000"/>
          <w:sz w:val="24"/>
          <w:szCs w:val="24"/>
        </w:rPr>
        <w:t xml:space="preserve">Keywords:   </w:t>
      </w:r>
      <w:r>
        <w:rPr>
          <w:rFonts w:ascii="Times New Roman" w:eastAsia="Times New Roman" w:hAnsi="Times New Roman" w:cs="Times New Roman"/>
          <w:color w:val="000000"/>
          <w:sz w:val="24"/>
          <w:szCs w:val="24"/>
        </w:rPr>
        <w:t>Uranium, LED fluorimeter, E.C.R., groundwater, LADD, chemical risks.</w:t>
      </w:r>
    </w:p>
    <w:p w14:paraId="42CD3382" w14:textId="77777777" w:rsidR="00573EA0" w:rsidRDefault="007D55AB" w:rsidP="007D55AB">
      <w:pPr>
        <w:pStyle w:val="Normal1"/>
        <w:pBdr>
          <w:top w:val="nil"/>
          <w:left w:val="nil"/>
          <w:bottom w:val="nil"/>
          <w:right w:val="nil"/>
          <w:between w:val="nil"/>
        </w:pBdr>
        <w:rPr>
          <w:rFonts w:ascii="Times New Roman" w:eastAsia="Times New Roman" w:hAnsi="Times New Roman" w:cs="Times New Roman"/>
          <w:b/>
          <w:color w:val="000000"/>
          <w:sz w:val="24"/>
          <w:szCs w:val="24"/>
        </w:rPr>
        <w:sectPr w:rsidR="00573EA0">
          <w:type w:val="continuous"/>
          <w:pgSz w:w="11906" w:h="16838"/>
          <w:pgMar w:top="1440" w:right="1440" w:bottom="1440" w:left="1440" w:header="708" w:footer="708" w:gutter="0"/>
          <w:cols w:space="720"/>
        </w:sectPr>
      </w:pPr>
      <w:r>
        <w:rPr>
          <w:rFonts w:ascii="Times New Roman" w:eastAsia="Times New Roman" w:hAnsi="Times New Roman" w:cs="Times New Roman"/>
          <w:b/>
          <w:color w:val="000000"/>
          <w:sz w:val="24"/>
          <w:szCs w:val="24"/>
          <w:lang w:val="id-ID"/>
        </w:rPr>
        <w:t xml:space="preserve">1.  </w:t>
      </w:r>
      <w:r>
        <w:rPr>
          <w:rFonts w:ascii="Times New Roman" w:eastAsia="Times New Roman" w:hAnsi="Times New Roman" w:cs="Times New Roman"/>
          <w:b/>
          <w:color w:val="000000"/>
          <w:sz w:val="24"/>
          <w:szCs w:val="24"/>
        </w:rPr>
        <w:t>Introduction</w:t>
      </w:r>
    </w:p>
    <w:p w14:paraId="553DD6BF" w14:textId="77777777" w:rsidR="00573EA0" w:rsidRDefault="007D55AB">
      <w:pPr>
        <w:pStyle w:val="Normal1"/>
        <w:pBdr>
          <w:top w:val="nil"/>
          <w:left w:val="nil"/>
          <w:bottom w:val="nil"/>
          <w:right w:val="nil"/>
          <w:between w:val="nil"/>
        </w:pBdr>
        <w:spacing w:after="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A naturally occurring radioactive material, uranium can find several routes of seeping into ground. Public health is seriously threatened when the uranium concentration in groundwater exceeds the allowed limits. Uranium denser than lead by seventy percent.  The isotope composition of uranium in nature is exactly that of uranium-238 (99.2739-99.2752%). Exceptionally low Uranium-234 (0.050-0.0059%) and Uranium-235 (0.7198-0.7202%) concentrations.  The UN Scientific Committee on the Effects of Atomic Radiation (UNSCEAR) reports a range of 300 µg kg -1 to 11.7 mg kg -1 for soil uranium content. For a 70-kg male, uranium intake averages 2.6 µg daily, with one-third coming from drinking </w:t>
      </w:r>
      <w:r>
        <w:rPr>
          <w:rFonts w:ascii="Times New Roman" w:eastAsia="Times New Roman" w:hAnsi="Times New Roman" w:cs="Times New Roman"/>
          <w:color w:val="222222"/>
          <w:sz w:val="24"/>
          <w:szCs w:val="24"/>
          <w:highlight w:val="white"/>
        </w:rPr>
        <w:lastRenderedPageBreak/>
        <w:t>water (ATSDR, 1999). By (USEPA 2012; W.H.O 2011</w:t>
      </w:r>
      <w:proofErr w:type="gramStart"/>
      <w:r>
        <w:rPr>
          <w:rFonts w:ascii="Times New Roman" w:eastAsia="Times New Roman" w:hAnsi="Times New Roman" w:cs="Times New Roman"/>
          <w:color w:val="222222"/>
          <w:sz w:val="24"/>
          <w:szCs w:val="24"/>
          <w:highlight w:val="white"/>
        </w:rPr>
        <w:t>)  Long</w:t>
      </w:r>
      <w:proofErr w:type="gramEnd"/>
      <w:r>
        <w:rPr>
          <w:rFonts w:ascii="Times New Roman" w:eastAsia="Times New Roman" w:hAnsi="Times New Roman" w:cs="Times New Roman"/>
          <w:color w:val="222222"/>
          <w:sz w:val="24"/>
          <w:szCs w:val="24"/>
          <w:highlight w:val="white"/>
        </w:rPr>
        <w:t xml:space="preserve">-term uranium contamination of drinking water can lead to a range of health issues, particularly with regard to the kidneys. Studies on drinking water high in uranium have linked a higher risk of kidney damage, chronic kidney disease, and perhaps other health problems. Children, pregnant women, and people with renal issues prior to uranium exposure are more likely to suffer harmful consequences from the element. WHO and USEPA set a </w:t>
      </w:r>
      <w:proofErr w:type="gramStart"/>
      <w:r>
        <w:rPr>
          <w:rFonts w:ascii="Times New Roman" w:eastAsia="Times New Roman" w:hAnsi="Times New Roman" w:cs="Times New Roman"/>
          <w:color w:val="222222"/>
          <w:sz w:val="24"/>
          <w:szCs w:val="24"/>
          <w:highlight w:val="white"/>
        </w:rPr>
        <w:t>30 ppb</w:t>
      </w:r>
      <w:proofErr w:type="gramEnd"/>
      <w:r>
        <w:rPr>
          <w:rFonts w:ascii="Times New Roman" w:eastAsia="Times New Roman" w:hAnsi="Times New Roman" w:cs="Times New Roman"/>
          <w:color w:val="222222"/>
          <w:sz w:val="24"/>
          <w:szCs w:val="24"/>
          <w:highlight w:val="white"/>
        </w:rPr>
        <w:t xml:space="preserve"> maximum contamination level (MCL). </w:t>
      </w:r>
    </w:p>
    <w:p w14:paraId="40643308" w14:textId="77777777" w:rsidR="00573EA0" w:rsidRDefault="00573EA0">
      <w:pPr>
        <w:pStyle w:val="Normal1"/>
        <w:pBdr>
          <w:top w:val="nil"/>
          <w:left w:val="nil"/>
          <w:bottom w:val="nil"/>
          <w:right w:val="nil"/>
          <w:between w:val="nil"/>
        </w:pBdr>
        <w:spacing w:after="0"/>
        <w:jc w:val="both"/>
        <w:rPr>
          <w:rFonts w:ascii="Times New Roman" w:eastAsia="Times New Roman" w:hAnsi="Times New Roman" w:cs="Times New Roman"/>
          <w:color w:val="222222"/>
          <w:sz w:val="24"/>
          <w:szCs w:val="24"/>
          <w:highlight w:val="white"/>
        </w:rPr>
      </w:pPr>
    </w:p>
    <w:p w14:paraId="5F0684FC" w14:textId="77777777" w:rsidR="00573EA0" w:rsidRDefault="007D55AB">
      <w:pPr>
        <w:pStyle w:val="Normal1"/>
        <w:pBdr>
          <w:top w:val="nil"/>
          <w:left w:val="nil"/>
          <w:bottom w:val="nil"/>
          <w:right w:val="nil"/>
          <w:between w:val="nil"/>
        </w:pBdr>
        <w:spacing w:after="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 Research by </w:t>
      </w:r>
      <w:proofErr w:type="gramStart"/>
      <w:r>
        <w:rPr>
          <w:rFonts w:ascii="Times New Roman" w:eastAsia="Times New Roman" w:hAnsi="Times New Roman" w:cs="Times New Roman"/>
          <w:color w:val="222222"/>
          <w:sz w:val="24"/>
          <w:szCs w:val="24"/>
          <w:highlight w:val="white"/>
        </w:rPr>
        <w:t>( W.H.O.</w:t>
      </w:r>
      <w:proofErr w:type="gramEnd"/>
      <w:r>
        <w:rPr>
          <w:rFonts w:ascii="Times New Roman" w:eastAsia="Times New Roman" w:hAnsi="Times New Roman" w:cs="Times New Roman"/>
          <w:color w:val="222222"/>
          <w:sz w:val="24"/>
          <w:szCs w:val="24"/>
          <w:highlight w:val="white"/>
        </w:rPr>
        <w:t xml:space="preserve"> 1998; </w:t>
      </w:r>
      <w:proofErr w:type="spellStart"/>
      <w:r>
        <w:rPr>
          <w:rFonts w:ascii="Times New Roman" w:eastAsia="Times New Roman" w:hAnsi="Times New Roman" w:cs="Times New Roman"/>
          <w:color w:val="222222"/>
          <w:sz w:val="24"/>
          <w:szCs w:val="24"/>
          <w:highlight w:val="white"/>
        </w:rPr>
        <w:t>R.Jakhu</w:t>
      </w:r>
      <w:proofErr w:type="spellEnd"/>
      <w:r>
        <w:rPr>
          <w:rFonts w:ascii="Times New Roman" w:eastAsia="Times New Roman" w:hAnsi="Times New Roman" w:cs="Times New Roman"/>
          <w:color w:val="222222"/>
          <w:sz w:val="24"/>
          <w:szCs w:val="24"/>
          <w:highlight w:val="white"/>
        </w:rPr>
        <w:t xml:space="preserve"> et al., 2016) Chemical toxicity hazards are more severe than radiological ones. According to </w:t>
      </w:r>
      <w:proofErr w:type="spellStart"/>
      <w:proofErr w:type="gramStart"/>
      <w:r>
        <w:rPr>
          <w:rFonts w:ascii="Times New Roman" w:eastAsia="Times New Roman" w:hAnsi="Times New Roman" w:cs="Times New Roman"/>
          <w:color w:val="222222"/>
          <w:sz w:val="24"/>
          <w:szCs w:val="24"/>
          <w:highlight w:val="white"/>
        </w:rPr>
        <w:t>L.Domingo</w:t>
      </w:r>
      <w:proofErr w:type="spellEnd"/>
      <w:proofErr w:type="gramEnd"/>
      <w:r>
        <w:rPr>
          <w:rFonts w:ascii="Times New Roman" w:eastAsia="Times New Roman" w:hAnsi="Times New Roman" w:cs="Times New Roman"/>
          <w:color w:val="222222"/>
          <w:sz w:val="24"/>
          <w:szCs w:val="24"/>
          <w:highlight w:val="white"/>
        </w:rPr>
        <w:t xml:space="preserve"> et al., 1995)  Uranium metal is clearly bad for our bodies, especially for our kidneys. Water and other meals are the main ways one consumes uranium. Uranium often accumulates in the kidneys, liver, and bones (</w:t>
      </w:r>
      <w:proofErr w:type="spellStart"/>
      <w:proofErr w:type="gramStart"/>
      <w:r>
        <w:rPr>
          <w:rFonts w:ascii="Times New Roman" w:eastAsia="Times New Roman" w:hAnsi="Times New Roman" w:cs="Times New Roman"/>
          <w:color w:val="222222"/>
          <w:sz w:val="24"/>
          <w:szCs w:val="24"/>
          <w:highlight w:val="white"/>
        </w:rPr>
        <w:t>P.Kurttio</w:t>
      </w:r>
      <w:proofErr w:type="spellEnd"/>
      <w:proofErr w:type="gramEnd"/>
      <w:r>
        <w:rPr>
          <w:rFonts w:ascii="Times New Roman" w:eastAsia="Times New Roman" w:hAnsi="Times New Roman" w:cs="Times New Roman"/>
          <w:color w:val="222222"/>
          <w:sz w:val="24"/>
          <w:szCs w:val="24"/>
          <w:highlight w:val="white"/>
        </w:rPr>
        <w:t xml:space="preserve"> et al., 2005)  following intake.  About 66% of the uranium the body absorbs passes right away through urine. The residual uranium is distributed and accumulates in soft tissues </w:t>
      </w:r>
      <w:proofErr w:type="gramStart"/>
      <w:r>
        <w:rPr>
          <w:rFonts w:ascii="Times New Roman" w:eastAsia="Times New Roman" w:hAnsi="Times New Roman" w:cs="Times New Roman"/>
          <w:color w:val="222222"/>
          <w:sz w:val="24"/>
          <w:szCs w:val="24"/>
          <w:highlight w:val="white"/>
        </w:rPr>
        <w:t>( M.E.</w:t>
      </w:r>
      <w:proofErr w:type="gramEnd"/>
      <w:r>
        <w:rPr>
          <w:rFonts w:ascii="Times New Roman" w:eastAsia="Times New Roman" w:hAnsi="Times New Roman" w:cs="Times New Roman"/>
          <w:color w:val="222222"/>
          <w:sz w:val="24"/>
          <w:szCs w:val="24"/>
          <w:highlight w:val="white"/>
        </w:rPr>
        <w:t xml:space="preserve"> Wrenn et al., 1985), kidneys (12–25%), and bones (10–15%).  Apart from that, uranium contamination can change the ecological balance, therefore affecting agricultural output and aquatic life. Eating food products polluted with uranium could seriously endanger human health since uranium can build up in the food chain.  </w:t>
      </w:r>
    </w:p>
    <w:p w14:paraId="1828918A" w14:textId="77777777" w:rsidR="00573EA0" w:rsidRDefault="007D55AB">
      <w:pPr>
        <w:pStyle w:val="Normal1"/>
        <w:pBdr>
          <w:top w:val="nil"/>
          <w:left w:val="nil"/>
          <w:bottom w:val="nil"/>
          <w:right w:val="nil"/>
          <w:between w:val="nil"/>
        </w:pBdr>
        <w:spacing w:after="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Comprehensive assessments of groundwater quality must be conducted, especially in areas where thermal plants and industrial complexes can be sources of uranium pollution. To protect humans and the environment from uranium-contaminated groundwater, monitoring, remediation, and public awareness campaigns are essential.  This study estimates chemical and radioactive dangers around the Indira Gandhi Super Thermal Power Project within 0–4 km.  These findings can inform local management methods and laws.</w:t>
      </w:r>
    </w:p>
    <w:p w14:paraId="67641460" w14:textId="77777777" w:rsidR="00573EA0" w:rsidRDefault="00573EA0">
      <w:pPr>
        <w:pStyle w:val="Normal1"/>
        <w:pBdr>
          <w:top w:val="nil"/>
          <w:left w:val="nil"/>
          <w:bottom w:val="nil"/>
          <w:right w:val="nil"/>
          <w:between w:val="nil"/>
        </w:pBdr>
        <w:spacing w:after="0"/>
        <w:jc w:val="both"/>
        <w:rPr>
          <w:rFonts w:ascii="Times New Roman" w:eastAsia="Times New Roman" w:hAnsi="Times New Roman" w:cs="Times New Roman"/>
          <w:color w:val="222222"/>
          <w:sz w:val="24"/>
          <w:szCs w:val="24"/>
          <w:highlight w:val="white"/>
        </w:rPr>
        <w:sectPr w:rsidR="00573EA0">
          <w:type w:val="continuous"/>
          <w:pgSz w:w="11906" w:h="16838"/>
          <w:pgMar w:top="1440" w:right="1440" w:bottom="1440" w:left="1440" w:header="708" w:footer="708" w:gutter="0"/>
          <w:cols w:space="720"/>
        </w:sectPr>
      </w:pPr>
    </w:p>
    <w:p w14:paraId="056E9E64" w14:textId="77777777" w:rsidR="00540563" w:rsidRDefault="00540563">
      <w:pPr>
        <w:pStyle w:val="Normal1"/>
        <w:pBdr>
          <w:top w:val="nil"/>
          <w:left w:val="nil"/>
          <w:bottom w:val="nil"/>
          <w:right w:val="nil"/>
          <w:between w:val="nil"/>
        </w:pBdr>
        <w:rPr>
          <w:rFonts w:ascii="Times New Roman" w:eastAsia="Times New Roman" w:hAnsi="Times New Roman" w:cs="Times New Roman"/>
          <w:b/>
          <w:color w:val="222222"/>
          <w:sz w:val="24"/>
          <w:szCs w:val="24"/>
          <w:highlight w:val="white"/>
          <w:lang w:val="id-ID"/>
        </w:rPr>
      </w:pPr>
    </w:p>
    <w:p w14:paraId="7FBF0AF0" w14:textId="77777777" w:rsidR="00573EA0" w:rsidRDefault="00540563">
      <w:pPr>
        <w:pStyle w:val="Normal1"/>
        <w:pBdr>
          <w:top w:val="nil"/>
          <w:left w:val="nil"/>
          <w:bottom w:val="nil"/>
          <w:right w:val="nil"/>
          <w:between w:val="nil"/>
        </w:pBdr>
        <w:rPr>
          <w:rFonts w:ascii="Times New Roman" w:eastAsia="Times New Roman" w:hAnsi="Times New Roman" w:cs="Times New Roman"/>
          <w:b/>
          <w:color w:val="222222"/>
          <w:sz w:val="24"/>
          <w:szCs w:val="24"/>
          <w:highlight w:val="white"/>
        </w:rPr>
      </w:pPr>
      <w:r>
        <w:rPr>
          <w:rFonts w:ascii="Times New Roman" w:eastAsia="Times New Roman" w:hAnsi="Times New Roman" w:cs="Times New Roman"/>
          <w:b/>
          <w:color w:val="222222"/>
          <w:sz w:val="24"/>
          <w:szCs w:val="24"/>
          <w:highlight w:val="white"/>
        </w:rPr>
        <w:t>2.</w:t>
      </w:r>
      <w:r w:rsidR="007D55AB">
        <w:rPr>
          <w:rFonts w:ascii="Times New Roman" w:eastAsia="Times New Roman" w:hAnsi="Times New Roman" w:cs="Times New Roman"/>
          <w:b/>
          <w:color w:val="222222"/>
          <w:sz w:val="24"/>
          <w:szCs w:val="24"/>
          <w:highlight w:val="white"/>
          <w:lang w:val="id-ID"/>
        </w:rPr>
        <w:t xml:space="preserve">  </w:t>
      </w:r>
      <w:r w:rsidR="007D55AB">
        <w:rPr>
          <w:rFonts w:ascii="Times New Roman" w:eastAsia="Times New Roman" w:hAnsi="Times New Roman" w:cs="Times New Roman"/>
          <w:b/>
          <w:color w:val="222222"/>
          <w:sz w:val="24"/>
          <w:szCs w:val="24"/>
          <w:highlight w:val="white"/>
        </w:rPr>
        <w:t>Study Area</w:t>
      </w:r>
    </w:p>
    <w:p w14:paraId="5F138442" w14:textId="77777777" w:rsidR="00573EA0" w:rsidRDefault="007D55AB">
      <w:pPr>
        <w:pStyle w:val="Normal1"/>
        <w:pBdr>
          <w:top w:val="nil"/>
          <w:left w:val="nil"/>
          <w:bottom w:val="nil"/>
          <w:right w:val="nil"/>
          <w:between w:val="nil"/>
        </w:pBdr>
        <w:spacing w:after="0"/>
        <w:jc w:val="both"/>
        <w:rPr>
          <w:rFonts w:ascii="Times New Roman" w:eastAsia="Times New Roman" w:hAnsi="Times New Roman" w:cs="Times New Roman"/>
          <w:color w:val="202122"/>
          <w:sz w:val="24"/>
          <w:szCs w:val="24"/>
          <w:highlight w:val="white"/>
        </w:rPr>
      </w:pPr>
      <w:r>
        <w:rPr>
          <w:rFonts w:ascii="Times New Roman" w:eastAsia="Times New Roman" w:hAnsi="Times New Roman" w:cs="Times New Roman"/>
          <w:color w:val="202122"/>
          <w:sz w:val="24"/>
          <w:szCs w:val="24"/>
          <w:highlight w:val="white"/>
        </w:rPr>
        <w:t xml:space="preserve">Indira Gandhi Super Thermal Power Project is in Jhajjar, Haryana. </w:t>
      </w:r>
      <w:proofErr w:type="spellStart"/>
      <w:r>
        <w:rPr>
          <w:rFonts w:ascii="Times New Roman" w:eastAsia="Times New Roman" w:hAnsi="Times New Roman" w:cs="Times New Roman"/>
          <w:color w:val="202122"/>
          <w:sz w:val="24"/>
          <w:szCs w:val="24"/>
          <w:highlight w:val="white"/>
        </w:rPr>
        <w:t>Jharli</w:t>
      </w:r>
      <w:proofErr w:type="spellEnd"/>
      <w:r>
        <w:rPr>
          <w:rFonts w:ascii="Times New Roman" w:eastAsia="Times New Roman" w:hAnsi="Times New Roman" w:cs="Times New Roman"/>
          <w:color w:val="202122"/>
          <w:sz w:val="24"/>
          <w:szCs w:val="24"/>
          <w:highlight w:val="white"/>
        </w:rPr>
        <w:t xml:space="preserve"> hamlet to the north and Khanpur Khurd to the south border the plant.  Fig. 1 shows the project site between 28°28'43"N and 76°22'31".  APCPL is a joint venture. NTPC Ltd., 25% HPGCL, and 25% IPGCL control half of it. Registered as a private limited company by the Central Government of India, Delhi, and Haryana on December 21, 2006. In Haryana's Jhajjar District, APCPL built the coal-based Indira Gandhi Super Thermal Power Project (IGSTPP) near </w:t>
      </w:r>
      <w:proofErr w:type="spellStart"/>
      <w:r>
        <w:rPr>
          <w:rFonts w:ascii="Times New Roman" w:eastAsia="Times New Roman" w:hAnsi="Times New Roman" w:cs="Times New Roman"/>
          <w:color w:val="202122"/>
          <w:sz w:val="24"/>
          <w:szCs w:val="24"/>
          <w:highlight w:val="white"/>
        </w:rPr>
        <w:t>Jharli</w:t>
      </w:r>
      <w:proofErr w:type="spellEnd"/>
      <w:r>
        <w:rPr>
          <w:rFonts w:ascii="Times New Roman" w:eastAsia="Times New Roman" w:hAnsi="Times New Roman" w:cs="Times New Roman"/>
          <w:color w:val="202122"/>
          <w:sz w:val="24"/>
          <w:szCs w:val="24"/>
          <w:highlight w:val="white"/>
        </w:rPr>
        <w:t xml:space="preserve"> Village. A 3x 500MW power plant is being built in Stage I. all three of the units have been commissioned at present. In Haryana, it has the largest thermal capacity plant.</w:t>
      </w:r>
    </w:p>
    <w:p w14:paraId="0AC5C78C" w14:textId="77777777" w:rsidR="00573EA0" w:rsidRDefault="007D55AB">
      <w:pPr>
        <w:pStyle w:val="Normal1"/>
        <w:pBdr>
          <w:top w:val="nil"/>
          <w:left w:val="nil"/>
          <w:bottom w:val="nil"/>
          <w:right w:val="nil"/>
          <w:between w:val="nil"/>
        </w:pBdr>
        <w:spacing w:after="0"/>
        <w:jc w:val="both"/>
        <w:rPr>
          <w:rFonts w:ascii="Times New Roman" w:eastAsia="Times New Roman" w:hAnsi="Times New Roman" w:cs="Times New Roman"/>
          <w:color w:val="202122"/>
          <w:sz w:val="24"/>
          <w:szCs w:val="24"/>
          <w:highlight w:val="white"/>
        </w:rPr>
      </w:pPr>
      <w:r>
        <w:rPr>
          <w:rFonts w:ascii="Times New Roman" w:eastAsia="Times New Roman" w:hAnsi="Times New Roman" w:cs="Times New Roman"/>
          <w:color w:val="202122"/>
          <w:sz w:val="24"/>
          <w:szCs w:val="24"/>
          <w:highlight w:val="white"/>
        </w:rPr>
        <w:t xml:space="preserve">Generation of energy from this facility is mostly dependent on </w:t>
      </w:r>
      <w:proofErr w:type="gramStart"/>
      <w:r>
        <w:rPr>
          <w:rFonts w:ascii="Times New Roman" w:eastAsia="Times New Roman" w:hAnsi="Times New Roman" w:cs="Times New Roman"/>
          <w:color w:val="202122"/>
          <w:sz w:val="24"/>
          <w:szCs w:val="24"/>
          <w:highlight w:val="white"/>
        </w:rPr>
        <w:t>The</w:t>
      </w:r>
      <w:proofErr w:type="gramEnd"/>
      <w:r>
        <w:rPr>
          <w:rFonts w:ascii="Times New Roman" w:eastAsia="Times New Roman" w:hAnsi="Times New Roman" w:cs="Times New Roman"/>
          <w:color w:val="202122"/>
          <w:sz w:val="24"/>
          <w:szCs w:val="24"/>
          <w:highlight w:val="white"/>
        </w:rPr>
        <w:t xml:space="preserve"> area boasts alluvial deposits that influence groundwater flow and quality, therefore impacting the hydrological characteristics.  Commonly found in the Indo-Gangetic Plains, the geology of the area is essentially composed of sedimentary rocks, sandstones, shales, and clays.  Both the spread of groundwater and the likelihood of pollution from industrial activities depend on these formations.  Understanding the geological background is essential to assess the environmental impact of the power plant, particularly with relation to the quality of the groundwater and the likely migration of heavy elements such as uranium.</w:t>
      </w:r>
    </w:p>
    <w:p w14:paraId="60850B17" w14:textId="77777777" w:rsidR="00573EA0" w:rsidRDefault="00573EA0">
      <w:pPr>
        <w:pStyle w:val="Normal1"/>
        <w:pBdr>
          <w:top w:val="nil"/>
          <w:left w:val="nil"/>
          <w:bottom w:val="nil"/>
          <w:right w:val="nil"/>
          <w:between w:val="nil"/>
        </w:pBdr>
        <w:spacing w:after="0"/>
        <w:jc w:val="both"/>
        <w:rPr>
          <w:rFonts w:ascii="Times New Roman" w:eastAsia="Times New Roman" w:hAnsi="Times New Roman" w:cs="Times New Roman"/>
          <w:color w:val="202122"/>
          <w:sz w:val="24"/>
          <w:szCs w:val="24"/>
          <w:highlight w:val="white"/>
        </w:rPr>
      </w:pPr>
    </w:p>
    <w:p w14:paraId="6B076B43" w14:textId="77777777" w:rsidR="00573EA0" w:rsidRDefault="00573EA0">
      <w:pPr>
        <w:pStyle w:val="Normal1"/>
        <w:pBdr>
          <w:top w:val="nil"/>
          <w:left w:val="nil"/>
          <w:bottom w:val="nil"/>
          <w:right w:val="nil"/>
          <w:between w:val="nil"/>
        </w:pBdr>
        <w:jc w:val="both"/>
        <w:rPr>
          <w:rFonts w:ascii="Times New Roman" w:eastAsia="Times New Roman" w:hAnsi="Times New Roman" w:cs="Times New Roman"/>
          <w:color w:val="202122"/>
          <w:sz w:val="24"/>
          <w:szCs w:val="24"/>
          <w:highlight w:val="white"/>
        </w:rPr>
      </w:pPr>
    </w:p>
    <w:p w14:paraId="16AAD77D" w14:textId="77777777" w:rsidR="00573EA0" w:rsidRDefault="00573EA0">
      <w:pPr>
        <w:pStyle w:val="Normal1"/>
        <w:pBdr>
          <w:top w:val="nil"/>
          <w:left w:val="nil"/>
          <w:bottom w:val="nil"/>
          <w:right w:val="nil"/>
          <w:between w:val="nil"/>
        </w:pBdr>
        <w:jc w:val="both"/>
        <w:rPr>
          <w:rFonts w:ascii="Times New Roman" w:eastAsia="Times New Roman" w:hAnsi="Times New Roman" w:cs="Times New Roman"/>
          <w:color w:val="202122"/>
          <w:sz w:val="24"/>
          <w:szCs w:val="24"/>
        </w:rPr>
      </w:pPr>
    </w:p>
    <w:p w14:paraId="33198A7D" w14:textId="77777777" w:rsidR="00573EA0" w:rsidRDefault="007D55AB">
      <w:pPr>
        <w:pStyle w:val="Normal1"/>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Figure </w:t>
      </w:r>
      <w:proofErr w:type="gramStart"/>
      <w:r>
        <w:rPr>
          <w:rFonts w:ascii="Times New Roman" w:eastAsia="Times New Roman" w:hAnsi="Times New Roman" w:cs="Times New Roman"/>
          <w:color w:val="000000"/>
          <w:sz w:val="24"/>
          <w:szCs w:val="24"/>
        </w:rPr>
        <w:t>1.Haryana's</w:t>
      </w:r>
      <w:proofErr w:type="gramEnd"/>
      <w:r>
        <w:rPr>
          <w:rFonts w:ascii="Times New Roman" w:eastAsia="Times New Roman" w:hAnsi="Times New Roman" w:cs="Times New Roman"/>
          <w:color w:val="000000"/>
          <w:sz w:val="24"/>
          <w:szCs w:val="24"/>
        </w:rPr>
        <w:t xml:space="preserve"> Indira Gandhi Super Thermal Power Project</w:t>
      </w:r>
    </w:p>
    <w:p w14:paraId="75E29A19" w14:textId="77777777" w:rsidR="00573EA0" w:rsidRDefault="00573EA0">
      <w:pPr>
        <w:pStyle w:val="Normal1"/>
        <w:pBdr>
          <w:top w:val="nil"/>
          <w:left w:val="nil"/>
          <w:bottom w:val="nil"/>
          <w:right w:val="nil"/>
          <w:between w:val="nil"/>
        </w:pBdr>
        <w:spacing w:after="0" w:line="240" w:lineRule="auto"/>
        <w:jc w:val="center"/>
        <w:rPr>
          <w:rFonts w:ascii="Times New Roman" w:eastAsia="Times New Roman" w:hAnsi="Times New Roman" w:cs="Times New Roman"/>
          <w:color w:val="202122"/>
          <w:sz w:val="24"/>
          <w:szCs w:val="24"/>
        </w:rPr>
      </w:pPr>
    </w:p>
    <w:p w14:paraId="113EB63C" w14:textId="77777777" w:rsidR="00573EA0" w:rsidRDefault="007D55AB">
      <w:pPr>
        <w:pStyle w:val="Normal1"/>
        <w:pBdr>
          <w:top w:val="nil"/>
          <w:left w:val="nil"/>
          <w:bottom w:val="nil"/>
          <w:right w:val="nil"/>
          <w:between w:val="nil"/>
        </w:pBdr>
        <w:shd w:val="clear" w:color="auto" w:fill="FFFFFF"/>
        <w:spacing w:before="120" w:after="240" w:line="240" w:lineRule="auto"/>
        <w:jc w:val="center"/>
        <w:rPr>
          <w:rFonts w:ascii="Times New Roman" w:eastAsia="Times New Roman" w:hAnsi="Times New Roman" w:cs="Times New Roman"/>
          <w:color w:val="202122"/>
          <w:sz w:val="24"/>
          <w:szCs w:val="24"/>
        </w:rPr>
      </w:pPr>
      <w:r>
        <w:rPr>
          <w:rFonts w:ascii="Times New Roman" w:eastAsia="Times New Roman" w:hAnsi="Times New Roman" w:cs="Times New Roman"/>
          <w:noProof/>
          <w:color w:val="202122"/>
          <w:sz w:val="24"/>
          <w:szCs w:val="24"/>
        </w:rPr>
        <w:drawing>
          <wp:inline distT="0" distB="0" distL="0" distR="0" wp14:anchorId="4D3937C8" wp14:editId="271DC242">
            <wp:extent cx="4693737" cy="3276600"/>
            <wp:effectExtent l="1905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l="15700" t="23491" r="5119" b="13983"/>
                    <a:stretch>
                      <a:fillRect/>
                    </a:stretch>
                  </pic:blipFill>
                  <pic:spPr>
                    <a:xfrm>
                      <a:off x="0" y="0"/>
                      <a:ext cx="4701607" cy="3282094"/>
                    </a:xfrm>
                    <a:prstGeom prst="rect">
                      <a:avLst/>
                    </a:prstGeom>
                    <a:ln/>
                  </pic:spPr>
                </pic:pic>
              </a:graphicData>
            </a:graphic>
          </wp:inline>
        </w:drawing>
      </w:r>
    </w:p>
    <w:p w14:paraId="2DE1C6BB" w14:textId="77777777" w:rsidR="00573EA0" w:rsidRDefault="007D55AB">
      <w:pPr>
        <w:pStyle w:val="Normal1"/>
        <w:pBdr>
          <w:top w:val="nil"/>
          <w:left w:val="nil"/>
          <w:bottom w:val="nil"/>
          <w:right w:val="nil"/>
          <w:between w:val="nil"/>
        </w:pBdr>
        <w:rPr>
          <w:rFonts w:ascii="Times New Roman" w:eastAsia="Times New Roman" w:hAnsi="Times New Roman" w:cs="Times New Roman"/>
          <w:b/>
          <w:color w:val="000000"/>
          <w:sz w:val="24"/>
          <w:szCs w:val="24"/>
        </w:rPr>
      </w:pPr>
      <w:r>
        <w:br w:type="page"/>
      </w:r>
      <w:r>
        <w:rPr>
          <w:rFonts w:ascii="Times New Roman" w:eastAsia="Times New Roman" w:hAnsi="Times New Roman" w:cs="Times New Roman"/>
          <w:b/>
          <w:color w:val="000000"/>
          <w:sz w:val="24"/>
          <w:szCs w:val="24"/>
        </w:rPr>
        <w:lastRenderedPageBreak/>
        <w:t xml:space="preserve">3. Experimental Techniques </w:t>
      </w:r>
    </w:p>
    <w:p w14:paraId="4991D0D8" w14:textId="77777777" w:rsidR="00573EA0" w:rsidRDefault="007D55AB">
      <w:pPr>
        <w:pStyle w:val="Normal1"/>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3.1 Sampling</w:t>
      </w:r>
      <w:r>
        <w:rPr>
          <w:rFonts w:ascii="Times New Roman" w:eastAsia="Times New Roman" w:hAnsi="Times New Roman" w:cs="Times New Roman"/>
          <w:b/>
          <w:sz w:val="24"/>
          <w:szCs w:val="24"/>
        </w:rPr>
        <w:t xml:space="preserve"> </w:t>
      </w:r>
    </w:p>
    <w:p w14:paraId="7A05D14C" w14:textId="77777777" w:rsidR="00573EA0" w:rsidRDefault="007D55AB">
      <w:pPr>
        <w:pStyle w:val="Normal1"/>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Hand pumps, canals, </w:t>
      </w:r>
      <w:proofErr w:type="spellStart"/>
      <w:r>
        <w:rPr>
          <w:rFonts w:ascii="Times New Roman" w:eastAsia="Times New Roman" w:hAnsi="Times New Roman" w:cs="Times New Roman"/>
          <w:color w:val="000000"/>
          <w:sz w:val="24"/>
          <w:szCs w:val="24"/>
        </w:rPr>
        <w:t>tubewells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bowlis</w:t>
      </w:r>
      <w:proofErr w:type="spellEnd"/>
      <w:r>
        <w:rPr>
          <w:rFonts w:ascii="Times New Roman" w:eastAsia="Times New Roman" w:hAnsi="Times New Roman" w:cs="Times New Roman"/>
          <w:color w:val="000000"/>
          <w:sz w:val="24"/>
          <w:szCs w:val="24"/>
        </w:rPr>
        <w:t xml:space="preserve">, and wells were sampled.  Water samples were carefully collected in polyethylene bottles pre washed with distilled water to avoid contamination.  Uranium, pH, and TDS were measured after filtering with </w:t>
      </w:r>
      <w:proofErr w:type="gramStart"/>
      <w:r>
        <w:rPr>
          <w:rFonts w:ascii="Times New Roman" w:eastAsia="Times New Roman" w:hAnsi="Times New Roman" w:cs="Times New Roman"/>
          <w:color w:val="000000"/>
          <w:sz w:val="24"/>
          <w:szCs w:val="24"/>
        </w:rPr>
        <w:t>0.45 micron</w:t>
      </w:r>
      <w:proofErr w:type="gramEnd"/>
      <w:r>
        <w:rPr>
          <w:rFonts w:ascii="Times New Roman" w:eastAsia="Times New Roman" w:hAnsi="Times New Roman" w:cs="Times New Roman"/>
          <w:color w:val="000000"/>
          <w:sz w:val="24"/>
          <w:szCs w:val="24"/>
        </w:rPr>
        <w:t xml:space="preserve"> paper.</w:t>
      </w:r>
    </w:p>
    <w:p w14:paraId="4C3B40DA" w14:textId="77777777" w:rsidR="00573EA0" w:rsidRDefault="007D55AB">
      <w:pPr>
        <w:pStyle w:val="Normal1"/>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3.2 Estimation of Uranium concentration</w:t>
      </w:r>
    </w:p>
    <w:p w14:paraId="1833C8EF" w14:textId="77777777" w:rsidR="00573EA0" w:rsidRDefault="007D55AB">
      <w:pPr>
        <w:pStyle w:val="Normal1"/>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LED Fluorimeter is used to identify and count luminous compounds, including uranium.  It is detected and measured after using light emitting diodes as the excitation source to produce light at a designated wavelength, hence activating the fluorescent species.</w:t>
      </w:r>
    </w:p>
    <w:p w14:paraId="15B03538" w14:textId="77777777" w:rsidR="00573EA0" w:rsidRDefault="007D55AB">
      <w:pPr>
        <w:pStyle w:val="Normal1"/>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Quantifying uranium is most sensitive and efficient with a detection limit of 0.5 µg/L to 1000 µg/L with an accuracy of ±10% or 0.05 µg/L. Kumar et al. (2016) report better reproducibility than ±5%. ICP-MS achieved precisions of ±5% RSD and similar degrees of accuracy (Rani et al., 2013).  Using an LED fluorimeter (</w:t>
      </w:r>
      <w:proofErr w:type="spellStart"/>
      <w:r>
        <w:rPr>
          <w:rFonts w:ascii="Times New Roman" w:eastAsia="Times New Roman" w:hAnsi="Times New Roman" w:cs="Times New Roman"/>
          <w:color w:val="000000"/>
          <w:sz w:val="24"/>
          <w:szCs w:val="24"/>
        </w:rPr>
        <w:t>Quantalase</w:t>
      </w:r>
      <w:proofErr w:type="spellEnd"/>
      <w:r>
        <w:rPr>
          <w:rFonts w:ascii="Times New Roman" w:eastAsia="Times New Roman" w:hAnsi="Times New Roman" w:cs="Times New Roman"/>
          <w:color w:val="000000"/>
          <w:sz w:val="24"/>
          <w:szCs w:val="24"/>
        </w:rPr>
        <w:t xml:space="preserve"> LF-2a), figure 2 displays the estimated uranium concentration of the gathered water samples.  Varied uranium complexes had varied fluorescence yields, thus </w:t>
      </w:r>
      <w:proofErr w:type="spellStart"/>
      <w:r>
        <w:rPr>
          <w:rFonts w:ascii="Times New Roman" w:eastAsia="Times New Roman" w:hAnsi="Times New Roman" w:cs="Times New Roman"/>
          <w:color w:val="000000"/>
          <w:sz w:val="24"/>
          <w:szCs w:val="24"/>
        </w:rPr>
        <w:t>Fluren</w:t>
      </w:r>
      <w:proofErr w:type="spellEnd"/>
      <w:r>
        <w:rPr>
          <w:rFonts w:ascii="Times New Roman" w:eastAsia="Times New Roman" w:hAnsi="Times New Roman" w:cs="Times New Roman"/>
          <w:color w:val="000000"/>
          <w:sz w:val="24"/>
          <w:szCs w:val="24"/>
        </w:rPr>
        <w:t xml:space="preserve"> was added to the sample to combine them.  Using an ultra-low fluorescence fused silica cuvette, a 6 ml sample with 10% </w:t>
      </w:r>
      <w:proofErr w:type="spellStart"/>
      <w:r>
        <w:rPr>
          <w:rFonts w:ascii="Times New Roman" w:eastAsia="Times New Roman" w:hAnsi="Times New Roman" w:cs="Times New Roman"/>
          <w:color w:val="000000"/>
          <w:sz w:val="24"/>
          <w:szCs w:val="24"/>
        </w:rPr>
        <w:t>Fluren</w:t>
      </w:r>
      <w:proofErr w:type="spellEnd"/>
      <w:r>
        <w:rPr>
          <w:rFonts w:ascii="Times New Roman" w:eastAsia="Times New Roman" w:hAnsi="Times New Roman" w:cs="Times New Roman"/>
          <w:color w:val="000000"/>
          <w:sz w:val="24"/>
          <w:szCs w:val="24"/>
        </w:rPr>
        <w:t xml:space="preserve"> was </w:t>
      </w:r>
      <w:proofErr w:type="spellStart"/>
      <w:r>
        <w:rPr>
          <w:rFonts w:ascii="Times New Roman" w:eastAsia="Times New Roman" w:hAnsi="Times New Roman" w:cs="Times New Roman"/>
          <w:color w:val="000000"/>
          <w:sz w:val="24"/>
          <w:szCs w:val="24"/>
        </w:rPr>
        <w:t>analyzed</w:t>
      </w:r>
      <w:proofErr w:type="spellEnd"/>
      <w:r>
        <w:rPr>
          <w:rFonts w:ascii="Times New Roman" w:eastAsia="Times New Roman" w:hAnsi="Times New Roman" w:cs="Times New Roman"/>
          <w:color w:val="000000"/>
          <w:sz w:val="24"/>
          <w:szCs w:val="24"/>
        </w:rPr>
        <w:t xml:space="preserve"> for Uranium in the fluorimeter.</w:t>
      </w:r>
    </w:p>
    <w:p w14:paraId="23F66842" w14:textId="77777777" w:rsidR="00573EA0" w:rsidRDefault="00573EA0">
      <w:pPr>
        <w:pStyle w:val="Normal1"/>
        <w:pBdr>
          <w:top w:val="nil"/>
          <w:left w:val="nil"/>
          <w:bottom w:val="nil"/>
          <w:right w:val="nil"/>
          <w:between w:val="nil"/>
        </w:pBdr>
        <w:jc w:val="both"/>
        <w:rPr>
          <w:rFonts w:ascii="Times New Roman" w:eastAsia="Times New Roman" w:hAnsi="Times New Roman" w:cs="Times New Roman"/>
          <w:color w:val="000000"/>
          <w:sz w:val="24"/>
          <w:szCs w:val="24"/>
        </w:rPr>
      </w:pPr>
    </w:p>
    <w:p w14:paraId="3F0A6752" w14:textId="77777777" w:rsidR="00573EA0" w:rsidRDefault="00573EA0">
      <w:pPr>
        <w:pStyle w:val="Normal1"/>
        <w:pBdr>
          <w:top w:val="nil"/>
          <w:left w:val="nil"/>
          <w:bottom w:val="nil"/>
          <w:right w:val="nil"/>
          <w:between w:val="nil"/>
        </w:pBdr>
        <w:jc w:val="both"/>
        <w:rPr>
          <w:rFonts w:ascii="Times New Roman" w:eastAsia="Times New Roman" w:hAnsi="Times New Roman" w:cs="Times New Roman"/>
          <w:color w:val="000000"/>
          <w:sz w:val="24"/>
          <w:szCs w:val="24"/>
        </w:rPr>
      </w:pPr>
    </w:p>
    <w:p w14:paraId="0D2A893D" w14:textId="77777777" w:rsidR="00573EA0" w:rsidRDefault="007D55AB">
      <w:pPr>
        <w:pStyle w:val="Normal1"/>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3BB22635" wp14:editId="3C709CFD">
            <wp:extent cx="2422107" cy="1491615"/>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4"/>
                    <a:srcRect/>
                    <a:stretch>
                      <a:fillRect/>
                    </a:stretch>
                  </pic:blipFill>
                  <pic:spPr>
                    <a:xfrm>
                      <a:off x="0" y="0"/>
                      <a:ext cx="2422107" cy="1491615"/>
                    </a:xfrm>
                    <a:prstGeom prst="rect">
                      <a:avLst/>
                    </a:prstGeom>
                    <a:ln/>
                  </pic:spPr>
                </pic:pic>
              </a:graphicData>
            </a:graphic>
          </wp:inline>
        </w:drawing>
      </w:r>
    </w:p>
    <w:p w14:paraId="33DF9179" w14:textId="77777777" w:rsidR="00573EA0" w:rsidRDefault="007D55AB">
      <w:pPr>
        <w:pStyle w:val="Normal1"/>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Figure 2. </w:t>
      </w:r>
      <w:r>
        <w:rPr>
          <w:rFonts w:ascii="Times New Roman" w:eastAsia="Times New Roman" w:hAnsi="Times New Roman" w:cs="Times New Roman"/>
          <w:color w:val="000000"/>
          <w:sz w:val="24"/>
          <w:szCs w:val="24"/>
        </w:rPr>
        <w:t>LED Fluorimeter (</w:t>
      </w:r>
      <w:proofErr w:type="spellStart"/>
      <w:r>
        <w:rPr>
          <w:rFonts w:ascii="Times New Roman" w:eastAsia="Times New Roman" w:hAnsi="Times New Roman" w:cs="Times New Roman"/>
          <w:color w:val="000000"/>
          <w:sz w:val="24"/>
          <w:szCs w:val="24"/>
        </w:rPr>
        <w:t>Quantalase</w:t>
      </w:r>
      <w:proofErr w:type="spellEnd"/>
      <w:r>
        <w:rPr>
          <w:rFonts w:ascii="Times New Roman" w:eastAsia="Times New Roman" w:hAnsi="Times New Roman" w:cs="Times New Roman"/>
          <w:color w:val="000000"/>
          <w:sz w:val="24"/>
          <w:szCs w:val="24"/>
        </w:rPr>
        <w:t xml:space="preserve"> LF-2a)</w:t>
      </w:r>
      <w:r>
        <w:rPr>
          <w:rFonts w:ascii="Times New Roman" w:eastAsia="Times New Roman" w:hAnsi="Times New Roman" w:cs="Times New Roman"/>
          <w:sz w:val="24"/>
          <w:szCs w:val="24"/>
        </w:rPr>
        <w:t xml:space="preserve">. </w:t>
      </w:r>
    </w:p>
    <w:p w14:paraId="22DC9E29" w14:textId="77777777" w:rsidR="00573EA0" w:rsidRDefault="00573EA0">
      <w:pPr>
        <w:pStyle w:val="Normal1"/>
        <w:pBdr>
          <w:top w:val="nil"/>
          <w:left w:val="nil"/>
          <w:bottom w:val="nil"/>
          <w:right w:val="nil"/>
          <w:between w:val="nil"/>
        </w:pBdr>
        <w:rPr>
          <w:rFonts w:ascii="Times New Roman" w:eastAsia="Times New Roman" w:hAnsi="Times New Roman" w:cs="Times New Roman"/>
          <w:b/>
          <w:color w:val="000000"/>
          <w:sz w:val="24"/>
          <w:szCs w:val="24"/>
        </w:rPr>
      </w:pPr>
    </w:p>
    <w:p w14:paraId="04AC3E26" w14:textId="77777777" w:rsidR="00573EA0" w:rsidRDefault="007D55AB">
      <w:pPr>
        <w:pStyle w:val="Normal1"/>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3.3 Health Risk </w:t>
      </w:r>
      <w:proofErr w:type="spellStart"/>
      <w:r>
        <w:rPr>
          <w:rFonts w:ascii="Times New Roman" w:eastAsia="Times New Roman" w:hAnsi="Times New Roman" w:cs="Times New Roman"/>
          <w:b/>
          <w:color w:val="000000"/>
          <w:sz w:val="24"/>
          <w:szCs w:val="24"/>
        </w:rPr>
        <w:t>Assesment</w:t>
      </w:r>
      <w:proofErr w:type="spellEnd"/>
      <w:r>
        <w:rPr>
          <w:rFonts w:ascii="Times New Roman" w:eastAsia="Times New Roman" w:hAnsi="Times New Roman" w:cs="Times New Roman"/>
          <w:b/>
          <w:sz w:val="24"/>
          <w:szCs w:val="24"/>
        </w:rPr>
        <w:t xml:space="preserve"> </w:t>
      </w:r>
    </w:p>
    <w:p w14:paraId="5ED8F492" w14:textId="77777777" w:rsidR="00573EA0" w:rsidRDefault="007D55AB">
      <w:pPr>
        <w:pStyle w:val="Normal1"/>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research predicts lifelong average daily dosage and excess cancer risk (ECR</w:t>
      </w:r>
      <w:proofErr w:type="gramStart"/>
      <w:r>
        <w:rPr>
          <w:rFonts w:ascii="Times New Roman" w:eastAsia="Times New Roman" w:hAnsi="Times New Roman" w:cs="Times New Roman"/>
          <w:color w:val="000000"/>
          <w:sz w:val="24"/>
          <w:szCs w:val="24"/>
        </w:rPr>
        <w:t>).Uranium</w:t>
      </w:r>
      <w:proofErr w:type="gramEnd"/>
      <w:r>
        <w:rPr>
          <w:rFonts w:ascii="Times New Roman" w:eastAsia="Times New Roman" w:hAnsi="Times New Roman" w:cs="Times New Roman"/>
          <w:color w:val="000000"/>
          <w:sz w:val="24"/>
          <w:szCs w:val="24"/>
        </w:rPr>
        <w:t>-generated ionizing radiation causes excess cancer risk, while chemicals produce LADD.  Chemical toxicity, not radioactivity, is uranium's biggest health risk.</w:t>
      </w:r>
    </w:p>
    <w:p w14:paraId="442B6ACB" w14:textId="77777777" w:rsidR="00573EA0" w:rsidRDefault="00573EA0">
      <w:pPr>
        <w:pStyle w:val="Normal1"/>
        <w:pBdr>
          <w:top w:val="nil"/>
          <w:left w:val="nil"/>
          <w:bottom w:val="nil"/>
          <w:right w:val="nil"/>
          <w:between w:val="nil"/>
        </w:pBdr>
        <w:rPr>
          <w:rFonts w:ascii="Times New Roman" w:eastAsia="Times New Roman" w:hAnsi="Times New Roman" w:cs="Times New Roman"/>
          <w:color w:val="000000"/>
          <w:sz w:val="24"/>
          <w:szCs w:val="24"/>
        </w:rPr>
      </w:pPr>
    </w:p>
    <w:p w14:paraId="50ACBAD9" w14:textId="77777777" w:rsidR="00573EA0" w:rsidRDefault="007D55AB">
      <w:pPr>
        <w:pStyle w:val="Normal1"/>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3.3.1 Estimation of Excess Cancer Risk</w:t>
      </w:r>
    </w:p>
    <w:p w14:paraId="0D88ED27" w14:textId="77777777" w:rsidR="00573EA0" w:rsidRDefault="007D55AB">
      <w:pPr>
        <w:pStyle w:val="Normal1"/>
        <w:widowControl w:val="0"/>
        <w:pBdr>
          <w:top w:val="nil"/>
          <w:left w:val="nil"/>
          <w:bottom w:val="nil"/>
          <w:right w:val="nil"/>
          <w:between w:val="nil"/>
        </w:pBdr>
        <w:spacing w:before="121" w:after="0" w:line="240" w:lineRule="auto"/>
        <w:ind w:left="234" w:right="2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Radiological risk—Extra cancer risk—assessed using these calculations</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EPA</w:t>
      </w:r>
      <w:proofErr w:type="gramEnd"/>
      <w:r>
        <w:rPr>
          <w:rFonts w:ascii="Times New Roman" w:eastAsia="Times New Roman" w:hAnsi="Times New Roman" w:cs="Times New Roman"/>
          <w:sz w:val="24"/>
          <w:szCs w:val="24"/>
        </w:rPr>
        <w:t xml:space="preserve"> 2000). </w:t>
      </w:r>
    </w:p>
    <w:p w14:paraId="58FEAE3C" w14:textId="77777777" w:rsidR="00573EA0" w:rsidRDefault="007D55AB">
      <w:pPr>
        <w:pStyle w:val="Normal1"/>
        <w:widowControl w:val="0"/>
        <w:pBdr>
          <w:top w:val="nil"/>
          <w:left w:val="nil"/>
          <w:bottom w:val="nil"/>
          <w:right w:val="nil"/>
          <w:between w:val="nil"/>
        </w:pBdr>
        <w:spacing w:before="121" w:after="0" w:line="240" w:lineRule="auto"/>
        <w:ind w:left="234" w:right="2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Ground Water Excess Cancer Risk = U Conc. x Risk Factor (Per </w:t>
      </w:r>
      <w:proofErr w:type="spellStart"/>
      <w:r>
        <w:rPr>
          <w:rFonts w:ascii="Times New Roman" w:eastAsia="Times New Roman" w:hAnsi="Times New Roman" w:cs="Times New Roman"/>
          <w:color w:val="000000"/>
          <w:sz w:val="24"/>
          <w:szCs w:val="24"/>
        </w:rPr>
        <w:t>Bq</w:t>
      </w:r>
      <w:proofErr w:type="spellEnd"/>
      <w:r>
        <w:rPr>
          <w:rFonts w:ascii="Times New Roman" w:eastAsia="Times New Roman" w:hAnsi="Times New Roman" w:cs="Times New Roman"/>
          <w:color w:val="000000"/>
          <w:sz w:val="24"/>
          <w:szCs w:val="24"/>
        </w:rPr>
        <w:t>/L) x 1</w:t>
      </w:r>
    </w:p>
    <w:p w14:paraId="3D6F0F0F" w14:textId="77777777" w:rsidR="00573EA0" w:rsidRDefault="007D55AB">
      <w:pPr>
        <w:pStyle w:val="Normal1"/>
        <w:widowControl w:val="0"/>
        <w:pBdr>
          <w:top w:val="nil"/>
          <w:left w:val="nil"/>
          <w:bottom w:val="nil"/>
          <w:right w:val="nil"/>
          <w:between w:val="nil"/>
        </w:pBdr>
        <w:spacing w:before="121" w:after="0" w:line="240" w:lineRule="auto"/>
        <w:ind w:left="234" w:right="2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U value (</w:t>
      </w:r>
      <w:proofErr w:type="spellStart"/>
      <w:r>
        <w:rPr>
          <w:rFonts w:ascii="Times New Roman" w:eastAsia="Times New Roman" w:hAnsi="Times New Roman" w:cs="Times New Roman"/>
          <w:color w:val="000000"/>
          <w:sz w:val="24"/>
          <w:szCs w:val="24"/>
        </w:rPr>
        <w:t>μg</w:t>
      </w:r>
      <w:proofErr w:type="spellEnd"/>
      <w:r>
        <w:rPr>
          <w:rFonts w:ascii="Times New Roman" w:eastAsia="Times New Roman" w:hAnsi="Times New Roman" w:cs="Times New Roman"/>
          <w:color w:val="000000"/>
          <w:sz w:val="24"/>
          <w:szCs w:val="24"/>
        </w:rPr>
        <w:t xml:space="preserve">/L) x conversion factor (0.025 </w:t>
      </w:r>
      <w:proofErr w:type="spellStart"/>
      <w:r>
        <w:rPr>
          <w:rFonts w:ascii="Times New Roman" w:eastAsia="Times New Roman" w:hAnsi="Times New Roman" w:cs="Times New Roman"/>
          <w:color w:val="000000"/>
          <w:sz w:val="24"/>
          <w:szCs w:val="24"/>
        </w:rPr>
        <w:t>Bq</w:t>
      </w:r>
      <w:proofErr w:type="spellEnd"/>
      <w:r>
        <w:rPr>
          <w:rFonts w:ascii="Times New Roman" w:eastAsia="Times New Roman" w:hAnsi="Times New Roman" w:cs="Times New Roman"/>
          <w:color w:val="000000"/>
          <w:sz w:val="24"/>
          <w:szCs w:val="24"/>
        </w:rPr>
        <w:t xml:space="preserve">/L) </w:t>
      </w:r>
      <w:proofErr w:type="spellStart"/>
      <w:r>
        <w:rPr>
          <w:rFonts w:ascii="Times New Roman" w:eastAsia="Times New Roman" w:hAnsi="Times New Roman" w:cs="Times New Roman"/>
          <w:color w:val="000000"/>
          <w:sz w:val="24"/>
          <w:szCs w:val="24"/>
        </w:rPr>
        <w:t>Bq</w:t>
      </w:r>
      <w:proofErr w:type="spellEnd"/>
      <w:r>
        <w:rPr>
          <w:rFonts w:ascii="Times New Roman" w:eastAsia="Times New Roman" w:hAnsi="Times New Roman" w:cs="Times New Roman"/>
          <w:color w:val="000000"/>
          <w:sz w:val="24"/>
          <w:szCs w:val="24"/>
        </w:rPr>
        <w:t>/L U Conc.</w:t>
      </w:r>
    </w:p>
    <w:p w14:paraId="68A1956D" w14:textId="77777777" w:rsidR="00573EA0" w:rsidRDefault="007D55AB">
      <w:pPr>
        <w:pStyle w:val="Normal1"/>
        <w:widowControl w:val="0"/>
        <w:pBdr>
          <w:top w:val="nil"/>
          <w:left w:val="nil"/>
          <w:bottom w:val="nil"/>
          <w:right w:val="nil"/>
          <w:between w:val="nil"/>
        </w:pBdr>
        <w:spacing w:before="121" w:after="0" w:line="240" w:lineRule="auto"/>
        <w:ind w:left="234" w:right="2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Risk factor is calculated by multiplying risk coefficient (Bq-1) by water intake rate (L/day) and exposure period (days). 2)</w:t>
      </w:r>
    </w:p>
    <w:p w14:paraId="19EE74C8" w14:textId="77777777" w:rsidR="00573EA0" w:rsidRDefault="00573EA0">
      <w:pPr>
        <w:pStyle w:val="Normal1"/>
        <w:widowControl w:val="0"/>
        <w:pBdr>
          <w:top w:val="nil"/>
          <w:left w:val="nil"/>
          <w:bottom w:val="nil"/>
          <w:right w:val="nil"/>
          <w:between w:val="nil"/>
        </w:pBdr>
        <w:spacing w:before="121" w:after="0" w:line="240" w:lineRule="auto"/>
        <w:ind w:left="234" w:right="213"/>
        <w:jc w:val="both"/>
        <w:rPr>
          <w:rFonts w:ascii="Times New Roman" w:eastAsia="Times New Roman" w:hAnsi="Times New Roman" w:cs="Times New Roman"/>
          <w:color w:val="000000"/>
          <w:sz w:val="24"/>
          <w:szCs w:val="24"/>
        </w:rPr>
      </w:pPr>
    </w:p>
    <w:p w14:paraId="6C02CBA2" w14:textId="77777777" w:rsidR="00573EA0" w:rsidRDefault="007D55AB">
      <w:pPr>
        <w:pStyle w:val="Normal1"/>
        <w:widowControl w:val="0"/>
        <w:pBdr>
          <w:top w:val="nil"/>
          <w:left w:val="nil"/>
          <w:bottom w:val="nil"/>
          <w:right w:val="nil"/>
          <w:between w:val="nil"/>
        </w:pBdr>
        <w:spacing w:before="121" w:after="0" w:line="240" w:lineRule="auto"/>
        <w:ind w:left="234" w:right="2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risk coefficients for death and morbidity in Equation (2) were 1.19 and 1.84 x 10-9 Bq-1. Daily water consumption was 1.38 </w:t>
      </w:r>
      <w:proofErr w:type="spellStart"/>
      <w:r>
        <w:rPr>
          <w:rFonts w:ascii="Times New Roman" w:eastAsia="Times New Roman" w:hAnsi="Times New Roman" w:cs="Times New Roman"/>
          <w:color w:val="000000"/>
          <w:sz w:val="24"/>
          <w:szCs w:val="24"/>
        </w:rPr>
        <w:t>liters</w:t>
      </w:r>
      <w:proofErr w:type="spellEnd"/>
      <w:r>
        <w:rPr>
          <w:rFonts w:ascii="Times New Roman" w:eastAsia="Times New Roman" w:hAnsi="Times New Roman" w:cs="Times New Roman"/>
          <w:color w:val="000000"/>
          <w:sz w:val="24"/>
          <w:szCs w:val="24"/>
        </w:rPr>
        <w:t>; exposure was 25,509 days.  Death and morbidity risk factors were 4.19 and 6.48 x 10-5, respectively. The variation in cancer mortality and morbidity was 2.51 x 10-6 to 1.96 x 10-4 and 4.27 x 10-6 to 3.03 x 10-3.</w:t>
      </w:r>
    </w:p>
    <w:p w14:paraId="424B01C8" w14:textId="77777777" w:rsidR="00573EA0" w:rsidRDefault="00573EA0">
      <w:pPr>
        <w:pStyle w:val="Normal1"/>
        <w:widowControl w:val="0"/>
        <w:pBdr>
          <w:top w:val="nil"/>
          <w:left w:val="nil"/>
          <w:bottom w:val="nil"/>
          <w:right w:val="nil"/>
          <w:between w:val="nil"/>
        </w:pBdr>
        <w:spacing w:before="121" w:after="0" w:line="240" w:lineRule="auto"/>
        <w:ind w:left="234" w:right="213"/>
        <w:jc w:val="both"/>
        <w:rPr>
          <w:rFonts w:ascii="Times New Roman" w:eastAsia="Times New Roman" w:hAnsi="Times New Roman" w:cs="Times New Roman"/>
          <w:color w:val="000000"/>
          <w:sz w:val="24"/>
          <w:szCs w:val="24"/>
        </w:rPr>
      </w:pPr>
    </w:p>
    <w:p w14:paraId="52904047" w14:textId="77777777" w:rsidR="00573EA0" w:rsidRDefault="00573EA0">
      <w:pPr>
        <w:pStyle w:val="Normal1"/>
        <w:widowControl w:val="0"/>
        <w:pBdr>
          <w:top w:val="nil"/>
          <w:left w:val="nil"/>
          <w:bottom w:val="nil"/>
          <w:right w:val="nil"/>
          <w:between w:val="nil"/>
        </w:pBdr>
        <w:spacing w:before="121" w:after="0" w:line="240" w:lineRule="auto"/>
        <w:ind w:left="234" w:right="213"/>
        <w:jc w:val="both"/>
        <w:rPr>
          <w:rFonts w:ascii="Times New Roman" w:eastAsia="Times New Roman" w:hAnsi="Times New Roman" w:cs="Times New Roman"/>
          <w:color w:val="000000"/>
          <w:sz w:val="24"/>
          <w:szCs w:val="24"/>
        </w:rPr>
      </w:pPr>
    </w:p>
    <w:p w14:paraId="02FECFD8" w14:textId="77777777" w:rsidR="00573EA0" w:rsidRDefault="00573EA0">
      <w:pPr>
        <w:pStyle w:val="Normal1"/>
        <w:widowControl w:val="0"/>
        <w:pBdr>
          <w:top w:val="nil"/>
          <w:left w:val="nil"/>
          <w:bottom w:val="nil"/>
          <w:right w:val="nil"/>
          <w:between w:val="nil"/>
        </w:pBdr>
        <w:spacing w:before="121" w:after="0" w:line="240" w:lineRule="auto"/>
        <w:ind w:left="234" w:right="213"/>
        <w:jc w:val="both"/>
        <w:rPr>
          <w:rFonts w:ascii="Times New Roman" w:eastAsia="Times New Roman" w:hAnsi="Times New Roman" w:cs="Times New Roman"/>
          <w:color w:val="000000"/>
          <w:sz w:val="24"/>
          <w:szCs w:val="24"/>
        </w:rPr>
      </w:pPr>
    </w:p>
    <w:p w14:paraId="0478421A" w14:textId="77777777" w:rsidR="00573EA0" w:rsidRDefault="007D55AB">
      <w:pPr>
        <w:pStyle w:val="Normal1"/>
        <w:widowControl w:val="0"/>
        <w:pBdr>
          <w:top w:val="nil"/>
          <w:left w:val="nil"/>
          <w:bottom w:val="nil"/>
          <w:right w:val="nil"/>
          <w:between w:val="nil"/>
        </w:pBdr>
        <w:spacing w:before="121" w:after="0" w:line="240" w:lineRule="auto"/>
        <w:ind w:right="213"/>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3.3.2 Estimation of </w:t>
      </w:r>
      <w:proofErr w:type="spellStart"/>
      <w:r>
        <w:rPr>
          <w:rFonts w:ascii="Times New Roman" w:eastAsia="Times New Roman" w:hAnsi="Times New Roman" w:cs="Times New Roman"/>
          <w:b/>
          <w:color w:val="000000"/>
          <w:sz w:val="24"/>
          <w:szCs w:val="24"/>
        </w:rPr>
        <w:t>LifeTime</w:t>
      </w:r>
      <w:proofErr w:type="spellEnd"/>
      <w:r>
        <w:rPr>
          <w:rFonts w:ascii="Times New Roman" w:eastAsia="Times New Roman" w:hAnsi="Times New Roman" w:cs="Times New Roman"/>
          <w:b/>
          <w:color w:val="000000"/>
          <w:sz w:val="24"/>
          <w:szCs w:val="24"/>
        </w:rPr>
        <w:t xml:space="preserve"> Average Daily Dose</w:t>
      </w:r>
      <w:r>
        <w:rPr>
          <w:rFonts w:ascii="Times New Roman" w:eastAsia="Times New Roman" w:hAnsi="Times New Roman" w:cs="Times New Roman"/>
          <w:b/>
          <w:sz w:val="24"/>
          <w:szCs w:val="24"/>
        </w:rPr>
        <w:t xml:space="preserve"> </w:t>
      </w:r>
    </w:p>
    <w:p w14:paraId="148C8E81" w14:textId="77777777" w:rsidR="00573EA0" w:rsidRDefault="007D55AB">
      <w:pPr>
        <w:pStyle w:val="Normal1"/>
        <w:widowControl w:val="0"/>
        <w:pBdr>
          <w:top w:val="nil"/>
          <w:left w:val="nil"/>
          <w:bottom w:val="nil"/>
          <w:right w:val="nil"/>
          <w:between w:val="nil"/>
        </w:pBdr>
        <w:spacing w:before="114" w:after="0" w:line="240" w:lineRule="auto"/>
        <w:ind w:right="21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Any material's chemical toxicity risk can be determined by LADD (Lifetime Average Daily Dose).  By</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W.H.O.</w:t>
      </w:r>
      <w:proofErr w:type="gramEnd"/>
      <w:r>
        <w:rPr>
          <w:rFonts w:ascii="Times New Roman" w:eastAsia="Times New Roman" w:hAnsi="Times New Roman" w:cs="Times New Roman"/>
          <w:sz w:val="24"/>
          <w:szCs w:val="24"/>
        </w:rPr>
        <w:t xml:space="preserve"> 1998) for</w:t>
      </w:r>
      <w:r>
        <w:rPr>
          <w:rFonts w:ascii="Times New Roman" w:eastAsia="Times New Roman" w:hAnsi="Times New Roman" w:cs="Times New Roman"/>
          <w:color w:val="000000"/>
          <w:sz w:val="24"/>
          <w:szCs w:val="24"/>
        </w:rPr>
        <w:t xml:space="preserve"> estimation, use these formulas</w:t>
      </w:r>
    </w:p>
    <w:p w14:paraId="6F43B807" w14:textId="77777777" w:rsidR="00573EA0" w:rsidRDefault="00573EA0">
      <w:pPr>
        <w:pStyle w:val="Normal1"/>
        <w:widowControl w:val="0"/>
        <w:pBdr>
          <w:top w:val="nil"/>
          <w:left w:val="nil"/>
          <w:bottom w:val="nil"/>
          <w:right w:val="nil"/>
          <w:between w:val="nil"/>
        </w:pBdr>
        <w:spacing w:before="114" w:after="0" w:line="240" w:lineRule="auto"/>
        <w:ind w:right="217"/>
        <w:jc w:val="both"/>
        <w:rPr>
          <w:rFonts w:ascii="Times New Roman" w:eastAsia="Times New Roman" w:hAnsi="Times New Roman" w:cs="Times New Roman"/>
          <w:color w:val="000000"/>
          <w:sz w:val="24"/>
          <w:szCs w:val="24"/>
        </w:rPr>
      </w:pPr>
    </w:p>
    <w:p w14:paraId="13F7D8F2" w14:textId="77777777" w:rsidR="00573EA0" w:rsidRDefault="007D55AB">
      <w:pPr>
        <w:pStyle w:val="Normal1"/>
        <w:widowControl w:val="0"/>
        <w:pBdr>
          <w:top w:val="nil"/>
          <w:left w:val="nil"/>
          <w:bottom w:val="nil"/>
          <w:right w:val="nil"/>
          <w:between w:val="nil"/>
        </w:pBdr>
        <w:spacing w:before="114" w:after="0" w:line="240" w:lineRule="auto"/>
        <w:ind w:right="21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LADD = Ci x IR x EF x LEBW x AT (</w:t>
      </w:r>
      <w:proofErr w:type="spellStart"/>
      <w:r>
        <w:rPr>
          <w:rFonts w:ascii="Times New Roman" w:eastAsia="Times New Roman" w:hAnsi="Times New Roman" w:cs="Times New Roman"/>
          <w:color w:val="000000"/>
          <w:sz w:val="24"/>
          <w:szCs w:val="24"/>
        </w:rPr>
        <w:t>μg</w:t>
      </w:r>
      <w:proofErr w:type="spellEnd"/>
      <w:r>
        <w:rPr>
          <w:rFonts w:ascii="Times New Roman" w:eastAsia="Times New Roman" w:hAnsi="Times New Roman" w:cs="Times New Roman"/>
          <w:color w:val="000000"/>
          <w:sz w:val="24"/>
          <w:szCs w:val="24"/>
        </w:rPr>
        <w:t>/kg/Day) (3)</w:t>
      </w:r>
    </w:p>
    <w:p w14:paraId="264A8977" w14:textId="77777777" w:rsidR="00573EA0" w:rsidRDefault="007D55AB">
      <w:pPr>
        <w:pStyle w:val="Normal1"/>
        <w:widowControl w:val="0"/>
        <w:pBdr>
          <w:top w:val="nil"/>
          <w:left w:val="nil"/>
          <w:bottom w:val="nil"/>
          <w:right w:val="nil"/>
          <w:between w:val="nil"/>
        </w:pBdr>
        <w:spacing w:before="114" w:after="0" w:line="240" w:lineRule="auto"/>
        <w:ind w:right="21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148873FF" w14:textId="77777777" w:rsidR="00573EA0" w:rsidRDefault="007D55AB">
      <w:pPr>
        <w:pStyle w:val="Normal1"/>
        <w:widowControl w:val="0"/>
        <w:pBdr>
          <w:top w:val="nil"/>
          <w:left w:val="nil"/>
          <w:bottom w:val="nil"/>
          <w:right w:val="nil"/>
          <w:between w:val="nil"/>
        </w:pBdr>
        <w:spacing w:before="114" w:after="0" w:line="240" w:lineRule="auto"/>
        <w:ind w:right="21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Assume 1.38 L/Day ingested rate (IR). For equation (3), Ci represents the concentration of U in groundwater (</w:t>
      </w:r>
      <w:proofErr w:type="spellStart"/>
      <w:r>
        <w:rPr>
          <w:rFonts w:ascii="Times New Roman" w:eastAsia="Times New Roman" w:hAnsi="Times New Roman" w:cs="Times New Roman"/>
          <w:color w:val="000000"/>
          <w:sz w:val="24"/>
          <w:szCs w:val="24"/>
        </w:rPr>
        <w:t>μg</w:t>
      </w:r>
      <w:proofErr w:type="spellEnd"/>
      <w:r>
        <w:rPr>
          <w:rFonts w:ascii="Times New Roman" w:eastAsia="Times New Roman" w:hAnsi="Times New Roman" w:cs="Times New Roman"/>
          <w:color w:val="000000"/>
          <w:sz w:val="24"/>
          <w:szCs w:val="24"/>
        </w:rPr>
        <w:t>/L). EF is exposure frequency—days/year—365 days. LE 69.89 years means years of life expectancy. BW is 70 kg. Average time is 25509 days</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W.H.O.</w:t>
      </w:r>
      <w:proofErr w:type="gramEnd"/>
      <w:r>
        <w:rPr>
          <w:rFonts w:ascii="Times New Roman" w:eastAsia="Times New Roman" w:hAnsi="Times New Roman" w:cs="Times New Roman"/>
          <w:sz w:val="24"/>
          <w:szCs w:val="24"/>
        </w:rPr>
        <w:t xml:space="preserve"> 1998).</w:t>
      </w:r>
      <w:r>
        <w:rPr>
          <w:rFonts w:ascii="Times New Roman" w:eastAsia="Times New Roman" w:hAnsi="Times New Roman" w:cs="Times New Roman"/>
          <w:color w:val="000000"/>
          <w:sz w:val="24"/>
          <w:szCs w:val="24"/>
        </w:rPr>
        <w:t xml:space="preserve">  A chemical toxicity risk (LADD) range of 0.05-4.00 </w:t>
      </w:r>
      <w:proofErr w:type="spellStart"/>
      <w:r>
        <w:rPr>
          <w:rFonts w:ascii="Times New Roman" w:eastAsia="Times New Roman" w:hAnsi="Times New Roman" w:cs="Times New Roman"/>
          <w:color w:val="000000"/>
          <w:sz w:val="24"/>
          <w:szCs w:val="24"/>
        </w:rPr>
        <w:t>μg</w:t>
      </w:r>
      <w:proofErr w:type="spellEnd"/>
      <w:r>
        <w:rPr>
          <w:rFonts w:ascii="Times New Roman" w:eastAsia="Times New Roman" w:hAnsi="Times New Roman" w:cs="Times New Roman"/>
          <w:color w:val="000000"/>
          <w:sz w:val="24"/>
          <w:szCs w:val="24"/>
        </w:rPr>
        <w:t xml:space="preserve">/kg/day was observed.  </w:t>
      </w:r>
    </w:p>
    <w:p w14:paraId="51D6C857" w14:textId="77777777" w:rsidR="00573EA0" w:rsidRDefault="00573EA0">
      <w:pPr>
        <w:pStyle w:val="Normal1"/>
        <w:widowControl w:val="0"/>
        <w:pBdr>
          <w:top w:val="nil"/>
          <w:left w:val="nil"/>
          <w:bottom w:val="nil"/>
          <w:right w:val="nil"/>
          <w:between w:val="nil"/>
        </w:pBdr>
        <w:spacing w:before="114" w:after="0" w:line="240" w:lineRule="auto"/>
        <w:ind w:right="217"/>
        <w:jc w:val="both"/>
        <w:rPr>
          <w:rFonts w:ascii="Times New Roman" w:eastAsia="Times New Roman" w:hAnsi="Times New Roman" w:cs="Times New Roman"/>
          <w:color w:val="000000"/>
          <w:sz w:val="24"/>
          <w:szCs w:val="24"/>
        </w:rPr>
      </w:pPr>
    </w:p>
    <w:p w14:paraId="37D08F1E" w14:textId="77777777" w:rsidR="00573EA0" w:rsidRDefault="00573EA0">
      <w:pPr>
        <w:pStyle w:val="Normal1"/>
        <w:pBdr>
          <w:top w:val="nil"/>
          <w:left w:val="nil"/>
          <w:bottom w:val="nil"/>
          <w:right w:val="nil"/>
          <w:between w:val="nil"/>
        </w:pBdr>
        <w:rPr>
          <w:rFonts w:ascii="Times New Roman" w:eastAsia="Times New Roman" w:hAnsi="Times New Roman" w:cs="Times New Roman"/>
          <w:color w:val="000000"/>
          <w:sz w:val="24"/>
          <w:szCs w:val="24"/>
        </w:rPr>
      </w:pPr>
    </w:p>
    <w:p w14:paraId="570F3FBF" w14:textId="77777777" w:rsidR="00D33D41" w:rsidRDefault="00D33D41">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7F0D7805" w14:textId="77777777" w:rsidR="00573EA0" w:rsidRPr="005B6519" w:rsidRDefault="007D55AB">
      <w:pPr>
        <w:pStyle w:val="Normal1"/>
        <w:pBdr>
          <w:top w:val="nil"/>
          <w:left w:val="nil"/>
          <w:bottom w:val="nil"/>
          <w:right w:val="nil"/>
          <w:between w:val="nil"/>
        </w:pBdr>
        <w:rPr>
          <w:rFonts w:ascii="Times New Roman" w:eastAsia="Times New Roman" w:hAnsi="Times New Roman" w:cs="Times New Roman"/>
          <w:b/>
          <w:color w:val="000000"/>
          <w:sz w:val="28"/>
          <w:szCs w:val="28"/>
          <w:lang w:val="id-ID"/>
        </w:rPr>
      </w:pPr>
      <w:r>
        <w:rPr>
          <w:rFonts w:ascii="Times New Roman" w:eastAsia="Times New Roman" w:hAnsi="Times New Roman" w:cs="Times New Roman"/>
          <w:sz w:val="24"/>
          <w:szCs w:val="24"/>
        </w:rPr>
        <w:lastRenderedPageBreak/>
        <w:t>4</w:t>
      </w:r>
      <w:r>
        <w:rPr>
          <w:rFonts w:ascii="Times New Roman" w:eastAsia="Times New Roman" w:hAnsi="Times New Roman" w:cs="Times New Roman"/>
          <w:b/>
          <w:color w:val="000000"/>
          <w:sz w:val="28"/>
          <w:szCs w:val="28"/>
        </w:rPr>
        <w:t>.  Resul</w:t>
      </w:r>
      <w:r w:rsidR="005B6519">
        <w:rPr>
          <w:rFonts w:ascii="Times New Roman" w:eastAsia="Times New Roman" w:hAnsi="Times New Roman" w:cs="Times New Roman"/>
          <w:b/>
          <w:color w:val="000000"/>
          <w:sz w:val="28"/>
          <w:szCs w:val="28"/>
        </w:rPr>
        <w:t>ts</w:t>
      </w:r>
    </w:p>
    <w:p w14:paraId="42C25EC3" w14:textId="77777777" w:rsidR="00573EA0" w:rsidRDefault="007D55AB">
      <w:pPr>
        <w:pStyle w:val="Normal1"/>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1 lists computed radiological risks and chemical hazards as well as concentration of Uranium for every water sample.  LED Fluorimeter (</w:t>
      </w:r>
      <w:proofErr w:type="spellStart"/>
      <w:r>
        <w:rPr>
          <w:rFonts w:ascii="Times New Roman" w:eastAsia="Times New Roman" w:hAnsi="Times New Roman" w:cs="Times New Roman"/>
          <w:color w:val="000000"/>
          <w:sz w:val="24"/>
          <w:szCs w:val="24"/>
        </w:rPr>
        <w:t>Quantalase</w:t>
      </w:r>
      <w:proofErr w:type="spellEnd"/>
      <w:r>
        <w:rPr>
          <w:rFonts w:ascii="Times New Roman" w:eastAsia="Times New Roman" w:hAnsi="Times New Roman" w:cs="Times New Roman"/>
          <w:color w:val="000000"/>
          <w:sz w:val="24"/>
          <w:szCs w:val="24"/>
        </w:rPr>
        <w:t xml:space="preserve"> LF-2a) analysis of the samples </w:t>
      </w:r>
      <w:proofErr w:type="gramStart"/>
      <w:r>
        <w:rPr>
          <w:rFonts w:ascii="Times New Roman" w:eastAsia="Times New Roman" w:hAnsi="Times New Roman" w:cs="Times New Roman"/>
          <w:color w:val="000000"/>
          <w:sz w:val="24"/>
          <w:szCs w:val="24"/>
        </w:rPr>
        <w:t>With</w:t>
      </w:r>
      <w:proofErr w:type="gramEnd"/>
      <w:r>
        <w:rPr>
          <w:rFonts w:ascii="Times New Roman" w:eastAsia="Times New Roman" w:hAnsi="Times New Roman" w:cs="Times New Roman"/>
          <w:color w:val="000000"/>
          <w:sz w:val="24"/>
          <w:szCs w:val="24"/>
        </w:rPr>
        <w:t xml:space="preserve"> mean value 47.59 µg/L and activity concentration (Ac) in the range (0.06 – 5.07) </w:t>
      </w:r>
      <w:proofErr w:type="spellStart"/>
      <w:r>
        <w:rPr>
          <w:rFonts w:ascii="Times New Roman" w:eastAsia="Times New Roman" w:hAnsi="Times New Roman" w:cs="Times New Roman"/>
          <w:color w:val="000000"/>
          <w:sz w:val="24"/>
          <w:szCs w:val="24"/>
        </w:rPr>
        <w:t>Bq</w:t>
      </w:r>
      <w:proofErr w:type="spellEnd"/>
      <w:r>
        <w:rPr>
          <w:rFonts w:ascii="Times New Roman" w:eastAsia="Times New Roman" w:hAnsi="Times New Roman" w:cs="Times New Roman"/>
          <w:color w:val="000000"/>
          <w:sz w:val="24"/>
          <w:szCs w:val="24"/>
        </w:rPr>
        <w:t xml:space="preserve">/L with mean value 1.18 </w:t>
      </w:r>
      <w:proofErr w:type="spellStart"/>
      <w:r>
        <w:rPr>
          <w:rFonts w:ascii="Times New Roman" w:eastAsia="Times New Roman" w:hAnsi="Times New Roman" w:cs="Times New Roman"/>
          <w:color w:val="000000"/>
          <w:sz w:val="24"/>
          <w:szCs w:val="24"/>
        </w:rPr>
        <w:t>Bq</w:t>
      </w:r>
      <w:proofErr w:type="spellEnd"/>
      <w:r>
        <w:rPr>
          <w:rFonts w:ascii="Times New Roman" w:eastAsia="Times New Roman" w:hAnsi="Times New Roman" w:cs="Times New Roman"/>
          <w:color w:val="000000"/>
          <w:sz w:val="24"/>
          <w:szCs w:val="24"/>
        </w:rPr>
        <w:t xml:space="preserve">/L and life time average daily dose (LADD) in the range 0.05 – 4, the concentration of Uranium varied from (2.64 – 202.9) µg/L.  </w:t>
      </w:r>
    </w:p>
    <w:p w14:paraId="130BD140" w14:textId="77777777" w:rsidR="00832249" w:rsidRDefault="007D55AB" w:rsidP="00D33D41">
      <w:pPr>
        <w:pStyle w:val="Normal1"/>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Of the 15 samples, 7 (47%) were determined to be less than 15 µg/L—the WHO 2004 acceptable limit</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W.H.O.</w:t>
      </w:r>
      <w:proofErr w:type="gramEnd"/>
      <w:r>
        <w:rPr>
          <w:rFonts w:ascii="Times New Roman" w:eastAsia="Times New Roman" w:hAnsi="Times New Roman" w:cs="Times New Roman"/>
          <w:sz w:val="24"/>
          <w:szCs w:val="24"/>
        </w:rPr>
        <w:t xml:space="preserve"> 2004).</w:t>
      </w:r>
      <w:r>
        <w:rPr>
          <w:rFonts w:ascii="Times New Roman" w:eastAsia="Times New Roman" w:hAnsi="Times New Roman" w:cs="Times New Roman"/>
          <w:color w:val="000000"/>
          <w:sz w:val="24"/>
          <w:szCs w:val="24"/>
        </w:rPr>
        <w:t xml:space="preserve">  Four (27%) showed levels below 30 µg/L, the USEPA limit</w:t>
      </w:r>
      <w:r>
        <w:rPr>
          <w:rFonts w:ascii="Times New Roman" w:eastAsia="Times New Roman" w:hAnsi="Times New Roman" w:cs="Times New Roman"/>
          <w:sz w:val="24"/>
          <w:szCs w:val="24"/>
        </w:rPr>
        <w:t xml:space="preserve"> (USEPA 2012)</w:t>
      </w:r>
      <w:r>
        <w:rPr>
          <w:rFonts w:ascii="Times New Roman" w:eastAsia="Times New Roman" w:hAnsi="Times New Roman" w:cs="Times New Roman"/>
          <w:color w:val="000000"/>
          <w:sz w:val="24"/>
          <w:szCs w:val="24"/>
        </w:rPr>
        <w:t xml:space="preserve">.  Four out of 15 samples (26%) exceeded the allowable amount of 60 µg/L defined by AERB, DAE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P.</w:t>
      </w:r>
      <w:proofErr w:type="gramStart"/>
      <w:r>
        <w:rPr>
          <w:rFonts w:ascii="Times New Roman" w:eastAsia="Times New Roman" w:hAnsi="Times New Roman" w:cs="Times New Roman"/>
          <w:sz w:val="24"/>
          <w:szCs w:val="24"/>
        </w:rPr>
        <w:t>K.Ghosh</w:t>
      </w:r>
      <w:proofErr w:type="spellEnd"/>
      <w:proofErr w:type="gramEnd"/>
      <w:r>
        <w:rPr>
          <w:rFonts w:ascii="Times New Roman" w:eastAsia="Times New Roman" w:hAnsi="Times New Roman" w:cs="Times New Roman"/>
          <w:sz w:val="24"/>
          <w:szCs w:val="24"/>
        </w:rPr>
        <w:t xml:space="preserve"> et al., 2007).</w:t>
      </w:r>
      <w:r>
        <w:rPr>
          <w:rFonts w:ascii="Times New Roman" w:eastAsia="Times New Roman" w:hAnsi="Times New Roman" w:cs="Times New Roman"/>
          <w:color w:val="000000"/>
          <w:sz w:val="24"/>
          <w:szCs w:val="24"/>
        </w:rPr>
        <w:t xml:space="preserve">  Pie chart</w:t>
      </w:r>
    </w:p>
    <w:p w14:paraId="35BA3DED" w14:textId="65AC0369" w:rsidR="00540563" w:rsidRDefault="007D55AB" w:rsidP="00D33D41">
      <w:pPr>
        <w:pStyle w:val="Normal1"/>
        <w:pBdr>
          <w:top w:val="nil"/>
          <w:left w:val="nil"/>
          <w:bottom w:val="nil"/>
          <w:right w:val="nil"/>
          <w:between w:val="nil"/>
        </w:pBdr>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rPr>
        <w:t>s in fig 3 show samples of various concentrations.</w:t>
      </w:r>
    </w:p>
    <w:p w14:paraId="44E673D4" w14:textId="77777777" w:rsidR="00D33D41" w:rsidRPr="00D33D41" w:rsidRDefault="00D33D41" w:rsidP="00D33D41">
      <w:pPr>
        <w:pStyle w:val="Normal1"/>
        <w:pBdr>
          <w:top w:val="nil"/>
          <w:left w:val="nil"/>
          <w:bottom w:val="nil"/>
          <w:right w:val="nil"/>
          <w:between w:val="nil"/>
        </w:pBdr>
        <w:jc w:val="both"/>
        <w:rPr>
          <w:rFonts w:ascii="Times New Roman" w:eastAsia="Times New Roman" w:hAnsi="Times New Roman" w:cs="Times New Roman"/>
          <w:color w:val="000000"/>
          <w:sz w:val="24"/>
          <w:szCs w:val="24"/>
          <w:lang w:val="id-ID"/>
        </w:rPr>
      </w:pPr>
    </w:p>
    <w:p w14:paraId="57F677D6" w14:textId="77777777" w:rsidR="00540563" w:rsidRDefault="00540563">
      <w:pPr>
        <w:pStyle w:val="Normal1"/>
        <w:pBdr>
          <w:top w:val="nil"/>
          <w:left w:val="nil"/>
          <w:bottom w:val="nil"/>
          <w:right w:val="nil"/>
          <w:between w:val="nil"/>
        </w:pBdr>
        <w:jc w:val="both"/>
        <w:rPr>
          <w:rFonts w:ascii="Times New Roman" w:eastAsia="Times New Roman" w:hAnsi="Times New Roman" w:cs="Times New Roman"/>
          <w:color w:val="000000"/>
          <w:sz w:val="24"/>
          <w:szCs w:val="24"/>
        </w:rPr>
      </w:pPr>
      <w:r w:rsidRPr="00540563">
        <w:rPr>
          <w:rFonts w:ascii="Times New Roman" w:eastAsia="Times New Roman" w:hAnsi="Times New Roman" w:cs="Times New Roman"/>
          <w:noProof/>
          <w:color w:val="000000"/>
          <w:sz w:val="24"/>
          <w:szCs w:val="24"/>
        </w:rPr>
        <w:drawing>
          <wp:inline distT="0" distB="0" distL="0" distR="0" wp14:anchorId="474378AA" wp14:editId="0278FB09">
            <wp:extent cx="5648325" cy="3533775"/>
            <wp:effectExtent l="19050" t="0" r="9525"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5"/>
                    <a:srcRect/>
                    <a:stretch>
                      <a:fillRect/>
                    </a:stretch>
                  </pic:blipFill>
                  <pic:spPr>
                    <a:xfrm>
                      <a:off x="0" y="0"/>
                      <a:ext cx="5648325" cy="3533775"/>
                    </a:xfrm>
                    <a:prstGeom prst="rect">
                      <a:avLst/>
                    </a:prstGeom>
                    <a:ln/>
                  </pic:spPr>
                </pic:pic>
              </a:graphicData>
            </a:graphic>
          </wp:inline>
        </w:drawing>
      </w:r>
    </w:p>
    <w:p w14:paraId="25603532" w14:textId="77777777" w:rsidR="00640AF1" w:rsidRDefault="00640AF1" w:rsidP="00640AF1">
      <w:pPr>
        <w:pStyle w:val="Normal1"/>
        <w:widowControl w:val="0"/>
        <w:pBdr>
          <w:top w:val="nil"/>
          <w:left w:val="nil"/>
          <w:bottom w:val="nil"/>
          <w:right w:val="nil"/>
          <w:between w:val="nil"/>
        </w:pBdr>
        <w:tabs>
          <w:tab w:val="left" w:pos="3314"/>
        </w:tabs>
        <w:spacing w:before="114" w:after="0" w:line="240" w:lineRule="auto"/>
        <w:ind w:right="21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Figure 3. Pie Chart of different concentration of Uranium</w:t>
      </w:r>
    </w:p>
    <w:p w14:paraId="76E57A94" w14:textId="77777777" w:rsidR="00573EA0" w:rsidRDefault="00540563" w:rsidP="00640AF1">
      <w:pPr>
        <w:pStyle w:val="Normal1"/>
        <w:widowControl w:val="0"/>
        <w:pBdr>
          <w:top w:val="nil"/>
          <w:left w:val="nil"/>
          <w:bottom w:val="nil"/>
          <w:right w:val="nil"/>
          <w:between w:val="nil"/>
        </w:pBdr>
        <w:tabs>
          <w:tab w:val="left" w:pos="3314"/>
        </w:tabs>
        <w:spacing w:before="114" w:after="0" w:line="240" w:lineRule="auto"/>
        <w:ind w:right="21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tbl>
      <w:tblPr>
        <w:tblStyle w:val="a"/>
        <w:tblpPr w:leftFromText="180" w:rightFromText="180" w:vertAnchor="page" w:horzAnchor="margin" w:tblpX="-601" w:tblpY="1331"/>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
        <w:gridCol w:w="850"/>
        <w:gridCol w:w="1276"/>
        <w:gridCol w:w="1276"/>
        <w:gridCol w:w="850"/>
        <w:gridCol w:w="993"/>
        <w:gridCol w:w="850"/>
        <w:gridCol w:w="851"/>
        <w:gridCol w:w="850"/>
        <w:gridCol w:w="851"/>
        <w:gridCol w:w="851"/>
      </w:tblGrid>
      <w:tr w:rsidR="00573EA0" w14:paraId="47E00FDA" w14:textId="77777777" w:rsidTr="00640AF1">
        <w:trPr>
          <w:cantSplit/>
          <w:tblHeader/>
        </w:trPr>
        <w:tc>
          <w:tcPr>
            <w:tcW w:w="9890" w:type="dxa"/>
            <w:gridSpan w:val="11"/>
            <w:tcBorders>
              <w:right w:val="single" w:sz="4" w:space="0" w:color="000000"/>
            </w:tcBorders>
          </w:tcPr>
          <w:p w14:paraId="5C9C818A" w14:textId="77777777" w:rsidR="00573EA0" w:rsidRDefault="007D55AB" w:rsidP="00640AF1">
            <w:pPr>
              <w:pStyle w:val="Normal1"/>
              <w:pBdr>
                <w:top w:val="nil"/>
                <w:left w:val="nil"/>
                <w:bottom w:val="nil"/>
                <w:right w:val="nil"/>
                <w:between w:val="nil"/>
              </w:pBdr>
              <w:spacing w:after="200" w:line="27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Table - 1</w:t>
            </w:r>
          </w:p>
          <w:p w14:paraId="7B227C0C" w14:textId="77777777" w:rsidR="00573EA0" w:rsidRDefault="007D55AB" w:rsidP="00640AF1">
            <w:pPr>
              <w:pStyle w:val="Normal1"/>
              <w:pBdr>
                <w:top w:val="nil"/>
                <w:left w:val="nil"/>
                <w:bottom w:val="nil"/>
                <w:right w:val="nil"/>
                <w:between w:val="nil"/>
              </w:pBdr>
              <w:spacing w:after="200" w:line="27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Concentration of Uranium, computed radiological and chemical hazards per water sample around Indira Gandhi Super Thermal Power Project (</w:t>
            </w:r>
            <w:proofErr w:type="spellStart"/>
            <w:r>
              <w:rPr>
                <w:rFonts w:ascii="Times New Roman" w:eastAsia="Times New Roman" w:hAnsi="Times New Roman" w:cs="Times New Roman"/>
                <w:b/>
                <w:color w:val="000000"/>
                <w:sz w:val="24"/>
                <w:szCs w:val="24"/>
              </w:rPr>
              <w:t>Jharli</w:t>
            </w:r>
            <w:proofErr w:type="spellEnd"/>
            <w:r>
              <w:rPr>
                <w:rFonts w:ascii="Times New Roman" w:eastAsia="Times New Roman" w:hAnsi="Times New Roman" w:cs="Times New Roman"/>
                <w:b/>
                <w:color w:val="000000"/>
                <w:sz w:val="24"/>
                <w:szCs w:val="24"/>
              </w:rPr>
              <w:t>) India</w:t>
            </w:r>
          </w:p>
          <w:p w14:paraId="74FDCE4B" w14:textId="77777777" w:rsidR="00573EA0" w:rsidRDefault="00573EA0" w:rsidP="00640AF1">
            <w:pPr>
              <w:pStyle w:val="Normal1"/>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p>
        </w:tc>
      </w:tr>
      <w:tr w:rsidR="00573EA0" w14:paraId="098DDEC5" w14:textId="77777777" w:rsidTr="00640AF1">
        <w:trPr>
          <w:cantSplit/>
          <w:tblHeader/>
        </w:trPr>
        <w:tc>
          <w:tcPr>
            <w:tcW w:w="392" w:type="dxa"/>
            <w:vMerge w:val="restart"/>
          </w:tcPr>
          <w:p w14:paraId="79CCFABB" w14:textId="77777777" w:rsidR="00573EA0" w:rsidRDefault="007D55AB" w:rsidP="00640AF1">
            <w:pPr>
              <w:pStyle w:val="Normal1"/>
              <w:pBdr>
                <w:top w:val="nil"/>
                <w:left w:val="nil"/>
                <w:bottom w:val="nil"/>
                <w:right w:val="nil"/>
                <w:between w:val="nil"/>
              </w:pBdr>
              <w:spacing w:after="200" w:line="27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Sr No</w:t>
            </w:r>
          </w:p>
        </w:tc>
        <w:tc>
          <w:tcPr>
            <w:tcW w:w="850" w:type="dxa"/>
            <w:vMerge w:val="restart"/>
          </w:tcPr>
          <w:p w14:paraId="47BBBE49" w14:textId="77777777" w:rsidR="00573EA0" w:rsidRDefault="007D55AB" w:rsidP="00640AF1">
            <w:pPr>
              <w:pStyle w:val="Normal1"/>
              <w:pBdr>
                <w:top w:val="nil"/>
                <w:left w:val="nil"/>
                <w:bottom w:val="nil"/>
                <w:right w:val="nil"/>
                <w:between w:val="nil"/>
              </w:pBdr>
              <w:spacing w:after="200" w:line="27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Label of Sample</w:t>
            </w:r>
          </w:p>
          <w:p w14:paraId="087FD528" w14:textId="77777777" w:rsidR="00573EA0" w:rsidRDefault="00573EA0" w:rsidP="00640AF1">
            <w:pPr>
              <w:pStyle w:val="Normal1"/>
              <w:pBdr>
                <w:top w:val="nil"/>
                <w:left w:val="nil"/>
                <w:bottom w:val="nil"/>
                <w:right w:val="nil"/>
                <w:between w:val="nil"/>
              </w:pBdr>
              <w:spacing w:after="200" w:line="276" w:lineRule="auto"/>
              <w:jc w:val="center"/>
              <w:rPr>
                <w:rFonts w:ascii="Times New Roman" w:eastAsia="Times New Roman" w:hAnsi="Times New Roman" w:cs="Times New Roman"/>
                <w:b/>
                <w:color w:val="000000"/>
                <w:sz w:val="24"/>
                <w:szCs w:val="24"/>
              </w:rPr>
            </w:pPr>
          </w:p>
        </w:tc>
        <w:tc>
          <w:tcPr>
            <w:tcW w:w="2552" w:type="dxa"/>
            <w:gridSpan w:val="2"/>
          </w:tcPr>
          <w:p w14:paraId="2B2122D2" w14:textId="77777777" w:rsidR="00573EA0" w:rsidRDefault="007D55AB" w:rsidP="00640AF1">
            <w:pPr>
              <w:pStyle w:val="Normal1"/>
              <w:pBdr>
                <w:top w:val="nil"/>
                <w:left w:val="nil"/>
                <w:bottom w:val="nil"/>
                <w:right w:val="nil"/>
                <w:between w:val="nil"/>
              </w:pBdr>
              <w:spacing w:after="200" w:line="27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GPS Location</w:t>
            </w:r>
          </w:p>
        </w:tc>
        <w:tc>
          <w:tcPr>
            <w:tcW w:w="850" w:type="dxa"/>
            <w:vMerge w:val="restart"/>
            <w:tcBorders>
              <w:right w:val="single" w:sz="4" w:space="0" w:color="000000"/>
            </w:tcBorders>
          </w:tcPr>
          <w:p w14:paraId="31418A1D" w14:textId="77777777" w:rsidR="00573EA0" w:rsidRDefault="007D55AB" w:rsidP="00640AF1">
            <w:pPr>
              <w:pStyle w:val="Normal1"/>
              <w:pBdr>
                <w:top w:val="nil"/>
                <w:left w:val="nil"/>
                <w:bottom w:val="nil"/>
                <w:right w:val="nil"/>
                <w:between w:val="nil"/>
              </w:pBdr>
              <w:spacing w:after="200" w:line="27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Conc. of U</w:t>
            </w:r>
          </w:p>
          <w:p w14:paraId="3A5C3A60" w14:textId="77777777" w:rsidR="00573EA0" w:rsidRDefault="007D55AB" w:rsidP="00640AF1">
            <w:pPr>
              <w:pStyle w:val="Normal1"/>
              <w:pBdr>
                <w:top w:val="nil"/>
                <w:left w:val="nil"/>
                <w:bottom w:val="nil"/>
                <w:right w:val="nil"/>
                <w:between w:val="nil"/>
              </w:pBdr>
              <w:spacing w:after="200" w:line="276" w:lineRule="auto"/>
              <w:jc w:val="center"/>
              <w:rPr>
                <w:rFonts w:ascii="Times New Roman" w:eastAsia="Times New Roman" w:hAnsi="Times New Roman" w:cs="Times New Roman"/>
                <w:b/>
                <w:color w:val="000000"/>
                <w:sz w:val="24"/>
                <w:szCs w:val="24"/>
              </w:rPr>
            </w:pPr>
            <w:proofErr w:type="gramStart"/>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µ</w:t>
            </w:r>
            <w:proofErr w:type="gramEnd"/>
            <w:r>
              <w:rPr>
                <w:rFonts w:ascii="Times New Roman" w:eastAsia="Times New Roman" w:hAnsi="Times New Roman" w:cs="Times New Roman"/>
                <w:color w:val="000000"/>
                <w:sz w:val="24"/>
                <w:szCs w:val="24"/>
              </w:rPr>
              <w:t>g/L)</w:t>
            </w:r>
          </w:p>
        </w:tc>
        <w:tc>
          <w:tcPr>
            <w:tcW w:w="993" w:type="dxa"/>
            <w:vMerge w:val="restart"/>
            <w:tcBorders>
              <w:left w:val="single" w:sz="4" w:space="0" w:color="000000"/>
            </w:tcBorders>
          </w:tcPr>
          <w:p w14:paraId="7F38456B" w14:textId="77777777" w:rsidR="00573EA0" w:rsidRDefault="007D55AB" w:rsidP="00640AF1">
            <w:pPr>
              <w:pStyle w:val="Normal1"/>
              <w:pBdr>
                <w:top w:val="nil"/>
                <w:left w:val="nil"/>
                <w:bottom w:val="nil"/>
                <w:right w:val="nil"/>
                <w:between w:val="nil"/>
              </w:pBdr>
              <w:spacing w:after="200" w:line="27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Ac</w:t>
            </w:r>
          </w:p>
          <w:p w14:paraId="2CCC2431" w14:textId="77777777" w:rsidR="00573EA0" w:rsidRDefault="007D55AB" w:rsidP="00640AF1">
            <w:pPr>
              <w:pStyle w:val="Normal1"/>
              <w:pBdr>
                <w:top w:val="nil"/>
                <w:left w:val="nil"/>
                <w:bottom w:val="nil"/>
                <w:right w:val="nil"/>
                <w:between w:val="nil"/>
              </w:pBdr>
              <w:spacing w:after="200" w:line="27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proofErr w:type="spellStart"/>
            <w:r>
              <w:rPr>
                <w:rFonts w:ascii="Times New Roman" w:eastAsia="Times New Roman" w:hAnsi="Times New Roman" w:cs="Times New Roman"/>
                <w:b/>
                <w:color w:val="000000"/>
                <w:sz w:val="24"/>
                <w:szCs w:val="24"/>
              </w:rPr>
              <w:t>Bq</w:t>
            </w:r>
            <w:proofErr w:type="spellEnd"/>
            <w:r>
              <w:rPr>
                <w:rFonts w:ascii="Times New Roman" w:eastAsia="Times New Roman" w:hAnsi="Times New Roman" w:cs="Times New Roman"/>
                <w:b/>
                <w:color w:val="000000"/>
                <w:sz w:val="24"/>
                <w:szCs w:val="24"/>
              </w:rPr>
              <w:t>/L)</w:t>
            </w:r>
          </w:p>
        </w:tc>
        <w:tc>
          <w:tcPr>
            <w:tcW w:w="850" w:type="dxa"/>
            <w:vMerge w:val="restart"/>
            <w:tcBorders>
              <w:left w:val="single" w:sz="4" w:space="0" w:color="000000"/>
            </w:tcBorders>
          </w:tcPr>
          <w:p w14:paraId="2E952B44" w14:textId="77777777" w:rsidR="00573EA0" w:rsidRDefault="007D55AB" w:rsidP="00640AF1">
            <w:pPr>
              <w:pStyle w:val="Normal1"/>
              <w:pBdr>
                <w:top w:val="nil"/>
                <w:left w:val="nil"/>
                <w:bottom w:val="nil"/>
                <w:right w:val="nil"/>
                <w:between w:val="nil"/>
              </w:pBdr>
              <w:spacing w:after="200" w:line="27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 Mortality</w:t>
            </w:r>
          </w:p>
        </w:tc>
        <w:tc>
          <w:tcPr>
            <w:tcW w:w="851" w:type="dxa"/>
            <w:vMerge w:val="restart"/>
            <w:tcBorders>
              <w:left w:val="single" w:sz="4" w:space="0" w:color="000000"/>
            </w:tcBorders>
          </w:tcPr>
          <w:p w14:paraId="2BA9A3C6" w14:textId="77777777" w:rsidR="00573EA0" w:rsidRDefault="007D55AB" w:rsidP="00640AF1">
            <w:pPr>
              <w:pStyle w:val="Normal1"/>
              <w:pBdr>
                <w:top w:val="nil"/>
                <w:left w:val="nil"/>
                <w:bottom w:val="nil"/>
                <w:right w:val="nil"/>
                <w:between w:val="nil"/>
              </w:pBdr>
              <w:spacing w:after="200" w:line="27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R </w:t>
            </w:r>
            <w:proofErr w:type="spellStart"/>
            <w:r>
              <w:rPr>
                <w:rFonts w:ascii="Times New Roman" w:eastAsia="Times New Roman" w:hAnsi="Times New Roman" w:cs="Times New Roman"/>
                <w:b/>
                <w:color w:val="000000"/>
                <w:sz w:val="24"/>
                <w:szCs w:val="24"/>
              </w:rPr>
              <w:t>Morbility</w:t>
            </w:r>
            <w:proofErr w:type="spellEnd"/>
          </w:p>
        </w:tc>
        <w:tc>
          <w:tcPr>
            <w:tcW w:w="850" w:type="dxa"/>
            <w:vMerge w:val="restart"/>
            <w:tcBorders>
              <w:left w:val="single" w:sz="4" w:space="0" w:color="000000"/>
            </w:tcBorders>
          </w:tcPr>
          <w:p w14:paraId="25FCB521" w14:textId="77777777" w:rsidR="00573EA0" w:rsidRDefault="007D55AB" w:rsidP="00640AF1">
            <w:pPr>
              <w:pStyle w:val="Normal1"/>
              <w:pBdr>
                <w:top w:val="nil"/>
                <w:left w:val="nil"/>
                <w:bottom w:val="nil"/>
                <w:right w:val="nil"/>
                <w:between w:val="nil"/>
              </w:pBdr>
              <w:spacing w:after="200" w:line="27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ECR Mortality</w:t>
            </w:r>
          </w:p>
        </w:tc>
        <w:tc>
          <w:tcPr>
            <w:tcW w:w="851" w:type="dxa"/>
            <w:vMerge w:val="restart"/>
            <w:tcBorders>
              <w:left w:val="single" w:sz="4" w:space="0" w:color="000000"/>
            </w:tcBorders>
          </w:tcPr>
          <w:p w14:paraId="6ABD706D" w14:textId="77777777" w:rsidR="00573EA0" w:rsidRDefault="007D55AB" w:rsidP="00640AF1">
            <w:pPr>
              <w:pStyle w:val="Normal1"/>
              <w:pBdr>
                <w:top w:val="nil"/>
                <w:left w:val="nil"/>
                <w:bottom w:val="nil"/>
                <w:right w:val="nil"/>
                <w:between w:val="nil"/>
              </w:pBdr>
              <w:spacing w:after="200" w:line="27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ECR </w:t>
            </w:r>
            <w:proofErr w:type="spellStart"/>
            <w:r>
              <w:rPr>
                <w:rFonts w:ascii="Times New Roman" w:eastAsia="Times New Roman" w:hAnsi="Times New Roman" w:cs="Times New Roman"/>
                <w:b/>
                <w:color w:val="000000"/>
                <w:sz w:val="24"/>
                <w:szCs w:val="24"/>
              </w:rPr>
              <w:t>Morbility</w:t>
            </w:r>
            <w:proofErr w:type="spellEnd"/>
          </w:p>
        </w:tc>
        <w:tc>
          <w:tcPr>
            <w:tcW w:w="851" w:type="dxa"/>
            <w:vMerge w:val="restart"/>
            <w:tcBorders>
              <w:left w:val="single" w:sz="4" w:space="0" w:color="000000"/>
            </w:tcBorders>
          </w:tcPr>
          <w:p w14:paraId="008F03B5" w14:textId="77777777" w:rsidR="00573EA0" w:rsidRDefault="007D55AB" w:rsidP="00640AF1">
            <w:pPr>
              <w:pStyle w:val="Normal1"/>
              <w:pBdr>
                <w:top w:val="nil"/>
                <w:left w:val="nil"/>
                <w:bottom w:val="nil"/>
                <w:right w:val="nil"/>
                <w:between w:val="nil"/>
              </w:pBdr>
              <w:spacing w:after="200" w:line="276" w:lineRule="auto"/>
              <w:jc w:val="center"/>
              <w:rPr>
                <w:rFonts w:ascii="Times New Roman" w:eastAsia="Times New Roman" w:hAnsi="Times New Roman" w:cs="Times New Roman"/>
                <w:b/>
                <w:color w:val="000000"/>
                <w:sz w:val="24"/>
                <w:szCs w:val="24"/>
              </w:rPr>
            </w:pPr>
            <w:proofErr w:type="gramStart"/>
            <w:r>
              <w:rPr>
                <w:rFonts w:ascii="Times New Roman" w:eastAsia="Times New Roman" w:hAnsi="Times New Roman" w:cs="Times New Roman"/>
                <w:b/>
                <w:color w:val="000000"/>
                <w:sz w:val="24"/>
                <w:szCs w:val="24"/>
              </w:rPr>
              <w:t>LADD  (</w:t>
            </w:r>
            <w:proofErr w:type="gramEnd"/>
            <w:r>
              <w:rPr>
                <w:rFonts w:ascii="Times New Roman" w:eastAsia="Times New Roman" w:hAnsi="Times New Roman" w:cs="Times New Roman"/>
                <w:color w:val="000000"/>
                <w:sz w:val="24"/>
                <w:szCs w:val="24"/>
              </w:rPr>
              <w:t>µg/kg/day)</w:t>
            </w:r>
          </w:p>
        </w:tc>
      </w:tr>
      <w:tr w:rsidR="00573EA0" w14:paraId="53081649" w14:textId="77777777" w:rsidTr="00640AF1">
        <w:trPr>
          <w:cantSplit/>
          <w:trHeight w:val="1302"/>
          <w:tblHeader/>
        </w:trPr>
        <w:tc>
          <w:tcPr>
            <w:tcW w:w="392" w:type="dxa"/>
            <w:vMerge/>
          </w:tcPr>
          <w:p w14:paraId="22A7DEE5" w14:textId="77777777" w:rsidR="00573EA0" w:rsidRDefault="00573EA0" w:rsidP="00640AF1">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850" w:type="dxa"/>
            <w:vMerge/>
          </w:tcPr>
          <w:p w14:paraId="1D1EC66E" w14:textId="77777777" w:rsidR="00573EA0" w:rsidRDefault="00573EA0" w:rsidP="00640AF1">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1276" w:type="dxa"/>
          </w:tcPr>
          <w:p w14:paraId="40AF33E1" w14:textId="77777777" w:rsidR="00573EA0" w:rsidRDefault="007D55AB" w:rsidP="00640AF1">
            <w:pPr>
              <w:pStyle w:val="Normal1"/>
              <w:pBdr>
                <w:top w:val="nil"/>
                <w:left w:val="nil"/>
                <w:bottom w:val="nil"/>
                <w:right w:val="nil"/>
                <w:between w:val="nil"/>
              </w:pBdr>
              <w:shd w:val="clear" w:color="auto" w:fill="FFFFFF"/>
              <w:spacing w:after="200"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Latitude</w:t>
            </w:r>
          </w:p>
        </w:tc>
        <w:tc>
          <w:tcPr>
            <w:tcW w:w="1276" w:type="dxa"/>
          </w:tcPr>
          <w:p w14:paraId="1C660CA1" w14:textId="77777777" w:rsidR="00573EA0" w:rsidRDefault="007D55AB" w:rsidP="00640AF1">
            <w:pPr>
              <w:pStyle w:val="Normal1"/>
              <w:pBdr>
                <w:top w:val="nil"/>
                <w:left w:val="nil"/>
                <w:bottom w:val="nil"/>
                <w:right w:val="nil"/>
                <w:between w:val="nil"/>
              </w:pBdr>
              <w:shd w:val="clear" w:color="auto" w:fill="FFFFFF"/>
              <w:spacing w:after="200"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Longitude</w:t>
            </w:r>
          </w:p>
        </w:tc>
        <w:tc>
          <w:tcPr>
            <w:tcW w:w="850" w:type="dxa"/>
            <w:vMerge/>
            <w:tcBorders>
              <w:right w:val="single" w:sz="4" w:space="0" w:color="000000"/>
            </w:tcBorders>
          </w:tcPr>
          <w:p w14:paraId="11FF3C08" w14:textId="77777777" w:rsidR="00573EA0" w:rsidRDefault="00573EA0" w:rsidP="00640AF1">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993" w:type="dxa"/>
            <w:vMerge/>
            <w:tcBorders>
              <w:left w:val="single" w:sz="4" w:space="0" w:color="000000"/>
            </w:tcBorders>
          </w:tcPr>
          <w:p w14:paraId="07AEB396" w14:textId="77777777" w:rsidR="00573EA0" w:rsidRDefault="00573EA0" w:rsidP="00640AF1">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850" w:type="dxa"/>
            <w:vMerge/>
            <w:tcBorders>
              <w:left w:val="single" w:sz="4" w:space="0" w:color="000000"/>
            </w:tcBorders>
          </w:tcPr>
          <w:p w14:paraId="542C2934" w14:textId="77777777" w:rsidR="00573EA0" w:rsidRDefault="00573EA0" w:rsidP="00640AF1">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851" w:type="dxa"/>
            <w:vMerge/>
            <w:tcBorders>
              <w:left w:val="single" w:sz="4" w:space="0" w:color="000000"/>
            </w:tcBorders>
          </w:tcPr>
          <w:p w14:paraId="3D359412" w14:textId="77777777" w:rsidR="00573EA0" w:rsidRDefault="00573EA0" w:rsidP="00640AF1">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850" w:type="dxa"/>
            <w:vMerge/>
            <w:tcBorders>
              <w:left w:val="single" w:sz="4" w:space="0" w:color="000000"/>
            </w:tcBorders>
          </w:tcPr>
          <w:p w14:paraId="4B7E4AC2" w14:textId="77777777" w:rsidR="00573EA0" w:rsidRDefault="00573EA0" w:rsidP="00640AF1">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851" w:type="dxa"/>
            <w:vMerge/>
            <w:tcBorders>
              <w:left w:val="single" w:sz="4" w:space="0" w:color="000000"/>
            </w:tcBorders>
          </w:tcPr>
          <w:p w14:paraId="4706D49C" w14:textId="77777777" w:rsidR="00573EA0" w:rsidRDefault="00573EA0" w:rsidP="00640AF1">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851" w:type="dxa"/>
            <w:vMerge/>
            <w:tcBorders>
              <w:left w:val="single" w:sz="4" w:space="0" w:color="000000"/>
            </w:tcBorders>
          </w:tcPr>
          <w:p w14:paraId="6C17403B" w14:textId="77777777" w:rsidR="00573EA0" w:rsidRDefault="00573EA0" w:rsidP="00640AF1">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r>
      <w:tr w:rsidR="00573EA0" w14:paraId="3F6B5357" w14:textId="77777777" w:rsidTr="00640AF1">
        <w:trPr>
          <w:cantSplit/>
          <w:tblHeader/>
        </w:trPr>
        <w:tc>
          <w:tcPr>
            <w:tcW w:w="392" w:type="dxa"/>
          </w:tcPr>
          <w:p w14:paraId="784BDC49" w14:textId="77777777" w:rsidR="00573EA0" w:rsidRDefault="00573EA0" w:rsidP="00640AF1">
            <w:pPr>
              <w:pStyle w:val="Normal1"/>
              <w:numPr>
                <w:ilvl w:val="0"/>
                <w:numId w:val="1"/>
              </w:numPr>
              <w:pBdr>
                <w:top w:val="nil"/>
                <w:left w:val="nil"/>
                <w:bottom w:val="nil"/>
                <w:right w:val="nil"/>
                <w:between w:val="nil"/>
              </w:pBdr>
              <w:spacing w:after="200" w:line="276" w:lineRule="auto"/>
              <w:rPr>
                <w:rFonts w:ascii="Times New Roman" w:eastAsia="Times New Roman" w:hAnsi="Times New Roman" w:cs="Times New Roman"/>
                <w:color w:val="000000"/>
                <w:sz w:val="24"/>
                <w:szCs w:val="24"/>
              </w:rPr>
            </w:pPr>
          </w:p>
        </w:tc>
        <w:tc>
          <w:tcPr>
            <w:tcW w:w="850" w:type="dxa"/>
          </w:tcPr>
          <w:p w14:paraId="114EE0B2" w14:textId="77777777" w:rsidR="00573EA0" w:rsidRDefault="007D55AB" w:rsidP="00640AF1">
            <w:pPr>
              <w:pStyle w:val="Normal1"/>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S-1</w:t>
            </w:r>
          </w:p>
        </w:tc>
        <w:tc>
          <w:tcPr>
            <w:tcW w:w="1276" w:type="dxa"/>
          </w:tcPr>
          <w:p w14:paraId="1A0ED007" w14:textId="77777777" w:rsidR="00573EA0" w:rsidRDefault="007D55AB" w:rsidP="00640AF1">
            <w:pPr>
              <w:pStyle w:val="Normal1"/>
              <w:pBdr>
                <w:top w:val="nil"/>
                <w:left w:val="nil"/>
                <w:bottom w:val="nil"/>
                <w:right w:val="nil"/>
                <w:between w:val="nil"/>
              </w:pBdr>
              <w:shd w:val="clear" w:color="auto" w:fill="FFFFFF"/>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28°29'44.9"N </w:t>
            </w:r>
          </w:p>
        </w:tc>
        <w:tc>
          <w:tcPr>
            <w:tcW w:w="1276" w:type="dxa"/>
          </w:tcPr>
          <w:p w14:paraId="454F5B55" w14:textId="77777777" w:rsidR="00573EA0" w:rsidRDefault="007D55AB" w:rsidP="00640AF1">
            <w:pPr>
              <w:pStyle w:val="Normal1"/>
              <w:pBdr>
                <w:top w:val="nil"/>
                <w:left w:val="nil"/>
                <w:bottom w:val="nil"/>
                <w:right w:val="nil"/>
                <w:between w:val="nil"/>
              </w:pBdr>
              <w:shd w:val="clear" w:color="auto" w:fill="FFFFFF"/>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76°21'42.1"E</w:t>
            </w:r>
          </w:p>
        </w:tc>
        <w:tc>
          <w:tcPr>
            <w:tcW w:w="850" w:type="dxa"/>
            <w:tcBorders>
              <w:right w:val="single" w:sz="4" w:space="0" w:color="000000"/>
            </w:tcBorders>
          </w:tcPr>
          <w:p w14:paraId="106FADF7" w14:textId="77777777" w:rsidR="00573EA0" w:rsidRDefault="007D55AB" w:rsidP="00640AF1">
            <w:pPr>
              <w:pStyle w:val="Normal1"/>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94.46</w:t>
            </w:r>
          </w:p>
        </w:tc>
        <w:tc>
          <w:tcPr>
            <w:tcW w:w="993" w:type="dxa"/>
            <w:tcBorders>
              <w:left w:val="single" w:sz="4" w:space="0" w:color="000000"/>
            </w:tcBorders>
          </w:tcPr>
          <w:p w14:paraId="2771874B" w14:textId="77777777" w:rsidR="00573EA0" w:rsidRDefault="007D55AB" w:rsidP="00640AF1">
            <w:pPr>
              <w:pStyle w:val="Normal1"/>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2.36</w:t>
            </w:r>
          </w:p>
        </w:tc>
        <w:tc>
          <w:tcPr>
            <w:tcW w:w="850" w:type="dxa"/>
            <w:tcBorders>
              <w:left w:val="single" w:sz="4" w:space="0" w:color="000000"/>
            </w:tcBorders>
          </w:tcPr>
          <w:p w14:paraId="49600251" w14:textId="77777777" w:rsidR="00573EA0" w:rsidRDefault="007D55AB" w:rsidP="00640AF1">
            <w:pPr>
              <w:pStyle w:val="Normal1"/>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4.19 E-05</w:t>
            </w:r>
          </w:p>
        </w:tc>
        <w:tc>
          <w:tcPr>
            <w:tcW w:w="851" w:type="dxa"/>
            <w:tcBorders>
              <w:left w:val="single" w:sz="4" w:space="0" w:color="000000"/>
            </w:tcBorders>
          </w:tcPr>
          <w:p w14:paraId="0345AE81" w14:textId="77777777" w:rsidR="00573EA0" w:rsidRDefault="007D55AB" w:rsidP="00640AF1">
            <w:pPr>
              <w:pStyle w:val="Normal1"/>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6.48 E-05</w:t>
            </w:r>
          </w:p>
        </w:tc>
        <w:tc>
          <w:tcPr>
            <w:tcW w:w="850" w:type="dxa"/>
            <w:tcBorders>
              <w:left w:val="single" w:sz="4" w:space="0" w:color="000000"/>
            </w:tcBorders>
          </w:tcPr>
          <w:p w14:paraId="23442C82" w14:textId="77777777" w:rsidR="00573EA0" w:rsidRDefault="007D55AB" w:rsidP="00640AF1">
            <w:pPr>
              <w:pStyle w:val="Normal1"/>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9.88 E-05</w:t>
            </w:r>
          </w:p>
        </w:tc>
        <w:tc>
          <w:tcPr>
            <w:tcW w:w="851" w:type="dxa"/>
            <w:tcBorders>
              <w:left w:val="single" w:sz="4" w:space="0" w:color="000000"/>
            </w:tcBorders>
          </w:tcPr>
          <w:p w14:paraId="096C4010" w14:textId="77777777" w:rsidR="00573EA0" w:rsidRDefault="007D55AB" w:rsidP="00640AF1">
            <w:pPr>
              <w:pStyle w:val="Normal1"/>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1.52 E-04</w:t>
            </w:r>
          </w:p>
        </w:tc>
        <w:tc>
          <w:tcPr>
            <w:tcW w:w="851" w:type="dxa"/>
            <w:tcBorders>
              <w:left w:val="single" w:sz="4" w:space="0" w:color="000000"/>
            </w:tcBorders>
          </w:tcPr>
          <w:p w14:paraId="18E25F36" w14:textId="77777777" w:rsidR="00573EA0" w:rsidRDefault="007D55AB" w:rsidP="00640AF1">
            <w:pPr>
              <w:pStyle w:val="Normal1"/>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1.86</w:t>
            </w:r>
          </w:p>
        </w:tc>
      </w:tr>
      <w:tr w:rsidR="00573EA0" w14:paraId="375BCBDF" w14:textId="77777777" w:rsidTr="00640AF1">
        <w:trPr>
          <w:cantSplit/>
          <w:tblHeader/>
        </w:trPr>
        <w:tc>
          <w:tcPr>
            <w:tcW w:w="392" w:type="dxa"/>
          </w:tcPr>
          <w:p w14:paraId="1368F757" w14:textId="77777777" w:rsidR="00573EA0" w:rsidRDefault="00573EA0" w:rsidP="00640AF1">
            <w:pPr>
              <w:pStyle w:val="Normal1"/>
              <w:numPr>
                <w:ilvl w:val="0"/>
                <w:numId w:val="1"/>
              </w:numPr>
              <w:pBdr>
                <w:top w:val="nil"/>
                <w:left w:val="nil"/>
                <w:bottom w:val="nil"/>
                <w:right w:val="nil"/>
                <w:between w:val="nil"/>
              </w:pBdr>
              <w:spacing w:after="200" w:line="276" w:lineRule="auto"/>
              <w:rPr>
                <w:rFonts w:ascii="Times New Roman" w:eastAsia="Times New Roman" w:hAnsi="Times New Roman" w:cs="Times New Roman"/>
                <w:color w:val="000000"/>
                <w:sz w:val="24"/>
                <w:szCs w:val="24"/>
              </w:rPr>
            </w:pPr>
          </w:p>
        </w:tc>
        <w:tc>
          <w:tcPr>
            <w:tcW w:w="850" w:type="dxa"/>
          </w:tcPr>
          <w:p w14:paraId="3CE58A11" w14:textId="77777777" w:rsidR="00573EA0" w:rsidRDefault="007D55AB" w:rsidP="00640AF1">
            <w:pPr>
              <w:pStyle w:val="Normal1"/>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S-2</w:t>
            </w:r>
          </w:p>
        </w:tc>
        <w:tc>
          <w:tcPr>
            <w:tcW w:w="1276" w:type="dxa"/>
          </w:tcPr>
          <w:p w14:paraId="4CEE7043" w14:textId="77777777" w:rsidR="00573EA0" w:rsidRDefault="007D55AB" w:rsidP="00640AF1">
            <w:pPr>
              <w:pStyle w:val="Normal1"/>
              <w:pBdr>
                <w:top w:val="nil"/>
                <w:left w:val="nil"/>
                <w:bottom w:val="nil"/>
                <w:right w:val="nil"/>
                <w:between w:val="nil"/>
              </w:pBdr>
              <w:shd w:val="clear" w:color="auto" w:fill="FFFFFF"/>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28°30'36.3"N </w:t>
            </w:r>
          </w:p>
        </w:tc>
        <w:tc>
          <w:tcPr>
            <w:tcW w:w="1276" w:type="dxa"/>
          </w:tcPr>
          <w:p w14:paraId="72559C1E" w14:textId="77777777" w:rsidR="00573EA0" w:rsidRDefault="007D55AB" w:rsidP="00640AF1">
            <w:pPr>
              <w:pStyle w:val="Normal1"/>
              <w:pBdr>
                <w:top w:val="nil"/>
                <w:left w:val="nil"/>
                <w:bottom w:val="nil"/>
                <w:right w:val="nil"/>
                <w:between w:val="nil"/>
              </w:pBdr>
              <w:shd w:val="clear" w:color="auto" w:fill="FFFFFF"/>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76°22'15.1"E</w:t>
            </w:r>
          </w:p>
        </w:tc>
        <w:tc>
          <w:tcPr>
            <w:tcW w:w="850" w:type="dxa"/>
          </w:tcPr>
          <w:p w14:paraId="59532CAC" w14:textId="77777777" w:rsidR="00573EA0" w:rsidRDefault="007D55AB" w:rsidP="00640AF1">
            <w:pPr>
              <w:pStyle w:val="Normal1"/>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6.619</w:t>
            </w:r>
          </w:p>
        </w:tc>
        <w:tc>
          <w:tcPr>
            <w:tcW w:w="993" w:type="dxa"/>
          </w:tcPr>
          <w:p w14:paraId="66E5B366" w14:textId="77777777" w:rsidR="00573EA0" w:rsidRDefault="007D55AB" w:rsidP="00640AF1">
            <w:pPr>
              <w:pStyle w:val="Normal1"/>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0.16</w:t>
            </w:r>
          </w:p>
        </w:tc>
        <w:tc>
          <w:tcPr>
            <w:tcW w:w="850" w:type="dxa"/>
          </w:tcPr>
          <w:p w14:paraId="152045FF" w14:textId="77777777" w:rsidR="00573EA0" w:rsidRDefault="007D55AB" w:rsidP="00640AF1">
            <w:pPr>
              <w:pStyle w:val="Normal1"/>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4.19 E-05</w:t>
            </w:r>
          </w:p>
        </w:tc>
        <w:tc>
          <w:tcPr>
            <w:tcW w:w="851" w:type="dxa"/>
          </w:tcPr>
          <w:p w14:paraId="1229F75F" w14:textId="77777777" w:rsidR="00573EA0" w:rsidRDefault="007D55AB" w:rsidP="00640AF1">
            <w:pPr>
              <w:pStyle w:val="Normal1"/>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6.48 E-05</w:t>
            </w:r>
          </w:p>
        </w:tc>
        <w:tc>
          <w:tcPr>
            <w:tcW w:w="850" w:type="dxa"/>
          </w:tcPr>
          <w:p w14:paraId="6F039FAC" w14:textId="77777777" w:rsidR="00573EA0" w:rsidRDefault="007D55AB" w:rsidP="00640AF1">
            <w:pPr>
              <w:pStyle w:val="Normal1"/>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6.70 E-06</w:t>
            </w:r>
          </w:p>
        </w:tc>
        <w:tc>
          <w:tcPr>
            <w:tcW w:w="851" w:type="dxa"/>
          </w:tcPr>
          <w:p w14:paraId="7911711B" w14:textId="77777777" w:rsidR="00573EA0" w:rsidRDefault="007D55AB" w:rsidP="00640AF1">
            <w:pPr>
              <w:pStyle w:val="Normal1"/>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1.03 E-05</w:t>
            </w:r>
          </w:p>
        </w:tc>
        <w:tc>
          <w:tcPr>
            <w:tcW w:w="851" w:type="dxa"/>
          </w:tcPr>
          <w:p w14:paraId="2D2D211B" w14:textId="77777777" w:rsidR="00573EA0" w:rsidRDefault="007D55AB" w:rsidP="00640AF1">
            <w:pPr>
              <w:pStyle w:val="Normal1"/>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0.13</w:t>
            </w:r>
          </w:p>
        </w:tc>
      </w:tr>
      <w:tr w:rsidR="00573EA0" w14:paraId="04417CBF" w14:textId="77777777" w:rsidTr="00640AF1">
        <w:trPr>
          <w:cantSplit/>
          <w:tblHeader/>
        </w:trPr>
        <w:tc>
          <w:tcPr>
            <w:tcW w:w="392" w:type="dxa"/>
          </w:tcPr>
          <w:p w14:paraId="57A8F34A" w14:textId="77777777" w:rsidR="00573EA0" w:rsidRDefault="00573EA0" w:rsidP="00640AF1">
            <w:pPr>
              <w:pStyle w:val="Normal1"/>
              <w:numPr>
                <w:ilvl w:val="0"/>
                <w:numId w:val="1"/>
              </w:numPr>
              <w:pBdr>
                <w:top w:val="nil"/>
                <w:left w:val="nil"/>
                <w:bottom w:val="nil"/>
                <w:right w:val="nil"/>
                <w:between w:val="nil"/>
              </w:pBdr>
              <w:spacing w:after="200" w:line="276" w:lineRule="auto"/>
              <w:rPr>
                <w:rFonts w:ascii="Times New Roman" w:eastAsia="Times New Roman" w:hAnsi="Times New Roman" w:cs="Times New Roman"/>
                <w:color w:val="000000"/>
                <w:sz w:val="24"/>
                <w:szCs w:val="24"/>
              </w:rPr>
            </w:pPr>
          </w:p>
        </w:tc>
        <w:tc>
          <w:tcPr>
            <w:tcW w:w="850" w:type="dxa"/>
          </w:tcPr>
          <w:p w14:paraId="078A5074" w14:textId="77777777" w:rsidR="00573EA0" w:rsidRDefault="007D55AB" w:rsidP="00640AF1">
            <w:pPr>
              <w:pStyle w:val="Normal1"/>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S-3</w:t>
            </w:r>
          </w:p>
        </w:tc>
        <w:tc>
          <w:tcPr>
            <w:tcW w:w="1276" w:type="dxa"/>
          </w:tcPr>
          <w:p w14:paraId="603D1B33" w14:textId="77777777" w:rsidR="00573EA0" w:rsidRDefault="007D55AB" w:rsidP="00640AF1">
            <w:pPr>
              <w:pStyle w:val="Normal1"/>
              <w:pBdr>
                <w:top w:val="nil"/>
                <w:left w:val="nil"/>
                <w:bottom w:val="nil"/>
                <w:right w:val="nil"/>
                <w:between w:val="nil"/>
              </w:pBdr>
              <w:shd w:val="clear" w:color="auto" w:fill="FFFFFF"/>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28°30'48.1"N </w:t>
            </w:r>
          </w:p>
        </w:tc>
        <w:tc>
          <w:tcPr>
            <w:tcW w:w="1276" w:type="dxa"/>
          </w:tcPr>
          <w:p w14:paraId="2349620C" w14:textId="77777777" w:rsidR="00573EA0" w:rsidRDefault="007D55AB" w:rsidP="00640AF1">
            <w:pPr>
              <w:pStyle w:val="Normal1"/>
              <w:pBdr>
                <w:top w:val="nil"/>
                <w:left w:val="nil"/>
                <w:bottom w:val="nil"/>
                <w:right w:val="nil"/>
                <w:between w:val="nil"/>
              </w:pBdr>
              <w:shd w:val="clear" w:color="auto" w:fill="FFFFFF"/>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76°21'32.2"E</w:t>
            </w:r>
          </w:p>
        </w:tc>
        <w:tc>
          <w:tcPr>
            <w:tcW w:w="850" w:type="dxa"/>
          </w:tcPr>
          <w:p w14:paraId="51433D20" w14:textId="77777777" w:rsidR="00573EA0" w:rsidRDefault="007D55AB" w:rsidP="00640AF1">
            <w:pPr>
              <w:pStyle w:val="Normal1"/>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14.24</w:t>
            </w:r>
          </w:p>
        </w:tc>
        <w:tc>
          <w:tcPr>
            <w:tcW w:w="993" w:type="dxa"/>
          </w:tcPr>
          <w:p w14:paraId="1B8CDB81" w14:textId="77777777" w:rsidR="00573EA0" w:rsidRDefault="007D55AB" w:rsidP="00640AF1">
            <w:pPr>
              <w:pStyle w:val="Normal1"/>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0.35</w:t>
            </w:r>
          </w:p>
        </w:tc>
        <w:tc>
          <w:tcPr>
            <w:tcW w:w="850" w:type="dxa"/>
          </w:tcPr>
          <w:p w14:paraId="05CDA667" w14:textId="77777777" w:rsidR="00573EA0" w:rsidRDefault="007D55AB" w:rsidP="00640AF1">
            <w:pPr>
              <w:pStyle w:val="Normal1"/>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4.19 E-05</w:t>
            </w:r>
          </w:p>
        </w:tc>
        <w:tc>
          <w:tcPr>
            <w:tcW w:w="851" w:type="dxa"/>
          </w:tcPr>
          <w:p w14:paraId="3D757C49" w14:textId="77777777" w:rsidR="00573EA0" w:rsidRDefault="007D55AB" w:rsidP="00640AF1">
            <w:pPr>
              <w:pStyle w:val="Normal1"/>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6.48 E-05</w:t>
            </w:r>
          </w:p>
        </w:tc>
        <w:tc>
          <w:tcPr>
            <w:tcW w:w="850" w:type="dxa"/>
          </w:tcPr>
          <w:p w14:paraId="5F2DBF34" w14:textId="77777777" w:rsidR="00573EA0" w:rsidRDefault="007D55AB" w:rsidP="00640AF1">
            <w:pPr>
              <w:pStyle w:val="Normal1"/>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1.46 E-05</w:t>
            </w:r>
          </w:p>
        </w:tc>
        <w:tc>
          <w:tcPr>
            <w:tcW w:w="851" w:type="dxa"/>
          </w:tcPr>
          <w:p w14:paraId="790D210D" w14:textId="77777777" w:rsidR="00573EA0" w:rsidRDefault="007D55AB" w:rsidP="00640AF1">
            <w:pPr>
              <w:pStyle w:val="Normal1"/>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2.27 E-04</w:t>
            </w:r>
          </w:p>
        </w:tc>
        <w:tc>
          <w:tcPr>
            <w:tcW w:w="851" w:type="dxa"/>
          </w:tcPr>
          <w:p w14:paraId="07B9F6E6" w14:textId="77777777" w:rsidR="00573EA0" w:rsidRDefault="007D55AB" w:rsidP="00640AF1">
            <w:pPr>
              <w:pStyle w:val="Normal1"/>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0.28</w:t>
            </w:r>
          </w:p>
        </w:tc>
      </w:tr>
      <w:tr w:rsidR="00573EA0" w14:paraId="00988EFB" w14:textId="77777777" w:rsidTr="00640AF1">
        <w:trPr>
          <w:cantSplit/>
          <w:tblHeader/>
        </w:trPr>
        <w:tc>
          <w:tcPr>
            <w:tcW w:w="392" w:type="dxa"/>
          </w:tcPr>
          <w:p w14:paraId="5F5B5EC9" w14:textId="77777777" w:rsidR="00573EA0" w:rsidRDefault="00573EA0" w:rsidP="00640AF1">
            <w:pPr>
              <w:pStyle w:val="Normal1"/>
              <w:numPr>
                <w:ilvl w:val="0"/>
                <w:numId w:val="1"/>
              </w:numPr>
              <w:pBdr>
                <w:top w:val="nil"/>
                <w:left w:val="nil"/>
                <w:bottom w:val="nil"/>
                <w:right w:val="nil"/>
                <w:between w:val="nil"/>
              </w:pBdr>
              <w:spacing w:after="200" w:line="276" w:lineRule="auto"/>
              <w:rPr>
                <w:rFonts w:ascii="Times New Roman" w:eastAsia="Times New Roman" w:hAnsi="Times New Roman" w:cs="Times New Roman"/>
                <w:color w:val="000000"/>
                <w:sz w:val="24"/>
                <w:szCs w:val="24"/>
              </w:rPr>
            </w:pPr>
          </w:p>
        </w:tc>
        <w:tc>
          <w:tcPr>
            <w:tcW w:w="850" w:type="dxa"/>
          </w:tcPr>
          <w:p w14:paraId="4F503616" w14:textId="77777777" w:rsidR="00573EA0" w:rsidRDefault="007D55AB" w:rsidP="00640AF1">
            <w:pPr>
              <w:pStyle w:val="Normal1"/>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S-4</w:t>
            </w:r>
          </w:p>
        </w:tc>
        <w:tc>
          <w:tcPr>
            <w:tcW w:w="1276" w:type="dxa"/>
          </w:tcPr>
          <w:p w14:paraId="5337C780" w14:textId="77777777" w:rsidR="00573EA0" w:rsidRDefault="007D55AB" w:rsidP="00640AF1">
            <w:pPr>
              <w:pStyle w:val="Normal1"/>
              <w:pBdr>
                <w:top w:val="nil"/>
                <w:left w:val="nil"/>
                <w:bottom w:val="nil"/>
                <w:right w:val="nil"/>
                <w:between w:val="nil"/>
              </w:pBdr>
              <w:shd w:val="clear" w:color="auto" w:fill="FFFFFF"/>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28°29'34.4"N </w:t>
            </w:r>
          </w:p>
        </w:tc>
        <w:tc>
          <w:tcPr>
            <w:tcW w:w="1276" w:type="dxa"/>
          </w:tcPr>
          <w:p w14:paraId="1DED6DB7" w14:textId="77777777" w:rsidR="00573EA0" w:rsidRDefault="007D55AB" w:rsidP="00640AF1">
            <w:pPr>
              <w:pStyle w:val="Normal1"/>
              <w:pBdr>
                <w:top w:val="nil"/>
                <w:left w:val="nil"/>
                <w:bottom w:val="nil"/>
                <w:right w:val="nil"/>
                <w:between w:val="nil"/>
              </w:pBdr>
              <w:shd w:val="clear" w:color="auto" w:fill="FFFFFF"/>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76°21'35.6"E</w:t>
            </w:r>
          </w:p>
        </w:tc>
        <w:tc>
          <w:tcPr>
            <w:tcW w:w="850" w:type="dxa"/>
          </w:tcPr>
          <w:p w14:paraId="3896D4C1" w14:textId="77777777" w:rsidR="00573EA0" w:rsidRDefault="007D55AB" w:rsidP="00640AF1">
            <w:pPr>
              <w:pStyle w:val="Normal1"/>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187.2</w:t>
            </w:r>
          </w:p>
        </w:tc>
        <w:tc>
          <w:tcPr>
            <w:tcW w:w="993" w:type="dxa"/>
          </w:tcPr>
          <w:p w14:paraId="0D6CD0B3" w14:textId="77777777" w:rsidR="00573EA0" w:rsidRDefault="007D55AB" w:rsidP="00640AF1">
            <w:pPr>
              <w:pStyle w:val="Normal1"/>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4.68</w:t>
            </w:r>
          </w:p>
        </w:tc>
        <w:tc>
          <w:tcPr>
            <w:tcW w:w="850" w:type="dxa"/>
          </w:tcPr>
          <w:p w14:paraId="228F1BAD" w14:textId="77777777" w:rsidR="00573EA0" w:rsidRDefault="007D55AB" w:rsidP="00640AF1">
            <w:pPr>
              <w:pStyle w:val="Normal1"/>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4.19 E-05</w:t>
            </w:r>
          </w:p>
        </w:tc>
        <w:tc>
          <w:tcPr>
            <w:tcW w:w="851" w:type="dxa"/>
          </w:tcPr>
          <w:p w14:paraId="67257B9C" w14:textId="77777777" w:rsidR="00573EA0" w:rsidRDefault="007D55AB" w:rsidP="00640AF1">
            <w:pPr>
              <w:pStyle w:val="Normal1"/>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6.48 E-05</w:t>
            </w:r>
          </w:p>
        </w:tc>
        <w:tc>
          <w:tcPr>
            <w:tcW w:w="850" w:type="dxa"/>
          </w:tcPr>
          <w:p w14:paraId="2403FF9E" w14:textId="77777777" w:rsidR="00573EA0" w:rsidRDefault="007D55AB" w:rsidP="00640AF1">
            <w:pPr>
              <w:pStyle w:val="Normal1"/>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1.96 E-04</w:t>
            </w:r>
          </w:p>
        </w:tc>
        <w:tc>
          <w:tcPr>
            <w:tcW w:w="851" w:type="dxa"/>
          </w:tcPr>
          <w:p w14:paraId="4872121C" w14:textId="77777777" w:rsidR="00573EA0" w:rsidRDefault="007D55AB" w:rsidP="00640AF1">
            <w:pPr>
              <w:pStyle w:val="Normal1"/>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3.03 E-03</w:t>
            </w:r>
          </w:p>
        </w:tc>
        <w:tc>
          <w:tcPr>
            <w:tcW w:w="851" w:type="dxa"/>
          </w:tcPr>
          <w:p w14:paraId="5B2DA179" w14:textId="77777777" w:rsidR="00573EA0" w:rsidRDefault="007D55AB" w:rsidP="00640AF1">
            <w:pPr>
              <w:pStyle w:val="Normal1"/>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3.69</w:t>
            </w:r>
          </w:p>
        </w:tc>
      </w:tr>
      <w:tr w:rsidR="00573EA0" w14:paraId="55A8BA7A" w14:textId="77777777" w:rsidTr="00640AF1">
        <w:trPr>
          <w:cantSplit/>
          <w:tblHeader/>
        </w:trPr>
        <w:tc>
          <w:tcPr>
            <w:tcW w:w="392" w:type="dxa"/>
          </w:tcPr>
          <w:p w14:paraId="77B1D57F" w14:textId="77777777" w:rsidR="00573EA0" w:rsidRDefault="00573EA0" w:rsidP="00640AF1">
            <w:pPr>
              <w:pStyle w:val="Normal1"/>
              <w:numPr>
                <w:ilvl w:val="0"/>
                <w:numId w:val="1"/>
              </w:numPr>
              <w:pBdr>
                <w:top w:val="nil"/>
                <w:left w:val="nil"/>
                <w:bottom w:val="nil"/>
                <w:right w:val="nil"/>
                <w:between w:val="nil"/>
              </w:pBdr>
              <w:spacing w:after="200" w:line="276" w:lineRule="auto"/>
              <w:rPr>
                <w:rFonts w:ascii="Times New Roman" w:eastAsia="Times New Roman" w:hAnsi="Times New Roman" w:cs="Times New Roman"/>
                <w:color w:val="000000"/>
                <w:sz w:val="24"/>
                <w:szCs w:val="24"/>
              </w:rPr>
            </w:pPr>
          </w:p>
        </w:tc>
        <w:tc>
          <w:tcPr>
            <w:tcW w:w="850" w:type="dxa"/>
          </w:tcPr>
          <w:p w14:paraId="7C5870AE" w14:textId="77777777" w:rsidR="00573EA0" w:rsidRDefault="007D55AB" w:rsidP="00640AF1">
            <w:pPr>
              <w:pStyle w:val="Normal1"/>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S-5</w:t>
            </w:r>
          </w:p>
        </w:tc>
        <w:tc>
          <w:tcPr>
            <w:tcW w:w="1276" w:type="dxa"/>
          </w:tcPr>
          <w:p w14:paraId="67E7BF37" w14:textId="77777777" w:rsidR="00573EA0" w:rsidRDefault="007D55AB" w:rsidP="00640AF1">
            <w:pPr>
              <w:pStyle w:val="Normal1"/>
              <w:pBdr>
                <w:top w:val="nil"/>
                <w:left w:val="nil"/>
                <w:bottom w:val="nil"/>
                <w:right w:val="nil"/>
                <w:between w:val="nil"/>
              </w:pBdr>
              <w:shd w:val="clear" w:color="auto" w:fill="FFFFFF"/>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28°31'05.6"N </w:t>
            </w:r>
          </w:p>
        </w:tc>
        <w:tc>
          <w:tcPr>
            <w:tcW w:w="1276" w:type="dxa"/>
          </w:tcPr>
          <w:p w14:paraId="409F927F" w14:textId="77777777" w:rsidR="00573EA0" w:rsidRDefault="007D55AB" w:rsidP="00640AF1">
            <w:pPr>
              <w:pStyle w:val="Normal1"/>
              <w:pBdr>
                <w:top w:val="nil"/>
                <w:left w:val="nil"/>
                <w:bottom w:val="nil"/>
                <w:right w:val="nil"/>
                <w:between w:val="nil"/>
              </w:pBdr>
              <w:shd w:val="clear" w:color="auto" w:fill="FFFFFF"/>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76°21'57.6"E</w:t>
            </w:r>
          </w:p>
        </w:tc>
        <w:tc>
          <w:tcPr>
            <w:tcW w:w="850" w:type="dxa"/>
          </w:tcPr>
          <w:p w14:paraId="44C3F318" w14:textId="77777777" w:rsidR="00573EA0" w:rsidRDefault="007D55AB" w:rsidP="00640AF1">
            <w:pPr>
              <w:pStyle w:val="Normal1"/>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6.56</w:t>
            </w:r>
          </w:p>
        </w:tc>
        <w:tc>
          <w:tcPr>
            <w:tcW w:w="993" w:type="dxa"/>
          </w:tcPr>
          <w:p w14:paraId="2C51BB35" w14:textId="77777777" w:rsidR="00573EA0" w:rsidRDefault="007D55AB" w:rsidP="00640AF1">
            <w:pPr>
              <w:pStyle w:val="Normal1"/>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0.16</w:t>
            </w:r>
          </w:p>
        </w:tc>
        <w:tc>
          <w:tcPr>
            <w:tcW w:w="850" w:type="dxa"/>
          </w:tcPr>
          <w:p w14:paraId="5687B1C6" w14:textId="77777777" w:rsidR="00573EA0" w:rsidRDefault="007D55AB" w:rsidP="00640AF1">
            <w:pPr>
              <w:pStyle w:val="Normal1"/>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4.19 E-05</w:t>
            </w:r>
          </w:p>
        </w:tc>
        <w:tc>
          <w:tcPr>
            <w:tcW w:w="851" w:type="dxa"/>
          </w:tcPr>
          <w:p w14:paraId="2EBBEABF" w14:textId="77777777" w:rsidR="00573EA0" w:rsidRDefault="007D55AB" w:rsidP="00640AF1">
            <w:pPr>
              <w:pStyle w:val="Normal1"/>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6.48 E-05</w:t>
            </w:r>
          </w:p>
        </w:tc>
        <w:tc>
          <w:tcPr>
            <w:tcW w:w="850" w:type="dxa"/>
          </w:tcPr>
          <w:p w14:paraId="7A2977DA" w14:textId="77777777" w:rsidR="00573EA0" w:rsidRDefault="007D55AB" w:rsidP="00640AF1">
            <w:pPr>
              <w:pStyle w:val="Normal1"/>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6.70 E-06</w:t>
            </w:r>
          </w:p>
        </w:tc>
        <w:tc>
          <w:tcPr>
            <w:tcW w:w="851" w:type="dxa"/>
          </w:tcPr>
          <w:p w14:paraId="23E7D790" w14:textId="77777777" w:rsidR="00573EA0" w:rsidRDefault="007D55AB" w:rsidP="00640AF1">
            <w:pPr>
              <w:pStyle w:val="Normal1"/>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1.03 E-05</w:t>
            </w:r>
          </w:p>
        </w:tc>
        <w:tc>
          <w:tcPr>
            <w:tcW w:w="851" w:type="dxa"/>
          </w:tcPr>
          <w:p w14:paraId="10458269" w14:textId="77777777" w:rsidR="00573EA0" w:rsidRDefault="007D55AB" w:rsidP="00640AF1">
            <w:pPr>
              <w:pStyle w:val="Normal1"/>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0.13</w:t>
            </w:r>
          </w:p>
        </w:tc>
      </w:tr>
      <w:tr w:rsidR="00573EA0" w14:paraId="0AE012F5" w14:textId="77777777" w:rsidTr="00640AF1">
        <w:trPr>
          <w:cantSplit/>
          <w:tblHeader/>
        </w:trPr>
        <w:tc>
          <w:tcPr>
            <w:tcW w:w="392" w:type="dxa"/>
          </w:tcPr>
          <w:p w14:paraId="4506CD56" w14:textId="77777777" w:rsidR="00573EA0" w:rsidRDefault="00573EA0" w:rsidP="00640AF1">
            <w:pPr>
              <w:pStyle w:val="Normal1"/>
              <w:numPr>
                <w:ilvl w:val="0"/>
                <w:numId w:val="1"/>
              </w:numPr>
              <w:pBdr>
                <w:top w:val="nil"/>
                <w:left w:val="nil"/>
                <w:bottom w:val="nil"/>
                <w:right w:val="nil"/>
                <w:between w:val="nil"/>
              </w:pBdr>
              <w:spacing w:after="200" w:line="276" w:lineRule="auto"/>
              <w:rPr>
                <w:rFonts w:ascii="Times New Roman" w:eastAsia="Times New Roman" w:hAnsi="Times New Roman" w:cs="Times New Roman"/>
                <w:color w:val="000000"/>
                <w:sz w:val="24"/>
                <w:szCs w:val="24"/>
              </w:rPr>
            </w:pPr>
          </w:p>
        </w:tc>
        <w:tc>
          <w:tcPr>
            <w:tcW w:w="850" w:type="dxa"/>
          </w:tcPr>
          <w:p w14:paraId="31002F1D" w14:textId="77777777" w:rsidR="00573EA0" w:rsidRDefault="007D55AB" w:rsidP="00640AF1">
            <w:pPr>
              <w:pStyle w:val="Normal1"/>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S-6</w:t>
            </w:r>
          </w:p>
        </w:tc>
        <w:tc>
          <w:tcPr>
            <w:tcW w:w="1276" w:type="dxa"/>
          </w:tcPr>
          <w:p w14:paraId="6F1C4153" w14:textId="77777777" w:rsidR="00573EA0" w:rsidRDefault="007D55AB" w:rsidP="00640AF1">
            <w:pPr>
              <w:pStyle w:val="Normal1"/>
              <w:pBdr>
                <w:top w:val="nil"/>
                <w:left w:val="nil"/>
                <w:bottom w:val="nil"/>
                <w:right w:val="nil"/>
                <w:between w:val="nil"/>
              </w:pBdr>
              <w:shd w:val="clear" w:color="auto" w:fill="FFFFFF"/>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28°29'54.7"N </w:t>
            </w:r>
          </w:p>
        </w:tc>
        <w:tc>
          <w:tcPr>
            <w:tcW w:w="1276" w:type="dxa"/>
          </w:tcPr>
          <w:p w14:paraId="2A030C88" w14:textId="77777777" w:rsidR="00573EA0" w:rsidRDefault="007D55AB" w:rsidP="00640AF1">
            <w:pPr>
              <w:pStyle w:val="Normal1"/>
              <w:pBdr>
                <w:top w:val="nil"/>
                <w:left w:val="nil"/>
                <w:bottom w:val="nil"/>
                <w:right w:val="nil"/>
                <w:between w:val="nil"/>
              </w:pBdr>
              <w:shd w:val="clear" w:color="auto" w:fill="FFFFFF"/>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76°21'10.6"E</w:t>
            </w:r>
          </w:p>
        </w:tc>
        <w:tc>
          <w:tcPr>
            <w:tcW w:w="850" w:type="dxa"/>
          </w:tcPr>
          <w:p w14:paraId="52048F27" w14:textId="77777777" w:rsidR="00573EA0" w:rsidRDefault="007D55AB" w:rsidP="00640AF1">
            <w:pPr>
              <w:pStyle w:val="Normal1"/>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21.42</w:t>
            </w:r>
          </w:p>
        </w:tc>
        <w:tc>
          <w:tcPr>
            <w:tcW w:w="993" w:type="dxa"/>
          </w:tcPr>
          <w:p w14:paraId="13F4AB87" w14:textId="77777777" w:rsidR="00573EA0" w:rsidRDefault="007D55AB" w:rsidP="00640AF1">
            <w:pPr>
              <w:pStyle w:val="Normal1"/>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0.53</w:t>
            </w:r>
          </w:p>
        </w:tc>
        <w:tc>
          <w:tcPr>
            <w:tcW w:w="850" w:type="dxa"/>
          </w:tcPr>
          <w:p w14:paraId="2C652426" w14:textId="77777777" w:rsidR="00573EA0" w:rsidRDefault="007D55AB" w:rsidP="00640AF1">
            <w:pPr>
              <w:pStyle w:val="Normal1"/>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4.19 E-05</w:t>
            </w:r>
          </w:p>
        </w:tc>
        <w:tc>
          <w:tcPr>
            <w:tcW w:w="851" w:type="dxa"/>
          </w:tcPr>
          <w:p w14:paraId="3F2891EF" w14:textId="77777777" w:rsidR="00573EA0" w:rsidRDefault="007D55AB" w:rsidP="00640AF1">
            <w:pPr>
              <w:pStyle w:val="Normal1"/>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6.48 E-05</w:t>
            </w:r>
          </w:p>
        </w:tc>
        <w:tc>
          <w:tcPr>
            <w:tcW w:w="850" w:type="dxa"/>
          </w:tcPr>
          <w:p w14:paraId="12734648" w14:textId="77777777" w:rsidR="00573EA0" w:rsidRDefault="007D55AB" w:rsidP="00640AF1">
            <w:pPr>
              <w:pStyle w:val="Normal1"/>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2.22 E-05</w:t>
            </w:r>
          </w:p>
        </w:tc>
        <w:tc>
          <w:tcPr>
            <w:tcW w:w="851" w:type="dxa"/>
          </w:tcPr>
          <w:p w14:paraId="6B5C046E" w14:textId="77777777" w:rsidR="00573EA0" w:rsidRDefault="007D55AB" w:rsidP="00640AF1">
            <w:pPr>
              <w:pStyle w:val="Normal1"/>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3.43 E-05</w:t>
            </w:r>
          </w:p>
        </w:tc>
        <w:tc>
          <w:tcPr>
            <w:tcW w:w="851" w:type="dxa"/>
          </w:tcPr>
          <w:p w14:paraId="4422ECB7" w14:textId="77777777" w:rsidR="00573EA0" w:rsidRDefault="007D55AB" w:rsidP="00640AF1">
            <w:pPr>
              <w:pStyle w:val="Normal1"/>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0.42</w:t>
            </w:r>
          </w:p>
        </w:tc>
      </w:tr>
      <w:tr w:rsidR="00573EA0" w14:paraId="3705F55D" w14:textId="77777777" w:rsidTr="00640AF1">
        <w:trPr>
          <w:cantSplit/>
          <w:tblHeader/>
        </w:trPr>
        <w:tc>
          <w:tcPr>
            <w:tcW w:w="392" w:type="dxa"/>
          </w:tcPr>
          <w:p w14:paraId="5143F8C0" w14:textId="77777777" w:rsidR="00573EA0" w:rsidRDefault="00573EA0" w:rsidP="00640AF1">
            <w:pPr>
              <w:pStyle w:val="Normal1"/>
              <w:numPr>
                <w:ilvl w:val="0"/>
                <w:numId w:val="1"/>
              </w:numPr>
              <w:pBdr>
                <w:top w:val="nil"/>
                <w:left w:val="nil"/>
                <w:bottom w:val="nil"/>
                <w:right w:val="nil"/>
                <w:between w:val="nil"/>
              </w:pBdr>
              <w:spacing w:after="200" w:line="276" w:lineRule="auto"/>
              <w:rPr>
                <w:rFonts w:ascii="Times New Roman" w:eastAsia="Times New Roman" w:hAnsi="Times New Roman" w:cs="Times New Roman"/>
                <w:color w:val="000000"/>
                <w:sz w:val="24"/>
                <w:szCs w:val="24"/>
              </w:rPr>
            </w:pPr>
          </w:p>
        </w:tc>
        <w:tc>
          <w:tcPr>
            <w:tcW w:w="850" w:type="dxa"/>
          </w:tcPr>
          <w:p w14:paraId="37AABCFC" w14:textId="77777777" w:rsidR="00573EA0" w:rsidRDefault="007D55AB" w:rsidP="00640AF1">
            <w:pPr>
              <w:pStyle w:val="Normal1"/>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S-7</w:t>
            </w:r>
          </w:p>
        </w:tc>
        <w:tc>
          <w:tcPr>
            <w:tcW w:w="1276" w:type="dxa"/>
          </w:tcPr>
          <w:p w14:paraId="2C20E438" w14:textId="77777777" w:rsidR="00573EA0" w:rsidRDefault="007D55AB" w:rsidP="00640AF1">
            <w:pPr>
              <w:pStyle w:val="Normal1"/>
              <w:pBdr>
                <w:top w:val="nil"/>
                <w:left w:val="nil"/>
                <w:bottom w:val="nil"/>
                <w:right w:val="nil"/>
                <w:between w:val="nil"/>
              </w:pBdr>
              <w:shd w:val="clear" w:color="auto" w:fill="FFFFFF"/>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28°30'03.4"N </w:t>
            </w:r>
          </w:p>
        </w:tc>
        <w:tc>
          <w:tcPr>
            <w:tcW w:w="1276" w:type="dxa"/>
          </w:tcPr>
          <w:p w14:paraId="04DFF590" w14:textId="77777777" w:rsidR="00573EA0" w:rsidRDefault="007D55AB" w:rsidP="00640AF1">
            <w:pPr>
              <w:pStyle w:val="Normal1"/>
              <w:pBdr>
                <w:top w:val="nil"/>
                <w:left w:val="nil"/>
                <w:bottom w:val="nil"/>
                <w:right w:val="nil"/>
                <w:between w:val="nil"/>
              </w:pBdr>
              <w:shd w:val="clear" w:color="auto" w:fill="FFFFFF"/>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76°20'53.7"E</w:t>
            </w:r>
          </w:p>
        </w:tc>
        <w:tc>
          <w:tcPr>
            <w:tcW w:w="850" w:type="dxa"/>
          </w:tcPr>
          <w:p w14:paraId="1EDC5827" w14:textId="77777777" w:rsidR="00573EA0" w:rsidRDefault="007D55AB" w:rsidP="00640AF1">
            <w:pPr>
              <w:pStyle w:val="Normal1"/>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12.48</w:t>
            </w:r>
          </w:p>
        </w:tc>
        <w:tc>
          <w:tcPr>
            <w:tcW w:w="993" w:type="dxa"/>
          </w:tcPr>
          <w:p w14:paraId="062E848C" w14:textId="77777777" w:rsidR="00573EA0" w:rsidRDefault="007D55AB" w:rsidP="00640AF1">
            <w:pPr>
              <w:pStyle w:val="Normal1"/>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0.31</w:t>
            </w:r>
          </w:p>
        </w:tc>
        <w:tc>
          <w:tcPr>
            <w:tcW w:w="850" w:type="dxa"/>
          </w:tcPr>
          <w:p w14:paraId="419FA110" w14:textId="77777777" w:rsidR="00573EA0" w:rsidRDefault="007D55AB" w:rsidP="00640AF1">
            <w:pPr>
              <w:pStyle w:val="Normal1"/>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4.19 E-05</w:t>
            </w:r>
          </w:p>
        </w:tc>
        <w:tc>
          <w:tcPr>
            <w:tcW w:w="851" w:type="dxa"/>
          </w:tcPr>
          <w:p w14:paraId="23F2B11D" w14:textId="77777777" w:rsidR="00573EA0" w:rsidRDefault="007D55AB" w:rsidP="00640AF1">
            <w:pPr>
              <w:pStyle w:val="Normal1"/>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6.48 E-05</w:t>
            </w:r>
          </w:p>
        </w:tc>
        <w:tc>
          <w:tcPr>
            <w:tcW w:w="850" w:type="dxa"/>
          </w:tcPr>
          <w:p w14:paraId="30817842" w14:textId="77777777" w:rsidR="00573EA0" w:rsidRDefault="007D55AB" w:rsidP="00640AF1">
            <w:pPr>
              <w:pStyle w:val="Normal1"/>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1.29 E-05</w:t>
            </w:r>
          </w:p>
        </w:tc>
        <w:tc>
          <w:tcPr>
            <w:tcW w:w="851" w:type="dxa"/>
          </w:tcPr>
          <w:p w14:paraId="71EF43D4" w14:textId="77777777" w:rsidR="00573EA0" w:rsidRDefault="007D55AB" w:rsidP="00640AF1">
            <w:pPr>
              <w:pStyle w:val="Normal1"/>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2.00 E-05</w:t>
            </w:r>
          </w:p>
        </w:tc>
        <w:tc>
          <w:tcPr>
            <w:tcW w:w="851" w:type="dxa"/>
          </w:tcPr>
          <w:p w14:paraId="030A23A4" w14:textId="77777777" w:rsidR="00573EA0" w:rsidRDefault="007D55AB" w:rsidP="00640AF1">
            <w:pPr>
              <w:pStyle w:val="Normal1"/>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0.25</w:t>
            </w:r>
          </w:p>
        </w:tc>
      </w:tr>
      <w:tr w:rsidR="00573EA0" w14:paraId="2DB66A6F" w14:textId="77777777" w:rsidTr="00640AF1">
        <w:trPr>
          <w:cantSplit/>
          <w:tblHeader/>
        </w:trPr>
        <w:tc>
          <w:tcPr>
            <w:tcW w:w="392" w:type="dxa"/>
          </w:tcPr>
          <w:p w14:paraId="7AA2BFC2" w14:textId="77777777" w:rsidR="00573EA0" w:rsidRDefault="00573EA0" w:rsidP="00640AF1">
            <w:pPr>
              <w:pStyle w:val="Normal1"/>
              <w:numPr>
                <w:ilvl w:val="0"/>
                <w:numId w:val="1"/>
              </w:numPr>
              <w:pBdr>
                <w:top w:val="nil"/>
                <w:left w:val="nil"/>
                <w:bottom w:val="nil"/>
                <w:right w:val="nil"/>
                <w:between w:val="nil"/>
              </w:pBdr>
              <w:spacing w:after="200" w:line="276" w:lineRule="auto"/>
              <w:rPr>
                <w:rFonts w:ascii="Times New Roman" w:eastAsia="Times New Roman" w:hAnsi="Times New Roman" w:cs="Times New Roman"/>
                <w:color w:val="000000"/>
                <w:sz w:val="24"/>
                <w:szCs w:val="24"/>
              </w:rPr>
            </w:pPr>
          </w:p>
        </w:tc>
        <w:tc>
          <w:tcPr>
            <w:tcW w:w="850" w:type="dxa"/>
          </w:tcPr>
          <w:p w14:paraId="50A3778D" w14:textId="77777777" w:rsidR="00573EA0" w:rsidRDefault="007D55AB" w:rsidP="00640AF1">
            <w:pPr>
              <w:pStyle w:val="Normal1"/>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S-8</w:t>
            </w:r>
          </w:p>
        </w:tc>
        <w:tc>
          <w:tcPr>
            <w:tcW w:w="1276" w:type="dxa"/>
          </w:tcPr>
          <w:p w14:paraId="2A2E42A7" w14:textId="77777777" w:rsidR="00573EA0" w:rsidRDefault="007D55AB" w:rsidP="00640AF1">
            <w:pPr>
              <w:pStyle w:val="Normal1"/>
              <w:pBdr>
                <w:top w:val="nil"/>
                <w:left w:val="nil"/>
                <w:bottom w:val="nil"/>
                <w:right w:val="nil"/>
                <w:between w:val="nil"/>
              </w:pBdr>
              <w:shd w:val="clear" w:color="auto" w:fill="FFFFFF"/>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28°28'21.6"N </w:t>
            </w:r>
          </w:p>
        </w:tc>
        <w:tc>
          <w:tcPr>
            <w:tcW w:w="1276" w:type="dxa"/>
          </w:tcPr>
          <w:p w14:paraId="4BBFBFC2" w14:textId="77777777" w:rsidR="00573EA0" w:rsidRDefault="007D55AB" w:rsidP="00640AF1">
            <w:pPr>
              <w:pStyle w:val="Normal1"/>
              <w:pBdr>
                <w:top w:val="nil"/>
                <w:left w:val="nil"/>
                <w:bottom w:val="nil"/>
                <w:right w:val="nil"/>
                <w:between w:val="nil"/>
              </w:pBdr>
              <w:shd w:val="clear" w:color="auto" w:fill="FFFFFF"/>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76°20'19.6"E</w:t>
            </w:r>
          </w:p>
        </w:tc>
        <w:tc>
          <w:tcPr>
            <w:tcW w:w="850" w:type="dxa"/>
          </w:tcPr>
          <w:p w14:paraId="162C4D12" w14:textId="77777777" w:rsidR="00573EA0" w:rsidRDefault="007D55AB" w:rsidP="00640AF1">
            <w:pPr>
              <w:pStyle w:val="Normal1"/>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17.64</w:t>
            </w:r>
          </w:p>
        </w:tc>
        <w:tc>
          <w:tcPr>
            <w:tcW w:w="993" w:type="dxa"/>
          </w:tcPr>
          <w:p w14:paraId="3C956BFA" w14:textId="77777777" w:rsidR="00573EA0" w:rsidRDefault="007D55AB" w:rsidP="00640AF1">
            <w:pPr>
              <w:pStyle w:val="Normal1"/>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0.44</w:t>
            </w:r>
          </w:p>
        </w:tc>
        <w:tc>
          <w:tcPr>
            <w:tcW w:w="850" w:type="dxa"/>
          </w:tcPr>
          <w:p w14:paraId="4B5C37C0" w14:textId="77777777" w:rsidR="00573EA0" w:rsidRDefault="007D55AB" w:rsidP="00640AF1">
            <w:pPr>
              <w:pStyle w:val="Normal1"/>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4.19 E-05</w:t>
            </w:r>
          </w:p>
        </w:tc>
        <w:tc>
          <w:tcPr>
            <w:tcW w:w="851" w:type="dxa"/>
          </w:tcPr>
          <w:p w14:paraId="2BD3AA1A" w14:textId="77777777" w:rsidR="00573EA0" w:rsidRDefault="007D55AB" w:rsidP="00640AF1">
            <w:pPr>
              <w:pStyle w:val="Normal1"/>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6.48 E-05</w:t>
            </w:r>
          </w:p>
        </w:tc>
        <w:tc>
          <w:tcPr>
            <w:tcW w:w="850" w:type="dxa"/>
          </w:tcPr>
          <w:p w14:paraId="723169C1" w14:textId="77777777" w:rsidR="00573EA0" w:rsidRDefault="007D55AB" w:rsidP="00640AF1">
            <w:pPr>
              <w:pStyle w:val="Normal1"/>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1.84 E-05</w:t>
            </w:r>
          </w:p>
        </w:tc>
        <w:tc>
          <w:tcPr>
            <w:tcW w:w="851" w:type="dxa"/>
          </w:tcPr>
          <w:p w14:paraId="6CB307CC" w14:textId="77777777" w:rsidR="00573EA0" w:rsidRDefault="007D55AB" w:rsidP="00640AF1">
            <w:pPr>
              <w:pStyle w:val="Normal1"/>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2.85 E-05</w:t>
            </w:r>
          </w:p>
        </w:tc>
        <w:tc>
          <w:tcPr>
            <w:tcW w:w="851" w:type="dxa"/>
          </w:tcPr>
          <w:p w14:paraId="2B3F1286" w14:textId="77777777" w:rsidR="00573EA0" w:rsidRDefault="007D55AB" w:rsidP="00640AF1">
            <w:pPr>
              <w:pStyle w:val="Normal1"/>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0.35</w:t>
            </w:r>
          </w:p>
        </w:tc>
      </w:tr>
      <w:tr w:rsidR="00573EA0" w14:paraId="33F0B6BA" w14:textId="77777777" w:rsidTr="00640AF1">
        <w:trPr>
          <w:cantSplit/>
          <w:tblHeader/>
        </w:trPr>
        <w:tc>
          <w:tcPr>
            <w:tcW w:w="392" w:type="dxa"/>
          </w:tcPr>
          <w:p w14:paraId="4A1DF04D" w14:textId="77777777" w:rsidR="00573EA0" w:rsidRDefault="00573EA0" w:rsidP="00640AF1">
            <w:pPr>
              <w:pStyle w:val="Normal1"/>
              <w:numPr>
                <w:ilvl w:val="0"/>
                <w:numId w:val="1"/>
              </w:numPr>
              <w:pBdr>
                <w:top w:val="nil"/>
                <w:left w:val="nil"/>
                <w:bottom w:val="nil"/>
                <w:right w:val="nil"/>
                <w:between w:val="nil"/>
              </w:pBdr>
              <w:spacing w:after="200" w:line="276" w:lineRule="auto"/>
              <w:rPr>
                <w:rFonts w:ascii="Times New Roman" w:eastAsia="Times New Roman" w:hAnsi="Times New Roman" w:cs="Times New Roman"/>
                <w:color w:val="000000"/>
                <w:sz w:val="24"/>
                <w:szCs w:val="24"/>
              </w:rPr>
            </w:pPr>
          </w:p>
        </w:tc>
        <w:tc>
          <w:tcPr>
            <w:tcW w:w="850" w:type="dxa"/>
          </w:tcPr>
          <w:p w14:paraId="79989ADA" w14:textId="77777777" w:rsidR="00573EA0" w:rsidRDefault="007D55AB" w:rsidP="00640AF1">
            <w:pPr>
              <w:pStyle w:val="Normal1"/>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S-9</w:t>
            </w:r>
          </w:p>
        </w:tc>
        <w:tc>
          <w:tcPr>
            <w:tcW w:w="1276" w:type="dxa"/>
          </w:tcPr>
          <w:p w14:paraId="6E799813" w14:textId="77777777" w:rsidR="00573EA0" w:rsidRDefault="007D55AB" w:rsidP="00640AF1">
            <w:pPr>
              <w:pStyle w:val="Normal1"/>
              <w:pBdr>
                <w:top w:val="nil"/>
                <w:left w:val="nil"/>
                <w:bottom w:val="nil"/>
                <w:right w:val="nil"/>
                <w:between w:val="nil"/>
              </w:pBdr>
              <w:shd w:val="clear" w:color="auto" w:fill="FFFFFF"/>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28°28'39.5"N </w:t>
            </w:r>
          </w:p>
        </w:tc>
        <w:tc>
          <w:tcPr>
            <w:tcW w:w="1276" w:type="dxa"/>
          </w:tcPr>
          <w:p w14:paraId="49CC0CE9" w14:textId="77777777" w:rsidR="00573EA0" w:rsidRDefault="007D55AB" w:rsidP="00640AF1">
            <w:pPr>
              <w:pStyle w:val="Normal1"/>
              <w:pBdr>
                <w:top w:val="nil"/>
                <w:left w:val="nil"/>
                <w:bottom w:val="nil"/>
                <w:right w:val="nil"/>
                <w:between w:val="nil"/>
              </w:pBdr>
              <w:shd w:val="clear" w:color="auto" w:fill="FFFFFF"/>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76°24'12.2"E</w:t>
            </w:r>
          </w:p>
        </w:tc>
        <w:tc>
          <w:tcPr>
            <w:tcW w:w="850" w:type="dxa"/>
          </w:tcPr>
          <w:p w14:paraId="341811CC" w14:textId="77777777" w:rsidR="00573EA0" w:rsidRDefault="007D55AB" w:rsidP="00640AF1">
            <w:pPr>
              <w:pStyle w:val="Normal1"/>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24.43</w:t>
            </w:r>
          </w:p>
        </w:tc>
        <w:tc>
          <w:tcPr>
            <w:tcW w:w="993" w:type="dxa"/>
          </w:tcPr>
          <w:p w14:paraId="1A6FA012" w14:textId="77777777" w:rsidR="00573EA0" w:rsidRDefault="007D55AB" w:rsidP="00640AF1">
            <w:pPr>
              <w:pStyle w:val="Normal1"/>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0.61</w:t>
            </w:r>
          </w:p>
        </w:tc>
        <w:tc>
          <w:tcPr>
            <w:tcW w:w="850" w:type="dxa"/>
          </w:tcPr>
          <w:p w14:paraId="475C87AA" w14:textId="77777777" w:rsidR="00573EA0" w:rsidRDefault="007D55AB" w:rsidP="00640AF1">
            <w:pPr>
              <w:pStyle w:val="Normal1"/>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4.19 E-05</w:t>
            </w:r>
          </w:p>
        </w:tc>
        <w:tc>
          <w:tcPr>
            <w:tcW w:w="851" w:type="dxa"/>
          </w:tcPr>
          <w:p w14:paraId="43CD5648" w14:textId="77777777" w:rsidR="00573EA0" w:rsidRDefault="007D55AB" w:rsidP="00640AF1">
            <w:pPr>
              <w:pStyle w:val="Normal1"/>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6.48 E-05</w:t>
            </w:r>
          </w:p>
        </w:tc>
        <w:tc>
          <w:tcPr>
            <w:tcW w:w="850" w:type="dxa"/>
          </w:tcPr>
          <w:p w14:paraId="3773D39C" w14:textId="77777777" w:rsidR="00573EA0" w:rsidRDefault="007D55AB" w:rsidP="00640AF1">
            <w:pPr>
              <w:pStyle w:val="Normal1"/>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2.55 E-05</w:t>
            </w:r>
          </w:p>
        </w:tc>
        <w:tc>
          <w:tcPr>
            <w:tcW w:w="851" w:type="dxa"/>
          </w:tcPr>
          <w:p w14:paraId="7189DE23" w14:textId="77777777" w:rsidR="00573EA0" w:rsidRDefault="007D55AB" w:rsidP="00640AF1">
            <w:pPr>
              <w:pStyle w:val="Normal1"/>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3.95 E-05</w:t>
            </w:r>
          </w:p>
        </w:tc>
        <w:tc>
          <w:tcPr>
            <w:tcW w:w="851" w:type="dxa"/>
          </w:tcPr>
          <w:p w14:paraId="511BD615" w14:textId="77777777" w:rsidR="00573EA0" w:rsidRDefault="007D55AB" w:rsidP="00640AF1">
            <w:pPr>
              <w:pStyle w:val="Normal1"/>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0.48</w:t>
            </w:r>
          </w:p>
        </w:tc>
      </w:tr>
      <w:tr w:rsidR="00573EA0" w14:paraId="7ADE96AC" w14:textId="77777777" w:rsidTr="00640AF1">
        <w:trPr>
          <w:cantSplit/>
          <w:tblHeader/>
        </w:trPr>
        <w:tc>
          <w:tcPr>
            <w:tcW w:w="392" w:type="dxa"/>
          </w:tcPr>
          <w:p w14:paraId="349EC1E8" w14:textId="77777777" w:rsidR="00573EA0" w:rsidRDefault="00573EA0" w:rsidP="00640AF1">
            <w:pPr>
              <w:pStyle w:val="Normal1"/>
              <w:numPr>
                <w:ilvl w:val="0"/>
                <w:numId w:val="1"/>
              </w:numPr>
              <w:pBdr>
                <w:top w:val="nil"/>
                <w:left w:val="nil"/>
                <w:bottom w:val="nil"/>
                <w:right w:val="nil"/>
                <w:between w:val="nil"/>
              </w:pBdr>
              <w:spacing w:after="200" w:line="276" w:lineRule="auto"/>
              <w:rPr>
                <w:rFonts w:ascii="Times New Roman" w:eastAsia="Times New Roman" w:hAnsi="Times New Roman" w:cs="Times New Roman"/>
                <w:color w:val="000000"/>
                <w:sz w:val="24"/>
                <w:szCs w:val="24"/>
              </w:rPr>
            </w:pPr>
          </w:p>
        </w:tc>
        <w:tc>
          <w:tcPr>
            <w:tcW w:w="850" w:type="dxa"/>
          </w:tcPr>
          <w:p w14:paraId="4981ADEF" w14:textId="77777777" w:rsidR="00573EA0" w:rsidRDefault="007D55AB" w:rsidP="00640AF1">
            <w:pPr>
              <w:pStyle w:val="Normal1"/>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S-10</w:t>
            </w:r>
          </w:p>
        </w:tc>
        <w:tc>
          <w:tcPr>
            <w:tcW w:w="1276" w:type="dxa"/>
          </w:tcPr>
          <w:p w14:paraId="0EFA7CB3" w14:textId="77777777" w:rsidR="00573EA0" w:rsidRDefault="007D55AB" w:rsidP="00640AF1">
            <w:pPr>
              <w:pStyle w:val="Normal1"/>
              <w:pBdr>
                <w:top w:val="nil"/>
                <w:left w:val="nil"/>
                <w:bottom w:val="nil"/>
                <w:right w:val="nil"/>
                <w:between w:val="nil"/>
              </w:pBdr>
              <w:shd w:val="clear" w:color="auto" w:fill="FFFFFF"/>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28°27'46.6"N </w:t>
            </w:r>
          </w:p>
        </w:tc>
        <w:tc>
          <w:tcPr>
            <w:tcW w:w="1276" w:type="dxa"/>
          </w:tcPr>
          <w:p w14:paraId="3A8E8E75" w14:textId="77777777" w:rsidR="00573EA0" w:rsidRDefault="007D55AB" w:rsidP="00640AF1">
            <w:pPr>
              <w:pStyle w:val="Normal1"/>
              <w:pBdr>
                <w:top w:val="nil"/>
                <w:left w:val="nil"/>
                <w:bottom w:val="nil"/>
                <w:right w:val="nil"/>
                <w:between w:val="nil"/>
              </w:pBdr>
              <w:shd w:val="clear" w:color="auto" w:fill="FFFFFF"/>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76°22'40.6"E</w:t>
            </w:r>
          </w:p>
        </w:tc>
        <w:tc>
          <w:tcPr>
            <w:tcW w:w="850" w:type="dxa"/>
          </w:tcPr>
          <w:p w14:paraId="09FBF786" w14:textId="77777777" w:rsidR="00573EA0" w:rsidRDefault="007D55AB" w:rsidP="00640AF1">
            <w:pPr>
              <w:pStyle w:val="Normal1"/>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27.61</w:t>
            </w:r>
          </w:p>
        </w:tc>
        <w:tc>
          <w:tcPr>
            <w:tcW w:w="993" w:type="dxa"/>
          </w:tcPr>
          <w:p w14:paraId="22537B11" w14:textId="77777777" w:rsidR="00573EA0" w:rsidRDefault="007D55AB" w:rsidP="00640AF1">
            <w:pPr>
              <w:pStyle w:val="Normal1"/>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0.69</w:t>
            </w:r>
          </w:p>
        </w:tc>
        <w:tc>
          <w:tcPr>
            <w:tcW w:w="850" w:type="dxa"/>
          </w:tcPr>
          <w:p w14:paraId="77A4F52B" w14:textId="77777777" w:rsidR="00573EA0" w:rsidRDefault="007D55AB" w:rsidP="00640AF1">
            <w:pPr>
              <w:pStyle w:val="Normal1"/>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4.19 E-05</w:t>
            </w:r>
          </w:p>
        </w:tc>
        <w:tc>
          <w:tcPr>
            <w:tcW w:w="851" w:type="dxa"/>
          </w:tcPr>
          <w:p w14:paraId="0E5E6318" w14:textId="77777777" w:rsidR="00573EA0" w:rsidRDefault="007D55AB" w:rsidP="00640AF1">
            <w:pPr>
              <w:pStyle w:val="Normal1"/>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6.48 E-05</w:t>
            </w:r>
          </w:p>
        </w:tc>
        <w:tc>
          <w:tcPr>
            <w:tcW w:w="850" w:type="dxa"/>
          </w:tcPr>
          <w:p w14:paraId="560C358E" w14:textId="77777777" w:rsidR="00573EA0" w:rsidRDefault="007D55AB" w:rsidP="00640AF1">
            <w:pPr>
              <w:pStyle w:val="Normal1"/>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2.89 E-05</w:t>
            </w:r>
          </w:p>
        </w:tc>
        <w:tc>
          <w:tcPr>
            <w:tcW w:w="851" w:type="dxa"/>
          </w:tcPr>
          <w:p w14:paraId="2D6F7E60" w14:textId="77777777" w:rsidR="00573EA0" w:rsidRDefault="007D55AB" w:rsidP="00640AF1">
            <w:pPr>
              <w:pStyle w:val="Normal1"/>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4.47 E-05</w:t>
            </w:r>
          </w:p>
        </w:tc>
        <w:tc>
          <w:tcPr>
            <w:tcW w:w="851" w:type="dxa"/>
          </w:tcPr>
          <w:p w14:paraId="294FF108" w14:textId="77777777" w:rsidR="00573EA0" w:rsidRDefault="007D55AB" w:rsidP="00640AF1">
            <w:pPr>
              <w:pStyle w:val="Normal1"/>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0.54</w:t>
            </w:r>
          </w:p>
        </w:tc>
      </w:tr>
      <w:tr w:rsidR="00573EA0" w14:paraId="783A1873" w14:textId="77777777" w:rsidTr="00640AF1">
        <w:trPr>
          <w:cantSplit/>
          <w:tblHeader/>
        </w:trPr>
        <w:tc>
          <w:tcPr>
            <w:tcW w:w="392" w:type="dxa"/>
          </w:tcPr>
          <w:p w14:paraId="48472B5C" w14:textId="77777777" w:rsidR="00573EA0" w:rsidRDefault="00573EA0" w:rsidP="00640AF1">
            <w:pPr>
              <w:pStyle w:val="Normal1"/>
              <w:numPr>
                <w:ilvl w:val="0"/>
                <w:numId w:val="1"/>
              </w:numPr>
              <w:pBdr>
                <w:top w:val="nil"/>
                <w:left w:val="nil"/>
                <w:bottom w:val="nil"/>
                <w:right w:val="nil"/>
                <w:between w:val="nil"/>
              </w:pBdr>
              <w:spacing w:after="200" w:line="276" w:lineRule="auto"/>
              <w:rPr>
                <w:rFonts w:ascii="Times New Roman" w:eastAsia="Times New Roman" w:hAnsi="Times New Roman" w:cs="Times New Roman"/>
                <w:color w:val="000000"/>
                <w:sz w:val="24"/>
                <w:szCs w:val="24"/>
              </w:rPr>
            </w:pPr>
          </w:p>
        </w:tc>
        <w:tc>
          <w:tcPr>
            <w:tcW w:w="850" w:type="dxa"/>
          </w:tcPr>
          <w:p w14:paraId="6D575165" w14:textId="77777777" w:rsidR="00573EA0" w:rsidRDefault="007D55AB" w:rsidP="00640AF1">
            <w:pPr>
              <w:pStyle w:val="Normal1"/>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S-11</w:t>
            </w:r>
          </w:p>
        </w:tc>
        <w:tc>
          <w:tcPr>
            <w:tcW w:w="1276" w:type="dxa"/>
          </w:tcPr>
          <w:p w14:paraId="49DA7BE3" w14:textId="77777777" w:rsidR="00573EA0" w:rsidRDefault="007D55AB" w:rsidP="00640AF1">
            <w:pPr>
              <w:pStyle w:val="Normal1"/>
              <w:pBdr>
                <w:top w:val="nil"/>
                <w:left w:val="nil"/>
                <w:bottom w:val="nil"/>
                <w:right w:val="nil"/>
                <w:between w:val="nil"/>
              </w:pBdr>
              <w:shd w:val="clear" w:color="auto" w:fill="FFFFFF"/>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28°29'56.0"N </w:t>
            </w:r>
          </w:p>
        </w:tc>
        <w:tc>
          <w:tcPr>
            <w:tcW w:w="1276" w:type="dxa"/>
          </w:tcPr>
          <w:p w14:paraId="5DCF9864" w14:textId="77777777" w:rsidR="00573EA0" w:rsidRDefault="007D55AB" w:rsidP="00640AF1">
            <w:pPr>
              <w:pStyle w:val="Normal1"/>
              <w:pBdr>
                <w:top w:val="nil"/>
                <w:left w:val="nil"/>
                <w:bottom w:val="nil"/>
                <w:right w:val="nil"/>
                <w:between w:val="nil"/>
              </w:pBdr>
              <w:shd w:val="clear" w:color="auto" w:fill="FFFFFF"/>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76°23'04.3"E</w:t>
            </w:r>
          </w:p>
        </w:tc>
        <w:tc>
          <w:tcPr>
            <w:tcW w:w="850" w:type="dxa"/>
          </w:tcPr>
          <w:p w14:paraId="001627DF" w14:textId="77777777" w:rsidR="00573EA0" w:rsidRDefault="007D55AB" w:rsidP="00640AF1">
            <w:pPr>
              <w:pStyle w:val="Normal1"/>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86.32</w:t>
            </w:r>
          </w:p>
        </w:tc>
        <w:tc>
          <w:tcPr>
            <w:tcW w:w="993" w:type="dxa"/>
          </w:tcPr>
          <w:p w14:paraId="6D044CEF" w14:textId="77777777" w:rsidR="00573EA0" w:rsidRDefault="007D55AB" w:rsidP="00640AF1">
            <w:pPr>
              <w:pStyle w:val="Normal1"/>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2.15</w:t>
            </w:r>
          </w:p>
        </w:tc>
        <w:tc>
          <w:tcPr>
            <w:tcW w:w="850" w:type="dxa"/>
          </w:tcPr>
          <w:p w14:paraId="59084C22" w14:textId="77777777" w:rsidR="00573EA0" w:rsidRDefault="007D55AB" w:rsidP="00640AF1">
            <w:pPr>
              <w:pStyle w:val="Normal1"/>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4.19 E-05</w:t>
            </w:r>
          </w:p>
        </w:tc>
        <w:tc>
          <w:tcPr>
            <w:tcW w:w="851" w:type="dxa"/>
          </w:tcPr>
          <w:p w14:paraId="2E5D9DC7" w14:textId="77777777" w:rsidR="00573EA0" w:rsidRDefault="007D55AB" w:rsidP="00640AF1">
            <w:pPr>
              <w:pStyle w:val="Normal1"/>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6.48 E-05</w:t>
            </w:r>
          </w:p>
        </w:tc>
        <w:tc>
          <w:tcPr>
            <w:tcW w:w="850" w:type="dxa"/>
          </w:tcPr>
          <w:p w14:paraId="587AA492" w14:textId="77777777" w:rsidR="00573EA0" w:rsidRDefault="007D55AB" w:rsidP="00640AF1">
            <w:pPr>
              <w:pStyle w:val="Normal1"/>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9.00 E-05</w:t>
            </w:r>
          </w:p>
        </w:tc>
        <w:tc>
          <w:tcPr>
            <w:tcW w:w="851" w:type="dxa"/>
          </w:tcPr>
          <w:p w14:paraId="7408679A" w14:textId="77777777" w:rsidR="00573EA0" w:rsidRDefault="007D55AB" w:rsidP="00640AF1">
            <w:pPr>
              <w:pStyle w:val="Normal1"/>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1.39 E-04</w:t>
            </w:r>
          </w:p>
        </w:tc>
        <w:tc>
          <w:tcPr>
            <w:tcW w:w="851" w:type="dxa"/>
          </w:tcPr>
          <w:p w14:paraId="017B74BD" w14:textId="77777777" w:rsidR="00573EA0" w:rsidRDefault="007D55AB" w:rsidP="00640AF1">
            <w:pPr>
              <w:pStyle w:val="Normal1"/>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1.70</w:t>
            </w:r>
          </w:p>
        </w:tc>
      </w:tr>
      <w:tr w:rsidR="00573EA0" w14:paraId="07FFD0DD" w14:textId="77777777" w:rsidTr="00640AF1">
        <w:trPr>
          <w:cantSplit/>
          <w:tblHeader/>
        </w:trPr>
        <w:tc>
          <w:tcPr>
            <w:tcW w:w="392" w:type="dxa"/>
          </w:tcPr>
          <w:p w14:paraId="67C8F0E8" w14:textId="77777777" w:rsidR="00573EA0" w:rsidRDefault="00573EA0" w:rsidP="00640AF1">
            <w:pPr>
              <w:pStyle w:val="Normal1"/>
              <w:numPr>
                <w:ilvl w:val="0"/>
                <w:numId w:val="1"/>
              </w:numPr>
              <w:pBdr>
                <w:top w:val="nil"/>
                <w:left w:val="nil"/>
                <w:bottom w:val="nil"/>
                <w:right w:val="nil"/>
                <w:between w:val="nil"/>
              </w:pBdr>
              <w:spacing w:after="200" w:line="276" w:lineRule="auto"/>
              <w:rPr>
                <w:rFonts w:ascii="Times New Roman" w:eastAsia="Times New Roman" w:hAnsi="Times New Roman" w:cs="Times New Roman"/>
                <w:color w:val="000000"/>
                <w:sz w:val="24"/>
                <w:szCs w:val="24"/>
              </w:rPr>
            </w:pPr>
          </w:p>
        </w:tc>
        <w:tc>
          <w:tcPr>
            <w:tcW w:w="850" w:type="dxa"/>
          </w:tcPr>
          <w:p w14:paraId="22CEE6B3" w14:textId="77777777" w:rsidR="00573EA0" w:rsidRDefault="007D55AB" w:rsidP="00640AF1">
            <w:pPr>
              <w:pStyle w:val="Normal1"/>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S-12</w:t>
            </w:r>
          </w:p>
        </w:tc>
        <w:tc>
          <w:tcPr>
            <w:tcW w:w="1276" w:type="dxa"/>
          </w:tcPr>
          <w:p w14:paraId="76752283" w14:textId="77777777" w:rsidR="00573EA0" w:rsidRDefault="007D55AB" w:rsidP="00640AF1">
            <w:pPr>
              <w:pStyle w:val="Normal1"/>
              <w:pBdr>
                <w:top w:val="nil"/>
                <w:left w:val="nil"/>
                <w:bottom w:val="nil"/>
                <w:right w:val="nil"/>
                <w:between w:val="nil"/>
              </w:pBdr>
              <w:shd w:val="clear" w:color="auto" w:fill="FFFFFF"/>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28°28'28.2"N </w:t>
            </w:r>
          </w:p>
        </w:tc>
        <w:tc>
          <w:tcPr>
            <w:tcW w:w="1276" w:type="dxa"/>
          </w:tcPr>
          <w:p w14:paraId="06B9F25B" w14:textId="77777777" w:rsidR="00573EA0" w:rsidRDefault="007D55AB" w:rsidP="00640AF1">
            <w:pPr>
              <w:pStyle w:val="Normal1"/>
              <w:pBdr>
                <w:top w:val="nil"/>
                <w:left w:val="nil"/>
                <w:bottom w:val="nil"/>
                <w:right w:val="nil"/>
                <w:between w:val="nil"/>
              </w:pBdr>
              <w:shd w:val="clear" w:color="auto" w:fill="FFFFFF"/>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76°21'22.4"E</w:t>
            </w:r>
          </w:p>
        </w:tc>
        <w:tc>
          <w:tcPr>
            <w:tcW w:w="850" w:type="dxa"/>
          </w:tcPr>
          <w:p w14:paraId="26933CCA" w14:textId="77777777" w:rsidR="00573EA0" w:rsidRDefault="007D55AB" w:rsidP="00640AF1">
            <w:pPr>
              <w:pStyle w:val="Normal1"/>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202.9</w:t>
            </w:r>
          </w:p>
        </w:tc>
        <w:tc>
          <w:tcPr>
            <w:tcW w:w="993" w:type="dxa"/>
          </w:tcPr>
          <w:p w14:paraId="798FDFE8" w14:textId="77777777" w:rsidR="00573EA0" w:rsidRDefault="007D55AB" w:rsidP="00640AF1">
            <w:pPr>
              <w:pStyle w:val="Normal1"/>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5.07</w:t>
            </w:r>
          </w:p>
        </w:tc>
        <w:tc>
          <w:tcPr>
            <w:tcW w:w="850" w:type="dxa"/>
          </w:tcPr>
          <w:p w14:paraId="1F8DAEE9" w14:textId="77777777" w:rsidR="00573EA0" w:rsidRDefault="007D55AB" w:rsidP="00640AF1">
            <w:pPr>
              <w:pStyle w:val="Normal1"/>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4.19 E-05</w:t>
            </w:r>
          </w:p>
        </w:tc>
        <w:tc>
          <w:tcPr>
            <w:tcW w:w="851" w:type="dxa"/>
          </w:tcPr>
          <w:p w14:paraId="197BDC37" w14:textId="77777777" w:rsidR="00573EA0" w:rsidRDefault="007D55AB" w:rsidP="00640AF1">
            <w:pPr>
              <w:pStyle w:val="Normal1"/>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6.48 E-05</w:t>
            </w:r>
          </w:p>
        </w:tc>
        <w:tc>
          <w:tcPr>
            <w:tcW w:w="850" w:type="dxa"/>
          </w:tcPr>
          <w:p w14:paraId="3FBBECF7" w14:textId="77777777" w:rsidR="00573EA0" w:rsidRDefault="007D55AB" w:rsidP="00640AF1">
            <w:pPr>
              <w:pStyle w:val="Normal1"/>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2.12 E-04</w:t>
            </w:r>
          </w:p>
        </w:tc>
        <w:tc>
          <w:tcPr>
            <w:tcW w:w="851" w:type="dxa"/>
          </w:tcPr>
          <w:p w14:paraId="277EA868" w14:textId="77777777" w:rsidR="00573EA0" w:rsidRDefault="007D55AB" w:rsidP="00640AF1">
            <w:pPr>
              <w:pStyle w:val="Normal1"/>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3.29 E-04</w:t>
            </w:r>
          </w:p>
        </w:tc>
        <w:tc>
          <w:tcPr>
            <w:tcW w:w="851" w:type="dxa"/>
          </w:tcPr>
          <w:p w14:paraId="410F6E1B" w14:textId="77777777" w:rsidR="00573EA0" w:rsidRDefault="007D55AB" w:rsidP="00640AF1">
            <w:pPr>
              <w:pStyle w:val="Normal1"/>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4.00</w:t>
            </w:r>
          </w:p>
        </w:tc>
      </w:tr>
      <w:tr w:rsidR="00573EA0" w14:paraId="147ECF2B" w14:textId="77777777" w:rsidTr="00640AF1">
        <w:trPr>
          <w:cantSplit/>
          <w:tblHeader/>
        </w:trPr>
        <w:tc>
          <w:tcPr>
            <w:tcW w:w="392" w:type="dxa"/>
          </w:tcPr>
          <w:p w14:paraId="7BFC5399" w14:textId="77777777" w:rsidR="00573EA0" w:rsidRDefault="00573EA0" w:rsidP="00640AF1">
            <w:pPr>
              <w:pStyle w:val="Normal1"/>
              <w:numPr>
                <w:ilvl w:val="0"/>
                <w:numId w:val="1"/>
              </w:numPr>
              <w:pBdr>
                <w:top w:val="nil"/>
                <w:left w:val="nil"/>
                <w:bottom w:val="nil"/>
                <w:right w:val="nil"/>
                <w:between w:val="nil"/>
              </w:pBdr>
              <w:spacing w:after="200" w:line="276" w:lineRule="auto"/>
              <w:rPr>
                <w:rFonts w:ascii="Times New Roman" w:eastAsia="Times New Roman" w:hAnsi="Times New Roman" w:cs="Times New Roman"/>
                <w:color w:val="000000"/>
                <w:sz w:val="24"/>
                <w:szCs w:val="24"/>
              </w:rPr>
            </w:pPr>
          </w:p>
        </w:tc>
        <w:tc>
          <w:tcPr>
            <w:tcW w:w="850" w:type="dxa"/>
          </w:tcPr>
          <w:p w14:paraId="1A1FFFF5" w14:textId="77777777" w:rsidR="00573EA0" w:rsidRDefault="007D55AB" w:rsidP="00640AF1">
            <w:pPr>
              <w:pStyle w:val="Normal1"/>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S-13</w:t>
            </w:r>
          </w:p>
        </w:tc>
        <w:tc>
          <w:tcPr>
            <w:tcW w:w="1276" w:type="dxa"/>
          </w:tcPr>
          <w:p w14:paraId="58AB18B8" w14:textId="77777777" w:rsidR="00573EA0" w:rsidRDefault="007D55AB" w:rsidP="00640AF1">
            <w:pPr>
              <w:pStyle w:val="Normal1"/>
              <w:pBdr>
                <w:top w:val="nil"/>
                <w:left w:val="nil"/>
                <w:bottom w:val="nil"/>
                <w:right w:val="nil"/>
                <w:between w:val="nil"/>
              </w:pBdr>
              <w:shd w:val="clear" w:color="auto" w:fill="FFFFFF"/>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28°27'45.9"N </w:t>
            </w:r>
          </w:p>
        </w:tc>
        <w:tc>
          <w:tcPr>
            <w:tcW w:w="1276" w:type="dxa"/>
          </w:tcPr>
          <w:p w14:paraId="36E025F5" w14:textId="77777777" w:rsidR="00573EA0" w:rsidRDefault="007D55AB" w:rsidP="00640AF1">
            <w:pPr>
              <w:pStyle w:val="Normal1"/>
              <w:pBdr>
                <w:top w:val="nil"/>
                <w:left w:val="nil"/>
                <w:bottom w:val="nil"/>
                <w:right w:val="nil"/>
                <w:between w:val="nil"/>
              </w:pBdr>
              <w:shd w:val="clear" w:color="auto" w:fill="FFFFFF"/>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76°21'30.3"E</w:t>
            </w:r>
          </w:p>
        </w:tc>
        <w:tc>
          <w:tcPr>
            <w:tcW w:w="850" w:type="dxa"/>
          </w:tcPr>
          <w:p w14:paraId="501CFD0C" w14:textId="77777777" w:rsidR="00573EA0" w:rsidRDefault="007D55AB" w:rsidP="00640AF1">
            <w:pPr>
              <w:pStyle w:val="Normal1"/>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2.96</w:t>
            </w:r>
          </w:p>
        </w:tc>
        <w:tc>
          <w:tcPr>
            <w:tcW w:w="993" w:type="dxa"/>
          </w:tcPr>
          <w:p w14:paraId="0324956C" w14:textId="77777777" w:rsidR="00573EA0" w:rsidRDefault="007D55AB" w:rsidP="00640AF1">
            <w:pPr>
              <w:pStyle w:val="Normal1"/>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0.07</w:t>
            </w:r>
          </w:p>
        </w:tc>
        <w:tc>
          <w:tcPr>
            <w:tcW w:w="850" w:type="dxa"/>
          </w:tcPr>
          <w:p w14:paraId="2D84FE77" w14:textId="77777777" w:rsidR="00573EA0" w:rsidRDefault="007D55AB" w:rsidP="00640AF1">
            <w:pPr>
              <w:pStyle w:val="Normal1"/>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4.19 E-05</w:t>
            </w:r>
          </w:p>
        </w:tc>
        <w:tc>
          <w:tcPr>
            <w:tcW w:w="851" w:type="dxa"/>
          </w:tcPr>
          <w:p w14:paraId="6222F7D8" w14:textId="77777777" w:rsidR="00573EA0" w:rsidRDefault="007D55AB" w:rsidP="00640AF1">
            <w:pPr>
              <w:pStyle w:val="Normal1"/>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6.48 E-05</w:t>
            </w:r>
          </w:p>
        </w:tc>
        <w:tc>
          <w:tcPr>
            <w:tcW w:w="850" w:type="dxa"/>
          </w:tcPr>
          <w:p w14:paraId="728AF76D" w14:textId="77777777" w:rsidR="00573EA0" w:rsidRDefault="007D55AB" w:rsidP="00640AF1">
            <w:pPr>
              <w:pStyle w:val="Normal1"/>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2.93 E-06</w:t>
            </w:r>
          </w:p>
        </w:tc>
        <w:tc>
          <w:tcPr>
            <w:tcW w:w="851" w:type="dxa"/>
          </w:tcPr>
          <w:p w14:paraId="58430842" w14:textId="77777777" w:rsidR="00573EA0" w:rsidRDefault="007D55AB" w:rsidP="00640AF1">
            <w:pPr>
              <w:pStyle w:val="Normal1"/>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4.53 E-06</w:t>
            </w:r>
          </w:p>
        </w:tc>
        <w:tc>
          <w:tcPr>
            <w:tcW w:w="851" w:type="dxa"/>
          </w:tcPr>
          <w:p w14:paraId="1EA0A8F7" w14:textId="77777777" w:rsidR="00573EA0" w:rsidRDefault="007D55AB" w:rsidP="00640AF1">
            <w:pPr>
              <w:pStyle w:val="Normal1"/>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0.06</w:t>
            </w:r>
          </w:p>
        </w:tc>
      </w:tr>
      <w:tr w:rsidR="00573EA0" w14:paraId="4896210C" w14:textId="77777777" w:rsidTr="00640AF1">
        <w:trPr>
          <w:cantSplit/>
          <w:tblHeader/>
        </w:trPr>
        <w:tc>
          <w:tcPr>
            <w:tcW w:w="392" w:type="dxa"/>
          </w:tcPr>
          <w:p w14:paraId="5FDE6A61" w14:textId="77777777" w:rsidR="00573EA0" w:rsidRDefault="00573EA0" w:rsidP="00640AF1">
            <w:pPr>
              <w:pStyle w:val="Normal1"/>
              <w:numPr>
                <w:ilvl w:val="0"/>
                <w:numId w:val="1"/>
              </w:numPr>
              <w:pBdr>
                <w:top w:val="nil"/>
                <w:left w:val="nil"/>
                <w:bottom w:val="nil"/>
                <w:right w:val="nil"/>
                <w:between w:val="nil"/>
              </w:pBdr>
              <w:spacing w:after="200" w:line="276" w:lineRule="auto"/>
              <w:rPr>
                <w:rFonts w:ascii="Times New Roman" w:eastAsia="Times New Roman" w:hAnsi="Times New Roman" w:cs="Times New Roman"/>
                <w:color w:val="000000"/>
                <w:sz w:val="24"/>
                <w:szCs w:val="24"/>
              </w:rPr>
            </w:pPr>
          </w:p>
        </w:tc>
        <w:tc>
          <w:tcPr>
            <w:tcW w:w="850" w:type="dxa"/>
          </w:tcPr>
          <w:p w14:paraId="72A3E932" w14:textId="77777777" w:rsidR="00573EA0" w:rsidRDefault="007D55AB" w:rsidP="00640AF1">
            <w:pPr>
              <w:pStyle w:val="Normal1"/>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S-14</w:t>
            </w:r>
          </w:p>
        </w:tc>
        <w:tc>
          <w:tcPr>
            <w:tcW w:w="1276" w:type="dxa"/>
          </w:tcPr>
          <w:p w14:paraId="15361AD4" w14:textId="77777777" w:rsidR="00573EA0" w:rsidRDefault="007D55AB" w:rsidP="00640AF1">
            <w:pPr>
              <w:pStyle w:val="Normal1"/>
              <w:pBdr>
                <w:top w:val="nil"/>
                <w:left w:val="nil"/>
                <w:bottom w:val="nil"/>
                <w:right w:val="nil"/>
                <w:between w:val="nil"/>
              </w:pBdr>
              <w:shd w:val="clear" w:color="auto" w:fill="FFFFFF"/>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28°29'27.9"N </w:t>
            </w:r>
          </w:p>
        </w:tc>
        <w:tc>
          <w:tcPr>
            <w:tcW w:w="1276" w:type="dxa"/>
          </w:tcPr>
          <w:p w14:paraId="57AFEDA3" w14:textId="77777777" w:rsidR="00573EA0" w:rsidRDefault="007D55AB" w:rsidP="00640AF1">
            <w:pPr>
              <w:pStyle w:val="Normal1"/>
              <w:pBdr>
                <w:top w:val="nil"/>
                <w:left w:val="nil"/>
                <w:bottom w:val="nil"/>
                <w:right w:val="nil"/>
                <w:between w:val="nil"/>
              </w:pBdr>
              <w:shd w:val="clear" w:color="auto" w:fill="FFFFFF"/>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76°22'47.7"E</w:t>
            </w:r>
          </w:p>
        </w:tc>
        <w:tc>
          <w:tcPr>
            <w:tcW w:w="850" w:type="dxa"/>
          </w:tcPr>
          <w:p w14:paraId="133C7004" w14:textId="77777777" w:rsidR="00573EA0" w:rsidRDefault="007D55AB" w:rsidP="00640AF1">
            <w:pPr>
              <w:pStyle w:val="Normal1"/>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2.64</w:t>
            </w:r>
          </w:p>
        </w:tc>
        <w:tc>
          <w:tcPr>
            <w:tcW w:w="993" w:type="dxa"/>
          </w:tcPr>
          <w:p w14:paraId="10A20F37" w14:textId="77777777" w:rsidR="00573EA0" w:rsidRDefault="007D55AB" w:rsidP="00640AF1">
            <w:pPr>
              <w:pStyle w:val="Normal1"/>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0.06</w:t>
            </w:r>
          </w:p>
        </w:tc>
        <w:tc>
          <w:tcPr>
            <w:tcW w:w="850" w:type="dxa"/>
          </w:tcPr>
          <w:p w14:paraId="342E6894" w14:textId="77777777" w:rsidR="00573EA0" w:rsidRDefault="007D55AB" w:rsidP="00640AF1">
            <w:pPr>
              <w:pStyle w:val="Normal1"/>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4.19 E-05</w:t>
            </w:r>
          </w:p>
        </w:tc>
        <w:tc>
          <w:tcPr>
            <w:tcW w:w="851" w:type="dxa"/>
          </w:tcPr>
          <w:p w14:paraId="736EC70F" w14:textId="77777777" w:rsidR="00573EA0" w:rsidRDefault="007D55AB" w:rsidP="00640AF1">
            <w:pPr>
              <w:pStyle w:val="Normal1"/>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6.48 E-05</w:t>
            </w:r>
          </w:p>
        </w:tc>
        <w:tc>
          <w:tcPr>
            <w:tcW w:w="850" w:type="dxa"/>
          </w:tcPr>
          <w:p w14:paraId="7BD78DB8" w14:textId="77777777" w:rsidR="00573EA0" w:rsidRDefault="007D55AB" w:rsidP="00640AF1">
            <w:pPr>
              <w:pStyle w:val="Normal1"/>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2.51 E-06</w:t>
            </w:r>
          </w:p>
        </w:tc>
        <w:tc>
          <w:tcPr>
            <w:tcW w:w="851" w:type="dxa"/>
          </w:tcPr>
          <w:p w14:paraId="1764D50A" w14:textId="77777777" w:rsidR="00573EA0" w:rsidRDefault="007D55AB" w:rsidP="00640AF1">
            <w:pPr>
              <w:pStyle w:val="Normal1"/>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4.27 E-06</w:t>
            </w:r>
          </w:p>
        </w:tc>
        <w:tc>
          <w:tcPr>
            <w:tcW w:w="851" w:type="dxa"/>
          </w:tcPr>
          <w:p w14:paraId="124DAA97" w14:textId="77777777" w:rsidR="00573EA0" w:rsidRDefault="007D55AB" w:rsidP="00640AF1">
            <w:pPr>
              <w:pStyle w:val="Normal1"/>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0.05</w:t>
            </w:r>
          </w:p>
        </w:tc>
      </w:tr>
      <w:tr w:rsidR="00573EA0" w14:paraId="2190C204" w14:textId="77777777" w:rsidTr="00640AF1">
        <w:trPr>
          <w:cantSplit/>
          <w:tblHeader/>
        </w:trPr>
        <w:tc>
          <w:tcPr>
            <w:tcW w:w="392" w:type="dxa"/>
          </w:tcPr>
          <w:p w14:paraId="427E9A0F" w14:textId="77777777" w:rsidR="00573EA0" w:rsidRDefault="00573EA0" w:rsidP="00640AF1">
            <w:pPr>
              <w:pStyle w:val="Normal1"/>
              <w:numPr>
                <w:ilvl w:val="0"/>
                <w:numId w:val="1"/>
              </w:numPr>
              <w:pBdr>
                <w:top w:val="nil"/>
                <w:left w:val="nil"/>
                <w:bottom w:val="nil"/>
                <w:right w:val="nil"/>
                <w:between w:val="nil"/>
              </w:pBdr>
              <w:spacing w:after="200" w:line="276" w:lineRule="auto"/>
              <w:rPr>
                <w:rFonts w:ascii="Times New Roman" w:eastAsia="Times New Roman" w:hAnsi="Times New Roman" w:cs="Times New Roman"/>
                <w:color w:val="000000"/>
                <w:sz w:val="24"/>
                <w:szCs w:val="24"/>
              </w:rPr>
            </w:pPr>
          </w:p>
        </w:tc>
        <w:tc>
          <w:tcPr>
            <w:tcW w:w="850" w:type="dxa"/>
          </w:tcPr>
          <w:p w14:paraId="0DE8FCFB" w14:textId="77777777" w:rsidR="00573EA0" w:rsidRDefault="007D55AB" w:rsidP="00640AF1">
            <w:pPr>
              <w:pStyle w:val="Normal1"/>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S-15</w:t>
            </w:r>
          </w:p>
        </w:tc>
        <w:tc>
          <w:tcPr>
            <w:tcW w:w="1276" w:type="dxa"/>
          </w:tcPr>
          <w:p w14:paraId="3E3DE042" w14:textId="77777777" w:rsidR="00573EA0" w:rsidRDefault="007D55AB" w:rsidP="00640AF1">
            <w:pPr>
              <w:pStyle w:val="Normal1"/>
              <w:pBdr>
                <w:top w:val="nil"/>
                <w:left w:val="nil"/>
                <w:bottom w:val="nil"/>
                <w:right w:val="nil"/>
                <w:between w:val="nil"/>
              </w:pBdr>
              <w:shd w:val="clear" w:color="auto" w:fill="FFFFFF"/>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28°30'31.8"N </w:t>
            </w:r>
          </w:p>
        </w:tc>
        <w:tc>
          <w:tcPr>
            <w:tcW w:w="1276" w:type="dxa"/>
          </w:tcPr>
          <w:p w14:paraId="66D10ADB" w14:textId="77777777" w:rsidR="00573EA0" w:rsidRDefault="007D55AB" w:rsidP="00640AF1">
            <w:pPr>
              <w:pStyle w:val="Normal1"/>
              <w:pBdr>
                <w:top w:val="nil"/>
                <w:left w:val="nil"/>
                <w:bottom w:val="nil"/>
                <w:right w:val="nil"/>
                <w:between w:val="nil"/>
              </w:pBdr>
              <w:shd w:val="clear" w:color="auto" w:fill="FFFFFF"/>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76°22'30.5"E</w:t>
            </w:r>
          </w:p>
        </w:tc>
        <w:tc>
          <w:tcPr>
            <w:tcW w:w="850" w:type="dxa"/>
          </w:tcPr>
          <w:p w14:paraId="7C9A6D50" w14:textId="77777777" w:rsidR="00573EA0" w:rsidRDefault="007D55AB" w:rsidP="00640AF1">
            <w:pPr>
              <w:pStyle w:val="Normal1"/>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6.26</w:t>
            </w:r>
          </w:p>
        </w:tc>
        <w:tc>
          <w:tcPr>
            <w:tcW w:w="993" w:type="dxa"/>
          </w:tcPr>
          <w:p w14:paraId="4B609CA2" w14:textId="77777777" w:rsidR="00573EA0" w:rsidRDefault="007D55AB" w:rsidP="00640AF1">
            <w:pPr>
              <w:pStyle w:val="Normal1"/>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0.15</w:t>
            </w:r>
          </w:p>
        </w:tc>
        <w:tc>
          <w:tcPr>
            <w:tcW w:w="850" w:type="dxa"/>
          </w:tcPr>
          <w:p w14:paraId="5465D562" w14:textId="77777777" w:rsidR="00573EA0" w:rsidRDefault="007D55AB" w:rsidP="00640AF1">
            <w:pPr>
              <w:pStyle w:val="Normal1"/>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4.19 E-05</w:t>
            </w:r>
          </w:p>
        </w:tc>
        <w:tc>
          <w:tcPr>
            <w:tcW w:w="851" w:type="dxa"/>
          </w:tcPr>
          <w:p w14:paraId="61B7E4F8" w14:textId="77777777" w:rsidR="00573EA0" w:rsidRDefault="007D55AB" w:rsidP="00640AF1">
            <w:pPr>
              <w:pStyle w:val="Normal1"/>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6.48 E-05</w:t>
            </w:r>
          </w:p>
        </w:tc>
        <w:tc>
          <w:tcPr>
            <w:tcW w:w="850" w:type="dxa"/>
          </w:tcPr>
          <w:p w14:paraId="66D7EC29" w14:textId="77777777" w:rsidR="00573EA0" w:rsidRDefault="007D55AB" w:rsidP="00640AF1">
            <w:pPr>
              <w:pStyle w:val="Normal1"/>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6.28 E-06</w:t>
            </w:r>
          </w:p>
        </w:tc>
        <w:tc>
          <w:tcPr>
            <w:tcW w:w="851" w:type="dxa"/>
          </w:tcPr>
          <w:p w14:paraId="048BDA95" w14:textId="77777777" w:rsidR="00573EA0" w:rsidRDefault="007D55AB" w:rsidP="00640AF1">
            <w:pPr>
              <w:pStyle w:val="Normal1"/>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9.71 E-06</w:t>
            </w:r>
          </w:p>
        </w:tc>
        <w:tc>
          <w:tcPr>
            <w:tcW w:w="851" w:type="dxa"/>
          </w:tcPr>
          <w:p w14:paraId="044D3902" w14:textId="77777777" w:rsidR="00573EA0" w:rsidRDefault="007D55AB" w:rsidP="00640AF1">
            <w:pPr>
              <w:pStyle w:val="Normal1"/>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0.12</w:t>
            </w:r>
          </w:p>
        </w:tc>
      </w:tr>
    </w:tbl>
    <w:p w14:paraId="496FE773" w14:textId="77777777" w:rsidR="00573EA0" w:rsidRDefault="00573EA0">
      <w:pPr>
        <w:pStyle w:val="Normal1"/>
        <w:pBdr>
          <w:top w:val="nil"/>
          <w:left w:val="nil"/>
          <w:bottom w:val="nil"/>
          <w:right w:val="nil"/>
          <w:between w:val="nil"/>
        </w:pBdr>
        <w:rPr>
          <w:rFonts w:ascii="Times New Roman" w:eastAsia="Times New Roman" w:hAnsi="Times New Roman" w:cs="Times New Roman"/>
          <w:color w:val="000000"/>
          <w:sz w:val="24"/>
          <w:szCs w:val="24"/>
          <w:lang w:val="id-ID"/>
        </w:rPr>
      </w:pPr>
    </w:p>
    <w:p w14:paraId="650EF201" w14:textId="77777777" w:rsidR="00640AF1" w:rsidRDefault="00640AF1" w:rsidP="00640AF1">
      <w:pPr>
        <w:pStyle w:val="Normal1"/>
        <w:widowControl w:val="0"/>
        <w:pBdr>
          <w:top w:val="nil"/>
          <w:left w:val="nil"/>
          <w:bottom w:val="nil"/>
          <w:right w:val="nil"/>
          <w:between w:val="nil"/>
        </w:pBdr>
        <w:spacing w:before="114" w:after="0" w:line="240" w:lineRule="auto"/>
        <w:ind w:right="21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Concentration of Uranium varying in the range 2.64 </w:t>
      </w:r>
      <w:proofErr w:type="spellStart"/>
      <w:r>
        <w:rPr>
          <w:rFonts w:ascii="Times New Roman" w:eastAsia="Times New Roman" w:hAnsi="Times New Roman" w:cs="Times New Roman"/>
          <w:color w:val="000000"/>
          <w:sz w:val="24"/>
          <w:szCs w:val="24"/>
        </w:rPr>
        <w:t>μg</w:t>
      </w:r>
      <w:proofErr w:type="spellEnd"/>
      <w:r>
        <w:rPr>
          <w:rFonts w:ascii="Times New Roman" w:eastAsia="Times New Roman" w:hAnsi="Times New Roman" w:cs="Times New Roman"/>
          <w:color w:val="000000"/>
          <w:sz w:val="24"/>
          <w:szCs w:val="24"/>
        </w:rPr>
        <w:t xml:space="preserve">/L to 202.9 </w:t>
      </w:r>
      <w:proofErr w:type="spellStart"/>
      <w:r>
        <w:rPr>
          <w:rFonts w:ascii="Times New Roman" w:eastAsia="Times New Roman" w:hAnsi="Times New Roman" w:cs="Times New Roman"/>
          <w:color w:val="000000"/>
          <w:sz w:val="24"/>
          <w:szCs w:val="24"/>
        </w:rPr>
        <w:t>μg</w:t>
      </w:r>
      <w:proofErr w:type="spellEnd"/>
      <w:r>
        <w:rPr>
          <w:rFonts w:ascii="Times New Roman" w:eastAsia="Times New Roman" w:hAnsi="Times New Roman" w:cs="Times New Roman"/>
          <w:color w:val="000000"/>
          <w:sz w:val="24"/>
          <w:szCs w:val="24"/>
        </w:rPr>
        <w:t>/L is shown by the fig 4 below:</w:t>
      </w:r>
    </w:p>
    <w:p w14:paraId="0966F84B" w14:textId="77777777" w:rsidR="00640AF1" w:rsidRPr="00640AF1" w:rsidRDefault="00640AF1">
      <w:pPr>
        <w:pStyle w:val="Normal1"/>
        <w:pBdr>
          <w:top w:val="nil"/>
          <w:left w:val="nil"/>
          <w:bottom w:val="nil"/>
          <w:right w:val="nil"/>
          <w:between w:val="nil"/>
        </w:pBdr>
        <w:rPr>
          <w:rFonts w:ascii="Times New Roman" w:eastAsia="Times New Roman" w:hAnsi="Times New Roman" w:cs="Times New Roman"/>
          <w:color w:val="000000"/>
          <w:sz w:val="24"/>
          <w:szCs w:val="24"/>
          <w:lang w:val="id-ID"/>
        </w:rPr>
      </w:pPr>
    </w:p>
    <w:p w14:paraId="4E500640" w14:textId="77777777" w:rsidR="00573EA0" w:rsidRDefault="007D55AB">
      <w:pPr>
        <w:pStyle w:val="Normal1"/>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7643439C" wp14:editId="0D85B27C">
            <wp:extent cx="5105400" cy="3131820"/>
            <wp:effectExtent l="0" t="0" r="0"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6"/>
                    <a:srcRect/>
                    <a:stretch>
                      <a:fillRect/>
                    </a:stretch>
                  </pic:blipFill>
                  <pic:spPr>
                    <a:xfrm>
                      <a:off x="0" y="0"/>
                      <a:ext cx="5105400" cy="3131820"/>
                    </a:xfrm>
                    <a:prstGeom prst="rect">
                      <a:avLst/>
                    </a:prstGeom>
                    <a:ln/>
                  </pic:spPr>
                </pic:pic>
              </a:graphicData>
            </a:graphic>
          </wp:inline>
        </w:drawing>
      </w:r>
    </w:p>
    <w:p w14:paraId="6F0C9725" w14:textId="77777777" w:rsidR="00573EA0" w:rsidRDefault="007D55AB">
      <w:pPr>
        <w:pStyle w:val="Normal1"/>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Figure 4. Concentration of Uranium in </w:t>
      </w:r>
      <w:proofErr w:type="spellStart"/>
      <w:r>
        <w:rPr>
          <w:rFonts w:ascii="Times New Roman" w:eastAsia="Times New Roman" w:hAnsi="Times New Roman" w:cs="Times New Roman"/>
          <w:color w:val="000000"/>
          <w:sz w:val="24"/>
          <w:szCs w:val="24"/>
        </w:rPr>
        <w:t>μg</w:t>
      </w:r>
      <w:proofErr w:type="spellEnd"/>
      <w:r>
        <w:rPr>
          <w:rFonts w:ascii="Times New Roman" w:eastAsia="Times New Roman" w:hAnsi="Times New Roman" w:cs="Times New Roman"/>
          <w:color w:val="000000"/>
          <w:sz w:val="24"/>
          <w:szCs w:val="24"/>
        </w:rPr>
        <w:t>/L in different water samples</w:t>
      </w:r>
    </w:p>
    <w:p w14:paraId="510F54BC" w14:textId="77777777" w:rsidR="00573EA0" w:rsidRDefault="007D55AB">
      <w:pPr>
        <w:pStyle w:val="Normal1"/>
        <w:pBdr>
          <w:top w:val="nil"/>
          <w:left w:val="nil"/>
          <w:bottom w:val="nil"/>
          <w:right w:val="nil"/>
          <w:between w:val="nil"/>
        </w:pBdr>
        <w:rPr>
          <w:rFonts w:ascii="Times New Roman" w:eastAsia="Times New Roman" w:hAnsi="Times New Roman" w:cs="Times New Roman"/>
          <w:color w:val="000000"/>
          <w:sz w:val="24"/>
          <w:szCs w:val="24"/>
        </w:rPr>
      </w:pPr>
      <w:r>
        <w:br w:type="page"/>
      </w:r>
    </w:p>
    <w:p w14:paraId="54329885" w14:textId="77777777" w:rsidR="005B6519" w:rsidRDefault="005B6519">
      <w:pPr>
        <w:pStyle w:val="Normal1"/>
        <w:pBdr>
          <w:top w:val="nil"/>
          <w:left w:val="nil"/>
          <w:bottom w:val="nil"/>
          <w:right w:val="nil"/>
          <w:between w:val="nil"/>
        </w:pBdr>
        <w:rPr>
          <w:rFonts w:ascii="Times New Roman" w:eastAsia="Times New Roman" w:hAnsi="Times New Roman" w:cs="Times New Roman"/>
          <w:color w:val="000000"/>
          <w:sz w:val="24"/>
          <w:szCs w:val="24"/>
          <w:lang w:val="id-ID"/>
        </w:rPr>
      </w:pPr>
      <w:r>
        <w:rPr>
          <w:rFonts w:ascii="Times New Roman" w:eastAsia="Times New Roman" w:hAnsi="Times New Roman" w:cs="Times New Roman"/>
          <w:b/>
          <w:color w:val="000000"/>
          <w:sz w:val="28"/>
          <w:szCs w:val="28"/>
          <w:lang w:val="id-ID"/>
        </w:rPr>
        <w:lastRenderedPageBreak/>
        <w:t xml:space="preserve">5. </w:t>
      </w:r>
      <w:r>
        <w:rPr>
          <w:rFonts w:ascii="Times New Roman" w:eastAsia="Times New Roman" w:hAnsi="Times New Roman" w:cs="Times New Roman"/>
          <w:b/>
          <w:color w:val="000000"/>
          <w:sz w:val="28"/>
          <w:szCs w:val="28"/>
        </w:rPr>
        <w:t>Discussion</w:t>
      </w:r>
      <w:r>
        <w:rPr>
          <w:rFonts w:ascii="Times New Roman" w:eastAsia="Times New Roman" w:hAnsi="Times New Roman" w:cs="Times New Roman"/>
          <w:color w:val="000000"/>
          <w:sz w:val="24"/>
          <w:szCs w:val="24"/>
        </w:rPr>
        <w:t xml:space="preserve"> </w:t>
      </w:r>
    </w:p>
    <w:p w14:paraId="3412198F" w14:textId="77777777" w:rsidR="00573EA0" w:rsidRDefault="007D55AB">
      <w:pPr>
        <w:pStyle w:val="Normal1"/>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results of this study are compared to Uranium levels in water samples from different countries in Table 2:</w:t>
      </w:r>
    </w:p>
    <w:tbl>
      <w:tblPr>
        <w:tblStyle w:val="a0"/>
        <w:tblW w:w="9022"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0"/>
        <w:gridCol w:w="1810"/>
        <w:gridCol w:w="1805"/>
        <w:gridCol w:w="1800"/>
        <w:gridCol w:w="1817"/>
      </w:tblGrid>
      <w:tr w:rsidR="00573EA0" w14:paraId="49ACB11E" w14:textId="77777777">
        <w:trPr>
          <w:cantSplit/>
          <w:tblHeader/>
        </w:trPr>
        <w:tc>
          <w:tcPr>
            <w:tcW w:w="9022" w:type="dxa"/>
            <w:gridSpan w:val="5"/>
          </w:tcPr>
          <w:p w14:paraId="356B445D" w14:textId="77777777" w:rsidR="00573EA0" w:rsidRDefault="007D55AB">
            <w:pPr>
              <w:pStyle w:val="Normal1"/>
              <w:widowControl w:val="0"/>
              <w:pBdr>
                <w:top w:val="nil"/>
                <w:left w:val="nil"/>
                <w:bottom w:val="nil"/>
                <w:right w:val="nil"/>
                <w:between w:val="nil"/>
              </w:pBdr>
              <w:spacing w:after="200" w:line="27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Table 2:</w:t>
            </w:r>
          </w:p>
          <w:p w14:paraId="6F2A6D36" w14:textId="77777777" w:rsidR="00573EA0" w:rsidRDefault="007D55AB">
            <w:pPr>
              <w:pStyle w:val="Normal1"/>
              <w:widowControl w:val="0"/>
              <w:pBdr>
                <w:top w:val="nil"/>
                <w:left w:val="nil"/>
                <w:bottom w:val="nil"/>
                <w:right w:val="nil"/>
                <w:between w:val="nil"/>
              </w:pBdr>
              <w:spacing w:after="200" w:line="27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U Conc. In Drinking Water Samples </w:t>
            </w:r>
            <w:proofErr w:type="gramStart"/>
            <w:r>
              <w:rPr>
                <w:rFonts w:ascii="Times New Roman" w:eastAsia="Times New Roman" w:hAnsi="Times New Roman" w:cs="Times New Roman"/>
                <w:color w:val="000000"/>
                <w:sz w:val="24"/>
                <w:szCs w:val="24"/>
              </w:rPr>
              <w:t>From</w:t>
            </w:r>
            <w:proofErr w:type="gram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u w:val="single"/>
              </w:rPr>
              <w:t>Different Countries</w:t>
            </w:r>
          </w:p>
        </w:tc>
      </w:tr>
      <w:tr w:rsidR="00573EA0" w14:paraId="61337FE8" w14:textId="77777777">
        <w:trPr>
          <w:cantSplit/>
          <w:tblHeader/>
        </w:trPr>
        <w:tc>
          <w:tcPr>
            <w:tcW w:w="1790" w:type="dxa"/>
          </w:tcPr>
          <w:p w14:paraId="0113B986" w14:textId="77777777" w:rsidR="00573EA0" w:rsidRDefault="007D55AB">
            <w:pPr>
              <w:pStyle w:val="Normal1"/>
              <w:widowControl w:val="0"/>
              <w:pBdr>
                <w:top w:val="nil"/>
                <w:left w:val="nil"/>
                <w:bottom w:val="nil"/>
                <w:right w:val="nil"/>
                <w:between w:val="nil"/>
              </w:pBdr>
              <w:spacing w:after="200" w:line="27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Sr No</w:t>
            </w:r>
          </w:p>
        </w:tc>
        <w:tc>
          <w:tcPr>
            <w:tcW w:w="1810" w:type="dxa"/>
          </w:tcPr>
          <w:p w14:paraId="6CC0F330" w14:textId="77777777" w:rsidR="00573EA0" w:rsidRDefault="007D55AB">
            <w:pPr>
              <w:pStyle w:val="Normal1"/>
              <w:widowControl w:val="0"/>
              <w:pBdr>
                <w:top w:val="nil"/>
                <w:left w:val="nil"/>
                <w:bottom w:val="nil"/>
                <w:right w:val="nil"/>
                <w:between w:val="nil"/>
              </w:pBdr>
              <w:spacing w:after="200" w:line="27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Country</w:t>
            </w:r>
          </w:p>
        </w:tc>
        <w:tc>
          <w:tcPr>
            <w:tcW w:w="1805" w:type="dxa"/>
          </w:tcPr>
          <w:p w14:paraId="413E6A68" w14:textId="77777777" w:rsidR="00573EA0" w:rsidRDefault="007D55AB">
            <w:pPr>
              <w:pStyle w:val="Normal1"/>
              <w:widowControl w:val="0"/>
              <w:pBdr>
                <w:top w:val="nil"/>
                <w:left w:val="nil"/>
                <w:bottom w:val="nil"/>
                <w:right w:val="nil"/>
                <w:between w:val="nil"/>
              </w:pBdr>
              <w:spacing w:after="200" w:line="27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Basic Source</w:t>
            </w:r>
          </w:p>
        </w:tc>
        <w:tc>
          <w:tcPr>
            <w:tcW w:w="1800" w:type="dxa"/>
          </w:tcPr>
          <w:p w14:paraId="1284E170" w14:textId="77777777" w:rsidR="00573EA0" w:rsidRDefault="007D55AB">
            <w:pPr>
              <w:pStyle w:val="Normal1"/>
              <w:widowControl w:val="0"/>
              <w:pBdr>
                <w:top w:val="nil"/>
                <w:left w:val="nil"/>
                <w:bottom w:val="nil"/>
                <w:right w:val="nil"/>
                <w:between w:val="nil"/>
              </w:pBdr>
              <w:spacing w:after="200" w:line="199" w:lineRule="auto"/>
              <w:ind w:right="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w:t>
            </w:r>
          </w:p>
          <w:p w14:paraId="0EC94E5F" w14:textId="77777777" w:rsidR="00573EA0" w:rsidRDefault="007D55AB">
            <w:pPr>
              <w:pStyle w:val="Normal1"/>
              <w:widowControl w:val="0"/>
              <w:pBdr>
                <w:top w:val="nil"/>
                <w:left w:val="nil"/>
                <w:bottom w:val="nil"/>
                <w:right w:val="nil"/>
                <w:between w:val="nil"/>
              </w:pBdr>
              <w:spacing w:after="200" w:line="27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Conc. (</w:t>
            </w:r>
            <w:proofErr w:type="spellStart"/>
            <w:r>
              <w:rPr>
                <w:rFonts w:ascii="Times New Roman" w:eastAsia="Times New Roman" w:hAnsi="Times New Roman" w:cs="Times New Roman"/>
                <w:color w:val="000000"/>
                <w:sz w:val="24"/>
                <w:szCs w:val="24"/>
              </w:rPr>
              <w:t>μg</w:t>
            </w:r>
            <w:proofErr w:type="spellEnd"/>
            <w:r>
              <w:rPr>
                <w:rFonts w:ascii="Times New Roman" w:eastAsia="Times New Roman" w:hAnsi="Times New Roman" w:cs="Times New Roman"/>
                <w:color w:val="000000"/>
                <w:sz w:val="24"/>
                <w:szCs w:val="24"/>
              </w:rPr>
              <w:t>/L)</w:t>
            </w:r>
          </w:p>
        </w:tc>
        <w:tc>
          <w:tcPr>
            <w:tcW w:w="1817" w:type="dxa"/>
          </w:tcPr>
          <w:p w14:paraId="5BD04D54" w14:textId="77777777" w:rsidR="00573EA0" w:rsidRDefault="007D55AB">
            <w:pPr>
              <w:pStyle w:val="Normal1"/>
              <w:widowControl w:val="0"/>
              <w:pBdr>
                <w:top w:val="nil"/>
                <w:left w:val="nil"/>
                <w:bottom w:val="nil"/>
                <w:right w:val="nil"/>
                <w:between w:val="nil"/>
              </w:pBdr>
              <w:spacing w:after="200" w:line="27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Reference</w:t>
            </w:r>
          </w:p>
        </w:tc>
      </w:tr>
      <w:tr w:rsidR="00573EA0" w14:paraId="671F309F" w14:textId="77777777">
        <w:trPr>
          <w:cantSplit/>
          <w:tblHeader/>
        </w:trPr>
        <w:tc>
          <w:tcPr>
            <w:tcW w:w="1790" w:type="dxa"/>
          </w:tcPr>
          <w:p w14:paraId="0FBED2CE" w14:textId="77777777" w:rsidR="00573EA0" w:rsidRDefault="007D55AB">
            <w:pPr>
              <w:pStyle w:val="Normal1"/>
              <w:widowControl w:val="0"/>
              <w:pBdr>
                <w:top w:val="nil"/>
                <w:left w:val="nil"/>
                <w:bottom w:val="nil"/>
                <w:right w:val="nil"/>
                <w:between w:val="nil"/>
              </w:pBdr>
              <w:spacing w:after="200" w:line="202" w:lineRule="auto"/>
              <w:ind w:left="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810" w:type="dxa"/>
          </w:tcPr>
          <w:p w14:paraId="26A9F56A" w14:textId="77777777" w:rsidR="00573EA0" w:rsidRDefault="007D55AB">
            <w:pPr>
              <w:pStyle w:val="Normal1"/>
              <w:widowControl w:val="0"/>
              <w:pBdr>
                <w:top w:val="nil"/>
                <w:left w:val="nil"/>
                <w:bottom w:val="nil"/>
                <w:right w:val="nil"/>
                <w:between w:val="nil"/>
              </w:pBdr>
              <w:spacing w:after="200" w:line="242" w:lineRule="auto"/>
              <w:ind w:left="368" w:right="235" w:hanging="1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Amazonas (Brazil)</w:t>
            </w:r>
          </w:p>
        </w:tc>
        <w:tc>
          <w:tcPr>
            <w:tcW w:w="1805" w:type="dxa"/>
          </w:tcPr>
          <w:p w14:paraId="6138AF69" w14:textId="77777777" w:rsidR="00573EA0" w:rsidRDefault="007D55AB">
            <w:pPr>
              <w:pStyle w:val="Normal1"/>
              <w:widowControl w:val="0"/>
              <w:pBdr>
                <w:top w:val="nil"/>
                <w:left w:val="nil"/>
                <w:bottom w:val="nil"/>
                <w:right w:val="nil"/>
                <w:between w:val="nil"/>
              </w:pBdr>
              <w:spacing w:after="200" w:line="202" w:lineRule="auto"/>
              <w:ind w:right="134"/>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Groundwater</w:t>
            </w:r>
          </w:p>
        </w:tc>
        <w:tc>
          <w:tcPr>
            <w:tcW w:w="1800" w:type="dxa"/>
          </w:tcPr>
          <w:p w14:paraId="56AE290F" w14:textId="77777777" w:rsidR="00573EA0" w:rsidRDefault="007D55AB">
            <w:pPr>
              <w:pStyle w:val="Normal1"/>
              <w:widowControl w:val="0"/>
              <w:pBdr>
                <w:top w:val="nil"/>
                <w:left w:val="nil"/>
                <w:bottom w:val="nil"/>
                <w:right w:val="nil"/>
                <w:between w:val="nil"/>
              </w:pBdr>
              <w:spacing w:after="200" w:line="242" w:lineRule="auto"/>
              <w:ind w:left="253" w:right="174" w:hanging="68"/>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0.01 – 1.36</w:t>
            </w:r>
          </w:p>
        </w:tc>
        <w:tc>
          <w:tcPr>
            <w:tcW w:w="1817" w:type="dxa"/>
          </w:tcPr>
          <w:p w14:paraId="7269FD16" w14:textId="77777777" w:rsidR="00573EA0" w:rsidRDefault="007D55AB">
            <w:pPr>
              <w:pStyle w:val="Normal1"/>
              <w:widowControl w:val="0"/>
              <w:pBdr>
                <w:top w:val="nil"/>
                <w:left w:val="nil"/>
                <w:bottom w:val="nil"/>
                <w:right w:val="nil"/>
                <w:between w:val="nil"/>
              </w:pBdr>
              <w:spacing w:after="200" w:line="202" w:lineRule="auto"/>
              <w:ind w:left="119" w:right="13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CC"/>
                <w:sz w:val="24"/>
                <w:szCs w:val="24"/>
              </w:rPr>
              <w:t>[M.L.D. et al., 2015]</w:t>
            </w:r>
          </w:p>
        </w:tc>
      </w:tr>
      <w:tr w:rsidR="00573EA0" w14:paraId="50EC9685" w14:textId="77777777">
        <w:trPr>
          <w:cantSplit/>
          <w:tblHeader/>
        </w:trPr>
        <w:tc>
          <w:tcPr>
            <w:tcW w:w="1790" w:type="dxa"/>
          </w:tcPr>
          <w:p w14:paraId="329938E0" w14:textId="77777777" w:rsidR="00573EA0" w:rsidRDefault="007D55AB">
            <w:pPr>
              <w:pStyle w:val="Normal1"/>
              <w:widowControl w:val="0"/>
              <w:pBdr>
                <w:top w:val="nil"/>
                <w:left w:val="nil"/>
                <w:bottom w:val="nil"/>
                <w:right w:val="nil"/>
                <w:between w:val="nil"/>
              </w:pBdr>
              <w:spacing w:after="200" w:line="202" w:lineRule="auto"/>
              <w:ind w:left="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810" w:type="dxa"/>
          </w:tcPr>
          <w:p w14:paraId="3B27BF8B" w14:textId="77777777" w:rsidR="00573EA0" w:rsidRDefault="007D55AB">
            <w:pPr>
              <w:pStyle w:val="Normal1"/>
              <w:widowControl w:val="0"/>
              <w:pBdr>
                <w:top w:val="nil"/>
                <w:left w:val="nil"/>
                <w:bottom w:val="nil"/>
                <w:right w:val="nil"/>
                <w:between w:val="nil"/>
              </w:pBdr>
              <w:spacing w:after="200" w:line="276" w:lineRule="auto"/>
              <w:ind w:left="164" w:right="126" w:hanging="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Southwestern Sinai (Egypt)</w:t>
            </w:r>
          </w:p>
        </w:tc>
        <w:tc>
          <w:tcPr>
            <w:tcW w:w="1805" w:type="dxa"/>
          </w:tcPr>
          <w:p w14:paraId="7EEC0CFC" w14:textId="77777777" w:rsidR="00573EA0" w:rsidRDefault="007D55AB">
            <w:pPr>
              <w:pStyle w:val="Normal1"/>
              <w:widowControl w:val="0"/>
              <w:pBdr>
                <w:top w:val="nil"/>
                <w:left w:val="nil"/>
                <w:bottom w:val="nil"/>
                <w:right w:val="nil"/>
                <w:between w:val="nil"/>
              </w:pBdr>
              <w:spacing w:after="200" w:line="202" w:lineRule="auto"/>
              <w:ind w:right="134"/>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Groundwater</w:t>
            </w:r>
          </w:p>
        </w:tc>
        <w:tc>
          <w:tcPr>
            <w:tcW w:w="1800" w:type="dxa"/>
          </w:tcPr>
          <w:p w14:paraId="40BB296A" w14:textId="77777777" w:rsidR="00573EA0" w:rsidRDefault="007D55AB">
            <w:pPr>
              <w:pStyle w:val="Normal1"/>
              <w:widowControl w:val="0"/>
              <w:pBdr>
                <w:top w:val="nil"/>
                <w:left w:val="nil"/>
                <w:bottom w:val="nil"/>
                <w:right w:val="nil"/>
                <w:between w:val="nil"/>
              </w:pBdr>
              <w:spacing w:after="200" w:line="202" w:lineRule="auto"/>
              <w:ind w:left="22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328 - 560</w:t>
            </w:r>
          </w:p>
        </w:tc>
        <w:tc>
          <w:tcPr>
            <w:tcW w:w="1817" w:type="dxa"/>
          </w:tcPr>
          <w:p w14:paraId="6730A9BD" w14:textId="77777777" w:rsidR="00573EA0" w:rsidRDefault="007D55AB">
            <w:pPr>
              <w:pStyle w:val="Normal1"/>
              <w:widowControl w:val="0"/>
              <w:pBdr>
                <w:top w:val="nil"/>
                <w:left w:val="nil"/>
                <w:bottom w:val="nil"/>
                <w:right w:val="nil"/>
                <w:between w:val="nil"/>
              </w:pBdr>
              <w:spacing w:after="200" w:line="202" w:lineRule="auto"/>
              <w:ind w:left="119" w:right="13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CC"/>
                <w:sz w:val="24"/>
                <w:szCs w:val="24"/>
              </w:rPr>
              <w:t>[H.A.S. et al., 2013]</w:t>
            </w:r>
          </w:p>
        </w:tc>
      </w:tr>
      <w:tr w:rsidR="00573EA0" w14:paraId="0559F1FD" w14:textId="77777777">
        <w:trPr>
          <w:cantSplit/>
          <w:tblHeader/>
        </w:trPr>
        <w:tc>
          <w:tcPr>
            <w:tcW w:w="1790" w:type="dxa"/>
          </w:tcPr>
          <w:p w14:paraId="1F574482" w14:textId="77777777" w:rsidR="00573EA0" w:rsidRDefault="007D55AB">
            <w:pPr>
              <w:pStyle w:val="Normal1"/>
              <w:widowControl w:val="0"/>
              <w:pBdr>
                <w:top w:val="nil"/>
                <w:left w:val="nil"/>
                <w:bottom w:val="nil"/>
                <w:right w:val="nil"/>
                <w:between w:val="nil"/>
              </w:pBdr>
              <w:spacing w:after="200" w:line="202" w:lineRule="auto"/>
              <w:ind w:left="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810" w:type="dxa"/>
          </w:tcPr>
          <w:p w14:paraId="71EC010C" w14:textId="77777777" w:rsidR="00573EA0" w:rsidRDefault="007D55AB">
            <w:pPr>
              <w:pStyle w:val="Normal1"/>
              <w:widowControl w:val="0"/>
              <w:pBdr>
                <w:top w:val="nil"/>
                <w:left w:val="nil"/>
                <w:bottom w:val="nil"/>
                <w:right w:val="nil"/>
                <w:between w:val="nil"/>
              </w:pBdr>
              <w:spacing w:after="200" w:line="276" w:lineRule="auto"/>
              <w:ind w:left="392" w:right="292" w:hanging="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Northern Greece</w:t>
            </w:r>
          </w:p>
        </w:tc>
        <w:tc>
          <w:tcPr>
            <w:tcW w:w="1805" w:type="dxa"/>
          </w:tcPr>
          <w:p w14:paraId="05F110B0" w14:textId="77777777" w:rsidR="00573EA0" w:rsidRDefault="007D55AB">
            <w:pPr>
              <w:pStyle w:val="Normal1"/>
              <w:widowControl w:val="0"/>
              <w:pBdr>
                <w:top w:val="nil"/>
                <w:left w:val="nil"/>
                <w:bottom w:val="nil"/>
                <w:right w:val="nil"/>
                <w:between w:val="nil"/>
              </w:pBdr>
              <w:spacing w:after="200" w:line="202" w:lineRule="auto"/>
              <w:ind w:right="134"/>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Groundwater</w:t>
            </w:r>
          </w:p>
        </w:tc>
        <w:tc>
          <w:tcPr>
            <w:tcW w:w="1800" w:type="dxa"/>
          </w:tcPr>
          <w:p w14:paraId="0C19F600" w14:textId="77777777" w:rsidR="00573EA0" w:rsidRDefault="007D55AB">
            <w:pPr>
              <w:pStyle w:val="Normal1"/>
              <w:widowControl w:val="0"/>
              <w:pBdr>
                <w:top w:val="nil"/>
                <w:left w:val="nil"/>
                <w:bottom w:val="nil"/>
                <w:right w:val="nil"/>
                <w:between w:val="nil"/>
              </w:pBdr>
              <w:spacing w:after="200" w:line="276" w:lineRule="auto"/>
              <w:ind w:left="320" w:right="174" w:hanging="13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0.01 – 10</w:t>
            </w:r>
          </w:p>
        </w:tc>
        <w:tc>
          <w:tcPr>
            <w:tcW w:w="1817" w:type="dxa"/>
          </w:tcPr>
          <w:p w14:paraId="5AFF0B1B" w14:textId="77777777" w:rsidR="00573EA0" w:rsidRDefault="007D55AB">
            <w:pPr>
              <w:pStyle w:val="Normal1"/>
              <w:widowControl w:val="0"/>
              <w:pBdr>
                <w:top w:val="nil"/>
                <w:left w:val="nil"/>
                <w:bottom w:val="nil"/>
                <w:right w:val="nil"/>
                <w:between w:val="nil"/>
              </w:pBdr>
              <w:spacing w:after="200" w:line="202" w:lineRule="auto"/>
              <w:ind w:left="119" w:right="13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CC"/>
                <w:sz w:val="24"/>
                <w:szCs w:val="24"/>
              </w:rPr>
              <w:t>[</w:t>
            </w:r>
            <w:proofErr w:type="gramStart"/>
            <w:r>
              <w:rPr>
                <w:rFonts w:ascii="Times New Roman" w:eastAsia="Times New Roman" w:hAnsi="Times New Roman" w:cs="Times New Roman"/>
                <w:color w:val="0000CC"/>
                <w:sz w:val="24"/>
                <w:szCs w:val="24"/>
              </w:rPr>
              <w:t>I..A.</w:t>
            </w:r>
            <w:proofErr w:type="gramEnd"/>
            <w:r>
              <w:rPr>
                <w:rFonts w:ascii="Times New Roman" w:eastAsia="Times New Roman" w:hAnsi="Times New Roman" w:cs="Times New Roman"/>
                <w:color w:val="0000CC"/>
                <w:sz w:val="24"/>
                <w:szCs w:val="24"/>
              </w:rPr>
              <w:t xml:space="preserve"> </w:t>
            </w:r>
            <w:proofErr w:type="spellStart"/>
            <w:r>
              <w:rPr>
                <w:rFonts w:ascii="Times New Roman" w:eastAsia="Times New Roman" w:hAnsi="Times New Roman" w:cs="Times New Roman"/>
                <w:color w:val="0000CC"/>
                <w:sz w:val="24"/>
                <w:szCs w:val="24"/>
              </w:rPr>
              <w:t>Katsoyiannis</w:t>
            </w:r>
            <w:proofErr w:type="spellEnd"/>
            <w:r>
              <w:rPr>
                <w:rFonts w:ascii="Times New Roman" w:eastAsia="Times New Roman" w:hAnsi="Times New Roman" w:cs="Times New Roman"/>
                <w:color w:val="0000CC"/>
                <w:sz w:val="24"/>
                <w:szCs w:val="24"/>
              </w:rPr>
              <w:t xml:space="preserve"> et al., 2007]</w:t>
            </w:r>
          </w:p>
        </w:tc>
      </w:tr>
      <w:tr w:rsidR="00573EA0" w14:paraId="620CD7F3" w14:textId="77777777">
        <w:trPr>
          <w:cantSplit/>
          <w:tblHeader/>
        </w:trPr>
        <w:tc>
          <w:tcPr>
            <w:tcW w:w="1790" w:type="dxa"/>
          </w:tcPr>
          <w:p w14:paraId="66A52EF4" w14:textId="77777777" w:rsidR="00573EA0" w:rsidRDefault="007D55AB">
            <w:pPr>
              <w:pStyle w:val="Normal1"/>
              <w:widowControl w:val="0"/>
              <w:pBdr>
                <w:top w:val="nil"/>
                <w:left w:val="nil"/>
                <w:bottom w:val="nil"/>
                <w:right w:val="nil"/>
                <w:between w:val="nil"/>
              </w:pBdr>
              <w:spacing w:after="200" w:line="202" w:lineRule="auto"/>
              <w:ind w:left="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810" w:type="dxa"/>
          </w:tcPr>
          <w:p w14:paraId="6A0741BF" w14:textId="77777777" w:rsidR="00573EA0" w:rsidRDefault="007D55AB">
            <w:pPr>
              <w:pStyle w:val="Normal1"/>
              <w:widowControl w:val="0"/>
              <w:pBdr>
                <w:top w:val="nil"/>
                <w:left w:val="nil"/>
                <w:bottom w:val="nil"/>
                <w:right w:val="nil"/>
                <w:between w:val="nil"/>
              </w:pBdr>
              <w:spacing w:after="200" w:line="202" w:lineRule="auto"/>
              <w:ind w:left="196" w:right="18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Russia</w:t>
            </w:r>
          </w:p>
        </w:tc>
        <w:tc>
          <w:tcPr>
            <w:tcW w:w="1805" w:type="dxa"/>
          </w:tcPr>
          <w:p w14:paraId="337226F0" w14:textId="77777777" w:rsidR="00573EA0" w:rsidRDefault="007D55AB">
            <w:pPr>
              <w:pStyle w:val="Normal1"/>
              <w:widowControl w:val="0"/>
              <w:pBdr>
                <w:top w:val="nil"/>
                <w:left w:val="nil"/>
                <w:bottom w:val="nil"/>
                <w:right w:val="nil"/>
                <w:between w:val="nil"/>
              </w:pBdr>
              <w:spacing w:after="200" w:line="202" w:lineRule="auto"/>
              <w:ind w:right="134"/>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Groundwater</w:t>
            </w:r>
          </w:p>
        </w:tc>
        <w:tc>
          <w:tcPr>
            <w:tcW w:w="1800" w:type="dxa"/>
          </w:tcPr>
          <w:p w14:paraId="3D4C83E7" w14:textId="77777777" w:rsidR="00573EA0" w:rsidRDefault="007D55AB">
            <w:pPr>
              <w:pStyle w:val="Normal1"/>
              <w:widowControl w:val="0"/>
              <w:pBdr>
                <w:top w:val="nil"/>
                <w:left w:val="nil"/>
                <w:bottom w:val="nil"/>
                <w:right w:val="nil"/>
                <w:between w:val="nil"/>
              </w:pBdr>
              <w:spacing w:after="200" w:line="202" w:lineRule="auto"/>
              <w:ind w:left="22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&gt;477</w:t>
            </w:r>
          </w:p>
        </w:tc>
        <w:tc>
          <w:tcPr>
            <w:tcW w:w="1817" w:type="dxa"/>
          </w:tcPr>
          <w:p w14:paraId="3B6D1008" w14:textId="77777777" w:rsidR="00573EA0" w:rsidRDefault="007D55AB">
            <w:pPr>
              <w:pStyle w:val="Normal1"/>
              <w:widowControl w:val="0"/>
              <w:pBdr>
                <w:top w:val="nil"/>
                <w:left w:val="nil"/>
                <w:bottom w:val="nil"/>
                <w:right w:val="nil"/>
                <w:between w:val="nil"/>
              </w:pBdr>
              <w:spacing w:after="200" w:line="202" w:lineRule="auto"/>
              <w:ind w:left="119" w:right="13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CC"/>
                <w:sz w:val="24"/>
                <w:szCs w:val="24"/>
              </w:rPr>
              <w:t xml:space="preserve">[O.L. </w:t>
            </w:r>
            <w:proofErr w:type="spellStart"/>
            <w:r>
              <w:rPr>
                <w:rFonts w:ascii="Times New Roman" w:eastAsia="Times New Roman" w:hAnsi="Times New Roman" w:cs="Times New Roman"/>
                <w:color w:val="0000CC"/>
                <w:sz w:val="24"/>
                <w:szCs w:val="24"/>
              </w:rPr>
              <w:t>Gaskova</w:t>
            </w:r>
            <w:proofErr w:type="spellEnd"/>
            <w:r>
              <w:rPr>
                <w:rFonts w:ascii="Times New Roman" w:eastAsia="Times New Roman" w:hAnsi="Times New Roman" w:cs="Times New Roman"/>
                <w:color w:val="0000CC"/>
                <w:sz w:val="24"/>
                <w:szCs w:val="24"/>
              </w:rPr>
              <w:t xml:space="preserve"> et al., 2013]</w:t>
            </w:r>
          </w:p>
        </w:tc>
      </w:tr>
      <w:tr w:rsidR="00573EA0" w14:paraId="507ABD03" w14:textId="77777777">
        <w:trPr>
          <w:cantSplit/>
          <w:tblHeader/>
        </w:trPr>
        <w:tc>
          <w:tcPr>
            <w:tcW w:w="1790" w:type="dxa"/>
          </w:tcPr>
          <w:p w14:paraId="21C56556" w14:textId="77777777" w:rsidR="00573EA0" w:rsidRDefault="007D55AB">
            <w:pPr>
              <w:pStyle w:val="Normal1"/>
              <w:widowControl w:val="0"/>
              <w:pBdr>
                <w:top w:val="nil"/>
                <w:left w:val="nil"/>
                <w:bottom w:val="nil"/>
                <w:right w:val="nil"/>
                <w:between w:val="nil"/>
              </w:pBdr>
              <w:spacing w:after="200" w:line="202" w:lineRule="auto"/>
              <w:ind w:left="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810" w:type="dxa"/>
          </w:tcPr>
          <w:p w14:paraId="2CCD68D6" w14:textId="77777777" w:rsidR="00573EA0" w:rsidRDefault="007D55AB">
            <w:pPr>
              <w:pStyle w:val="Normal1"/>
              <w:widowControl w:val="0"/>
              <w:pBdr>
                <w:top w:val="nil"/>
                <w:left w:val="nil"/>
                <w:bottom w:val="nil"/>
                <w:right w:val="nil"/>
                <w:between w:val="nil"/>
              </w:pBdr>
              <w:spacing w:after="200" w:line="276" w:lineRule="auto"/>
              <w:ind w:left="236" w:right="180" w:hanging="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Ulaanbaatar (Mongolia)</w:t>
            </w:r>
          </w:p>
        </w:tc>
        <w:tc>
          <w:tcPr>
            <w:tcW w:w="1805" w:type="dxa"/>
          </w:tcPr>
          <w:p w14:paraId="5F3BB65A" w14:textId="77777777" w:rsidR="00573EA0" w:rsidRDefault="007D55AB">
            <w:pPr>
              <w:pStyle w:val="Normal1"/>
              <w:widowControl w:val="0"/>
              <w:pBdr>
                <w:top w:val="nil"/>
                <w:left w:val="nil"/>
                <w:bottom w:val="nil"/>
                <w:right w:val="nil"/>
                <w:between w:val="nil"/>
              </w:pBdr>
              <w:spacing w:after="200" w:line="202" w:lineRule="auto"/>
              <w:ind w:right="134"/>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Groundwater</w:t>
            </w:r>
          </w:p>
        </w:tc>
        <w:tc>
          <w:tcPr>
            <w:tcW w:w="1800" w:type="dxa"/>
          </w:tcPr>
          <w:p w14:paraId="10CF8805" w14:textId="77777777" w:rsidR="00573EA0" w:rsidRDefault="007D55AB">
            <w:pPr>
              <w:pStyle w:val="Normal1"/>
              <w:widowControl w:val="0"/>
              <w:pBdr>
                <w:top w:val="nil"/>
                <w:left w:val="nil"/>
                <w:bottom w:val="nil"/>
                <w:right w:val="nil"/>
                <w:between w:val="nil"/>
              </w:pBdr>
              <w:spacing w:after="200" w:line="202" w:lineRule="auto"/>
              <w:ind w:left="116" w:right="12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&lt;0.01 –57</w:t>
            </w:r>
          </w:p>
        </w:tc>
        <w:tc>
          <w:tcPr>
            <w:tcW w:w="1817" w:type="dxa"/>
          </w:tcPr>
          <w:p w14:paraId="04A1DBD2" w14:textId="77777777" w:rsidR="00573EA0" w:rsidRDefault="007D55AB">
            <w:pPr>
              <w:pStyle w:val="Normal1"/>
              <w:widowControl w:val="0"/>
              <w:pBdr>
                <w:top w:val="nil"/>
                <w:left w:val="nil"/>
                <w:bottom w:val="nil"/>
                <w:right w:val="nil"/>
                <w:between w:val="nil"/>
              </w:pBdr>
              <w:spacing w:after="200" w:line="202" w:lineRule="auto"/>
              <w:ind w:left="119" w:right="134"/>
              <w:jc w:val="center"/>
              <w:rPr>
                <w:rFonts w:ascii="Times New Roman" w:eastAsia="Times New Roman" w:hAnsi="Times New Roman" w:cs="Times New Roman"/>
                <w:sz w:val="24"/>
                <w:szCs w:val="24"/>
              </w:rPr>
            </w:pPr>
            <w:r>
              <w:rPr>
                <w:rFonts w:ascii="Times New Roman" w:eastAsia="Times New Roman" w:hAnsi="Times New Roman" w:cs="Times New Roman"/>
                <w:color w:val="0000CC"/>
                <w:sz w:val="24"/>
                <w:szCs w:val="24"/>
              </w:rPr>
              <w:t>[</w:t>
            </w:r>
            <w:proofErr w:type="spellStart"/>
            <w:proofErr w:type="gramStart"/>
            <w:r>
              <w:rPr>
                <w:rFonts w:ascii="Times New Roman" w:eastAsia="Times New Roman" w:hAnsi="Times New Roman" w:cs="Times New Roman"/>
                <w:color w:val="0000CC"/>
                <w:sz w:val="24"/>
                <w:szCs w:val="24"/>
              </w:rPr>
              <w:t>J.Nriagu</w:t>
            </w:r>
            <w:proofErr w:type="spellEnd"/>
            <w:proofErr w:type="gramEnd"/>
            <w:r>
              <w:rPr>
                <w:rFonts w:ascii="Times New Roman" w:eastAsia="Times New Roman" w:hAnsi="Times New Roman" w:cs="Times New Roman"/>
                <w:color w:val="0000CC"/>
                <w:sz w:val="24"/>
                <w:szCs w:val="24"/>
              </w:rPr>
              <w:t xml:space="preserve"> et al., 2012]</w:t>
            </w:r>
          </w:p>
        </w:tc>
      </w:tr>
      <w:tr w:rsidR="00573EA0" w14:paraId="63D10A05" w14:textId="77777777">
        <w:trPr>
          <w:cantSplit/>
          <w:tblHeader/>
        </w:trPr>
        <w:tc>
          <w:tcPr>
            <w:tcW w:w="1790" w:type="dxa"/>
          </w:tcPr>
          <w:p w14:paraId="0FB1FF00" w14:textId="77777777" w:rsidR="00573EA0" w:rsidRDefault="007D55AB">
            <w:pPr>
              <w:pStyle w:val="Normal1"/>
              <w:widowControl w:val="0"/>
              <w:pBdr>
                <w:top w:val="nil"/>
                <w:left w:val="nil"/>
                <w:bottom w:val="nil"/>
                <w:right w:val="nil"/>
                <w:between w:val="nil"/>
              </w:pBdr>
              <w:spacing w:after="200" w:line="202" w:lineRule="auto"/>
              <w:ind w:left="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810" w:type="dxa"/>
          </w:tcPr>
          <w:p w14:paraId="3A904D7C" w14:textId="77777777" w:rsidR="00573EA0" w:rsidRDefault="007D55AB">
            <w:pPr>
              <w:pStyle w:val="Normal1"/>
              <w:widowControl w:val="0"/>
              <w:pBdr>
                <w:top w:val="nil"/>
                <w:left w:val="nil"/>
                <w:bottom w:val="nil"/>
                <w:right w:val="nil"/>
                <w:between w:val="nil"/>
              </w:pBdr>
              <w:spacing w:after="200" w:line="202" w:lineRule="auto"/>
              <w:ind w:left="196" w:right="186"/>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Switzerland</w:t>
            </w:r>
          </w:p>
        </w:tc>
        <w:tc>
          <w:tcPr>
            <w:tcW w:w="1805" w:type="dxa"/>
          </w:tcPr>
          <w:p w14:paraId="4CF96783" w14:textId="77777777" w:rsidR="00573EA0" w:rsidRDefault="007D55AB">
            <w:pPr>
              <w:pStyle w:val="Normal1"/>
              <w:widowControl w:val="0"/>
              <w:pBdr>
                <w:top w:val="nil"/>
                <w:left w:val="nil"/>
                <w:bottom w:val="nil"/>
                <w:right w:val="nil"/>
                <w:between w:val="nil"/>
              </w:pBdr>
              <w:spacing w:after="200" w:line="202" w:lineRule="auto"/>
              <w:ind w:right="134"/>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Groundwater</w:t>
            </w:r>
          </w:p>
        </w:tc>
        <w:tc>
          <w:tcPr>
            <w:tcW w:w="1800" w:type="dxa"/>
          </w:tcPr>
          <w:p w14:paraId="1704E1C9" w14:textId="77777777" w:rsidR="00573EA0" w:rsidRDefault="007D55AB">
            <w:pPr>
              <w:pStyle w:val="Normal1"/>
              <w:widowControl w:val="0"/>
              <w:pBdr>
                <w:top w:val="nil"/>
                <w:left w:val="nil"/>
                <w:bottom w:val="nil"/>
                <w:right w:val="nil"/>
                <w:between w:val="nil"/>
              </w:pBdr>
              <w:spacing w:after="200" w:line="276" w:lineRule="auto"/>
              <w:ind w:left="207" w:right="174" w:hanging="2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0.05 – 92.02</w:t>
            </w:r>
          </w:p>
        </w:tc>
        <w:tc>
          <w:tcPr>
            <w:tcW w:w="1817" w:type="dxa"/>
          </w:tcPr>
          <w:p w14:paraId="3156A3A7" w14:textId="77777777" w:rsidR="00573EA0" w:rsidRDefault="007D55AB">
            <w:pPr>
              <w:pStyle w:val="Normal1"/>
              <w:widowControl w:val="0"/>
              <w:pBdr>
                <w:top w:val="nil"/>
                <w:left w:val="nil"/>
                <w:bottom w:val="nil"/>
                <w:right w:val="nil"/>
                <w:between w:val="nil"/>
              </w:pBdr>
              <w:spacing w:after="200" w:line="202" w:lineRule="auto"/>
              <w:ind w:left="119" w:right="13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CC"/>
                <w:sz w:val="24"/>
                <w:szCs w:val="24"/>
              </w:rPr>
              <w:t>[E. Stalder et al., 2012]</w:t>
            </w:r>
          </w:p>
        </w:tc>
      </w:tr>
    </w:tbl>
    <w:p w14:paraId="657A3F2D" w14:textId="77777777" w:rsidR="00573EA0" w:rsidRDefault="00573EA0">
      <w:pPr>
        <w:pStyle w:val="Normal1"/>
        <w:widowControl w:val="0"/>
        <w:pBdr>
          <w:top w:val="nil"/>
          <w:left w:val="nil"/>
          <w:bottom w:val="nil"/>
          <w:right w:val="nil"/>
          <w:between w:val="nil"/>
        </w:pBdr>
        <w:spacing w:after="0" w:line="240" w:lineRule="auto"/>
        <w:ind w:left="220"/>
        <w:jc w:val="both"/>
        <w:rPr>
          <w:rFonts w:ascii="Times New Roman" w:eastAsia="Times New Roman" w:hAnsi="Times New Roman" w:cs="Times New Roman"/>
          <w:color w:val="000000"/>
          <w:sz w:val="24"/>
          <w:szCs w:val="24"/>
        </w:rPr>
      </w:pPr>
    </w:p>
    <w:p w14:paraId="1DD687A1" w14:textId="77777777" w:rsidR="00573EA0" w:rsidRDefault="00573EA0">
      <w:pPr>
        <w:pStyle w:val="Normal1"/>
        <w:widowControl w:val="0"/>
        <w:pBdr>
          <w:top w:val="nil"/>
          <w:left w:val="nil"/>
          <w:bottom w:val="nil"/>
          <w:right w:val="nil"/>
          <w:between w:val="nil"/>
        </w:pBdr>
        <w:spacing w:after="0" w:line="240" w:lineRule="auto"/>
        <w:ind w:left="220"/>
        <w:jc w:val="both"/>
        <w:rPr>
          <w:rFonts w:ascii="Times New Roman" w:eastAsia="Times New Roman" w:hAnsi="Times New Roman" w:cs="Times New Roman"/>
          <w:color w:val="000000"/>
          <w:sz w:val="24"/>
          <w:szCs w:val="24"/>
        </w:rPr>
      </w:pPr>
    </w:p>
    <w:p w14:paraId="4A1DDCA4" w14:textId="77777777" w:rsidR="00573EA0" w:rsidRDefault="00573EA0">
      <w:pPr>
        <w:pStyle w:val="Normal1"/>
        <w:widowControl w:val="0"/>
        <w:pBdr>
          <w:top w:val="nil"/>
          <w:left w:val="nil"/>
          <w:bottom w:val="nil"/>
          <w:right w:val="nil"/>
          <w:between w:val="nil"/>
        </w:pBdr>
        <w:spacing w:after="0" w:line="240" w:lineRule="auto"/>
        <w:ind w:left="220"/>
        <w:jc w:val="both"/>
        <w:rPr>
          <w:rFonts w:ascii="Times New Roman" w:eastAsia="Times New Roman" w:hAnsi="Times New Roman" w:cs="Times New Roman"/>
          <w:color w:val="000000"/>
          <w:sz w:val="24"/>
          <w:szCs w:val="24"/>
        </w:rPr>
      </w:pPr>
    </w:p>
    <w:p w14:paraId="76A65F69" w14:textId="77777777" w:rsidR="00573EA0" w:rsidRDefault="005B6519">
      <w:pPr>
        <w:pStyle w:val="Normal1"/>
        <w:pBdr>
          <w:top w:val="nil"/>
          <w:left w:val="nil"/>
          <w:bottom w:val="nil"/>
          <w:right w:val="nil"/>
          <w:between w:val="nil"/>
        </w:pBd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4"/>
          <w:szCs w:val="24"/>
          <w:lang w:val="id-ID"/>
        </w:rPr>
        <w:t>6</w:t>
      </w:r>
      <w:r w:rsidR="007D55AB">
        <w:rPr>
          <w:rFonts w:ascii="Times New Roman" w:eastAsia="Times New Roman" w:hAnsi="Times New Roman" w:cs="Times New Roman"/>
          <w:b/>
          <w:color w:val="000000"/>
          <w:sz w:val="24"/>
          <w:szCs w:val="24"/>
        </w:rPr>
        <w:t xml:space="preserve">.  </w:t>
      </w:r>
      <w:r w:rsidR="007D55AB">
        <w:rPr>
          <w:rFonts w:ascii="Times New Roman" w:eastAsia="Times New Roman" w:hAnsi="Times New Roman" w:cs="Times New Roman"/>
          <w:b/>
          <w:color w:val="000000"/>
          <w:sz w:val="28"/>
          <w:szCs w:val="28"/>
        </w:rPr>
        <w:t>Conclusion</w:t>
      </w:r>
      <w:r w:rsidR="007D55AB">
        <w:rPr>
          <w:rFonts w:ascii="Times New Roman" w:eastAsia="Times New Roman" w:hAnsi="Times New Roman" w:cs="Times New Roman"/>
          <w:b/>
          <w:sz w:val="28"/>
          <w:szCs w:val="28"/>
        </w:rPr>
        <w:t xml:space="preserve"> </w:t>
      </w:r>
    </w:p>
    <w:p w14:paraId="67A72532" w14:textId="24AEEC4D" w:rsidR="00573EA0" w:rsidRDefault="007D55AB">
      <w:pPr>
        <w:pStyle w:val="Normal1"/>
        <w:widowControl w:val="0"/>
        <w:pBdr>
          <w:top w:val="nil"/>
          <w:left w:val="nil"/>
          <w:bottom w:val="nil"/>
          <w:right w:val="nil"/>
          <w:between w:val="nil"/>
        </w:pBdr>
        <w:spacing w:before="114" w:after="0" w:line="240" w:lineRule="auto"/>
        <w:ind w:right="21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Uranium concentration in water samples near the Indira Gandhi Super Thermal Power Project ranges from 2.64 to 202.9 </w:t>
      </w:r>
      <w:proofErr w:type="spellStart"/>
      <w:r>
        <w:rPr>
          <w:rFonts w:ascii="Times New Roman" w:eastAsia="Times New Roman" w:hAnsi="Times New Roman" w:cs="Times New Roman"/>
          <w:color w:val="000000"/>
          <w:sz w:val="24"/>
          <w:szCs w:val="24"/>
        </w:rPr>
        <w:t>μg</w:t>
      </w:r>
      <w:proofErr w:type="spellEnd"/>
      <w:r>
        <w:rPr>
          <w:rFonts w:ascii="Times New Roman" w:eastAsia="Times New Roman" w:hAnsi="Times New Roman" w:cs="Times New Roman"/>
          <w:color w:val="000000"/>
          <w:sz w:val="24"/>
          <w:szCs w:val="24"/>
        </w:rPr>
        <w:t xml:space="preserve">/L, ranging from 0 to 4 k.  Out of 15 water samples, 74% were below 30 </w:t>
      </w:r>
      <w:proofErr w:type="spellStart"/>
      <w:r>
        <w:rPr>
          <w:rFonts w:ascii="Times New Roman" w:eastAsia="Times New Roman" w:hAnsi="Times New Roman" w:cs="Times New Roman"/>
          <w:color w:val="000000"/>
          <w:sz w:val="24"/>
          <w:szCs w:val="24"/>
        </w:rPr>
        <w:t>μg</w:t>
      </w:r>
      <w:proofErr w:type="spellEnd"/>
      <w:r>
        <w:rPr>
          <w:rFonts w:ascii="Times New Roman" w:eastAsia="Times New Roman" w:hAnsi="Times New Roman" w:cs="Times New Roman"/>
          <w:color w:val="000000"/>
          <w:sz w:val="24"/>
          <w:szCs w:val="24"/>
        </w:rPr>
        <w:t xml:space="preserve">/L, meeting WHO, USEPA, and AERB acceptable limits.  However, 26% of samples (4/15) had Uranium concentrations above 30 </w:t>
      </w:r>
      <w:proofErr w:type="spellStart"/>
      <w:r>
        <w:rPr>
          <w:rFonts w:ascii="Times New Roman" w:eastAsia="Times New Roman" w:hAnsi="Times New Roman" w:cs="Times New Roman"/>
          <w:color w:val="000000"/>
          <w:sz w:val="24"/>
          <w:szCs w:val="24"/>
        </w:rPr>
        <w:t>μg</w:t>
      </w:r>
      <w:proofErr w:type="spellEnd"/>
      <w:r>
        <w:rPr>
          <w:rFonts w:ascii="Times New Roman" w:eastAsia="Times New Roman" w:hAnsi="Times New Roman" w:cs="Times New Roman"/>
          <w:color w:val="000000"/>
          <w:sz w:val="24"/>
          <w:szCs w:val="24"/>
        </w:rPr>
        <w:t xml:space="preserve">/L.  Uranium concentration averages 47.59 </w:t>
      </w:r>
      <w:proofErr w:type="spellStart"/>
      <w:r>
        <w:rPr>
          <w:rFonts w:ascii="Times New Roman" w:eastAsia="Times New Roman" w:hAnsi="Times New Roman" w:cs="Times New Roman"/>
          <w:color w:val="000000"/>
          <w:sz w:val="24"/>
          <w:szCs w:val="24"/>
        </w:rPr>
        <w:t>μg</w:t>
      </w:r>
      <w:proofErr w:type="spellEnd"/>
      <w:r>
        <w:rPr>
          <w:rFonts w:ascii="Times New Roman" w:eastAsia="Times New Roman" w:hAnsi="Times New Roman" w:cs="Times New Roman"/>
          <w:color w:val="000000"/>
          <w:sz w:val="24"/>
          <w:szCs w:val="24"/>
        </w:rPr>
        <w:t xml:space="preserve">/L, Activity concentration is 0.06–5.07 </w:t>
      </w:r>
      <w:proofErr w:type="spellStart"/>
      <w:r>
        <w:rPr>
          <w:rFonts w:ascii="Times New Roman" w:eastAsia="Times New Roman" w:hAnsi="Times New Roman" w:cs="Times New Roman"/>
          <w:color w:val="000000"/>
          <w:sz w:val="24"/>
          <w:szCs w:val="24"/>
        </w:rPr>
        <w:t>Bq</w:t>
      </w:r>
      <w:proofErr w:type="spellEnd"/>
      <w:r>
        <w:rPr>
          <w:rFonts w:ascii="Times New Roman" w:eastAsia="Times New Roman" w:hAnsi="Times New Roman" w:cs="Times New Roman"/>
          <w:color w:val="000000"/>
          <w:sz w:val="24"/>
          <w:szCs w:val="24"/>
        </w:rPr>
        <w:t xml:space="preserve">/L, averaging 1.18.  Death and morbidity rates for </w:t>
      </w:r>
      <w:proofErr w:type="spellStart"/>
      <w:r w:rsidR="00832249" w:rsidRPr="00832249">
        <w:rPr>
          <w:rFonts w:ascii="Times New Roman" w:eastAsia="Times New Roman" w:hAnsi="Times New Roman" w:cs="Times New Roman"/>
          <w:color w:val="000000"/>
          <w:sz w:val="24"/>
          <w:szCs w:val="24"/>
        </w:rPr>
        <w:t>hiv</w:t>
      </w:r>
      <w:proofErr w:type="spellEnd"/>
      <w:r>
        <w:rPr>
          <w:rFonts w:ascii="Times New Roman" w:eastAsia="Times New Roman" w:hAnsi="Times New Roman" w:cs="Times New Roman"/>
          <w:color w:val="000000"/>
          <w:sz w:val="24"/>
          <w:szCs w:val="24"/>
        </w:rPr>
        <w:t xml:space="preserve"> ranged from 2.51 x 10-6 to 1.96 x 10-4 and 4.27 to 3.03 x 10-3. Chemical toxicity risk (LADD) ranged from 0.05 to 4.00 </w:t>
      </w:r>
      <w:proofErr w:type="spellStart"/>
      <w:r>
        <w:rPr>
          <w:rFonts w:ascii="Times New Roman" w:eastAsia="Times New Roman" w:hAnsi="Times New Roman" w:cs="Times New Roman"/>
          <w:color w:val="000000"/>
          <w:sz w:val="24"/>
          <w:szCs w:val="24"/>
        </w:rPr>
        <w:t>μg</w:t>
      </w:r>
      <w:proofErr w:type="spellEnd"/>
      <w:r>
        <w:rPr>
          <w:rFonts w:ascii="Times New Roman" w:eastAsia="Times New Roman" w:hAnsi="Times New Roman" w:cs="Times New Roman"/>
          <w:color w:val="000000"/>
          <w:sz w:val="24"/>
          <w:szCs w:val="24"/>
        </w:rPr>
        <w:t xml:space="preserve">/kg/day.  </w:t>
      </w:r>
    </w:p>
    <w:p w14:paraId="124AD84B" w14:textId="77777777" w:rsidR="00573EA0" w:rsidRDefault="007D55AB">
      <w:pPr>
        <w:pStyle w:val="Normal1"/>
        <w:widowControl w:val="0"/>
        <w:pBdr>
          <w:top w:val="nil"/>
          <w:left w:val="nil"/>
          <w:bottom w:val="nil"/>
          <w:right w:val="nil"/>
          <w:between w:val="nil"/>
        </w:pBdr>
        <w:spacing w:before="114" w:after="0" w:line="240" w:lineRule="auto"/>
        <w:ind w:right="21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present investigation demonstrates that 74% of samples are within permitted levels, hence there is no health risk to study region residents, while 26% are unfit for drinking.</w:t>
      </w:r>
    </w:p>
    <w:p w14:paraId="5C5862A7" w14:textId="77777777" w:rsidR="00573EA0" w:rsidRDefault="00573EA0">
      <w:pPr>
        <w:pStyle w:val="Normal1"/>
        <w:widowControl w:val="0"/>
        <w:pBdr>
          <w:top w:val="nil"/>
          <w:left w:val="nil"/>
          <w:bottom w:val="nil"/>
          <w:right w:val="nil"/>
          <w:between w:val="nil"/>
        </w:pBdr>
        <w:spacing w:before="114" w:after="0" w:line="240" w:lineRule="auto"/>
        <w:ind w:right="217"/>
        <w:jc w:val="both"/>
        <w:rPr>
          <w:rFonts w:ascii="Times New Roman" w:eastAsia="Times New Roman" w:hAnsi="Times New Roman" w:cs="Times New Roman"/>
          <w:b/>
          <w:color w:val="000000"/>
          <w:sz w:val="28"/>
          <w:szCs w:val="28"/>
        </w:rPr>
      </w:pPr>
    </w:p>
    <w:p w14:paraId="45CD7D5B" w14:textId="77777777" w:rsidR="00573EA0" w:rsidRDefault="007D55AB">
      <w:pPr>
        <w:pStyle w:val="Normal1"/>
        <w:widowControl w:val="0"/>
        <w:pBdr>
          <w:top w:val="nil"/>
          <w:left w:val="nil"/>
          <w:bottom w:val="nil"/>
          <w:right w:val="nil"/>
          <w:between w:val="nil"/>
        </w:pBdr>
        <w:spacing w:before="114" w:after="0" w:line="240" w:lineRule="auto"/>
        <w:ind w:right="217"/>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Disclaimer </w:t>
      </w:r>
      <w:proofErr w:type="gramStart"/>
      <w:r>
        <w:rPr>
          <w:rFonts w:ascii="Times New Roman" w:eastAsia="Times New Roman" w:hAnsi="Times New Roman" w:cs="Times New Roman"/>
          <w:b/>
          <w:color w:val="000000"/>
          <w:sz w:val="28"/>
          <w:szCs w:val="28"/>
        </w:rPr>
        <w:t>( Artificial</w:t>
      </w:r>
      <w:proofErr w:type="gramEnd"/>
      <w:r>
        <w:rPr>
          <w:rFonts w:ascii="Times New Roman" w:eastAsia="Times New Roman" w:hAnsi="Times New Roman" w:cs="Times New Roman"/>
          <w:b/>
          <w:color w:val="000000"/>
          <w:sz w:val="28"/>
          <w:szCs w:val="28"/>
        </w:rPr>
        <w:t xml:space="preserve"> Intelligence)</w:t>
      </w:r>
    </w:p>
    <w:p w14:paraId="774ED9FB" w14:textId="77777777" w:rsidR="00573EA0" w:rsidRDefault="007D55AB">
      <w:pPr>
        <w:pStyle w:val="Normal1"/>
        <w:widowControl w:val="0"/>
        <w:pBdr>
          <w:top w:val="nil"/>
          <w:left w:val="nil"/>
          <w:bottom w:val="nil"/>
          <w:right w:val="nil"/>
          <w:between w:val="nil"/>
        </w:pBdr>
        <w:spacing w:before="114" w:after="0" w:line="240" w:lineRule="auto"/>
        <w:ind w:right="21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Authors hereby declare that No generative AI technologies such as Large Language Models </w:t>
      </w:r>
      <w:proofErr w:type="gramStart"/>
      <w:r>
        <w:rPr>
          <w:rFonts w:ascii="Times New Roman" w:eastAsia="Times New Roman" w:hAnsi="Times New Roman" w:cs="Times New Roman"/>
          <w:color w:val="000000"/>
          <w:sz w:val="24"/>
          <w:szCs w:val="24"/>
        </w:rPr>
        <w:t>( ChatGPT</w:t>
      </w:r>
      <w:proofErr w:type="gramEnd"/>
      <w:r>
        <w:rPr>
          <w:rFonts w:ascii="Times New Roman" w:eastAsia="Times New Roman" w:hAnsi="Times New Roman" w:cs="Times New Roman"/>
          <w:color w:val="000000"/>
          <w:sz w:val="24"/>
          <w:szCs w:val="24"/>
        </w:rPr>
        <w:t xml:space="preserve">, COPILOT etc) and text-to- image generator have been used during </w:t>
      </w:r>
      <w:r>
        <w:rPr>
          <w:rFonts w:ascii="Times New Roman" w:eastAsia="Times New Roman" w:hAnsi="Times New Roman" w:cs="Times New Roman"/>
          <w:color w:val="000000"/>
          <w:sz w:val="24"/>
          <w:szCs w:val="24"/>
        </w:rPr>
        <w:lastRenderedPageBreak/>
        <w:t xml:space="preserve">writing or editing of this manuscript. </w:t>
      </w:r>
    </w:p>
    <w:p w14:paraId="270D6ECB" w14:textId="77777777" w:rsidR="00573EA0" w:rsidRDefault="00573EA0">
      <w:pPr>
        <w:pStyle w:val="Normal1"/>
        <w:widowControl w:val="0"/>
        <w:pBdr>
          <w:top w:val="nil"/>
          <w:left w:val="nil"/>
          <w:bottom w:val="nil"/>
          <w:right w:val="nil"/>
          <w:between w:val="nil"/>
        </w:pBdr>
        <w:spacing w:before="114" w:after="0" w:line="240" w:lineRule="auto"/>
        <w:ind w:right="217"/>
        <w:jc w:val="both"/>
        <w:rPr>
          <w:rFonts w:ascii="Times New Roman" w:eastAsia="Times New Roman" w:hAnsi="Times New Roman" w:cs="Times New Roman"/>
          <w:color w:val="000000"/>
          <w:sz w:val="24"/>
          <w:szCs w:val="24"/>
        </w:rPr>
      </w:pPr>
    </w:p>
    <w:p w14:paraId="5B924028" w14:textId="77777777" w:rsidR="00573EA0" w:rsidRDefault="00573EA0">
      <w:pPr>
        <w:pStyle w:val="Normal1"/>
        <w:widowControl w:val="0"/>
        <w:pBdr>
          <w:top w:val="nil"/>
          <w:left w:val="nil"/>
          <w:bottom w:val="nil"/>
          <w:right w:val="nil"/>
          <w:between w:val="nil"/>
        </w:pBdr>
        <w:spacing w:before="114" w:after="0" w:line="240" w:lineRule="auto"/>
        <w:ind w:right="217"/>
        <w:jc w:val="both"/>
        <w:rPr>
          <w:rFonts w:ascii="Times New Roman" w:eastAsia="Times New Roman" w:hAnsi="Times New Roman" w:cs="Times New Roman"/>
          <w:b/>
          <w:color w:val="000000"/>
          <w:sz w:val="24"/>
          <w:szCs w:val="24"/>
        </w:rPr>
      </w:pPr>
      <w:bookmarkStart w:id="0" w:name="_GoBack"/>
      <w:bookmarkEnd w:id="0"/>
    </w:p>
    <w:p w14:paraId="14B4373E" w14:textId="77777777" w:rsidR="00573EA0" w:rsidRDefault="007D55AB">
      <w:pPr>
        <w:pStyle w:val="Normal1"/>
        <w:widowControl w:val="0"/>
        <w:pBdr>
          <w:top w:val="nil"/>
          <w:left w:val="nil"/>
          <w:bottom w:val="nil"/>
          <w:right w:val="nil"/>
          <w:between w:val="nil"/>
        </w:pBdr>
        <w:spacing w:before="114" w:after="0" w:line="240" w:lineRule="auto"/>
        <w:ind w:right="217"/>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4"/>
          <w:szCs w:val="24"/>
        </w:rPr>
        <w:t xml:space="preserve">6. </w:t>
      </w:r>
      <w:r>
        <w:rPr>
          <w:rFonts w:ascii="Times New Roman" w:eastAsia="Times New Roman" w:hAnsi="Times New Roman" w:cs="Times New Roman"/>
          <w:b/>
          <w:color w:val="000000"/>
          <w:sz w:val="28"/>
          <w:szCs w:val="28"/>
        </w:rPr>
        <w:t>References</w:t>
      </w:r>
    </w:p>
    <w:p w14:paraId="60B810E6" w14:textId="77777777" w:rsidR="00573EA0" w:rsidRDefault="00573EA0">
      <w:pPr>
        <w:pStyle w:val="Normal1"/>
        <w:widowControl w:val="0"/>
        <w:pBdr>
          <w:top w:val="nil"/>
          <w:left w:val="nil"/>
          <w:bottom w:val="nil"/>
          <w:right w:val="nil"/>
          <w:between w:val="nil"/>
        </w:pBdr>
        <w:spacing w:before="114" w:after="0" w:line="240" w:lineRule="auto"/>
        <w:ind w:right="217"/>
        <w:jc w:val="both"/>
        <w:rPr>
          <w:rFonts w:ascii="Times New Roman" w:eastAsia="Times New Roman" w:hAnsi="Times New Roman" w:cs="Times New Roman"/>
          <w:b/>
          <w:color w:val="000000"/>
          <w:sz w:val="24"/>
          <w:szCs w:val="24"/>
        </w:rPr>
      </w:pPr>
    </w:p>
    <w:p w14:paraId="106D3D6C" w14:textId="77777777" w:rsidR="00573EA0" w:rsidRDefault="007D55AB">
      <w:pPr>
        <w:pStyle w:val="Normal1"/>
        <w:widowControl w:val="0"/>
        <w:pBdr>
          <w:top w:val="nil"/>
          <w:left w:val="nil"/>
          <w:bottom w:val="nil"/>
          <w:right w:val="nil"/>
          <w:between w:val="nil"/>
        </w:pBdr>
        <w:tabs>
          <w:tab w:val="left" w:pos="472"/>
        </w:tabs>
        <w:spacing w:before="121" w:after="0"/>
        <w:ind w:right="11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EPA.(</w:t>
      </w:r>
      <w:proofErr w:type="gramEnd"/>
      <w:r>
        <w:rPr>
          <w:rFonts w:ascii="Times New Roman" w:eastAsia="Times New Roman" w:hAnsi="Times New Roman" w:cs="Times New Roman"/>
          <w:sz w:val="24"/>
          <w:szCs w:val="24"/>
        </w:rPr>
        <w:t>2000)</w:t>
      </w:r>
      <w:r>
        <w:rPr>
          <w:rFonts w:ascii="Times New Roman" w:eastAsia="Times New Roman" w:hAnsi="Times New Roman" w:cs="Times New Roman"/>
          <w:color w:val="000000"/>
          <w:sz w:val="24"/>
          <w:szCs w:val="24"/>
        </w:rPr>
        <w:t xml:space="preserve"> National Primary Drinking Water Regulations- Radionuclides-Final Rule. </w:t>
      </w:r>
      <w:r>
        <w:rPr>
          <w:rFonts w:ascii="Times New Roman" w:eastAsia="Times New Roman" w:hAnsi="Times New Roman" w:cs="Times New Roman"/>
          <w:i/>
          <w:color w:val="000000"/>
          <w:sz w:val="24"/>
          <w:szCs w:val="24"/>
        </w:rPr>
        <w:t>Federal Register</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65(236)</w:t>
      </w:r>
      <w:r>
        <w:rPr>
          <w:rFonts w:ascii="Times New Roman" w:eastAsia="Times New Roman" w:hAnsi="Times New Roman" w:cs="Times New Roman"/>
          <w:color w:val="000000"/>
          <w:sz w:val="24"/>
          <w:szCs w:val="24"/>
        </w:rPr>
        <w:t>, 76708- 76753</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  </w:t>
      </w:r>
    </w:p>
    <w:p w14:paraId="49DA00FF" w14:textId="77777777" w:rsidR="00573EA0" w:rsidRDefault="00573EA0">
      <w:pPr>
        <w:pStyle w:val="Normal1"/>
        <w:widowControl w:val="0"/>
        <w:pBdr>
          <w:top w:val="nil"/>
          <w:left w:val="nil"/>
          <w:bottom w:val="nil"/>
          <w:right w:val="nil"/>
          <w:between w:val="nil"/>
        </w:pBdr>
        <w:tabs>
          <w:tab w:val="left" w:pos="472"/>
        </w:tabs>
        <w:spacing w:before="121" w:after="0"/>
        <w:ind w:right="1120"/>
        <w:jc w:val="both"/>
        <w:rPr>
          <w:rFonts w:ascii="Times New Roman" w:eastAsia="Times New Roman" w:hAnsi="Times New Roman" w:cs="Times New Roman"/>
          <w:sz w:val="24"/>
          <w:szCs w:val="24"/>
        </w:rPr>
      </w:pPr>
    </w:p>
    <w:p w14:paraId="4B650948" w14:textId="77777777" w:rsidR="00573EA0" w:rsidRDefault="007D55AB">
      <w:pPr>
        <w:pStyle w:val="Normal1"/>
        <w:widowControl w:val="0"/>
        <w:pBdr>
          <w:top w:val="nil"/>
          <w:left w:val="nil"/>
          <w:bottom w:val="nil"/>
          <w:right w:val="nil"/>
          <w:between w:val="nil"/>
        </w:pBdr>
        <w:tabs>
          <w:tab w:val="left" w:pos="1488"/>
        </w:tabs>
        <w:spacing w:before="121" w:after="0" w:line="240" w:lineRule="auto"/>
        <w:ind w:right="108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2</w:t>
      </w:r>
      <w:r>
        <w:rPr>
          <w:rFonts w:ascii="Times New Roman" w:eastAsia="Times New Roman" w:hAnsi="Times New Roman" w:cs="Times New Roman"/>
          <w:color w:val="000000"/>
          <w:sz w:val="24"/>
          <w:szCs w:val="24"/>
        </w:rPr>
        <w:t xml:space="preserve">] E. Stalder, A. Blanc, M. </w:t>
      </w:r>
      <w:proofErr w:type="spellStart"/>
      <w:r>
        <w:rPr>
          <w:rFonts w:ascii="Times New Roman" w:eastAsia="Times New Roman" w:hAnsi="Times New Roman" w:cs="Times New Roman"/>
          <w:color w:val="000000"/>
          <w:sz w:val="24"/>
          <w:szCs w:val="24"/>
        </w:rPr>
        <w:t>Haldimann</w:t>
      </w:r>
      <w:proofErr w:type="spellEnd"/>
      <w:r>
        <w:rPr>
          <w:rFonts w:ascii="Times New Roman" w:eastAsia="Times New Roman" w:hAnsi="Times New Roman" w:cs="Times New Roman"/>
          <w:color w:val="000000"/>
          <w:sz w:val="24"/>
          <w:szCs w:val="24"/>
        </w:rPr>
        <w:t xml:space="preserve">, V. </w:t>
      </w:r>
      <w:proofErr w:type="spellStart"/>
      <w:proofErr w:type="gramStart"/>
      <w:r>
        <w:rPr>
          <w:rFonts w:ascii="Times New Roman" w:eastAsia="Times New Roman" w:hAnsi="Times New Roman" w:cs="Times New Roman"/>
          <w:color w:val="000000"/>
          <w:sz w:val="24"/>
          <w:szCs w:val="24"/>
        </w:rPr>
        <w:t>Dudler</w:t>
      </w:r>
      <w:proofErr w:type="spellEnd"/>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201</w:t>
      </w:r>
      <w:r>
        <w:rPr>
          <w:rFonts w:ascii="Times New Roman" w:eastAsia="Times New Roman" w:hAnsi="Times New Roman" w:cs="Times New Roman"/>
          <w:sz w:val="24"/>
          <w:szCs w:val="24"/>
        </w:rPr>
        <w:t>2)</w:t>
      </w:r>
      <w:r>
        <w:rPr>
          <w:rFonts w:ascii="Times New Roman" w:eastAsia="Times New Roman" w:hAnsi="Times New Roman" w:cs="Times New Roman"/>
          <w:color w:val="000000"/>
          <w:sz w:val="24"/>
          <w:szCs w:val="24"/>
        </w:rPr>
        <w:t xml:space="preserve">. Occurrence of uranium in Swiss drinking water. </w:t>
      </w:r>
      <w:r>
        <w:rPr>
          <w:rFonts w:ascii="Times New Roman" w:eastAsia="Times New Roman" w:hAnsi="Times New Roman" w:cs="Times New Roman"/>
          <w:i/>
          <w:color w:val="000000"/>
          <w:sz w:val="24"/>
          <w:szCs w:val="24"/>
        </w:rPr>
        <w:t>Chemosphere</w:t>
      </w:r>
      <w:r>
        <w:rPr>
          <w:rFonts w:ascii="Times New Roman" w:eastAsia="Times New Roman" w:hAnsi="Times New Roman" w:cs="Times New Roman"/>
          <w:color w:val="000000"/>
          <w:sz w:val="24"/>
          <w:szCs w:val="24"/>
        </w:rPr>
        <w:t>, 86</w:t>
      </w:r>
      <w:r>
        <w:rPr>
          <w:rFonts w:ascii="Times New Roman" w:eastAsia="Times New Roman" w:hAnsi="Times New Roman" w:cs="Times New Roman"/>
          <w:b/>
          <w:color w:val="000000"/>
          <w:sz w:val="24"/>
          <w:szCs w:val="24"/>
        </w:rPr>
        <w:t>(6)</w:t>
      </w:r>
      <w:r>
        <w:rPr>
          <w:rFonts w:ascii="Times New Roman" w:eastAsia="Times New Roman" w:hAnsi="Times New Roman" w:cs="Times New Roman"/>
          <w:color w:val="000000"/>
          <w:sz w:val="24"/>
          <w:szCs w:val="24"/>
        </w:rPr>
        <w:t>, 672–679</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hyperlink r:id="rId17">
        <w:r>
          <w:rPr>
            <w:rFonts w:ascii="Times New Roman" w:eastAsia="Times New Roman" w:hAnsi="Times New Roman" w:cs="Times New Roman"/>
            <w:color w:val="000000"/>
            <w:sz w:val="24"/>
            <w:szCs w:val="24"/>
          </w:rPr>
          <w:t>https://doi.org/10.1016/j.chemosphere.2011.11.022</w:t>
        </w:r>
      </w:hyperlink>
    </w:p>
    <w:p w14:paraId="7E21F667" w14:textId="77777777" w:rsidR="00573EA0" w:rsidRDefault="00573EA0">
      <w:pPr>
        <w:pStyle w:val="Normal1"/>
        <w:widowControl w:val="0"/>
        <w:pBdr>
          <w:top w:val="nil"/>
          <w:left w:val="nil"/>
          <w:bottom w:val="nil"/>
          <w:right w:val="nil"/>
          <w:between w:val="nil"/>
        </w:pBdr>
        <w:tabs>
          <w:tab w:val="left" w:pos="1488"/>
        </w:tabs>
        <w:spacing w:before="121" w:after="0" w:line="240" w:lineRule="auto"/>
        <w:ind w:right="1088"/>
        <w:jc w:val="both"/>
        <w:rPr>
          <w:rFonts w:ascii="Times New Roman" w:eastAsia="Times New Roman" w:hAnsi="Times New Roman" w:cs="Times New Roman"/>
          <w:sz w:val="24"/>
          <w:szCs w:val="24"/>
        </w:rPr>
      </w:pPr>
    </w:p>
    <w:p w14:paraId="77F6D928" w14:textId="77777777" w:rsidR="00573EA0" w:rsidRDefault="007D55AB">
      <w:pPr>
        <w:pStyle w:val="Normal1"/>
        <w:widowControl w:val="0"/>
        <w:pBdr>
          <w:top w:val="nil"/>
          <w:left w:val="nil"/>
          <w:bottom w:val="nil"/>
          <w:right w:val="nil"/>
          <w:between w:val="nil"/>
        </w:pBdr>
        <w:tabs>
          <w:tab w:val="left" w:pos="1488"/>
        </w:tabs>
        <w:spacing w:before="121" w:after="0"/>
        <w:ind w:right="108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[3] H.A.S. Aly and F.M. </w:t>
      </w:r>
      <w:proofErr w:type="gramStart"/>
      <w:r>
        <w:rPr>
          <w:rFonts w:ascii="Times New Roman" w:eastAsia="Times New Roman" w:hAnsi="Times New Roman" w:cs="Times New Roman"/>
          <w:color w:val="000000"/>
          <w:sz w:val="24"/>
          <w:szCs w:val="24"/>
        </w:rPr>
        <w:t>Ragab.(</w:t>
      </w:r>
      <w:proofErr w:type="gramEnd"/>
      <w:r>
        <w:rPr>
          <w:rFonts w:ascii="Times New Roman" w:eastAsia="Times New Roman" w:hAnsi="Times New Roman" w:cs="Times New Roman"/>
          <w:color w:val="000000"/>
          <w:sz w:val="24"/>
          <w:szCs w:val="24"/>
        </w:rPr>
        <w:t xml:space="preserve">2013). Effect of Ground Water Chemistry and Surrounding Rocks on Radionuclides Distributions and their Environmental Hazard in Southwestern Sinai, Egypt. </w:t>
      </w:r>
      <w:r>
        <w:rPr>
          <w:rFonts w:ascii="Times New Roman" w:eastAsia="Times New Roman" w:hAnsi="Times New Roman" w:cs="Times New Roman"/>
          <w:i/>
          <w:color w:val="000000"/>
          <w:sz w:val="24"/>
          <w:szCs w:val="24"/>
        </w:rPr>
        <w:t xml:space="preserve">J Environ Anal </w:t>
      </w:r>
      <w:proofErr w:type="spellStart"/>
      <w:r>
        <w:rPr>
          <w:rFonts w:ascii="Times New Roman" w:eastAsia="Times New Roman" w:hAnsi="Times New Roman" w:cs="Times New Roman"/>
          <w:i/>
          <w:color w:val="000000"/>
          <w:sz w:val="24"/>
          <w:szCs w:val="24"/>
        </w:rPr>
        <w:t>Toxicol</w:t>
      </w:r>
      <w:proofErr w:type="spellEnd"/>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3</w:t>
      </w:r>
      <w:r>
        <w:rPr>
          <w:rFonts w:ascii="Times New Roman" w:eastAsia="Times New Roman" w:hAnsi="Times New Roman" w:cs="Times New Roman"/>
          <w:b/>
          <w:color w:val="000000"/>
          <w:sz w:val="24"/>
          <w:szCs w:val="24"/>
        </w:rPr>
        <w:t>(3)</w:t>
      </w:r>
      <w:r>
        <w:rPr>
          <w:rFonts w:ascii="Times New Roman" w:eastAsia="Times New Roman" w:hAnsi="Times New Roman" w:cs="Times New Roman"/>
          <w:color w:val="000000"/>
          <w:sz w:val="24"/>
          <w:szCs w:val="24"/>
        </w:rPr>
        <w:t>, 172</w:t>
      </w:r>
      <w:r>
        <w:rPr>
          <w:rFonts w:ascii="Times New Roman" w:eastAsia="Times New Roman" w:hAnsi="Times New Roman" w:cs="Times New Roman"/>
          <w:sz w:val="24"/>
          <w:szCs w:val="24"/>
        </w:rPr>
        <w:t xml:space="preserve">. </w:t>
      </w:r>
    </w:p>
    <w:p w14:paraId="53F5CA97" w14:textId="77777777" w:rsidR="00573EA0" w:rsidRDefault="00573EA0">
      <w:pPr>
        <w:pStyle w:val="Normal1"/>
        <w:widowControl w:val="0"/>
        <w:pBdr>
          <w:top w:val="nil"/>
          <w:left w:val="nil"/>
          <w:bottom w:val="nil"/>
          <w:right w:val="nil"/>
          <w:between w:val="nil"/>
        </w:pBdr>
        <w:tabs>
          <w:tab w:val="left" w:pos="1488"/>
        </w:tabs>
        <w:spacing w:before="121" w:after="0"/>
        <w:ind w:right="1088"/>
        <w:jc w:val="both"/>
        <w:rPr>
          <w:rFonts w:ascii="Times New Roman" w:eastAsia="Times New Roman" w:hAnsi="Times New Roman" w:cs="Times New Roman"/>
          <w:sz w:val="24"/>
          <w:szCs w:val="24"/>
        </w:rPr>
      </w:pPr>
    </w:p>
    <w:p w14:paraId="1769F4D3" w14:textId="77777777" w:rsidR="00573EA0" w:rsidRDefault="007D55AB">
      <w:pPr>
        <w:pStyle w:val="Normal1"/>
        <w:widowControl w:val="0"/>
        <w:pBdr>
          <w:top w:val="nil"/>
          <w:left w:val="nil"/>
          <w:bottom w:val="nil"/>
          <w:right w:val="nil"/>
          <w:between w:val="nil"/>
        </w:pBdr>
        <w:tabs>
          <w:tab w:val="left" w:pos="1488"/>
        </w:tabs>
        <w:spacing w:before="121" w:after="0"/>
        <w:ind w:right="108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[4] I.A. </w:t>
      </w:r>
      <w:proofErr w:type="spellStart"/>
      <w:proofErr w:type="gramStart"/>
      <w:r>
        <w:rPr>
          <w:rFonts w:ascii="Times New Roman" w:eastAsia="Times New Roman" w:hAnsi="Times New Roman" w:cs="Times New Roman"/>
          <w:sz w:val="24"/>
          <w:szCs w:val="24"/>
        </w:rPr>
        <w:t>Katsoyiannis</w:t>
      </w:r>
      <w:proofErr w:type="spellEnd"/>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S.J. Hug , A. Ammann, A. </w:t>
      </w:r>
      <w:proofErr w:type="spellStart"/>
      <w:r>
        <w:rPr>
          <w:rFonts w:ascii="Times New Roman" w:eastAsia="Times New Roman" w:hAnsi="Times New Roman" w:cs="Times New Roman"/>
          <w:sz w:val="24"/>
          <w:szCs w:val="24"/>
        </w:rPr>
        <w:t>Zikoudi</w:t>
      </w:r>
      <w:proofErr w:type="spellEnd"/>
      <w:r>
        <w:rPr>
          <w:rFonts w:ascii="Times New Roman" w:eastAsia="Times New Roman" w:hAnsi="Times New Roman" w:cs="Times New Roman"/>
          <w:sz w:val="24"/>
          <w:szCs w:val="24"/>
        </w:rPr>
        <w:t xml:space="preserve">, C. </w:t>
      </w:r>
      <w:proofErr w:type="spellStart"/>
      <w:r>
        <w:rPr>
          <w:rFonts w:ascii="Times New Roman" w:eastAsia="Times New Roman" w:hAnsi="Times New Roman" w:cs="Times New Roman"/>
          <w:sz w:val="24"/>
          <w:szCs w:val="24"/>
        </w:rPr>
        <w:t>Hatziliontos</w:t>
      </w:r>
      <w:proofErr w:type="spellEnd"/>
      <w:r>
        <w:rPr>
          <w:rFonts w:ascii="Times New Roman" w:eastAsia="Times New Roman" w:hAnsi="Times New Roman" w:cs="Times New Roman"/>
          <w:sz w:val="24"/>
          <w:szCs w:val="24"/>
        </w:rPr>
        <w:t xml:space="preserve">.(2007). Arsenic speciation and uranium concentrations in drinking water supply wells in Northern Greece: Correlations with redox indicative parameters and implications for groundwater treatment. </w:t>
      </w:r>
      <w:r>
        <w:rPr>
          <w:rFonts w:ascii="Times New Roman" w:eastAsia="Times New Roman" w:hAnsi="Times New Roman" w:cs="Times New Roman"/>
          <w:i/>
          <w:sz w:val="24"/>
          <w:szCs w:val="24"/>
        </w:rPr>
        <w:t xml:space="preserve">Sci Total Environ, </w:t>
      </w:r>
      <w:r>
        <w:rPr>
          <w:rFonts w:ascii="Times New Roman" w:eastAsia="Times New Roman" w:hAnsi="Times New Roman" w:cs="Times New Roman"/>
          <w:b/>
          <w:sz w:val="24"/>
          <w:szCs w:val="24"/>
        </w:rPr>
        <w:t>383</w:t>
      </w:r>
      <w:r>
        <w:rPr>
          <w:rFonts w:ascii="Times New Roman" w:eastAsia="Times New Roman" w:hAnsi="Times New Roman" w:cs="Times New Roman"/>
          <w:sz w:val="24"/>
          <w:szCs w:val="24"/>
        </w:rPr>
        <w:t>, 128–140.   DOI: </w:t>
      </w:r>
      <w:hyperlink r:id="rId18">
        <w:r>
          <w:rPr>
            <w:rFonts w:ascii="Times New Roman" w:eastAsia="Times New Roman" w:hAnsi="Times New Roman" w:cs="Times New Roman"/>
            <w:sz w:val="24"/>
            <w:szCs w:val="24"/>
          </w:rPr>
          <w:t>10.1016/j.scitotenv.2007.04.035</w:t>
        </w:r>
      </w:hyperlink>
    </w:p>
    <w:p w14:paraId="56E200B1" w14:textId="77777777" w:rsidR="00573EA0" w:rsidRDefault="007D55AB">
      <w:pPr>
        <w:pStyle w:val="Normal1"/>
        <w:shd w:val="clear" w:color="auto" w:fill="FFFFFF"/>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J. </w:t>
      </w:r>
      <w:proofErr w:type="spellStart"/>
      <w:r>
        <w:rPr>
          <w:rFonts w:ascii="Times New Roman" w:eastAsia="Times New Roman" w:hAnsi="Times New Roman" w:cs="Times New Roman"/>
          <w:sz w:val="24"/>
          <w:szCs w:val="24"/>
        </w:rPr>
        <w:t>Nriagu</w:t>
      </w:r>
      <w:proofErr w:type="spellEnd"/>
      <w:r>
        <w:rPr>
          <w:rFonts w:ascii="Times New Roman" w:eastAsia="Times New Roman" w:hAnsi="Times New Roman" w:cs="Times New Roman"/>
          <w:sz w:val="24"/>
          <w:szCs w:val="24"/>
        </w:rPr>
        <w:t xml:space="preserve">, Dong-Ha Nam, T. A. </w:t>
      </w:r>
      <w:proofErr w:type="spellStart"/>
      <w:r>
        <w:rPr>
          <w:rFonts w:ascii="Times New Roman" w:eastAsia="Times New Roman" w:hAnsi="Times New Roman" w:cs="Times New Roman"/>
          <w:sz w:val="24"/>
          <w:szCs w:val="24"/>
        </w:rPr>
        <w:t>Ayanwola</w:t>
      </w:r>
      <w:proofErr w:type="spellEnd"/>
      <w:r>
        <w:rPr>
          <w:rFonts w:ascii="Times New Roman" w:eastAsia="Times New Roman" w:hAnsi="Times New Roman" w:cs="Times New Roman"/>
          <w:sz w:val="24"/>
          <w:szCs w:val="24"/>
        </w:rPr>
        <w:t xml:space="preserve">, H. Dinh, E. Erdenechimeg, C. </w:t>
      </w:r>
      <w:proofErr w:type="gramStart"/>
      <w:r>
        <w:rPr>
          <w:rFonts w:ascii="Times New Roman" w:eastAsia="Times New Roman" w:hAnsi="Times New Roman" w:cs="Times New Roman"/>
          <w:sz w:val="24"/>
          <w:szCs w:val="24"/>
        </w:rPr>
        <w:t>Ochir ,</w:t>
      </w:r>
      <w:proofErr w:type="gramEnd"/>
      <w:r>
        <w:rPr>
          <w:rFonts w:ascii="Times New Roman" w:eastAsia="Times New Roman" w:hAnsi="Times New Roman" w:cs="Times New Roman"/>
          <w:sz w:val="24"/>
          <w:szCs w:val="24"/>
        </w:rPr>
        <w:t xml:space="preserve"> T. A. Bolormaa.(2012). High levels of uranium in groundwater of Ulaanbaatar, Mongolia. </w:t>
      </w:r>
      <w:r>
        <w:rPr>
          <w:rFonts w:ascii="Times New Roman" w:eastAsia="Times New Roman" w:hAnsi="Times New Roman" w:cs="Times New Roman"/>
          <w:i/>
          <w:sz w:val="24"/>
          <w:szCs w:val="24"/>
        </w:rPr>
        <w:t xml:space="preserve">Sci Total Environ, </w:t>
      </w:r>
      <w:r>
        <w:rPr>
          <w:rFonts w:ascii="Times New Roman" w:eastAsia="Times New Roman" w:hAnsi="Times New Roman" w:cs="Times New Roman"/>
          <w:b/>
          <w:sz w:val="24"/>
          <w:szCs w:val="24"/>
        </w:rPr>
        <w:t>414</w:t>
      </w:r>
      <w:r>
        <w:rPr>
          <w:rFonts w:ascii="Times New Roman" w:eastAsia="Times New Roman" w:hAnsi="Times New Roman" w:cs="Times New Roman"/>
          <w:sz w:val="24"/>
          <w:szCs w:val="24"/>
        </w:rPr>
        <w:t>, 722–726. DOI: </w:t>
      </w:r>
      <w:hyperlink r:id="rId19">
        <w:r>
          <w:rPr>
            <w:rFonts w:ascii="Times New Roman" w:eastAsia="Times New Roman" w:hAnsi="Times New Roman" w:cs="Times New Roman"/>
            <w:sz w:val="24"/>
            <w:szCs w:val="24"/>
          </w:rPr>
          <w:t>10.1016/j.scitotenv.2011.11.037</w:t>
        </w:r>
      </w:hyperlink>
    </w:p>
    <w:p w14:paraId="37416F6D" w14:textId="77777777" w:rsidR="00573EA0" w:rsidRDefault="007D55AB">
      <w:pPr>
        <w:pStyle w:val="Normal1"/>
        <w:widowControl w:val="0"/>
        <w:pBdr>
          <w:top w:val="nil"/>
          <w:left w:val="nil"/>
          <w:bottom w:val="nil"/>
          <w:right w:val="nil"/>
          <w:between w:val="nil"/>
        </w:pBdr>
        <w:tabs>
          <w:tab w:val="left" w:pos="472"/>
        </w:tabs>
        <w:spacing w:before="119" w:after="0"/>
        <w:ind w:right="1123"/>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6</w:t>
      </w:r>
      <w:proofErr w:type="gramStart"/>
      <w:r>
        <w:rPr>
          <w:rFonts w:ascii="Times New Roman" w:eastAsia="Times New Roman" w:hAnsi="Times New Roman" w:cs="Times New Roman"/>
          <w:color w:val="000000"/>
          <w:sz w:val="24"/>
          <w:szCs w:val="24"/>
        </w:rPr>
        <w:t>] .</w:t>
      </w:r>
      <w:proofErr w:type="gramEnd"/>
      <w:r>
        <w:rPr>
          <w:rFonts w:ascii="Times New Roman" w:eastAsia="Times New Roman" w:hAnsi="Times New Roman" w:cs="Times New Roman"/>
          <w:color w:val="000000"/>
          <w:sz w:val="24"/>
          <w:szCs w:val="24"/>
        </w:rPr>
        <w:t>L. Domingo.</w:t>
      </w:r>
      <w:r>
        <w:rPr>
          <w:rFonts w:ascii="Times New Roman" w:eastAsia="Times New Roman" w:hAnsi="Times New Roman" w:cs="Times New Roman"/>
          <w:sz w:val="24"/>
          <w:szCs w:val="24"/>
        </w:rPr>
        <w:t xml:space="preserve">(1995). </w:t>
      </w:r>
      <w:r>
        <w:rPr>
          <w:rFonts w:ascii="Times New Roman" w:eastAsia="Times New Roman" w:hAnsi="Times New Roman" w:cs="Times New Roman"/>
          <w:color w:val="000000"/>
          <w:sz w:val="24"/>
          <w:szCs w:val="24"/>
        </w:rPr>
        <w:t xml:space="preserve">Prevention by chelating agents of metal- induced development toxicity. </w:t>
      </w:r>
      <w:proofErr w:type="spellStart"/>
      <w:r>
        <w:rPr>
          <w:rFonts w:ascii="Times New Roman" w:eastAsia="Times New Roman" w:hAnsi="Times New Roman" w:cs="Times New Roman"/>
          <w:i/>
          <w:color w:val="000000"/>
          <w:sz w:val="24"/>
          <w:szCs w:val="24"/>
        </w:rPr>
        <w:t>Reprod</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Toxicol</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9(2)</w:t>
      </w:r>
      <w:r>
        <w:rPr>
          <w:rFonts w:ascii="Times New Roman" w:eastAsia="Times New Roman" w:hAnsi="Times New Roman" w:cs="Times New Roman"/>
          <w:color w:val="000000"/>
          <w:sz w:val="24"/>
          <w:szCs w:val="24"/>
        </w:rPr>
        <w:t xml:space="preserve">, 105–113.  </w:t>
      </w:r>
      <w:hyperlink r:id="rId20">
        <w:r>
          <w:rPr>
            <w:rFonts w:ascii="Times New Roman" w:eastAsia="Times New Roman" w:hAnsi="Times New Roman" w:cs="Times New Roman"/>
            <w:color w:val="000000"/>
            <w:sz w:val="24"/>
            <w:szCs w:val="24"/>
          </w:rPr>
          <w:t>https://doi.org/10.1016/0890-6238(94)00060-3</w:t>
        </w:r>
      </w:hyperlink>
    </w:p>
    <w:p w14:paraId="645C7C5E" w14:textId="77777777" w:rsidR="00573EA0" w:rsidRDefault="00573EA0">
      <w:pPr>
        <w:pStyle w:val="Normal1"/>
        <w:widowControl w:val="0"/>
        <w:pBdr>
          <w:top w:val="nil"/>
          <w:left w:val="nil"/>
          <w:bottom w:val="nil"/>
          <w:right w:val="nil"/>
          <w:between w:val="nil"/>
        </w:pBdr>
        <w:tabs>
          <w:tab w:val="left" w:pos="472"/>
        </w:tabs>
        <w:spacing w:before="119" w:after="0"/>
        <w:ind w:right="1123"/>
        <w:jc w:val="both"/>
        <w:rPr>
          <w:rFonts w:ascii="Times New Roman" w:eastAsia="Times New Roman" w:hAnsi="Times New Roman" w:cs="Times New Roman"/>
          <w:sz w:val="24"/>
          <w:szCs w:val="24"/>
        </w:rPr>
      </w:pPr>
    </w:p>
    <w:p w14:paraId="4B1BFED6" w14:textId="77777777" w:rsidR="00573EA0" w:rsidRDefault="007D55AB">
      <w:pPr>
        <w:pStyle w:val="Normal1"/>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M.E. Wrenn, P.W. Durbin, B. Howard, </w:t>
      </w:r>
      <w:proofErr w:type="gramStart"/>
      <w:r>
        <w:rPr>
          <w:rFonts w:ascii="Times New Roman" w:eastAsia="Times New Roman" w:hAnsi="Times New Roman" w:cs="Times New Roman"/>
          <w:sz w:val="24"/>
          <w:szCs w:val="24"/>
        </w:rPr>
        <w:t>J.(</w:t>
      </w:r>
      <w:proofErr w:type="gramEnd"/>
      <w:r>
        <w:rPr>
          <w:rFonts w:ascii="Times New Roman" w:eastAsia="Times New Roman" w:hAnsi="Times New Roman" w:cs="Times New Roman"/>
          <w:sz w:val="24"/>
          <w:szCs w:val="24"/>
        </w:rPr>
        <w:t xml:space="preserve">1985). </w:t>
      </w:r>
      <w:proofErr w:type="spellStart"/>
      <w:r>
        <w:rPr>
          <w:rFonts w:ascii="Times New Roman" w:eastAsia="Times New Roman" w:hAnsi="Times New Roman" w:cs="Times New Roman"/>
          <w:sz w:val="24"/>
          <w:szCs w:val="24"/>
        </w:rPr>
        <w:t>Lipsztein</w:t>
      </w:r>
      <w:proofErr w:type="spellEnd"/>
      <w:r>
        <w:rPr>
          <w:rFonts w:ascii="Times New Roman" w:eastAsia="Times New Roman" w:hAnsi="Times New Roman" w:cs="Times New Roman"/>
          <w:sz w:val="24"/>
          <w:szCs w:val="24"/>
        </w:rPr>
        <w:t xml:space="preserve">, J. Rundo, E.T. Still, and D.L. Willis. Metabolism of Ingested U and Ra. </w:t>
      </w:r>
      <w:r>
        <w:rPr>
          <w:rFonts w:ascii="Times New Roman" w:eastAsia="Times New Roman" w:hAnsi="Times New Roman" w:cs="Times New Roman"/>
          <w:i/>
          <w:sz w:val="24"/>
          <w:szCs w:val="24"/>
        </w:rPr>
        <w:t>Health Phys</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48(5)</w:t>
      </w:r>
      <w:r>
        <w:rPr>
          <w:rFonts w:ascii="Times New Roman" w:eastAsia="Times New Roman" w:hAnsi="Times New Roman" w:cs="Times New Roman"/>
          <w:sz w:val="24"/>
          <w:szCs w:val="24"/>
        </w:rPr>
        <w:t>, 601-633.   DOI: </w:t>
      </w:r>
      <w:hyperlink r:id="rId21">
        <w:r>
          <w:rPr>
            <w:rFonts w:ascii="Times New Roman" w:eastAsia="Times New Roman" w:hAnsi="Times New Roman" w:cs="Times New Roman"/>
            <w:sz w:val="24"/>
            <w:szCs w:val="24"/>
          </w:rPr>
          <w:t>10.1097/00004032-198505000-00004</w:t>
        </w:r>
      </w:hyperlink>
    </w:p>
    <w:p w14:paraId="0C0C25AC" w14:textId="77777777" w:rsidR="00573EA0" w:rsidRDefault="007D55AB">
      <w:pPr>
        <w:pStyle w:val="Normal1"/>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M.L.D. Silva, D.M. </w:t>
      </w:r>
      <w:proofErr w:type="spellStart"/>
      <w:proofErr w:type="gramStart"/>
      <w:r>
        <w:rPr>
          <w:rFonts w:ascii="Times New Roman" w:eastAsia="Times New Roman" w:hAnsi="Times New Roman" w:cs="Times New Roman"/>
          <w:sz w:val="24"/>
          <w:szCs w:val="24"/>
        </w:rPr>
        <w:t>Bonotto</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2015). Uranium isotopes in groundwater occurring at Amazonas State, Brazil</w:t>
      </w:r>
      <w:proofErr w:type="gramStart"/>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w:t>
      </w:r>
      <w:proofErr w:type="gramEnd"/>
      <w:r>
        <w:rPr>
          <w:rFonts w:ascii="Times New Roman" w:eastAsia="Times New Roman" w:hAnsi="Times New Roman" w:cs="Times New Roman"/>
          <w:i/>
          <w:sz w:val="24"/>
          <w:szCs w:val="24"/>
        </w:rPr>
        <w:t xml:space="preserve"> Appl. </w:t>
      </w:r>
      <w:proofErr w:type="spellStart"/>
      <w:r>
        <w:rPr>
          <w:rFonts w:ascii="Times New Roman" w:eastAsia="Times New Roman" w:hAnsi="Times New Roman" w:cs="Times New Roman"/>
          <w:i/>
          <w:sz w:val="24"/>
          <w:szCs w:val="24"/>
        </w:rPr>
        <w:t>Radiat</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Isot</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b/>
          <w:sz w:val="24"/>
          <w:szCs w:val="24"/>
        </w:rPr>
        <w:t>97</w:t>
      </w:r>
      <w:r>
        <w:rPr>
          <w:rFonts w:ascii="Times New Roman" w:eastAsia="Times New Roman" w:hAnsi="Times New Roman" w:cs="Times New Roman"/>
          <w:sz w:val="24"/>
          <w:szCs w:val="24"/>
        </w:rPr>
        <w:t>, 24–33.  DOI: </w:t>
      </w:r>
      <w:hyperlink r:id="rId22">
        <w:r>
          <w:rPr>
            <w:rFonts w:ascii="Times New Roman" w:eastAsia="Times New Roman" w:hAnsi="Times New Roman" w:cs="Times New Roman"/>
            <w:sz w:val="24"/>
            <w:szCs w:val="24"/>
          </w:rPr>
          <w:t>10.1016/j.apradiso.2014.12.012</w:t>
        </w:r>
      </w:hyperlink>
    </w:p>
    <w:p w14:paraId="490DE75D" w14:textId="77777777" w:rsidR="00573EA0" w:rsidRDefault="007D55AB">
      <w:pPr>
        <w:pStyle w:val="Normal1"/>
        <w:widowControl w:val="0"/>
        <w:pBdr>
          <w:top w:val="nil"/>
          <w:left w:val="nil"/>
          <w:bottom w:val="nil"/>
          <w:right w:val="nil"/>
          <w:between w:val="nil"/>
        </w:pBdr>
        <w:tabs>
          <w:tab w:val="left" w:pos="1488"/>
        </w:tabs>
        <w:spacing w:before="120" w:after="0"/>
        <w:ind w:right="108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9</w:t>
      </w:r>
      <w:r>
        <w:rPr>
          <w:rFonts w:ascii="Times New Roman" w:eastAsia="Times New Roman" w:hAnsi="Times New Roman" w:cs="Times New Roman"/>
          <w:color w:val="000000"/>
          <w:sz w:val="24"/>
          <w:szCs w:val="24"/>
        </w:rPr>
        <w:t xml:space="preserve">] O.L. </w:t>
      </w:r>
      <w:proofErr w:type="spellStart"/>
      <w:r>
        <w:rPr>
          <w:rFonts w:ascii="Times New Roman" w:eastAsia="Times New Roman" w:hAnsi="Times New Roman" w:cs="Times New Roman"/>
          <w:color w:val="000000"/>
          <w:sz w:val="24"/>
          <w:szCs w:val="24"/>
        </w:rPr>
        <w:t>Gaskova</w:t>
      </w:r>
      <w:proofErr w:type="spellEnd"/>
      <w:r>
        <w:rPr>
          <w:rFonts w:ascii="Times New Roman" w:eastAsia="Times New Roman" w:hAnsi="Times New Roman" w:cs="Times New Roman"/>
          <w:color w:val="000000"/>
          <w:sz w:val="24"/>
          <w:szCs w:val="24"/>
        </w:rPr>
        <w:t xml:space="preserve">, A.E. </w:t>
      </w:r>
      <w:proofErr w:type="spellStart"/>
      <w:proofErr w:type="gramStart"/>
      <w:r>
        <w:rPr>
          <w:rFonts w:ascii="Times New Roman" w:eastAsia="Times New Roman" w:hAnsi="Times New Roman" w:cs="Times New Roman"/>
          <w:color w:val="000000"/>
          <w:sz w:val="24"/>
          <w:szCs w:val="24"/>
        </w:rPr>
        <w:t>Boguslavsky</w:t>
      </w:r>
      <w:proofErr w:type="spellEnd"/>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201</w:t>
      </w:r>
      <w:r>
        <w:rPr>
          <w:rFonts w:ascii="Times New Roman" w:eastAsia="Times New Roman" w:hAnsi="Times New Roman" w:cs="Times New Roman"/>
          <w:sz w:val="24"/>
          <w:szCs w:val="24"/>
        </w:rPr>
        <w:t>3).</w:t>
      </w:r>
      <w:r>
        <w:rPr>
          <w:rFonts w:ascii="Times New Roman" w:eastAsia="Times New Roman" w:hAnsi="Times New Roman" w:cs="Times New Roman"/>
          <w:color w:val="000000"/>
          <w:sz w:val="24"/>
          <w:szCs w:val="24"/>
        </w:rPr>
        <w:t xml:space="preserve"> Groundwater geochemistry near the storage sites of low-level radioactive waste: Implications for uranium migration. </w:t>
      </w:r>
      <w:r>
        <w:rPr>
          <w:rFonts w:ascii="Times New Roman" w:eastAsia="Times New Roman" w:hAnsi="Times New Roman" w:cs="Times New Roman"/>
          <w:i/>
          <w:color w:val="000000"/>
          <w:sz w:val="24"/>
          <w:szCs w:val="24"/>
        </w:rPr>
        <w:t>Procedia Earth and Planetary Science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7, </w:t>
      </w:r>
      <w:r>
        <w:rPr>
          <w:rFonts w:ascii="Times New Roman" w:eastAsia="Times New Roman" w:hAnsi="Times New Roman" w:cs="Times New Roman"/>
          <w:color w:val="000000"/>
          <w:sz w:val="24"/>
          <w:szCs w:val="24"/>
        </w:rPr>
        <w:t>288 – 291</w:t>
      </w:r>
      <w:r>
        <w:rPr>
          <w:rFonts w:ascii="Times New Roman" w:eastAsia="Times New Roman" w:hAnsi="Times New Roman" w:cs="Times New Roman"/>
          <w:sz w:val="24"/>
          <w:szCs w:val="24"/>
        </w:rPr>
        <w:t xml:space="preserve">. </w:t>
      </w:r>
    </w:p>
    <w:p w14:paraId="3571B73F" w14:textId="77777777" w:rsidR="00573EA0" w:rsidRDefault="007D55AB">
      <w:pPr>
        <w:pStyle w:val="Normal1"/>
        <w:widowControl w:val="0"/>
        <w:pBdr>
          <w:top w:val="nil"/>
          <w:left w:val="nil"/>
          <w:bottom w:val="nil"/>
          <w:right w:val="nil"/>
          <w:between w:val="nil"/>
        </w:pBdr>
        <w:tabs>
          <w:tab w:val="left" w:pos="472"/>
        </w:tabs>
        <w:spacing w:before="121" w:after="0"/>
        <w:ind w:right="1124"/>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w:t>
      </w:r>
      <w:r>
        <w:rPr>
          <w:rFonts w:ascii="Times New Roman" w:eastAsia="Times New Roman" w:hAnsi="Times New Roman" w:cs="Times New Roman"/>
          <w:sz w:val="24"/>
          <w:szCs w:val="24"/>
        </w:rPr>
        <w:t>10</w:t>
      </w:r>
      <w:proofErr w:type="gramStart"/>
      <w:r>
        <w:rPr>
          <w:rFonts w:ascii="Times New Roman" w:eastAsia="Times New Roman" w:hAnsi="Times New Roman" w:cs="Times New Roman"/>
          <w:color w:val="000000"/>
          <w:sz w:val="24"/>
          <w:szCs w:val="24"/>
        </w:rPr>
        <w:t>]  P.</w:t>
      </w:r>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Kurttio</w:t>
      </w:r>
      <w:proofErr w:type="spellEnd"/>
      <w:r>
        <w:rPr>
          <w:rFonts w:ascii="Times New Roman" w:eastAsia="Times New Roman" w:hAnsi="Times New Roman" w:cs="Times New Roman"/>
          <w:color w:val="000000"/>
          <w:sz w:val="24"/>
          <w:szCs w:val="24"/>
        </w:rPr>
        <w:t xml:space="preserve">, H. Komulainen, A. Leino, L. Salonen, A. Auvinen, and H. Saha.(2005).  Bone as a Possible Target of Chemical Toxicity of Natural Uranium in Drinking Water. </w:t>
      </w:r>
      <w:r>
        <w:rPr>
          <w:rFonts w:ascii="Times New Roman" w:eastAsia="Times New Roman" w:hAnsi="Times New Roman" w:cs="Times New Roman"/>
          <w:i/>
          <w:color w:val="000000"/>
          <w:sz w:val="24"/>
          <w:szCs w:val="24"/>
        </w:rPr>
        <w:t xml:space="preserve">Environ Health </w:t>
      </w:r>
      <w:proofErr w:type="spellStart"/>
      <w:r>
        <w:rPr>
          <w:rFonts w:ascii="Times New Roman" w:eastAsia="Times New Roman" w:hAnsi="Times New Roman" w:cs="Times New Roman"/>
          <w:i/>
          <w:color w:val="000000"/>
          <w:sz w:val="24"/>
          <w:szCs w:val="24"/>
        </w:rPr>
        <w:t>Perspect</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113(1)</w:t>
      </w:r>
      <w:r>
        <w:rPr>
          <w:rFonts w:ascii="Times New Roman" w:eastAsia="Times New Roman" w:hAnsi="Times New Roman" w:cs="Times New Roman"/>
          <w:color w:val="000000"/>
          <w:sz w:val="24"/>
          <w:szCs w:val="24"/>
        </w:rPr>
        <w:t>, 68-72</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 </w:t>
      </w:r>
      <w:hyperlink r:id="rId23">
        <w:r>
          <w:rPr>
            <w:rFonts w:ascii="Times New Roman" w:eastAsia="Times New Roman" w:hAnsi="Times New Roman" w:cs="Times New Roman"/>
            <w:color w:val="000000"/>
            <w:sz w:val="24"/>
            <w:szCs w:val="24"/>
            <w:highlight w:val="white"/>
          </w:rPr>
          <w:t>https://doi.org/10.1289/ehp.7475</w:t>
        </w:r>
      </w:hyperlink>
    </w:p>
    <w:p w14:paraId="668FCB45" w14:textId="77777777" w:rsidR="00573EA0" w:rsidRDefault="00573EA0">
      <w:pPr>
        <w:pStyle w:val="Normal1"/>
        <w:widowControl w:val="0"/>
        <w:pBdr>
          <w:top w:val="nil"/>
          <w:left w:val="nil"/>
          <w:bottom w:val="nil"/>
          <w:right w:val="nil"/>
          <w:between w:val="nil"/>
        </w:pBdr>
        <w:tabs>
          <w:tab w:val="left" w:pos="472"/>
        </w:tabs>
        <w:spacing w:before="121" w:after="0"/>
        <w:ind w:right="1124"/>
        <w:jc w:val="both"/>
        <w:rPr>
          <w:rFonts w:ascii="Times New Roman" w:eastAsia="Times New Roman" w:hAnsi="Times New Roman" w:cs="Times New Roman"/>
          <w:sz w:val="24"/>
          <w:szCs w:val="24"/>
        </w:rPr>
      </w:pPr>
    </w:p>
    <w:p w14:paraId="3575F8AC" w14:textId="77777777" w:rsidR="00573EA0" w:rsidRDefault="007D55AB">
      <w:pPr>
        <w:pStyle w:val="Normal1"/>
        <w:widowControl w:val="0"/>
        <w:pBdr>
          <w:top w:val="nil"/>
          <w:left w:val="nil"/>
          <w:bottom w:val="nil"/>
          <w:right w:val="nil"/>
          <w:between w:val="nil"/>
        </w:pBdr>
        <w:tabs>
          <w:tab w:val="left" w:pos="516"/>
        </w:tabs>
        <w:spacing w:before="119" w:after="0"/>
        <w:ind w:right="11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[11</w:t>
      </w:r>
      <w:proofErr w:type="gramStart"/>
      <w:r>
        <w:rPr>
          <w:rFonts w:ascii="Times New Roman" w:eastAsia="Times New Roman" w:hAnsi="Times New Roman" w:cs="Times New Roman"/>
          <w:color w:val="000000"/>
          <w:sz w:val="24"/>
          <w:szCs w:val="24"/>
        </w:rPr>
        <w:t>]  P.K.</w:t>
      </w:r>
      <w:proofErr w:type="gramEnd"/>
      <w:r>
        <w:rPr>
          <w:rFonts w:ascii="Times New Roman" w:eastAsia="Times New Roman" w:hAnsi="Times New Roman" w:cs="Times New Roman"/>
          <w:color w:val="000000"/>
          <w:sz w:val="24"/>
          <w:szCs w:val="24"/>
        </w:rPr>
        <w:t xml:space="preserve"> Ghosh, S. Bhattacharya, S. Bhattacharya, N. Chodankar,(2007).  </w:t>
      </w:r>
      <w:r>
        <w:rPr>
          <w:rFonts w:ascii="Times New Roman" w:eastAsia="Times New Roman" w:hAnsi="Times New Roman" w:cs="Times New Roman"/>
          <w:i/>
          <w:color w:val="000000"/>
          <w:sz w:val="24"/>
          <w:szCs w:val="24"/>
        </w:rPr>
        <w:t xml:space="preserve">Radiological Safety in Uranium Mining and Milling. </w:t>
      </w:r>
      <w:r>
        <w:rPr>
          <w:rFonts w:ascii="Times New Roman" w:eastAsia="Times New Roman" w:hAnsi="Times New Roman" w:cs="Times New Roman"/>
          <w:color w:val="000000"/>
          <w:sz w:val="24"/>
          <w:szCs w:val="24"/>
        </w:rPr>
        <w:t>AERB, India. 24-28</w:t>
      </w:r>
      <w:r>
        <w:rPr>
          <w:rFonts w:ascii="Times New Roman" w:eastAsia="Times New Roman" w:hAnsi="Times New Roman" w:cs="Times New Roman"/>
          <w:sz w:val="24"/>
          <w:szCs w:val="24"/>
        </w:rPr>
        <w:t xml:space="preserve">. </w:t>
      </w:r>
    </w:p>
    <w:p w14:paraId="09D1B9D3" w14:textId="77777777" w:rsidR="00573EA0" w:rsidRDefault="00573EA0">
      <w:pPr>
        <w:pStyle w:val="Normal1"/>
        <w:widowControl w:val="0"/>
        <w:pBdr>
          <w:top w:val="nil"/>
          <w:left w:val="nil"/>
          <w:bottom w:val="nil"/>
          <w:right w:val="nil"/>
          <w:between w:val="nil"/>
        </w:pBdr>
        <w:tabs>
          <w:tab w:val="left" w:pos="472"/>
        </w:tabs>
        <w:spacing w:before="106" w:after="0"/>
        <w:ind w:right="1123"/>
        <w:jc w:val="both"/>
        <w:rPr>
          <w:rFonts w:ascii="Times New Roman" w:eastAsia="Times New Roman" w:hAnsi="Times New Roman" w:cs="Times New Roman"/>
          <w:color w:val="000000"/>
          <w:sz w:val="24"/>
          <w:szCs w:val="24"/>
        </w:rPr>
      </w:pPr>
    </w:p>
    <w:p w14:paraId="4DD2973D" w14:textId="77777777" w:rsidR="00573EA0" w:rsidRDefault="007D55AB">
      <w:pPr>
        <w:pStyle w:val="Normal1"/>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roofErr w:type="gramStart"/>
      <w:r>
        <w:rPr>
          <w:rFonts w:ascii="Times New Roman" w:eastAsia="Times New Roman" w:hAnsi="Times New Roman" w:cs="Times New Roman"/>
          <w:sz w:val="24"/>
          <w:szCs w:val="24"/>
        </w:rPr>
        <w:t>]  R.</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Jakhu</w:t>
      </w:r>
      <w:proofErr w:type="spellEnd"/>
      <w:r>
        <w:rPr>
          <w:rFonts w:ascii="Times New Roman" w:eastAsia="Times New Roman" w:hAnsi="Times New Roman" w:cs="Times New Roman"/>
          <w:sz w:val="24"/>
          <w:szCs w:val="24"/>
        </w:rPr>
        <w:t xml:space="preserve">, R. Mehra, H.M. Mittal.(2016). Exposure assessment of natural uranium from drinking water. </w:t>
      </w:r>
      <w:r>
        <w:rPr>
          <w:rFonts w:ascii="Times New Roman" w:eastAsia="Times New Roman" w:hAnsi="Times New Roman" w:cs="Times New Roman"/>
          <w:i/>
          <w:sz w:val="24"/>
          <w:szCs w:val="24"/>
        </w:rPr>
        <w:t>Environ. Sci.: Processes Impacts</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18(12)</w:t>
      </w:r>
      <w:r>
        <w:rPr>
          <w:rFonts w:ascii="Times New Roman" w:eastAsia="Times New Roman" w:hAnsi="Times New Roman" w:cs="Times New Roman"/>
          <w:sz w:val="24"/>
          <w:szCs w:val="24"/>
        </w:rPr>
        <w:t xml:space="preserve">, 1540–1549.   </w:t>
      </w:r>
      <w:hyperlink r:id="rId24">
        <w:r>
          <w:rPr>
            <w:rFonts w:ascii="Times New Roman" w:eastAsia="Times New Roman" w:hAnsi="Times New Roman" w:cs="Times New Roman"/>
            <w:sz w:val="24"/>
            <w:szCs w:val="24"/>
          </w:rPr>
          <w:t>https://doi.org/10.1039/C6EM00514D</w:t>
        </w:r>
      </w:hyperlink>
      <w:r>
        <w:rPr>
          <w:rFonts w:ascii="Times New Roman" w:eastAsia="Times New Roman" w:hAnsi="Times New Roman" w:cs="Times New Roman"/>
          <w:sz w:val="24"/>
          <w:szCs w:val="24"/>
        </w:rPr>
        <w:t xml:space="preserve"> </w:t>
      </w:r>
    </w:p>
    <w:p w14:paraId="2300D2DB" w14:textId="77777777" w:rsidR="00573EA0" w:rsidRDefault="007D55AB">
      <w:pPr>
        <w:pStyle w:val="Normal1"/>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[13] USEPA. (2012). </w:t>
      </w:r>
      <w:r>
        <w:rPr>
          <w:rFonts w:ascii="Times New Roman" w:eastAsia="Times New Roman" w:hAnsi="Times New Roman" w:cs="Times New Roman"/>
          <w:i/>
          <w:color w:val="000000"/>
          <w:sz w:val="24"/>
          <w:szCs w:val="24"/>
        </w:rPr>
        <w:t xml:space="preserve">Drinking Water Standards and Health </w:t>
      </w:r>
      <w:r>
        <w:rPr>
          <w:rFonts w:ascii="Times New Roman" w:eastAsia="Times New Roman" w:hAnsi="Times New Roman" w:cs="Times New Roman"/>
          <w:color w:val="000000"/>
          <w:sz w:val="24"/>
          <w:szCs w:val="24"/>
        </w:rPr>
        <w:t>Advisories. Washington DC U.S.A., EPA 822-S-12-001</w:t>
      </w:r>
      <w:r>
        <w:rPr>
          <w:rFonts w:ascii="Times New Roman" w:eastAsia="Times New Roman" w:hAnsi="Times New Roman" w:cs="Times New Roman"/>
          <w:sz w:val="24"/>
          <w:szCs w:val="24"/>
        </w:rPr>
        <w:t xml:space="preserve">. </w:t>
      </w:r>
    </w:p>
    <w:p w14:paraId="71A5F146" w14:textId="77777777" w:rsidR="00573EA0" w:rsidRDefault="00573EA0">
      <w:pPr>
        <w:pStyle w:val="Normal1"/>
        <w:widowControl w:val="0"/>
        <w:pBdr>
          <w:top w:val="nil"/>
          <w:left w:val="nil"/>
          <w:bottom w:val="nil"/>
          <w:right w:val="nil"/>
          <w:between w:val="nil"/>
        </w:pBdr>
        <w:tabs>
          <w:tab w:val="left" w:pos="580"/>
        </w:tabs>
        <w:spacing w:before="121" w:after="0"/>
        <w:ind w:right="105"/>
        <w:jc w:val="both"/>
        <w:rPr>
          <w:rFonts w:ascii="Times New Roman" w:eastAsia="Times New Roman" w:hAnsi="Times New Roman" w:cs="Times New Roman"/>
          <w:color w:val="000000"/>
          <w:sz w:val="24"/>
          <w:szCs w:val="24"/>
        </w:rPr>
      </w:pPr>
    </w:p>
    <w:p w14:paraId="062602D8" w14:textId="77777777" w:rsidR="00573EA0" w:rsidRDefault="007D55AB">
      <w:pPr>
        <w:pStyle w:val="Normal1"/>
        <w:widowControl w:val="0"/>
        <w:pBdr>
          <w:top w:val="nil"/>
          <w:left w:val="nil"/>
          <w:bottom w:val="nil"/>
          <w:right w:val="nil"/>
          <w:between w:val="nil"/>
        </w:pBdr>
        <w:tabs>
          <w:tab w:val="left" w:pos="472"/>
        </w:tabs>
        <w:spacing w:before="106" w:after="0"/>
        <w:ind w:right="112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[14] </w:t>
      </w:r>
      <w:proofErr w:type="gramStart"/>
      <w:r>
        <w:rPr>
          <w:rFonts w:ascii="Times New Roman" w:eastAsia="Times New Roman" w:hAnsi="Times New Roman" w:cs="Times New Roman"/>
          <w:color w:val="000000"/>
          <w:sz w:val="24"/>
          <w:szCs w:val="24"/>
        </w:rPr>
        <w:t>W.H.O.,(</w:t>
      </w:r>
      <w:proofErr w:type="gramEnd"/>
      <w:r>
        <w:rPr>
          <w:rFonts w:ascii="Times New Roman" w:eastAsia="Times New Roman" w:hAnsi="Times New Roman" w:cs="Times New Roman"/>
          <w:color w:val="000000"/>
          <w:sz w:val="24"/>
          <w:szCs w:val="24"/>
        </w:rPr>
        <w:t xml:space="preserve">1998).  Guidelines </w:t>
      </w:r>
      <w:r>
        <w:rPr>
          <w:rFonts w:ascii="Times New Roman" w:eastAsia="Times New Roman" w:hAnsi="Times New Roman" w:cs="Times New Roman"/>
          <w:i/>
          <w:color w:val="000000"/>
          <w:sz w:val="24"/>
          <w:szCs w:val="24"/>
        </w:rPr>
        <w:t>for drinking water quality</w:t>
      </w:r>
      <w:r>
        <w:rPr>
          <w:rFonts w:ascii="Times New Roman" w:eastAsia="Times New Roman" w:hAnsi="Times New Roman" w:cs="Times New Roman"/>
          <w:color w:val="000000"/>
          <w:sz w:val="24"/>
          <w:szCs w:val="24"/>
        </w:rPr>
        <w:t>, World Health Organization, Geneva Switzerland, 72-80</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     </w:t>
      </w:r>
    </w:p>
    <w:p w14:paraId="7B47C80C" w14:textId="77777777" w:rsidR="00573EA0" w:rsidRDefault="007D55AB">
      <w:pPr>
        <w:pStyle w:val="Normal1"/>
        <w:widowControl w:val="0"/>
        <w:pBdr>
          <w:top w:val="nil"/>
          <w:left w:val="nil"/>
          <w:bottom w:val="nil"/>
          <w:right w:val="nil"/>
          <w:between w:val="nil"/>
        </w:pBdr>
        <w:tabs>
          <w:tab w:val="left" w:pos="472"/>
        </w:tabs>
        <w:spacing w:before="106" w:after="0"/>
        <w:ind w:right="112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0BD25B50" w14:textId="77777777" w:rsidR="00573EA0" w:rsidRDefault="007D55AB">
      <w:pPr>
        <w:pStyle w:val="Normal1"/>
        <w:widowControl w:val="0"/>
        <w:pBdr>
          <w:top w:val="nil"/>
          <w:left w:val="nil"/>
          <w:bottom w:val="nil"/>
          <w:right w:val="nil"/>
          <w:between w:val="nil"/>
        </w:pBdr>
        <w:tabs>
          <w:tab w:val="left" w:pos="472"/>
        </w:tabs>
        <w:spacing w:before="106" w:after="0"/>
        <w:ind w:right="112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15</w:t>
      </w:r>
      <w:proofErr w:type="gramStart"/>
      <w:r>
        <w:rPr>
          <w:rFonts w:ascii="Times New Roman" w:eastAsia="Times New Roman" w:hAnsi="Times New Roman" w:cs="Times New Roman"/>
          <w:color w:val="000000"/>
          <w:sz w:val="24"/>
          <w:szCs w:val="24"/>
        </w:rPr>
        <w:t>]  W.H.O.</w:t>
      </w:r>
      <w:proofErr w:type="gramEnd"/>
      <w:r>
        <w:rPr>
          <w:rFonts w:ascii="Times New Roman" w:eastAsia="Times New Roman" w:hAnsi="Times New Roman" w:cs="Times New Roman"/>
          <w:color w:val="000000"/>
          <w:sz w:val="24"/>
          <w:szCs w:val="24"/>
        </w:rPr>
        <w:t>, (1</w:t>
      </w:r>
      <w:r>
        <w:rPr>
          <w:rFonts w:ascii="Times New Roman" w:eastAsia="Times New Roman" w:hAnsi="Times New Roman" w:cs="Times New Roman"/>
          <w:sz w:val="24"/>
          <w:szCs w:val="24"/>
        </w:rPr>
        <w:t xml:space="preserve">998). </w:t>
      </w:r>
      <w:r>
        <w:rPr>
          <w:rFonts w:ascii="Times New Roman" w:eastAsia="Times New Roman" w:hAnsi="Times New Roman" w:cs="Times New Roman"/>
          <w:color w:val="000000"/>
          <w:sz w:val="24"/>
          <w:szCs w:val="24"/>
        </w:rPr>
        <w:t xml:space="preserve">Guidelines </w:t>
      </w:r>
      <w:r>
        <w:rPr>
          <w:rFonts w:ascii="Times New Roman" w:eastAsia="Times New Roman" w:hAnsi="Times New Roman" w:cs="Times New Roman"/>
          <w:i/>
          <w:color w:val="000000"/>
          <w:sz w:val="24"/>
          <w:szCs w:val="24"/>
        </w:rPr>
        <w:t>for drinking water quality</w:t>
      </w:r>
      <w:r>
        <w:rPr>
          <w:rFonts w:ascii="Times New Roman" w:eastAsia="Times New Roman" w:hAnsi="Times New Roman" w:cs="Times New Roman"/>
          <w:color w:val="000000"/>
          <w:sz w:val="24"/>
          <w:szCs w:val="24"/>
        </w:rPr>
        <w:t>, World Health Organization, Geneva Switzerland, 72-80</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   ISBN 978 92 4 154815 1</w:t>
      </w:r>
    </w:p>
    <w:p w14:paraId="2005D5B8" w14:textId="77777777" w:rsidR="00573EA0" w:rsidRDefault="00573EA0">
      <w:pPr>
        <w:pStyle w:val="Normal1"/>
        <w:widowControl w:val="0"/>
        <w:pBdr>
          <w:top w:val="nil"/>
          <w:left w:val="nil"/>
          <w:bottom w:val="nil"/>
          <w:right w:val="nil"/>
          <w:between w:val="nil"/>
        </w:pBdr>
        <w:tabs>
          <w:tab w:val="left" w:pos="472"/>
        </w:tabs>
        <w:spacing w:before="106" w:after="0"/>
        <w:ind w:right="1123"/>
        <w:jc w:val="both"/>
        <w:rPr>
          <w:rFonts w:ascii="Times New Roman" w:eastAsia="Times New Roman" w:hAnsi="Times New Roman" w:cs="Times New Roman"/>
          <w:sz w:val="24"/>
          <w:szCs w:val="24"/>
        </w:rPr>
      </w:pPr>
    </w:p>
    <w:p w14:paraId="1AE4BC87" w14:textId="77777777" w:rsidR="00573EA0" w:rsidRDefault="007D55AB">
      <w:pPr>
        <w:pStyle w:val="Normal1"/>
        <w:widowControl w:val="0"/>
        <w:pBdr>
          <w:top w:val="nil"/>
          <w:left w:val="nil"/>
          <w:bottom w:val="nil"/>
          <w:right w:val="nil"/>
          <w:between w:val="nil"/>
        </w:pBdr>
        <w:tabs>
          <w:tab w:val="left" w:pos="472"/>
        </w:tabs>
        <w:spacing w:before="121" w:after="0"/>
        <w:ind w:right="1125"/>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rPr>
        <w:t>[1</w:t>
      </w:r>
      <w:r>
        <w:rPr>
          <w:rFonts w:ascii="Times New Roman" w:eastAsia="Times New Roman" w:hAnsi="Times New Roman" w:cs="Times New Roman"/>
          <w:sz w:val="24"/>
          <w:szCs w:val="24"/>
        </w:rPr>
        <w:t>6</w:t>
      </w:r>
      <w:proofErr w:type="gramStart"/>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W.H.O.</w:t>
      </w:r>
      <w:proofErr w:type="gramEnd"/>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(2004). </w:t>
      </w:r>
      <w:r>
        <w:rPr>
          <w:rFonts w:ascii="Times New Roman" w:eastAsia="Times New Roman" w:hAnsi="Times New Roman" w:cs="Times New Roman"/>
          <w:color w:val="000000"/>
          <w:sz w:val="24"/>
          <w:szCs w:val="24"/>
        </w:rPr>
        <w:t>Guidelines for Drinking Water Quality. World Health Organization, Geneva Switzerland, 454-456</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smallCaps/>
          <w:color w:val="000000"/>
          <w:sz w:val="24"/>
          <w:szCs w:val="24"/>
          <w:highlight w:val="white"/>
        </w:rPr>
        <w:t>ISBN: </w:t>
      </w:r>
      <w:r>
        <w:rPr>
          <w:rFonts w:ascii="Times New Roman" w:eastAsia="Times New Roman" w:hAnsi="Times New Roman" w:cs="Times New Roman"/>
          <w:color w:val="000000"/>
          <w:sz w:val="24"/>
          <w:szCs w:val="24"/>
          <w:highlight w:val="white"/>
        </w:rPr>
        <w:t>978-92-4-154995-0</w:t>
      </w:r>
    </w:p>
    <w:p w14:paraId="542141DC" w14:textId="77777777" w:rsidR="00573EA0" w:rsidRDefault="00573EA0">
      <w:pPr>
        <w:pStyle w:val="Normal1"/>
        <w:widowControl w:val="0"/>
        <w:pBdr>
          <w:top w:val="nil"/>
          <w:left w:val="nil"/>
          <w:bottom w:val="nil"/>
          <w:right w:val="nil"/>
          <w:between w:val="nil"/>
        </w:pBdr>
        <w:tabs>
          <w:tab w:val="left" w:pos="472"/>
        </w:tabs>
        <w:spacing w:before="121" w:after="0"/>
        <w:ind w:right="1125"/>
        <w:jc w:val="both"/>
        <w:rPr>
          <w:rFonts w:ascii="Times New Roman" w:eastAsia="Times New Roman" w:hAnsi="Times New Roman" w:cs="Times New Roman"/>
          <w:sz w:val="24"/>
          <w:szCs w:val="24"/>
          <w:highlight w:val="white"/>
        </w:rPr>
      </w:pPr>
    </w:p>
    <w:p w14:paraId="1AE88551" w14:textId="77777777" w:rsidR="00573EA0" w:rsidRDefault="007D55AB">
      <w:pPr>
        <w:pStyle w:val="Normal1"/>
        <w:widowControl w:val="0"/>
        <w:pBdr>
          <w:top w:val="nil"/>
          <w:left w:val="nil"/>
          <w:bottom w:val="nil"/>
          <w:right w:val="nil"/>
          <w:between w:val="nil"/>
        </w:pBdr>
        <w:tabs>
          <w:tab w:val="left" w:pos="580"/>
        </w:tabs>
        <w:spacing w:before="121" w:after="0"/>
        <w:ind w:right="10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17</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W.H.O.,(</w:t>
      </w:r>
      <w:proofErr w:type="gramEnd"/>
      <w:r>
        <w:rPr>
          <w:rFonts w:ascii="Times New Roman" w:eastAsia="Times New Roman" w:hAnsi="Times New Roman" w:cs="Times New Roman"/>
          <w:color w:val="000000"/>
          <w:sz w:val="24"/>
          <w:szCs w:val="24"/>
        </w:rPr>
        <w:t xml:space="preserve">2011).  </w:t>
      </w:r>
      <w:r>
        <w:rPr>
          <w:rFonts w:ascii="Times New Roman" w:eastAsia="Times New Roman" w:hAnsi="Times New Roman" w:cs="Times New Roman"/>
          <w:i/>
          <w:color w:val="000000"/>
          <w:sz w:val="24"/>
          <w:szCs w:val="24"/>
        </w:rPr>
        <w:t>Guidelines for drinking water quality</w:t>
      </w:r>
      <w:r>
        <w:rPr>
          <w:rFonts w:ascii="Times New Roman" w:eastAsia="Times New Roman" w:hAnsi="Times New Roman" w:cs="Times New Roman"/>
          <w:color w:val="000000"/>
          <w:sz w:val="24"/>
          <w:szCs w:val="24"/>
        </w:rPr>
        <w:t xml:space="preserve">, World Health Organization, Geneva Switzerland, 241-252. </w:t>
      </w:r>
    </w:p>
    <w:p w14:paraId="654F3995" w14:textId="77777777" w:rsidR="00573EA0" w:rsidRDefault="00573EA0">
      <w:pPr>
        <w:pStyle w:val="Normal1"/>
        <w:pBdr>
          <w:top w:val="nil"/>
          <w:left w:val="nil"/>
          <w:bottom w:val="nil"/>
          <w:right w:val="nil"/>
          <w:between w:val="nil"/>
        </w:pBdr>
        <w:rPr>
          <w:rFonts w:ascii="Times New Roman" w:eastAsia="Times New Roman" w:hAnsi="Times New Roman" w:cs="Times New Roman"/>
          <w:color w:val="000000"/>
          <w:sz w:val="24"/>
          <w:szCs w:val="24"/>
        </w:rPr>
      </w:pPr>
    </w:p>
    <w:p w14:paraId="2B60FC12" w14:textId="77777777" w:rsidR="00573EA0" w:rsidRDefault="00573EA0">
      <w:pPr>
        <w:pStyle w:val="Normal1"/>
        <w:pBdr>
          <w:top w:val="nil"/>
          <w:left w:val="nil"/>
          <w:bottom w:val="nil"/>
          <w:right w:val="nil"/>
          <w:between w:val="nil"/>
        </w:pBdr>
        <w:rPr>
          <w:rFonts w:ascii="Times New Roman" w:eastAsia="Times New Roman" w:hAnsi="Times New Roman" w:cs="Times New Roman"/>
          <w:color w:val="000000"/>
          <w:sz w:val="24"/>
          <w:szCs w:val="24"/>
        </w:rPr>
      </w:pPr>
    </w:p>
    <w:p w14:paraId="42B30A71" w14:textId="77777777" w:rsidR="00573EA0" w:rsidRDefault="00573EA0">
      <w:pPr>
        <w:pStyle w:val="Normal1"/>
        <w:pBdr>
          <w:top w:val="nil"/>
          <w:left w:val="nil"/>
          <w:bottom w:val="nil"/>
          <w:right w:val="nil"/>
          <w:between w:val="nil"/>
        </w:pBdr>
        <w:rPr>
          <w:rFonts w:ascii="Times New Roman" w:eastAsia="Times New Roman" w:hAnsi="Times New Roman" w:cs="Times New Roman"/>
          <w:color w:val="000000"/>
          <w:sz w:val="24"/>
          <w:szCs w:val="24"/>
        </w:rPr>
      </w:pPr>
    </w:p>
    <w:p w14:paraId="69A46AF6" w14:textId="77777777" w:rsidR="00573EA0" w:rsidRDefault="00573EA0">
      <w:pPr>
        <w:pStyle w:val="Normal1"/>
        <w:pBdr>
          <w:top w:val="nil"/>
          <w:left w:val="nil"/>
          <w:bottom w:val="nil"/>
          <w:right w:val="nil"/>
          <w:between w:val="nil"/>
        </w:pBdr>
        <w:rPr>
          <w:rFonts w:ascii="Times New Roman" w:eastAsia="Times New Roman" w:hAnsi="Times New Roman" w:cs="Times New Roman"/>
          <w:color w:val="000000"/>
          <w:sz w:val="24"/>
          <w:szCs w:val="24"/>
        </w:rPr>
      </w:pPr>
    </w:p>
    <w:p w14:paraId="63A85E5E" w14:textId="77777777" w:rsidR="00573EA0" w:rsidRDefault="00573EA0">
      <w:pPr>
        <w:pStyle w:val="Normal1"/>
        <w:pBdr>
          <w:top w:val="nil"/>
          <w:left w:val="nil"/>
          <w:bottom w:val="nil"/>
          <w:right w:val="nil"/>
          <w:between w:val="nil"/>
        </w:pBdr>
        <w:jc w:val="center"/>
        <w:rPr>
          <w:rFonts w:ascii="Times New Roman" w:eastAsia="Times New Roman" w:hAnsi="Times New Roman" w:cs="Times New Roman"/>
          <w:color w:val="000000"/>
          <w:sz w:val="24"/>
          <w:szCs w:val="24"/>
        </w:rPr>
      </w:pPr>
    </w:p>
    <w:sectPr w:rsidR="00573EA0" w:rsidSect="00573EA0">
      <w:type w:val="continuous"/>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9702B9" w14:textId="77777777" w:rsidR="00636B9D" w:rsidRDefault="00636B9D" w:rsidP="00B35F61">
      <w:pPr>
        <w:spacing w:after="0" w:line="240" w:lineRule="auto"/>
      </w:pPr>
      <w:r>
        <w:separator/>
      </w:r>
    </w:p>
  </w:endnote>
  <w:endnote w:type="continuationSeparator" w:id="0">
    <w:p w14:paraId="2E5EDF75" w14:textId="77777777" w:rsidR="00636B9D" w:rsidRDefault="00636B9D" w:rsidP="00B35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4E5EC" w14:textId="77777777" w:rsidR="00B35F61" w:rsidRDefault="00B35F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27699" w14:textId="77777777" w:rsidR="00B35F61" w:rsidRDefault="00B35F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EE485" w14:textId="77777777" w:rsidR="00B35F61" w:rsidRDefault="00B35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8E6D2E" w14:textId="77777777" w:rsidR="00636B9D" w:rsidRDefault="00636B9D" w:rsidP="00B35F61">
      <w:pPr>
        <w:spacing w:after="0" w:line="240" w:lineRule="auto"/>
      </w:pPr>
      <w:r>
        <w:separator/>
      </w:r>
    </w:p>
  </w:footnote>
  <w:footnote w:type="continuationSeparator" w:id="0">
    <w:p w14:paraId="4118F383" w14:textId="77777777" w:rsidR="00636B9D" w:rsidRDefault="00636B9D" w:rsidP="00B35F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3D239" w14:textId="3F2FD327" w:rsidR="00B35F61" w:rsidRDefault="00B35F61">
    <w:pPr>
      <w:pStyle w:val="Header"/>
    </w:pPr>
    <w:r>
      <w:rPr>
        <w:noProof/>
      </w:rPr>
      <w:pict w14:anchorId="79153F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403737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F8FAC" w14:textId="6B8849CC" w:rsidR="00B35F61" w:rsidRDefault="00B35F61">
    <w:pPr>
      <w:pStyle w:val="Header"/>
    </w:pPr>
    <w:r>
      <w:rPr>
        <w:noProof/>
      </w:rPr>
      <w:pict w14:anchorId="540F56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403737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97EE5" w14:textId="6B63818A" w:rsidR="00B35F61" w:rsidRDefault="00B35F61">
    <w:pPr>
      <w:pStyle w:val="Header"/>
    </w:pPr>
    <w:r>
      <w:rPr>
        <w:noProof/>
      </w:rPr>
      <w:pict w14:anchorId="1A3B2E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403737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FF7657"/>
    <w:multiLevelType w:val="hybridMultilevel"/>
    <w:tmpl w:val="6C7C29FA"/>
    <w:lvl w:ilvl="0" w:tplc="4009000F">
      <w:start w:val="1"/>
      <w:numFmt w:val="decimal"/>
      <w:lvlText w:val="%1."/>
      <w:lvlJc w:val="left"/>
      <w:pPr>
        <w:ind w:left="72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7064E08"/>
    <w:multiLevelType w:val="hybridMultilevel"/>
    <w:tmpl w:val="3E469810"/>
    <w:lvl w:ilvl="0" w:tplc="4009000F">
      <w:start w:val="1"/>
      <w:numFmt w:val="decimal"/>
      <w:lvlText w:val="%1."/>
      <w:lvlJc w:val="left"/>
      <w:pPr>
        <w:ind w:left="72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BDE3070"/>
    <w:multiLevelType w:val="multilevel"/>
    <w:tmpl w:val="14ECFFC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73EA0"/>
    <w:rsid w:val="004442D6"/>
    <w:rsid w:val="00540563"/>
    <w:rsid w:val="00573EA0"/>
    <w:rsid w:val="005B6519"/>
    <w:rsid w:val="00636B9D"/>
    <w:rsid w:val="00640AF1"/>
    <w:rsid w:val="007D55AB"/>
    <w:rsid w:val="00832249"/>
    <w:rsid w:val="00B35F61"/>
    <w:rsid w:val="00BC77AA"/>
    <w:rsid w:val="00CF6626"/>
    <w:rsid w:val="00D33D41"/>
    <w:rsid w:val="00D67E62"/>
    <w:rsid w:val="00DA285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00B40CF"/>
  <w15:docId w15:val="{0D738D9A-41BA-4D98-97A8-58064450E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IN" w:eastAsia="en-I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1"/>
    <w:next w:val="Normal1"/>
    <w:rsid w:val="00573EA0"/>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1"/>
    <w:next w:val="Normal1"/>
    <w:rsid w:val="00573EA0"/>
    <w:pPr>
      <w:pBdr>
        <w:top w:val="nil"/>
        <w:left w:val="nil"/>
        <w:bottom w:val="nil"/>
        <w:right w:val="nil"/>
        <w:between w:val="nil"/>
      </w:pBdr>
      <w:spacing w:line="240" w:lineRule="auto"/>
      <w:outlineLvl w:val="1"/>
    </w:pPr>
    <w:rPr>
      <w:rFonts w:ascii="Times New Roman" w:eastAsia="Times New Roman" w:hAnsi="Times New Roman" w:cs="Times New Roman"/>
      <w:b/>
      <w:color w:val="000000"/>
      <w:sz w:val="36"/>
      <w:szCs w:val="36"/>
    </w:rPr>
  </w:style>
  <w:style w:type="paragraph" w:styleId="Heading3">
    <w:name w:val="heading 3"/>
    <w:basedOn w:val="Normal1"/>
    <w:next w:val="Normal1"/>
    <w:rsid w:val="00573EA0"/>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1"/>
    <w:next w:val="Normal1"/>
    <w:rsid w:val="00573EA0"/>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1"/>
    <w:next w:val="Normal1"/>
    <w:rsid w:val="00573EA0"/>
    <w:pPr>
      <w:keepNext/>
      <w:keepLines/>
      <w:pBdr>
        <w:top w:val="nil"/>
        <w:left w:val="nil"/>
        <w:bottom w:val="nil"/>
        <w:right w:val="nil"/>
        <w:between w:val="nil"/>
      </w:pBdr>
      <w:spacing w:before="220" w:after="40"/>
      <w:outlineLvl w:val="4"/>
    </w:pPr>
    <w:rPr>
      <w:b/>
      <w:color w:val="000000"/>
    </w:rPr>
  </w:style>
  <w:style w:type="paragraph" w:styleId="Heading6">
    <w:name w:val="heading 6"/>
    <w:basedOn w:val="Normal1"/>
    <w:next w:val="Normal1"/>
    <w:rsid w:val="00573EA0"/>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573EA0"/>
  </w:style>
  <w:style w:type="paragraph" w:styleId="Title">
    <w:name w:val="Title"/>
    <w:basedOn w:val="Normal1"/>
    <w:next w:val="Normal1"/>
    <w:rsid w:val="00573EA0"/>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1"/>
    <w:next w:val="Normal1"/>
    <w:rsid w:val="00573EA0"/>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rsid w:val="00573EA0"/>
    <w:pPr>
      <w:spacing w:after="0" w:line="240" w:lineRule="auto"/>
    </w:pPr>
    <w:tblPr>
      <w:tblStyleRowBandSize w:val="1"/>
      <w:tblStyleColBandSize w:val="1"/>
    </w:tblPr>
  </w:style>
  <w:style w:type="table" w:customStyle="1" w:styleId="a0">
    <w:basedOn w:val="TableNormal"/>
    <w:rsid w:val="00573EA0"/>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BC77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77AA"/>
    <w:rPr>
      <w:rFonts w:ascii="Tahoma" w:hAnsi="Tahoma" w:cs="Tahoma"/>
      <w:sz w:val="16"/>
      <w:szCs w:val="16"/>
    </w:rPr>
  </w:style>
  <w:style w:type="paragraph" w:styleId="Header">
    <w:name w:val="header"/>
    <w:basedOn w:val="Normal"/>
    <w:link w:val="HeaderChar"/>
    <w:uiPriority w:val="99"/>
    <w:unhideWhenUsed/>
    <w:rsid w:val="00B35F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5F61"/>
  </w:style>
  <w:style w:type="paragraph" w:styleId="Footer">
    <w:name w:val="footer"/>
    <w:basedOn w:val="Normal"/>
    <w:link w:val="FooterChar"/>
    <w:uiPriority w:val="99"/>
    <w:unhideWhenUsed/>
    <w:rsid w:val="00B35F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5F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hyperlink" Target="https://doi.org/10.1016/j.scitotenv.2007.04.035"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oi.org/10.1097/00004032-198505000-00004"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1016/j.chemosphere.2011.11.022"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s://doi.org/10.1016/0890-6238(94)00060-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doi.org/10.1039/C6EM00514D" TargetMode="Externa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https://doi.org/10.1289/ehp.7475" TargetMode="External"/><Relationship Id="rId10" Type="http://schemas.openxmlformats.org/officeDocument/2006/relationships/footer" Target="footer2.xml"/><Relationship Id="rId19" Type="http://schemas.openxmlformats.org/officeDocument/2006/relationships/hyperlink" Target="https://doi.org/10.1016/j.scitotenv.2011.11.037"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hyperlink" Target="https://doi.org/10.1016/j.apradiso.2014.12.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11</Pages>
  <Words>2587</Words>
  <Characters>14746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1084</cp:lastModifiedBy>
  <cp:revision>8</cp:revision>
  <dcterms:created xsi:type="dcterms:W3CDTF">2025-02-05T08:22:00Z</dcterms:created>
  <dcterms:modified xsi:type="dcterms:W3CDTF">2025-02-06T07:21:00Z</dcterms:modified>
</cp:coreProperties>
</file>