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ADE5A" w14:textId="77777777" w:rsidR="00754C9A" w:rsidRPr="00F25C96" w:rsidRDefault="00754C9A" w:rsidP="00441B6F">
      <w:pPr>
        <w:pStyle w:val="Title"/>
        <w:spacing w:after="0"/>
        <w:jc w:val="both"/>
        <w:rPr>
          <w:rFonts w:ascii="Arial" w:hAnsi="Arial" w:cs="Arial"/>
          <w:b w:val="0"/>
          <w:bCs/>
        </w:rPr>
      </w:pPr>
    </w:p>
    <w:p w14:paraId="2CAC76DC" w14:textId="77777777" w:rsidR="0036615F" w:rsidRPr="0036615F" w:rsidRDefault="0036615F" w:rsidP="00F25C96">
      <w:pPr>
        <w:rPr>
          <w:rFonts w:ascii="Arial" w:hAnsi="Arial" w:cs="Arial"/>
          <w:b/>
          <w:color w:val="000000" w:themeColor="text1"/>
          <w:sz w:val="22"/>
          <w:szCs w:val="22"/>
          <w:u w:val="single"/>
        </w:rPr>
      </w:pPr>
      <w:r w:rsidRPr="0036615F">
        <w:rPr>
          <w:rFonts w:ascii="Arial" w:hAnsi="Arial" w:cs="Arial"/>
          <w:b/>
          <w:color w:val="000000" w:themeColor="text1"/>
          <w:sz w:val="22"/>
          <w:szCs w:val="22"/>
          <w:u w:val="single"/>
        </w:rPr>
        <w:t>Original Research Article</w:t>
      </w:r>
    </w:p>
    <w:p w14:paraId="4825C463" w14:textId="77777777" w:rsidR="0036615F" w:rsidRDefault="0036615F" w:rsidP="00F25C96">
      <w:pPr>
        <w:rPr>
          <w:rFonts w:ascii="Arial" w:hAnsi="Arial" w:cs="Arial"/>
          <w:b/>
          <w:color w:val="000000" w:themeColor="text1"/>
          <w:sz w:val="22"/>
          <w:szCs w:val="22"/>
        </w:rPr>
      </w:pPr>
    </w:p>
    <w:p w14:paraId="152F0105" w14:textId="16A1617D" w:rsidR="00F25C96" w:rsidRPr="00F25C96" w:rsidRDefault="00F25C96" w:rsidP="00F25C96">
      <w:pPr>
        <w:rPr>
          <w:rFonts w:ascii="Arial" w:hAnsi="Arial" w:cs="Arial"/>
          <w:b/>
          <w:color w:val="000000" w:themeColor="text1"/>
          <w:sz w:val="22"/>
          <w:szCs w:val="22"/>
        </w:rPr>
      </w:pPr>
      <w:r w:rsidRPr="00F25C96">
        <w:rPr>
          <w:rFonts w:ascii="Arial" w:hAnsi="Arial" w:cs="Arial"/>
          <w:b/>
          <w:color w:val="000000" w:themeColor="text1"/>
          <w:sz w:val="22"/>
          <w:szCs w:val="22"/>
        </w:rPr>
        <w:t>THE EFFECT OF TAMARILLO FRUIT (</w:t>
      </w:r>
      <w:r w:rsidRPr="00F25C96">
        <w:rPr>
          <w:rFonts w:ascii="Arial" w:hAnsi="Arial" w:cs="Arial"/>
          <w:b/>
          <w:i/>
          <w:iCs/>
          <w:color w:val="000000" w:themeColor="text1"/>
          <w:sz w:val="22"/>
          <w:szCs w:val="22"/>
        </w:rPr>
        <w:t>Solanum betaceum Cav.</w:t>
      </w:r>
      <w:r w:rsidRPr="00F25C96">
        <w:rPr>
          <w:rFonts w:ascii="Arial" w:hAnsi="Arial" w:cs="Arial"/>
          <w:b/>
          <w:color w:val="000000" w:themeColor="text1"/>
          <w:sz w:val="22"/>
          <w:szCs w:val="22"/>
        </w:rPr>
        <w:t>) ETHANOL EXTRACT CREAM ON THE LEVELS OF MALONDIALDEHYDE (MDA), TYROSINASE ENZYME AND MELANIN IN THE SKIN OF MALE GUINEA PIGS (</w:t>
      </w:r>
      <w:r w:rsidRPr="00F25C96">
        <w:rPr>
          <w:rFonts w:ascii="Arial" w:hAnsi="Arial" w:cs="Arial"/>
          <w:b/>
          <w:i/>
          <w:iCs/>
          <w:color w:val="000000" w:themeColor="text1"/>
          <w:sz w:val="22"/>
          <w:szCs w:val="22"/>
        </w:rPr>
        <w:t>Cavia porcellus</w:t>
      </w:r>
      <w:r w:rsidRPr="00F25C96">
        <w:rPr>
          <w:rFonts w:ascii="Arial" w:hAnsi="Arial" w:cs="Arial"/>
          <w:b/>
          <w:color w:val="000000" w:themeColor="text1"/>
          <w:sz w:val="22"/>
          <w:szCs w:val="22"/>
        </w:rPr>
        <w:t>) EXPOSED TO ULTRAVIOLET B RADIATION</w:t>
      </w:r>
    </w:p>
    <w:p w14:paraId="777E4E0C" w14:textId="77777777" w:rsidR="00A258C3" w:rsidRPr="00790ADA" w:rsidRDefault="00A258C3" w:rsidP="00441B6F">
      <w:pPr>
        <w:pStyle w:val="Author"/>
        <w:spacing w:line="240" w:lineRule="auto"/>
        <w:jc w:val="both"/>
        <w:rPr>
          <w:rFonts w:ascii="Arial" w:hAnsi="Arial" w:cs="Arial"/>
          <w:sz w:val="36"/>
        </w:rPr>
      </w:pPr>
    </w:p>
    <w:p w14:paraId="64CD3EB9" w14:textId="77777777" w:rsidR="00980FD3" w:rsidRDefault="00980FD3" w:rsidP="00227F5E">
      <w:pPr>
        <w:pStyle w:val="Affiliation"/>
        <w:spacing w:after="0" w:line="240" w:lineRule="auto"/>
        <w:rPr>
          <w:rFonts w:ascii="Arial" w:hAnsi="Arial" w:cs="Arial"/>
          <w:i/>
        </w:rPr>
      </w:pPr>
    </w:p>
    <w:p w14:paraId="704F8793" w14:textId="77777777" w:rsidR="00980FD3" w:rsidRDefault="00980FD3" w:rsidP="00227F5E">
      <w:pPr>
        <w:pStyle w:val="Affiliation"/>
        <w:spacing w:after="0" w:line="240" w:lineRule="auto"/>
        <w:rPr>
          <w:rFonts w:ascii="Arial" w:hAnsi="Arial" w:cs="Arial"/>
          <w:i/>
        </w:rPr>
      </w:pPr>
    </w:p>
    <w:p w14:paraId="2EE474FA" w14:textId="30EC3239" w:rsidR="00227F5E" w:rsidRPr="0083216F" w:rsidRDefault="00227F5E" w:rsidP="00227F5E">
      <w:pPr>
        <w:pStyle w:val="Affiliation"/>
        <w:spacing w:after="0" w:line="240" w:lineRule="auto"/>
        <w:rPr>
          <w:rFonts w:ascii="Arial" w:hAnsi="Arial" w:cs="Arial"/>
          <w:i/>
        </w:rPr>
      </w:pPr>
      <w:r>
        <w:rPr>
          <w:rFonts w:ascii="Arial" w:hAnsi="Arial" w:cs="Arial"/>
          <w:i/>
        </w:rPr>
        <w:t xml:space="preserve"> </w:t>
      </w:r>
    </w:p>
    <w:p w14:paraId="33C0A154" w14:textId="39501A11" w:rsidR="00633614" w:rsidRDefault="00633614" w:rsidP="00441B6F">
      <w:pPr>
        <w:pStyle w:val="Affiliation"/>
        <w:spacing w:after="0" w:line="240" w:lineRule="auto"/>
        <w:rPr>
          <w:rFonts w:ascii="Arial" w:hAnsi="Arial" w:cs="Arial"/>
          <w:i/>
        </w:rPr>
      </w:pPr>
    </w:p>
    <w:p w14:paraId="7FF9E928" w14:textId="77777777" w:rsidR="00790ADA" w:rsidRDefault="00790ADA" w:rsidP="00441B6F">
      <w:pPr>
        <w:pStyle w:val="Affiliation"/>
        <w:spacing w:after="0" w:line="240" w:lineRule="auto"/>
        <w:jc w:val="both"/>
        <w:rPr>
          <w:rFonts w:ascii="Arial" w:hAnsi="Arial" w:cs="Arial"/>
        </w:rPr>
      </w:pPr>
    </w:p>
    <w:p w14:paraId="317294F9" w14:textId="77777777" w:rsidR="002C57D2" w:rsidRPr="00FB3A86" w:rsidRDefault="002C57D2" w:rsidP="00441B6F">
      <w:pPr>
        <w:pStyle w:val="Affiliation"/>
        <w:spacing w:after="0" w:line="240" w:lineRule="auto"/>
        <w:jc w:val="both"/>
        <w:rPr>
          <w:rFonts w:ascii="Arial" w:hAnsi="Arial" w:cs="Arial"/>
        </w:rPr>
      </w:pPr>
    </w:p>
    <w:p w14:paraId="13C9EE99" w14:textId="77777777" w:rsidR="00B01FCD" w:rsidRPr="00FB3A86" w:rsidRDefault="00000000" w:rsidP="00441B6F">
      <w:pPr>
        <w:pStyle w:val="Copyright"/>
        <w:spacing w:after="0" w:line="240" w:lineRule="auto"/>
        <w:jc w:val="both"/>
        <w:rPr>
          <w:rFonts w:ascii="Arial" w:hAnsi="Arial" w:cs="Arial"/>
        </w:rPr>
        <w:sectPr w:rsidR="00B01FCD" w:rsidRPr="00FB3A86" w:rsidSect="00980FD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4BC493A">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41C6A1B" w14:textId="1C8C5283" w:rsidR="00790ADA" w:rsidRPr="00FB3A86" w:rsidRDefault="00D00712" w:rsidP="00441B6F">
      <w:pPr>
        <w:pStyle w:val="AbstHead"/>
        <w:spacing w:after="0"/>
        <w:jc w:val="both"/>
        <w:rPr>
          <w:rFonts w:ascii="Arial" w:hAnsi="Arial" w:cs="Arial"/>
        </w:rPr>
      </w:pPr>
      <w:r>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E5AB789" w14:textId="77777777" w:rsidTr="001E44FE">
        <w:tc>
          <w:tcPr>
            <w:tcW w:w="9576" w:type="dxa"/>
            <w:shd w:val="clear" w:color="auto" w:fill="F2F2F2"/>
          </w:tcPr>
          <w:p w14:paraId="4A021D85" w14:textId="77777777" w:rsidR="00E3114E" w:rsidRDefault="00E3114E" w:rsidP="00441B6F">
            <w:pPr>
              <w:pStyle w:val="Body"/>
              <w:spacing w:after="0"/>
              <w:rPr>
                <w:rFonts w:ascii="Arial" w:eastAsia="Calibri" w:hAnsi="Arial" w:cs="Arial"/>
                <w:b/>
                <w:szCs w:val="22"/>
              </w:rPr>
            </w:pPr>
          </w:p>
          <w:p w14:paraId="4E334790" w14:textId="53740E4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Pr="00BA1B01">
              <w:rPr>
                <w:rFonts w:ascii="Arial" w:eastAsia="Calibri" w:hAnsi="Arial" w:cs="Arial"/>
                <w:szCs w:val="22"/>
              </w:rPr>
              <w:t>To</w:t>
            </w:r>
            <w:r w:rsidR="009D3455">
              <w:rPr>
                <w:rFonts w:ascii="Arial" w:eastAsia="Calibri" w:hAnsi="Arial" w:cs="Arial"/>
                <w:szCs w:val="22"/>
              </w:rPr>
              <w:t xml:space="preserve"> </w:t>
            </w:r>
            <w:r w:rsidR="00614C36">
              <w:rPr>
                <w:rFonts w:ascii="Arial" w:eastAsia="Calibri" w:hAnsi="Arial" w:cs="Arial"/>
                <w:szCs w:val="22"/>
              </w:rPr>
              <w:t>evaluate the effect of tamarillo</w:t>
            </w:r>
            <w:r w:rsidR="001B4348">
              <w:rPr>
                <w:rFonts w:ascii="Arial" w:eastAsia="Calibri" w:hAnsi="Arial" w:cs="Arial"/>
                <w:szCs w:val="22"/>
              </w:rPr>
              <w:t xml:space="preserve"> fruit </w:t>
            </w:r>
            <w:r w:rsidR="00BD44E3">
              <w:rPr>
                <w:rFonts w:ascii="Arial" w:eastAsia="Calibri" w:hAnsi="Arial" w:cs="Arial"/>
                <w:szCs w:val="22"/>
              </w:rPr>
              <w:t xml:space="preserve">ethanol </w:t>
            </w:r>
            <w:r w:rsidR="001B4348">
              <w:rPr>
                <w:rFonts w:ascii="Arial" w:eastAsia="Calibri" w:hAnsi="Arial" w:cs="Arial"/>
                <w:szCs w:val="22"/>
              </w:rPr>
              <w:t>extract cream on the levels</w:t>
            </w:r>
            <w:r w:rsidR="006341EE">
              <w:rPr>
                <w:rFonts w:ascii="Arial" w:eastAsia="Calibri" w:hAnsi="Arial" w:cs="Arial"/>
                <w:szCs w:val="22"/>
              </w:rPr>
              <w:t xml:space="preserve"> malondialdehyde (MDA), tyrosinase enzyme and melanin in the skin of male guinea pigs (Cavia porcellus) exposed to ultraviolet B (UVB) radiation</w:t>
            </w:r>
            <w:r w:rsidR="00BD44E3">
              <w:rPr>
                <w:rFonts w:ascii="Arial" w:eastAsia="Calibri" w:hAnsi="Arial" w:cs="Arial"/>
                <w:szCs w:val="22"/>
              </w:rPr>
              <w:t>.</w:t>
            </w:r>
            <w:r w:rsidRPr="00BA1B01">
              <w:rPr>
                <w:rFonts w:ascii="Arial" w:eastAsia="Calibri" w:hAnsi="Arial" w:cs="Arial"/>
                <w:szCs w:val="22"/>
              </w:rPr>
              <w:t xml:space="preserve"> </w:t>
            </w:r>
          </w:p>
          <w:p w14:paraId="204D4DC2" w14:textId="5C5F71C2"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BD44E3">
              <w:rPr>
                <w:rFonts w:ascii="Arial" w:eastAsia="Calibri" w:hAnsi="Arial" w:cs="Arial"/>
                <w:szCs w:val="22"/>
              </w:rPr>
              <w:t>Randomized post-test only control group desi</w:t>
            </w:r>
            <w:r w:rsidR="00FF515C">
              <w:rPr>
                <w:rFonts w:ascii="Arial" w:eastAsia="Calibri" w:hAnsi="Arial" w:cs="Arial"/>
                <w:szCs w:val="22"/>
              </w:rPr>
              <w:t>gn.</w:t>
            </w:r>
            <w:r w:rsidRPr="00BA1B01">
              <w:rPr>
                <w:rFonts w:ascii="Arial" w:eastAsia="Calibri" w:hAnsi="Arial" w:cs="Arial"/>
                <w:szCs w:val="22"/>
              </w:rPr>
              <w:t xml:space="preserve"> </w:t>
            </w:r>
          </w:p>
          <w:p w14:paraId="50ACDB46" w14:textId="4C83C002"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1A10FC">
              <w:rPr>
                <w:rFonts w:ascii="Arial" w:eastAsia="Calibri" w:hAnsi="Arial" w:cs="Arial"/>
                <w:szCs w:val="22"/>
              </w:rPr>
              <w:t>Food Analysis Laboratory, Faculty of Agricultural Technology; Integrated Biomedical Laboratory Unit, Faculty of Medicine</w:t>
            </w:r>
            <w:r w:rsidR="0025379C">
              <w:rPr>
                <w:rFonts w:ascii="Arial" w:eastAsia="Calibri" w:hAnsi="Arial" w:cs="Arial"/>
                <w:szCs w:val="22"/>
              </w:rPr>
              <w:t xml:space="preserve">, Udayana University; between </w:t>
            </w:r>
            <w:r w:rsidR="002930F0">
              <w:rPr>
                <w:rFonts w:ascii="Arial" w:eastAsia="Calibri" w:hAnsi="Arial" w:cs="Arial"/>
                <w:szCs w:val="22"/>
              </w:rPr>
              <w:t>September 2024 and December 2024</w:t>
            </w:r>
            <w:r w:rsidRPr="00BA1B01">
              <w:rPr>
                <w:rFonts w:ascii="Arial" w:eastAsia="Calibri" w:hAnsi="Arial" w:cs="Arial"/>
                <w:szCs w:val="22"/>
              </w:rPr>
              <w:t>.</w:t>
            </w:r>
          </w:p>
          <w:p w14:paraId="1264F76E" w14:textId="5F0B07D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E613CA">
              <w:rPr>
                <w:rFonts w:ascii="Arial" w:eastAsia="Calibri" w:hAnsi="Arial" w:cs="Arial"/>
                <w:szCs w:val="22"/>
              </w:rPr>
              <w:t xml:space="preserve">We included </w:t>
            </w:r>
            <w:r w:rsidR="00846BA1">
              <w:rPr>
                <w:rFonts w:ascii="Arial" w:eastAsia="Calibri" w:hAnsi="Arial" w:cs="Arial"/>
                <w:szCs w:val="22"/>
              </w:rPr>
              <w:t>25 locally bred male guinea pigs</w:t>
            </w:r>
            <w:r w:rsidR="00403BDB">
              <w:rPr>
                <w:rFonts w:ascii="Arial" w:eastAsia="Calibri" w:hAnsi="Arial" w:cs="Arial"/>
                <w:szCs w:val="22"/>
              </w:rPr>
              <w:t>, aged three to four months, weighing between 300 and 350 grams</w:t>
            </w:r>
            <w:r w:rsidR="002A4015">
              <w:rPr>
                <w:rFonts w:ascii="Arial" w:eastAsia="Calibri" w:hAnsi="Arial" w:cs="Arial"/>
                <w:szCs w:val="22"/>
              </w:rPr>
              <w:t>, in healthy condition.</w:t>
            </w:r>
            <w:r w:rsidR="00BA178E">
              <w:rPr>
                <w:rFonts w:ascii="Arial" w:eastAsia="Calibri" w:hAnsi="Arial" w:cs="Arial"/>
                <w:szCs w:val="22"/>
              </w:rPr>
              <w:t xml:space="preserve"> </w:t>
            </w:r>
            <w:r w:rsidR="00FE6B07">
              <w:rPr>
                <w:rFonts w:ascii="Arial" w:eastAsia="Calibri" w:hAnsi="Arial" w:cs="Arial"/>
                <w:szCs w:val="22"/>
              </w:rPr>
              <w:t>They were divided into five groups</w:t>
            </w:r>
            <w:r w:rsidR="00800561">
              <w:rPr>
                <w:rFonts w:ascii="Arial" w:eastAsia="Calibri" w:hAnsi="Arial" w:cs="Arial"/>
                <w:szCs w:val="22"/>
              </w:rPr>
              <w:t>:</w:t>
            </w:r>
            <w:r w:rsidR="00FE6B07">
              <w:rPr>
                <w:rFonts w:ascii="Arial" w:eastAsia="Calibri" w:hAnsi="Arial" w:cs="Arial"/>
                <w:szCs w:val="22"/>
              </w:rPr>
              <w:t xml:space="preserve"> normal control group (K0), negative control group</w:t>
            </w:r>
            <w:r w:rsidR="004605D2">
              <w:rPr>
                <w:rFonts w:ascii="Arial" w:eastAsia="Calibri" w:hAnsi="Arial" w:cs="Arial"/>
                <w:szCs w:val="22"/>
              </w:rPr>
              <w:t xml:space="preserve"> (K-), and treatment groups administered with tamarillo fruit ethanol extract cream at concentrations of 7,5% (P1); 15% (P2)</w:t>
            </w:r>
            <w:r w:rsidR="004F01E6">
              <w:rPr>
                <w:rFonts w:ascii="Arial" w:eastAsia="Calibri" w:hAnsi="Arial" w:cs="Arial"/>
                <w:szCs w:val="22"/>
              </w:rPr>
              <w:t xml:space="preserve"> and 30% (P3). K-, P1, P2 and P3</w:t>
            </w:r>
            <w:r w:rsidR="00FA0CAF">
              <w:rPr>
                <w:rFonts w:ascii="Arial" w:eastAsia="Calibri" w:hAnsi="Arial" w:cs="Arial"/>
                <w:szCs w:val="22"/>
              </w:rPr>
              <w:t xml:space="preserve"> groups were exposed</w:t>
            </w:r>
            <w:r w:rsidR="00FC3613">
              <w:rPr>
                <w:rFonts w:ascii="Arial" w:eastAsia="Calibri" w:hAnsi="Arial" w:cs="Arial"/>
                <w:szCs w:val="22"/>
              </w:rPr>
              <w:t xml:space="preserve"> to</w:t>
            </w:r>
            <w:r w:rsidR="005F284D">
              <w:rPr>
                <w:rFonts w:ascii="Arial" w:eastAsia="Calibri" w:hAnsi="Arial" w:cs="Arial"/>
                <w:szCs w:val="22"/>
              </w:rPr>
              <w:t xml:space="preserve"> UVB radiation at a total dose of 390 mJ/cm2</w:t>
            </w:r>
            <w:r w:rsidR="0071487A">
              <w:rPr>
                <w:rFonts w:ascii="Arial" w:eastAsia="Calibri" w:hAnsi="Arial" w:cs="Arial"/>
                <w:szCs w:val="22"/>
              </w:rPr>
              <w:t xml:space="preserve"> for two weeks. The levels of MDA and tyrosinase enzyme were measured using the ELISA</w:t>
            </w:r>
            <w:r w:rsidR="0066475D">
              <w:rPr>
                <w:rFonts w:ascii="Arial" w:eastAsia="Calibri" w:hAnsi="Arial" w:cs="Arial"/>
                <w:szCs w:val="22"/>
              </w:rPr>
              <w:t xml:space="preserve"> method, while melanin levels were measured by the </w:t>
            </w:r>
            <w:r w:rsidR="00271360">
              <w:rPr>
                <w:rFonts w:ascii="Arial" w:eastAsia="Calibri" w:hAnsi="Arial" w:cs="Arial"/>
                <w:szCs w:val="22"/>
              </w:rPr>
              <w:t>Fontana-Masson staining method.</w:t>
            </w:r>
            <w:r w:rsidR="00073A4B">
              <w:rPr>
                <w:rFonts w:ascii="Arial" w:eastAsia="Calibri" w:hAnsi="Arial" w:cs="Arial"/>
                <w:szCs w:val="22"/>
              </w:rPr>
              <w:t xml:space="preserve"> Data were analyzed using one way ANOVA test followed by a post-hoc test.</w:t>
            </w:r>
          </w:p>
          <w:p w14:paraId="527DE5BA" w14:textId="43E9F78C" w:rsidR="007063B3" w:rsidRDefault="00BA1B01" w:rsidP="00653DD1">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8E70E2">
              <w:rPr>
                <w:rFonts w:ascii="Arial" w:eastAsia="Calibri" w:hAnsi="Arial" w:cs="Arial"/>
                <w:szCs w:val="22"/>
              </w:rPr>
              <w:t>The</w:t>
            </w:r>
            <w:r w:rsidR="00F36B54">
              <w:rPr>
                <w:rFonts w:ascii="Arial" w:eastAsia="Calibri" w:hAnsi="Arial" w:cs="Arial"/>
                <w:szCs w:val="22"/>
              </w:rPr>
              <w:t xml:space="preserve"> levels of MDA, tyrosinase enzyme and melanin in K0, P1, P2, and P3 groups were significantly lower compared to group K-</w:t>
            </w:r>
            <w:r w:rsidR="007063B3">
              <w:rPr>
                <w:rFonts w:ascii="Arial" w:eastAsia="Calibri" w:hAnsi="Arial" w:cs="Arial"/>
                <w:szCs w:val="22"/>
              </w:rPr>
              <w:t>.</w:t>
            </w:r>
            <w:r w:rsidR="002C7B6B">
              <w:rPr>
                <w:rFonts w:ascii="Arial" w:eastAsia="Calibri" w:hAnsi="Arial" w:cs="Arial"/>
                <w:szCs w:val="22"/>
              </w:rPr>
              <w:t xml:space="preserve"> </w:t>
            </w:r>
            <w:r w:rsidR="00820BF3">
              <w:rPr>
                <w:rFonts w:ascii="Arial" w:eastAsia="Calibri" w:hAnsi="Arial" w:cs="Arial"/>
                <w:szCs w:val="22"/>
              </w:rPr>
              <w:t xml:space="preserve">Tyrosinase levels in the </w:t>
            </w:r>
            <w:r w:rsidR="007063B3" w:rsidRPr="007063B3">
              <w:rPr>
                <w:rFonts w:ascii="Arial" w:eastAsia="Calibri" w:hAnsi="Arial" w:cs="Arial"/>
                <w:szCs w:val="22"/>
              </w:rPr>
              <w:t xml:space="preserve">30% </w:t>
            </w:r>
            <w:r w:rsidR="00820BF3">
              <w:rPr>
                <w:rFonts w:ascii="Arial" w:eastAsia="Calibri" w:hAnsi="Arial" w:cs="Arial"/>
                <w:szCs w:val="22"/>
              </w:rPr>
              <w:t>treatment group</w:t>
            </w:r>
            <w:r w:rsidR="007063B3" w:rsidRPr="007063B3">
              <w:rPr>
                <w:rFonts w:ascii="Arial" w:eastAsia="Calibri" w:hAnsi="Arial" w:cs="Arial"/>
                <w:szCs w:val="22"/>
              </w:rPr>
              <w:t xml:space="preserve"> were not significantly different from the 15% </w:t>
            </w:r>
            <w:r w:rsidR="00DD6BC2">
              <w:rPr>
                <w:rFonts w:ascii="Arial" w:eastAsia="Calibri" w:hAnsi="Arial" w:cs="Arial"/>
                <w:szCs w:val="22"/>
              </w:rPr>
              <w:t>group</w:t>
            </w:r>
            <w:r w:rsidR="007063B3" w:rsidRPr="007063B3">
              <w:rPr>
                <w:rFonts w:ascii="Arial" w:eastAsia="Calibri" w:hAnsi="Arial" w:cs="Arial"/>
                <w:szCs w:val="22"/>
              </w:rPr>
              <w:t xml:space="preserve">, but were lower than the 7.5% </w:t>
            </w:r>
            <w:r w:rsidR="00DD6BC2">
              <w:rPr>
                <w:rFonts w:ascii="Arial" w:eastAsia="Calibri" w:hAnsi="Arial" w:cs="Arial"/>
                <w:szCs w:val="22"/>
              </w:rPr>
              <w:t>group</w:t>
            </w:r>
            <w:r w:rsidR="007063B3" w:rsidRPr="007063B3">
              <w:rPr>
                <w:rFonts w:ascii="Arial" w:eastAsia="Calibri" w:hAnsi="Arial" w:cs="Arial"/>
                <w:szCs w:val="22"/>
              </w:rPr>
              <w:t xml:space="preserve">. </w:t>
            </w:r>
            <w:r w:rsidR="00DD6BC2">
              <w:rPr>
                <w:rFonts w:ascii="Arial" w:eastAsia="Calibri" w:hAnsi="Arial" w:cs="Arial"/>
                <w:szCs w:val="22"/>
              </w:rPr>
              <w:t>All</w:t>
            </w:r>
            <w:r w:rsidR="007063B3" w:rsidRPr="007063B3">
              <w:rPr>
                <w:rFonts w:ascii="Arial" w:eastAsia="Calibri" w:hAnsi="Arial" w:cs="Arial"/>
                <w:szCs w:val="22"/>
              </w:rPr>
              <w:t xml:space="preserve"> three </w:t>
            </w:r>
            <w:r w:rsidR="00DD6BC2">
              <w:rPr>
                <w:rFonts w:ascii="Arial" w:eastAsia="Calibri" w:hAnsi="Arial" w:cs="Arial"/>
                <w:szCs w:val="22"/>
              </w:rPr>
              <w:t>concentrations</w:t>
            </w:r>
            <w:r w:rsidR="007063B3" w:rsidRPr="007063B3">
              <w:rPr>
                <w:rFonts w:ascii="Arial" w:eastAsia="Calibri" w:hAnsi="Arial" w:cs="Arial"/>
                <w:szCs w:val="22"/>
              </w:rPr>
              <w:t xml:space="preserve"> of tamarillo extract cream (7.5%; 15%; 30%) had the same effectiveness </w:t>
            </w:r>
            <w:r w:rsidR="001E2D9D">
              <w:rPr>
                <w:rFonts w:ascii="Arial" w:eastAsia="Calibri" w:hAnsi="Arial" w:cs="Arial"/>
                <w:szCs w:val="22"/>
              </w:rPr>
              <w:t>in reducing</w:t>
            </w:r>
            <w:r w:rsidR="007063B3" w:rsidRPr="007063B3">
              <w:rPr>
                <w:rFonts w:ascii="Arial" w:eastAsia="Calibri" w:hAnsi="Arial" w:cs="Arial"/>
                <w:szCs w:val="22"/>
              </w:rPr>
              <w:t xml:space="preserve"> melanin </w:t>
            </w:r>
            <w:r w:rsidR="001E2D9D">
              <w:rPr>
                <w:rFonts w:ascii="Arial" w:eastAsia="Calibri" w:hAnsi="Arial" w:cs="Arial"/>
                <w:szCs w:val="22"/>
              </w:rPr>
              <w:t xml:space="preserve">levels </w:t>
            </w:r>
            <w:r w:rsidR="007063B3" w:rsidRPr="007063B3">
              <w:rPr>
                <w:rFonts w:ascii="Arial" w:eastAsia="Calibri" w:hAnsi="Arial" w:cs="Arial"/>
                <w:szCs w:val="22"/>
              </w:rPr>
              <w:t xml:space="preserve">in </w:t>
            </w:r>
            <w:r w:rsidR="0008167B">
              <w:rPr>
                <w:rFonts w:ascii="Arial" w:eastAsia="Calibri" w:hAnsi="Arial" w:cs="Arial"/>
                <w:szCs w:val="22"/>
              </w:rPr>
              <w:t xml:space="preserve">UVB exposed </w:t>
            </w:r>
            <w:r w:rsidR="007063B3" w:rsidRPr="007063B3">
              <w:rPr>
                <w:rFonts w:ascii="Arial" w:eastAsia="Calibri" w:hAnsi="Arial" w:cs="Arial"/>
                <w:szCs w:val="22"/>
              </w:rPr>
              <w:t>guinea pigs</w:t>
            </w:r>
            <w:r w:rsidR="0008167B">
              <w:rPr>
                <w:rFonts w:ascii="Arial" w:eastAsia="Calibri" w:hAnsi="Arial" w:cs="Arial"/>
                <w:szCs w:val="22"/>
              </w:rPr>
              <w:t>.</w:t>
            </w:r>
          </w:p>
          <w:p w14:paraId="10860304" w14:textId="27F5DAED" w:rsidR="00653DD1" w:rsidRDefault="00BA1B01" w:rsidP="00653DD1">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08167B">
              <w:rPr>
                <w:rFonts w:ascii="Arial" w:eastAsia="Calibri" w:hAnsi="Arial" w:cs="Arial"/>
                <w:szCs w:val="22"/>
              </w:rPr>
              <w:t>T</w:t>
            </w:r>
            <w:r w:rsidR="001968DD" w:rsidRPr="001968DD">
              <w:rPr>
                <w:rFonts w:ascii="Arial" w:eastAsia="Calibri" w:hAnsi="Arial" w:cs="Arial"/>
                <w:szCs w:val="22"/>
              </w:rPr>
              <w:t xml:space="preserve">amarillo fruit ethanol extract cream </w:t>
            </w:r>
            <w:r w:rsidR="0008167B">
              <w:rPr>
                <w:rFonts w:ascii="Arial" w:eastAsia="Calibri" w:hAnsi="Arial" w:cs="Arial"/>
                <w:szCs w:val="22"/>
              </w:rPr>
              <w:t xml:space="preserve">effectively </w:t>
            </w:r>
            <w:r w:rsidR="001968DD" w:rsidRPr="001968DD">
              <w:rPr>
                <w:rFonts w:ascii="Arial" w:eastAsia="Calibri" w:hAnsi="Arial" w:cs="Arial"/>
                <w:szCs w:val="22"/>
              </w:rPr>
              <w:t>reduce</w:t>
            </w:r>
            <w:r w:rsidR="0008167B">
              <w:rPr>
                <w:rFonts w:ascii="Arial" w:eastAsia="Calibri" w:hAnsi="Arial" w:cs="Arial"/>
                <w:szCs w:val="22"/>
              </w:rPr>
              <w:t>d</w:t>
            </w:r>
            <w:r w:rsidR="001968DD" w:rsidRPr="001968DD">
              <w:rPr>
                <w:rFonts w:ascii="Arial" w:eastAsia="Calibri" w:hAnsi="Arial" w:cs="Arial"/>
                <w:szCs w:val="22"/>
              </w:rPr>
              <w:t xml:space="preserve"> MDA, tyrosinase and melanin levels in guinea pigs </w:t>
            </w:r>
            <w:r w:rsidR="00FA1AF8">
              <w:rPr>
                <w:rFonts w:ascii="Arial" w:eastAsia="Calibri" w:hAnsi="Arial" w:cs="Arial"/>
                <w:szCs w:val="22"/>
              </w:rPr>
              <w:t>exposed to</w:t>
            </w:r>
            <w:r w:rsidR="001968DD" w:rsidRPr="001968DD">
              <w:rPr>
                <w:rFonts w:ascii="Arial" w:eastAsia="Calibri" w:hAnsi="Arial" w:cs="Arial"/>
                <w:szCs w:val="22"/>
              </w:rPr>
              <w:t xml:space="preserve"> UV</w:t>
            </w:r>
            <w:r w:rsidR="00FA1AF8">
              <w:rPr>
                <w:rFonts w:ascii="Arial" w:eastAsia="Calibri" w:hAnsi="Arial" w:cs="Arial"/>
                <w:szCs w:val="22"/>
              </w:rPr>
              <w:t>B</w:t>
            </w:r>
            <w:r w:rsidR="001968DD" w:rsidRPr="001968DD">
              <w:rPr>
                <w:rFonts w:ascii="Arial" w:eastAsia="Calibri" w:hAnsi="Arial" w:cs="Arial"/>
                <w:szCs w:val="22"/>
              </w:rPr>
              <w:t xml:space="preserve"> radiation</w:t>
            </w:r>
            <w:r w:rsidR="00FA1AF8">
              <w:rPr>
                <w:rFonts w:ascii="Arial" w:eastAsia="Calibri" w:hAnsi="Arial" w:cs="Arial"/>
                <w:szCs w:val="22"/>
              </w:rPr>
              <w:t>.</w:t>
            </w:r>
            <w:r w:rsidR="001968DD">
              <w:rPr>
                <w:rFonts w:ascii="Arial" w:eastAsia="Calibri" w:hAnsi="Arial" w:cs="Arial"/>
                <w:szCs w:val="22"/>
              </w:rPr>
              <w:t xml:space="preserve"> </w:t>
            </w:r>
            <w:r w:rsidR="00FA1AF8">
              <w:rPr>
                <w:rFonts w:ascii="Arial" w:eastAsia="Calibri" w:hAnsi="Arial" w:cs="Arial"/>
                <w:szCs w:val="22"/>
              </w:rPr>
              <w:t>The</w:t>
            </w:r>
            <w:r w:rsidR="00001223">
              <w:rPr>
                <w:rFonts w:ascii="Arial" w:eastAsia="Calibri" w:hAnsi="Arial" w:cs="Arial"/>
                <w:szCs w:val="22"/>
              </w:rPr>
              <w:t xml:space="preserve"> 15% </w:t>
            </w:r>
            <w:r w:rsidR="00FA1AF8">
              <w:rPr>
                <w:rFonts w:ascii="Arial" w:eastAsia="Calibri" w:hAnsi="Arial" w:cs="Arial"/>
                <w:szCs w:val="22"/>
              </w:rPr>
              <w:t xml:space="preserve">concentration showed potential in preventing </w:t>
            </w:r>
            <w:r w:rsidR="00DE4723">
              <w:rPr>
                <w:rFonts w:ascii="Arial" w:eastAsia="Calibri" w:hAnsi="Arial" w:cs="Arial"/>
                <w:szCs w:val="22"/>
              </w:rPr>
              <w:t xml:space="preserve">hyperpigmentation and </w:t>
            </w:r>
            <w:r w:rsidR="00A66E18">
              <w:rPr>
                <w:rFonts w:ascii="Arial" w:eastAsia="Calibri" w:hAnsi="Arial" w:cs="Arial"/>
                <w:szCs w:val="22"/>
              </w:rPr>
              <w:t xml:space="preserve">could serve as a </w:t>
            </w:r>
            <w:r w:rsidR="00DE4723">
              <w:rPr>
                <w:rFonts w:ascii="Arial" w:eastAsia="Calibri" w:hAnsi="Arial" w:cs="Arial"/>
                <w:szCs w:val="22"/>
              </w:rPr>
              <w:t>natural</w:t>
            </w:r>
            <w:r w:rsidR="006556D8">
              <w:rPr>
                <w:rFonts w:ascii="Arial" w:eastAsia="Calibri" w:hAnsi="Arial" w:cs="Arial"/>
                <w:szCs w:val="22"/>
              </w:rPr>
              <w:t xml:space="preserve"> sunscreen. Futher research is required to confirm this finding in human used.</w:t>
            </w:r>
            <w:r w:rsidRPr="00BA1B01">
              <w:rPr>
                <w:rFonts w:ascii="Arial" w:eastAsia="Calibri" w:hAnsi="Arial" w:cs="Arial"/>
                <w:szCs w:val="22"/>
              </w:rPr>
              <w:t xml:space="preserve"> </w:t>
            </w:r>
          </w:p>
          <w:p w14:paraId="6D55F763" w14:textId="77777777" w:rsidR="00653DD1" w:rsidRPr="00BA1B01" w:rsidRDefault="00653DD1" w:rsidP="00653DD1">
            <w:pPr>
              <w:pStyle w:val="Body"/>
              <w:spacing w:after="0"/>
              <w:rPr>
                <w:rFonts w:ascii="Arial" w:eastAsia="Calibri" w:hAnsi="Arial" w:cs="Arial"/>
                <w:szCs w:val="22"/>
              </w:rPr>
            </w:pPr>
          </w:p>
          <w:p w14:paraId="002E6163" w14:textId="609AAD1B" w:rsidR="00505F06" w:rsidRPr="00BA1B01" w:rsidRDefault="00505F06" w:rsidP="00441B6F">
            <w:pPr>
              <w:pStyle w:val="Body"/>
              <w:spacing w:after="0"/>
              <w:rPr>
                <w:rFonts w:ascii="Arial" w:eastAsia="Calibri" w:hAnsi="Arial" w:cs="Arial"/>
                <w:szCs w:val="22"/>
              </w:rPr>
            </w:pPr>
          </w:p>
        </w:tc>
      </w:tr>
    </w:tbl>
    <w:p w14:paraId="493FA876" w14:textId="77777777" w:rsidR="00636EB2" w:rsidRDefault="00636EB2" w:rsidP="00441B6F">
      <w:pPr>
        <w:pStyle w:val="Body"/>
        <w:spacing w:after="0"/>
        <w:rPr>
          <w:rFonts w:ascii="Arial" w:hAnsi="Arial" w:cs="Arial"/>
          <w:i/>
        </w:rPr>
      </w:pPr>
    </w:p>
    <w:p w14:paraId="2A2E86B9" w14:textId="7157DBBF" w:rsidR="00A24E7E" w:rsidRDefault="00A24E7E" w:rsidP="00441B6F">
      <w:pPr>
        <w:pStyle w:val="Body"/>
        <w:spacing w:after="0"/>
        <w:rPr>
          <w:rFonts w:ascii="Arial" w:hAnsi="Arial" w:cs="Arial"/>
          <w:i/>
        </w:rPr>
      </w:pPr>
      <w:r>
        <w:rPr>
          <w:rFonts w:ascii="Arial" w:hAnsi="Arial" w:cs="Arial"/>
          <w:i/>
        </w:rPr>
        <w:t xml:space="preserve">Keywords: </w:t>
      </w:r>
      <w:r w:rsidR="00653DD1">
        <w:rPr>
          <w:rFonts w:ascii="Arial" w:hAnsi="Arial" w:cs="Arial"/>
          <w:i/>
        </w:rPr>
        <w:t xml:space="preserve">Tamarillo, </w:t>
      </w:r>
      <w:r w:rsidR="000B5DE2">
        <w:rPr>
          <w:rFonts w:ascii="Arial" w:hAnsi="Arial" w:cs="Arial"/>
          <w:i/>
        </w:rPr>
        <w:t>UVB, MDA, Tyrosinase, Melanin, hyperpigmentation</w:t>
      </w:r>
    </w:p>
    <w:p w14:paraId="55F33AAD" w14:textId="77777777" w:rsidR="00790ADA" w:rsidRDefault="00790ADA" w:rsidP="00441B6F">
      <w:pPr>
        <w:pStyle w:val="Body"/>
        <w:spacing w:after="0"/>
        <w:rPr>
          <w:rFonts w:ascii="Arial" w:hAnsi="Arial" w:cs="Arial"/>
          <w:i/>
        </w:rPr>
      </w:pPr>
    </w:p>
    <w:p w14:paraId="3F30BB21" w14:textId="77777777" w:rsidR="0024282C" w:rsidRDefault="0024282C" w:rsidP="00441B6F">
      <w:pPr>
        <w:pStyle w:val="Body"/>
        <w:spacing w:after="0"/>
        <w:rPr>
          <w:rFonts w:ascii="Arial" w:hAnsi="Arial" w:cs="Arial"/>
          <w:i/>
          <w:sz w:val="18"/>
        </w:rPr>
      </w:pPr>
    </w:p>
    <w:p w14:paraId="4B87C611" w14:textId="77777777" w:rsidR="00505F06" w:rsidRPr="00A24E7E" w:rsidRDefault="00505F06" w:rsidP="00441B6F">
      <w:pPr>
        <w:pStyle w:val="Body"/>
        <w:spacing w:after="0"/>
        <w:rPr>
          <w:rFonts w:ascii="Arial" w:hAnsi="Arial" w:cs="Arial"/>
          <w:i/>
        </w:rPr>
      </w:pPr>
    </w:p>
    <w:p w14:paraId="32C6554A" w14:textId="15552EC6"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7DC2CCEC" w14:textId="77777777" w:rsidR="00790ADA" w:rsidRPr="00FB3A86" w:rsidRDefault="00790ADA" w:rsidP="00441B6F">
      <w:pPr>
        <w:pStyle w:val="AbstHead"/>
        <w:spacing w:after="0"/>
        <w:jc w:val="both"/>
        <w:rPr>
          <w:rFonts w:ascii="Arial" w:hAnsi="Arial" w:cs="Arial"/>
        </w:rPr>
      </w:pPr>
    </w:p>
    <w:p w14:paraId="6D0D5346" w14:textId="564C1B31" w:rsidR="00505F06" w:rsidRDefault="00FC1CC6" w:rsidP="007E1191">
      <w:pPr>
        <w:pStyle w:val="Body"/>
        <w:spacing w:after="0"/>
        <w:ind w:firstLine="720"/>
        <w:rPr>
          <w:rFonts w:ascii="Arial" w:hAnsi="Arial" w:cs="Arial"/>
        </w:rPr>
      </w:pPr>
      <w:r>
        <w:rPr>
          <w:rFonts w:ascii="Arial" w:hAnsi="Arial" w:cs="Arial"/>
        </w:rPr>
        <w:t>Exposure to ultraviolet (UV) radiation triggers the formation of reactive oxygen species</w:t>
      </w:r>
      <w:r w:rsidR="007E1191">
        <w:rPr>
          <w:rFonts w:ascii="Arial" w:hAnsi="Arial" w:cs="Arial"/>
        </w:rPr>
        <w:t xml:space="preserve"> (ROS) and reactive nitrogen</w:t>
      </w:r>
      <w:r w:rsidR="00CF5C3A">
        <w:rPr>
          <w:rFonts w:ascii="Arial" w:hAnsi="Arial" w:cs="Arial"/>
        </w:rPr>
        <w:t xml:space="preserve"> species (RNS), leading</w:t>
      </w:r>
      <w:r w:rsidR="002806F4">
        <w:rPr>
          <w:rFonts w:ascii="Arial" w:hAnsi="Arial" w:cs="Arial"/>
        </w:rPr>
        <w:t xml:space="preserve"> to oxidative stress in the skin</w:t>
      </w:r>
      <w:r w:rsidR="00B26709">
        <w:rPr>
          <w:rFonts w:ascii="Arial" w:hAnsi="Arial" w:cs="Arial"/>
        </w:rPr>
        <w:fldChar w:fldCharType="begin" w:fldLock="1"/>
      </w:r>
      <w:r w:rsidR="0084202F">
        <w:rPr>
          <w:rFonts w:ascii="Arial" w:hAnsi="Arial" w:cs="Arial"/>
        </w:rPr>
        <w:instrText>ADDIN CSL_CITATION {"citationItems":[{"id":"ITEM-1","itemData":{"DOI":"10.29313/bcsp.v2i2.4139","abstract":"Abstract. Premature aging is the process of skin aging that occurs faster than the time. Premature aging of the skin under the eyes can occur faster from exposure to UV rays, so one way to remedy this problem is to use a hydrogel eye mask as a method of delivering antioxidant preparations. The aim of this study was to find out how the formulation of a hydrogel eye mask base has good physical characteristics and is expected to provide information about the hydrogel eye mask base formulation and its evaluation to overcome the aging process that manifests in the skin under the eye area. In this study, the sodium alginate base used was with variations in concentration with 3 formulas. In formula 1 sodium alginate used is 2% (F1), formula 2 is 2.5% (F2) and formula 3 is 3% (F3), after that the hydrogel base is evaluated. Based on evaluation, a sodium alginate concentration of 2.5% in F2 is the optimum concentration with good physical characteristics.\r Abstrak. Penuaan dini adalah proses penuaan kulit yang terjadi lebih cepat dari waktunya. Penuaan dini pada kulit area bawah mata dapat terjadi lebih cepat karena adanya paparan radiasi sinar UV, sehingga salah satu cara untuk mengatasi masalah tersebut yaitu dengan menggunakan masker mata hidrogel sebagai metode penghantaran sediaan antioksidan. Tujuan dari penelitian ini yaitu untuk mengetahui bagaimana formulasi basis masker mata hidrogel yang memiliki karakteristik fisik yang baik serta diharapkan dapat memberikan informasi mengenai formulasi basis masker mata hidrogel dan evaluasinya untuk mengatasi terjadinya proses aging yang bermanifestasi pada kulit area bawah mata. Pada penelitian ini basis natrium alginat yang digunakan yaitu dengan variasi konsentrasi 3 formula. Pada formula 1 natrium alginat yang digunakan sebesar 2% (F1), formula 2 sebesar 2,5% (F2) dan formula 3 sebesar 3% (F3), setelah itu basis hidrogel dilakukan evaluasi. Berdasarkan hasil evaluasi basis, konsentrasi natrium alginat sebesar 2,5% pada F2 merupakan konsentrasi optimum dengan karakteristik fisik yang baik.","author":[{"dropping-particle":"","family":"Gery Umami","given":"","non-dropping-particle":"","parse-names":false,"suffix":""},{"dropping-particle":"","family":"Gita Cahya Eka Darma","given":"","non-dropping-particle":"","parse-names":false,"suffix":""},{"dropping-particle":"","family":"Mentari Luthfika Dewi","given":"","non-dropping-particle":"","parse-names":false,"suffix":""}],"container-title":"Bandung Conference Series: Pharmacy","id":"ITEM-1","issue":"2","issued":{"date-parts":[["2022"]]},"page":"291-297","title":"Formulasi Basis Masker Mata Hidrogel sebagai Metode Penghantaran Sediaan Antioksidan","type":"article-journal","volume":"2"},"uris":["http://www.mendeley.com/documents/?uuid=41a1eb1b-985e-41f5-a1e9-50960d0f79a6"]},{"id":"ITEM-2","itemData":{"DOI":"10.1016/j.abd.2020.02.015","ISSN":"18064841","PMID":"33010989","abstract":"Background: The independent role of solar radiation in the differential melanogenesis between melasma and adjacent skin is unknown. Objectives: To assess the melanogenic responses of skin with facial melasma and of the adjacent skin to UVB, UVA, and visible light, in an ex vivo model. Methods: This was a quasi-experimental study involving 22 patients with melasma. Facial melasma and adjacent skin samples were collected and stored in DMEM medium, at room temperature. One fragment was placed under the protection from light, while another was exposed to UVB, UVA, and visible light (blue-violet component): 166 mJ/cm2, 1.524 J/cm2, and 40 J/cm2, respectively. Subsequently, all samples were kept for 72 hours in a dark environment and stained by Fontana-Masson to assess basal layer pigmentation, dendrites, and melanin granulation. Results: Effective melanogenesis was observed in the basal layer in melasma and in the normal adjacent skin after all irradiations (p &lt; 0.01), with the following median increment: UVB (4.7% vs. 8.5%), UVA (9.5% vs. 9.9%), and visible light (6.8% vs. 11.7%), with no significant difference between anatomical sites. An increase in melanin granulation (coarser melanosomes) was observed only after irradiation with UVA and only in the skin with melasma (p = 0.05). An increase in the melanocyte dendrite count induced by UVB radiation was observed in both anatomical sites (p ≤ 0.05). Study limitations: Use of an ex vivo model, with independent irradiation regimes for UVB, UVA, and visible light. Conclusions: Melanogenesis induced by UVB, UVA, and visible light was observed both in melasma and in the adjacent skin. The morphological patterns suggest that different irradiations promote individualized responses on the skin with melasma.","author":[{"dropping-particle":"","family":"Alcantara","given":"Giovana Piteri","non-dropping-particle":"","parse-names":false,"suffix":""},{"dropping-particle":"","family":"Esposito","given":"Ana Cláudia Cavalcante","non-dropping-particle":"","parse-names":false,"suffix":""},{"dropping-particle":"","family":"Olivatti","given":"Thainá Oliveira Felicio","non-dropping-particle":"","parse-names":false,"suffix":""},{"dropping-particle":"","family":"Yoshida","given":"Melissa Mari","non-dropping-particle":"","parse-names":false,"suffix":""},{"dropping-particle":"","family":"Miot","given":"Hélio Amante","non-dropping-particle":"","parse-names":false,"suffix":""}],"container-title":"Anais Brasileiros de Dermatologia","id":"ITEM-2","issue":"6","issued":{"date-parts":[["2020"]]},"page":"684-690","publisher":"Sociedade Brasileira de Dermatologia","title":"Evaluation of ex vivo melanogenic response to UVB, UVA, and visible light in facial melasma and unaffected adjacent skin","type":"article-journal","volume":"95"},"uris":["http://www.mendeley.com/documents/?uuid=822997cb-500b-4d5e-b72a-5ec6ca65ac0d"]},{"id":"ITEM-3","itemData":{"DOI":"10.3390/biomedicines11112925","ISSN":"22279059","abstract":"Oxidative stress, resulting from the excessive intracellular accumulation of reactive oxygen species (ROS), reactive nitrogen species (RNS), and other free radical species, contributes to the onset and progression of various diseases, including diabetes, obesity, diabetic nephropathy, diabetic neuropathy, and neurological diseases, such as Alzheimer’s disease (AD), amyotrophic lateral sclerosis (ALS), and Parkinson’s disease (PD). Oxidative stress is also implicated in cardiovascular disease and cancer. Exacerbated oxidative stress leads to the accelerated formation of advanced glycation end products (AGEs), a complex mixture of crosslinked proteins and protein modifications. Relatively high levels of AGEs are generated in diabetes, obesity, AD, and other I neurological diseases. AGEs such as Ne-carboxymethyllysine (CML) serve as markers for disease progression. AGEs, through interaction with receptors for advanced glycation end products (RAGE), initiate a cascade of deleterious signaling events to form inflammatory cytokines, and thereby further exacerbate oxidative stress in a vicious cycle. AGE inhibitors, AGE breakers, and RAGE inhibitors are therefore potential therapeutic agents for multiple diseases, including diabetes and AD. The complexity of the AGEs and the lack of well-established mechanisms for AGE formation are largely responsible for the lack of effective therapeutics targeting oxidative stress and AGE-related diseases. This review addresses the role of oxidative stress in the pathogenesis of AGE-related chronic diseases, including diabetes and neurological disorders, and recent progress in the development of therapeutics based on antioxidants, AGE breakers and RAGE inhibitors. Furthermore, this review outlines therapeutic strategies based on single-atom nanozymes that attenuate oxidative stress through the sequestering of reactive oxygen species (ROS) and reactive nitrogen species (RNS).","author":[{"dropping-particle":"","family":"Reddy","given":"V. Prakash","non-dropping-particle":"","parse-names":false,"suffix":""}],"container-title":"Biomedicines","id":"ITEM-3","issue":"11","issued":{"date-parts":[["2023"]]},"title":"Oxidative Stress in Health and Disease","type":"article-journal","volume":"11"},"uris":["http://www.mendeley.com/documents/?uuid=b30f49e6-3022-4d70-bfd2-2f7ee8cbbfb9"]},{"id":"ITEM-4","itemData":{"DOI":"10.1146/annurev-pathmechdis-012418-012809","ISSN":"15534014","PMID":"30125148","abstract":"This review focuses primarily on the beneficial effects for human health of exposure to ultraviolet radiation (UVR). UVR stimulates anti-inflammatory and immunosuppressive pathways in skin that modulate psoriasis, atopic dermatitis, and vitiligo; suppresses cutaneous lesions of graft-versus-host disease; and regulates some infection and vaccination outcomes. While polymorphic light eruption and the cutaneous photosensitivity of systemic lupus erythematosus are triggered by UVR, polymorphic light eruption also frequently benefits from UVR-induced immunomodulation. For systemic diseases such as multiple sclerosis, type 1 diabetes, asthma, schizophrenia, autism, and cardiovascular disease, any positive consequences of UVR exposure are more speculative, but could occur through the actions of UVR-induced regulatory cells and mediators, including 1,25-dihydroxy vitamin D 3, interleukin-10, and nitric oxide. Reduced UVR exposure is a risk factor for the development of several inflammatory, allergic, and autoimmune conditions, including diseases initiated in early life. This suggests that UVR-induced molecules can regulate cell maturation in developing organs.","author":[{"dropping-particle":"","family":"Hart","given":"Prue H.","non-dropping-particle":"","parse-names":false,"suffix":""},{"dropping-particle":"","family":"Norval","given":"Mary","non-dropping-particle":"","parse-names":false,"suffix":""},{"dropping-particle":"","family":"Byrne","given":"Scott N.","non-dropping-particle":"","parse-names":false,"suffix":""},{"dropping-particle":"","family":"Rhodes","given":"Lesley E.","non-dropping-particle":"","parse-names":false,"suffix":""}],"container-title":"Annual Review of Pathology: Mechanisms of Disease","id":"ITEM-4","issued":{"date-parts":[["2019"]]},"page":"55-81","title":"Exposure to Ultraviolet Radiation in the Modulation of Human Diseases","type":"article-journal","volume":"14"},"uris":["http://www.mendeley.com/documents/?uuid=d0b328a4-1c12-48a7-851d-b449227f4fcf"]}],"mendeley":{"formattedCitation":"(Alcantara et al., 2020; Gery Umami et al., 2022; Hart et al., 2019; Reddy, 2023)","plainTextFormattedCitation":"(Alcantara et al., 2020; Gery Umami et al., 2022; Hart et al., 2019; Reddy, 2023)","previouslyFormattedCitation":"(Alcantara et al., 2020; Gery Umami et al., 2022; Hart et al., 2019; Reddy, 2023)"},"properties":{"noteIndex":0},"schema":"https://github.com/citation-style-language/schema/raw/master/csl-citation.json"}</w:instrText>
      </w:r>
      <w:r w:rsidR="00B26709">
        <w:rPr>
          <w:rFonts w:ascii="Arial" w:hAnsi="Arial" w:cs="Arial"/>
        </w:rPr>
        <w:fldChar w:fldCharType="separate"/>
      </w:r>
      <w:r w:rsidR="007A4687" w:rsidRPr="007A4687">
        <w:rPr>
          <w:rFonts w:ascii="Arial" w:hAnsi="Arial" w:cs="Arial"/>
          <w:noProof/>
        </w:rPr>
        <w:t>(Alcantara et al., 2020; Gery Umami et al., 2022; Hart et al., 2019; Reddy, 2023)</w:t>
      </w:r>
      <w:r w:rsidR="00B26709">
        <w:rPr>
          <w:rFonts w:ascii="Arial" w:hAnsi="Arial" w:cs="Arial"/>
        </w:rPr>
        <w:fldChar w:fldCharType="end"/>
      </w:r>
    </w:p>
    <w:p w14:paraId="145B9081" w14:textId="5635C281" w:rsidR="00C6501E" w:rsidRDefault="009D5463" w:rsidP="007E1191">
      <w:pPr>
        <w:pStyle w:val="Body"/>
        <w:spacing w:after="0"/>
        <w:ind w:firstLine="720"/>
        <w:rPr>
          <w:rFonts w:ascii="Arial" w:hAnsi="Arial" w:cs="Arial"/>
        </w:rPr>
      </w:pPr>
      <w:r>
        <w:rPr>
          <w:rFonts w:ascii="Arial" w:hAnsi="Arial" w:cs="Arial"/>
        </w:rPr>
        <w:t>This result in lipid peroxidation with malondialdehyde (MDA)</w:t>
      </w:r>
      <w:r w:rsidR="00E030C2">
        <w:rPr>
          <w:rFonts w:ascii="Arial" w:hAnsi="Arial" w:cs="Arial"/>
        </w:rPr>
        <w:t xml:space="preserve"> as an end product and increases melanogenesis through</w:t>
      </w:r>
      <w:r w:rsidR="00CA567F">
        <w:rPr>
          <w:rFonts w:ascii="Arial" w:hAnsi="Arial" w:cs="Arial"/>
        </w:rPr>
        <w:t xml:space="preserve"> the activation of the key enzyme tyrosinase</w:t>
      </w:r>
      <w:r w:rsidR="00F574AE">
        <w:rPr>
          <w:rFonts w:ascii="Arial" w:hAnsi="Arial" w:cs="Arial"/>
        </w:rPr>
        <w:fldChar w:fldCharType="begin" w:fldLock="1"/>
      </w:r>
      <w:r w:rsidR="0084202F">
        <w:rPr>
          <w:rFonts w:ascii="Arial" w:hAnsi="Arial" w:cs="Arial"/>
        </w:rPr>
        <w:instrText>ADDIN CSL_CITATION {"citationItems":[{"id":"ITEM-1","itemData":{"DOI":"10.20473/bikk.v33.3.2021.194-199","ISSN":"1978-4279","abstract":"Background: Exposure to Ultraviolet B (UVB) rays on the skin causesmany problems, including pigmentation and aging effect. Hence, protection against it is needed. Purpose: The study aimedto determine the effect of corncob extract cream on the number of melanin pigments in guinea pig skins exposed to UVB rays. Methods: Anexperimental post-test-only control group study was conducted on the 25 guinea pigs. The guinea pigs were divided randomly into five groups: group I without cream, group II cream base, group III hydroquinone cream, group IV 30% corncob extract cream, and group V 40% corncob extract cream. The cream was given daily for 20 minutes before UVB exposure and 4 hours after UVB exposure. The total dose of UVB exposure was 780 mJ / cm2 for 28 days. The amount of melanin pigment was calculated using the CX21 image J. Result: The number of melanin pigment in groups I, II, III, IV, and V were 22.8±0.4 cells, 18±0.3 cells, 6.3±3.1 cells, 13.8±0.2 cells, and 9.4±0.5 cells, respectively. Asignificantlydifferent value of One way ANOVA test was &lt;0.05. Thus, there was a difference in the number of melanin pigments between the five groups. LSD post-hoc test showed differences in each group (p &lt;0.05). Conclusion: 40% corn cobs extract cream effectively decreased the number of melanin pigment in guinea pigs exposed to UVB rays.","author":[{"dropping-particle":"","family":"Harlisa","given":"Pasid","non-dropping-particle":"","parse-names":false,"suffix":""},{"dropping-particle":"","family":"Mahardika","given":"Sita","non-dropping-particle":"","parse-names":false,"suffix":""},{"dropping-particle":"","family":"Yuliyanti","given":"Suryani","non-dropping-particle":"","parse-names":false,"suffix":""}],"container-title":"Berkala Ilmu Kesehatan Kulit dan Kelamin","id":"ITEM-1","issue":"3","issued":{"date-parts":[["2021"]]},"page":"194","title":"The Effect of Corncob (Zea mays) Extract Cream on the Number of Melanin Pigments of Guinea Pig Exposed to Ultraviolet","type":"article-journal","volume":"33"},"uris":["http://www.mendeley.com/documents/?uuid=64d8a9d8-7dc2-482e-a895-2879027d6267"]},{"id":"ITEM-2","itemData":{"DOI":"10.52403/ijrr.20231160","ISSN":"2454-2237","abstract":"Introduction: The purpose of this study was to prove the effect of administering Moringa leaf ethanol cream extract in inhibiting the increase in tyrosinase level and the amount of melanin in the skin of male guinea pigs (Cavia porcellus) exposed to ultraviolet-B (UVB). Methods: This research was an experimental study using a randomized post-test only control group design method. The research subjects were 30 male guinea pigs divided randomly into five groups: group without cream, group with basic cream, group with 5%, 10% and 20% Moringa leaf ethanol cream extract. The five groups were exposed to UVB lamps for 15 days, and skin samples were taken 48 hours after the last exposure to UVB to examine the amount of melanin using Masson Fontana staining and tyrosinase enzyme using ELISA method. Results: The best reduction in tyrosinase enzyme was in the group given 20% of Moringa leaf extract cream (10.63 ± 6.53 ng/mL) with a p value of 0.004 (p&lt;0.05). Based on the amount of melanin, the highest mean amount of melanin was found in the group without cream (37.40 ± 16.77) and the lowest was in the treatment group given 20% Moringa leaf cream extract (10.63 ± 6.53) with a p value of 0.008 (p&lt;0.05). Conclusion: Administration of Moringa leaf (Moringa oleifera L.) ethanol cream extract inhibits the increase in tyrosinase enzyme level and the amount of melanin in the skin of male guinea pigs (Cavia porcellus) exposed to UVB with an appropriate concentration for safe use of the cream is between 5% and 10%. Keywords: Moringa leaf (Moringa oleifera L.); tyrosinase enzyme; melanin; guinea pig (Cavia porcellus); ultraviolet-B","author":[{"dropping-particle":"","family":"Marza","given":"Amalia","non-dropping-particle":"","parse-names":false,"suffix":""},{"dropping-particle":"","family":"Winaya","given":"Ketut Kwartantaya","non-dropping-particle":"","parse-names":false,"suffix":""},{"dropping-particle":"","family":"Indrayani","given":"Agung Wiwiek","non-dropping-particle":"","parse-names":false,"suffix":""}],"container-title":"International Journal of Research and Review","id":"ITEM-2","issue":"11","issued":{"date-parts":[["2023"]]},"page":"521-526","title":"Administration of Moringa (Moringa oleifera L) Leaf Ethanol Extract Cream Inhibited the Increase of Tyrosinase Enzyme Levels and Amount of Melanin in Male Guinea Pigs (Cavia porcellus) Skin Exposed to Ultraviolet-B","type":"article-journal","volume":"10"},"uris":["http://www.mendeley.com/documents/?uuid=ff481732-c2a8-4f9f-91c1-0d512991b536"]},{"id":"ITEM-3","itemData":{"DOI":"10.4062/biomolther.2013.081","ISSN":"20054483","abstract":"Resveratrol is a polyphenolic compound found in various natural products such as grapes and berries and possesses anti-cancer, anti-hyperlipidemia, and anti-aging properties. Recently, it has been reported that resveratrol inhibits α-melanocyte-stimulating hormone signaling, viability, and migration in melanoma cells. However, these effects have not been confirmed in vivo, specifically brownish guinea pigs. To evaluate the potential of resveratrol as a regulator of melanin for hyperpigmentation therapy, the influence of resveratrol on pigmentation was investigated by ultraviolet B-induced hyperpigmentation in brownish guinea pig skin. We found that resveratrol reduced the expression of melanogenesis-related proteins tyrosinase, tyrosinase-related proteins 1 and 2, and microphthalmia-associated transcription factor in melanoma cells. Furthermore, topical application of resveratrol was demonstrated to significantly decrease hyperpigmentation on ultraviolet B-stimulated guinea pig skin in vivo. Based on our histological data, resveratrol inhibits melanin synthesis via a reduction in tyrosinase-related protein 2 among the melanogenic enzymes. This study is the first to provide evidence supporting resveratrol as a depigmentation agent, along with further clinical investigation of resveratrol in ultraviolet B-induced skin disorders such as hyperpigmentation and skin photoaging. © 2014 The Korean Society of Applied Pharmacology.","author":[{"dropping-particle":"","family":"Lee","given":"Taek Hwan","non-dropping-particle":"","parse-names":false,"suffix":""},{"dropping-particle":"","family":"Seo","given":"Jae Ok","non-dropping-particle":"","parse-names":false,"suffix":""},{"dropping-particle":"","family":"Baek","given":"So Hyeon","non-dropping-particle":"","parse-names":false,"suffix":""},{"dropping-particle":"","family":"Kim","given":"Sun Yeou","non-dropping-particle":"","parse-names":false,"suffix":""}],"container-title":"Biomolecules and Therapeutics","id":"ITEM-3","issue":"1","issued":{"date-parts":[["2014"]]},"page":"35-40","title":"Inhibitory effects of resveratrol on melanin synthesis in ultraviolet B-induced pigmentation in guinea pig skin","type":"article-journal","volume":"22"},"uris":["http://www.mendeley.com/documents/?uuid=484f7c59-e1c6-4dc1-9b27-40b964526e55"]}],"mendeley":{"formattedCitation":"(Harlisa et al., 2021; Lee et al., 2014; Marza et al., 2023)","plainTextFormattedCitation":"(Harlisa et al., 2021; Lee et al., 2014; Marza et al., 2023)","previouslyFormattedCitation":"(Harlisa et al., 2021; Lee et al., 2014; Marza et al., 2023)"},"properties":{"noteIndex":0},"schema":"https://github.com/citation-style-language/schema/raw/master/csl-citation.json"}</w:instrText>
      </w:r>
      <w:r w:rsidR="00F574AE">
        <w:rPr>
          <w:rFonts w:ascii="Arial" w:hAnsi="Arial" w:cs="Arial"/>
        </w:rPr>
        <w:fldChar w:fldCharType="separate"/>
      </w:r>
      <w:r w:rsidR="007A4687" w:rsidRPr="007A4687">
        <w:rPr>
          <w:rFonts w:ascii="Arial" w:hAnsi="Arial" w:cs="Arial"/>
          <w:noProof/>
        </w:rPr>
        <w:t>(Harlisa et al., 2021; Lee et al., 2014; Marza et al., 2023)</w:t>
      </w:r>
      <w:r w:rsidR="00F574AE">
        <w:rPr>
          <w:rFonts w:ascii="Arial" w:hAnsi="Arial" w:cs="Arial"/>
        </w:rPr>
        <w:fldChar w:fldCharType="end"/>
      </w:r>
      <w:r w:rsidR="00F574AE">
        <w:rPr>
          <w:rFonts w:ascii="Arial" w:hAnsi="Arial" w:cs="Arial"/>
        </w:rPr>
        <w:t>.</w:t>
      </w:r>
      <w:r w:rsidR="00DC31B2">
        <w:rPr>
          <w:rFonts w:ascii="Arial" w:hAnsi="Arial" w:cs="Arial"/>
        </w:rPr>
        <w:t xml:space="preserve"> </w:t>
      </w:r>
      <w:r w:rsidR="00FA58E7">
        <w:rPr>
          <w:rFonts w:ascii="Arial" w:hAnsi="Arial" w:cs="Arial"/>
        </w:rPr>
        <w:t>A number of tyrosinase inhibitors have been identified, both from natural and syn</w:t>
      </w:r>
      <w:r w:rsidR="0053343A">
        <w:rPr>
          <w:rFonts w:ascii="Arial" w:hAnsi="Arial" w:cs="Arial"/>
        </w:rPr>
        <w:t>thetic sources</w:t>
      </w:r>
      <w:r w:rsidR="0053343A">
        <w:rPr>
          <w:rFonts w:ascii="Arial" w:hAnsi="Arial" w:cs="Arial"/>
        </w:rPr>
        <w:fldChar w:fldCharType="begin" w:fldLock="1"/>
      </w:r>
      <w:r w:rsidR="0084202F">
        <w:rPr>
          <w:rFonts w:ascii="Arial" w:hAnsi="Arial" w:cs="Arial"/>
        </w:rPr>
        <w:instrText>ADDIN CSL_CITATION {"citationItems":[{"id":"ITEM-1","itemData":{"DOI":"10.1039/d1ra03196a","ISSN":"20462069","abstract":"Tyrosinase is a multifunctional glycosylated and copper-containing oxidase that is highly prevalent in plants and animals and plays a pivotal role in catalyzing the two key steps of melanogenesis: tyrosine's hydroxylation to dihydroxyphenylalanine (DOPA), and oxidation of the latter species to dopaquinone. Melanin guards against the destructive effects of ultraviolet radiation which is known to produce considerable pathological disorders such as skin cancer, among others. Moreover, the overproduction of melanin can create aesthetic problems along with serious disorders linked to hyperpigmented spots or patches on skin. Several skin-whitening products which reduce melanogenesis activity and alleviate hyperpigmentation are commercially available. A few of them, particularly those obtained from natural sources and that incorporate a phenolic scaffold, have been exploited in the cosmetic industry. In this context, synthetic tyrosinase inhibitors (TIs) with elevated efficacy and fewer side effects are direly needed in the pharmaceutical and cosmetic industries owing to their protective effect against pigmentation and dermatological disorders. Furthermore, the biological significance of the chromone skeleton and its associated medicinal and bioactive properties has drawn immense interest and inspired many researchers to design and develop novel anti-tyrosinase agents based on the flavonoid core (2-arylchromone). This review article is oriented to provide an insight and a deeper understanding of the tyrosinase inhibitory activity of an array of natural and bioinspired phenolic compounds with special emphasis on flavonoids to demonstrate how the position of ring substituents and their interaction with tyrosinase could be correlated with their effectiveness or lack thereof against inhibiting the enzyme.","author":[{"dropping-particle":"","family":"Obaid","given":"Rami J.","non-dropping-particle":"","parse-names":false,"suffix":""},{"dropping-particle":"","family":"Mughal","given":"Ehsan Ullah","non-dropping-particle":"","parse-names":false,"suffix":""},{"dropping-particle":"","family":"Naeem","given":"Nafeesa","non-dropping-particle":"","parse-names":false,"suffix":""},{"dropping-particle":"","family":"Sadiq","given":"Amina","non-dropping-particle":"","parse-names":false,"suffix":""},{"dropping-particle":"","family":"Alsantali","given":"Reem I.","non-dropping-particle":"","parse-names":false,"suffix":""},{"dropping-particle":"","family":"Jassas","given":"Rabab S.","non-dropping-particle":"","parse-names":false,"suffix":""},{"dropping-particle":"","family":"Moussa","given":"Ziad","non-dropping-particle":"","parse-names":false,"suffix":""},{"dropping-particle":"","family":"Ahmed","given":"Saleh A.","non-dropping-particle":"","parse-names":false,"suffix":""}],"container-title":"RSC Advances","id":"ITEM-1","issue":"36","issued":{"date-parts":[["2021"]]},"page":"22159-22198","title":"Natural and synthetic flavonoid derivatives as new potential tyrosinase inhibitors: a systematic review","type":"article-journal","volume":"11"},"uris":["http://www.mendeley.com/documents/?uuid=494dd977-3f09-4f15-a2f2-618281bb4b7d"]}],"mendeley":{"formattedCitation":"(Obaid et al., 2021)","plainTextFormattedCitation":"(Obaid et al., 2021)","previouslyFormattedCitation":"(Obaid et al., 2021)"},"properties":{"noteIndex":0},"schema":"https://github.com/citation-style-language/schema/raw/master/csl-citation.json"}</w:instrText>
      </w:r>
      <w:r w:rsidR="0053343A">
        <w:rPr>
          <w:rFonts w:ascii="Arial" w:hAnsi="Arial" w:cs="Arial"/>
        </w:rPr>
        <w:fldChar w:fldCharType="separate"/>
      </w:r>
      <w:r w:rsidR="007A4687" w:rsidRPr="007A4687">
        <w:rPr>
          <w:rFonts w:ascii="Arial" w:hAnsi="Arial" w:cs="Arial"/>
          <w:noProof/>
        </w:rPr>
        <w:t>(Obaid et al., 2021)</w:t>
      </w:r>
      <w:r w:rsidR="0053343A">
        <w:rPr>
          <w:rFonts w:ascii="Arial" w:hAnsi="Arial" w:cs="Arial"/>
        </w:rPr>
        <w:fldChar w:fldCharType="end"/>
      </w:r>
      <w:r w:rsidR="0053343A">
        <w:rPr>
          <w:rFonts w:ascii="Arial" w:hAnsi="Arial" w:cs="Arial"/>
        </w:rPr>
        <w:t xml:space="preserve">. </w:t>
      </w:r>
      <w:r w:rsidR="001737D5">
        <w:rPr>
          <w:rFonts w:ascii="Arial" w:hAnsi="Arial" w:cs="Arial"/>
        </w:rPr>
        <w:t xml:space="preserve">Phytochemical screening showed that tamarillo fruit extract </w:t>
      </w:r>
      <w:r w:rsidR="00011883">
        <w:rPr>
          <w:rFonts w:ascii="Arial" w:hAnsi="Arial" w:cs="Arial"/>
        </w:rPr>
        <w:t>contains flavonoids, phenolics, terpenoids, steroids, saponins, alkaloids, and tannins. Flavonoids have the</w:t>
      </w:r>
      <w:r w:rsidR="00B82885">
        <w:rPr>
          <w:rFonts w:ascii="Arial" w:hAnsi="Arial" w:cs="Arial"/>
        </w:rPr>
        <w:t xml:space="preserve"> potential as free radical inhibitors</w:t>
      </w:r>
      <w:r w:rsidR="00C6501E">
        <w:rPr>
          <w:rFonts w:ascii="Arial" w:hAnsi="Arial" w:cs="Arial"/>
        </w:rPr>
        <w:fldChar w:fldCharType="begin" w:fldLock="1"/>
      </w:r>
      <w:r w:rsidR="0084202F">
        <w:rPr>
          <w:rFonts w:ascii="Arial" w:hAnsi="Arial" w:cs="Arial"/>
        </w:rPr>
        <w:instrText>ADDIN CSL_CITATION {"citationItems":[{"id":"ITEM-1","itemData":{"DOI":"10.8406/jpns.v1.i1.3540","author":[{"dropping-particle":"","family":"Siti","given":"Neneng","non-dropping-particle":"","parse-names":false,"suffix":""},{"dropping-particle":"","family":"Ambarwati","given":"Silfi","non-dropping-particle":"","parse-names":false,"suffix":""},{"dropping-particle":"","family":"Elya","given":"Berna","non-dropping-particle":"","parse-names":false,"suffix":""}],"id":"ITEM-1","issue":"1","issued":{"date-parts":[["2024"]]},"page":"35-40","title":"Tyrosinase Inhibitory Activity of The Extracts from Garcinia lateriflora Blume var . javanica Boerl , Garcinia fruticosa Lauterb , and Garcinia xanthochymus Aktivitas Penghambatan Enzim Tyrosinase dari Ekstrak Garcinia lateriflora Blume var . Javanica Boe","type":"article-journal","volume":"1"},"uris":["http://www.mendeley.com/documents/?uuid=4fa903d1-9a9d-4137-82da-c8a56c112755"]},{"id":"ITEM-2","itemData":{"ISSN":"2302-7274","abstract":"Penelitian ini bertujuan untuk mengetahui aktivitas antioksidan secara in vitro dan mengidentifikasi golongan senyawa flavonoid yang terkandung dalam fraksi n-butanol ekstrak kulit terong belanda. Uji aktivitas antioksidan dilakukan dengan metode DPPH. Pemisahan dan pemurnian fraksi aktif n-butanol dilakukan dengan kromatografi kolom menggunakan silika gel yang dielusi dengan n-butanol-etil asetat-asam asetat 10% (2:7:1) dan diidentifikasi dengan spektrofotometer UV-Vis dan FTIR. Fraksi n-butanol memiliki aktivitas antioksidan yang kuat dengan nilai IC50 sebesar 69,89 mg/L. Empat senyawa flavonoid (isolat A, C, H, dan J) berhasil diisolasi dan diidentifikasi sebagai golongan flavon, flavonol dan isoflavon. Senyawa tersebut dipercaya memiliki aktivitas antioksidan. Kata","author":[{"dropping-particle":"","family":"Widayanti","given":"Ni Putu","non-dropping-particle":"","parse-names":false,"suffix":""},{"dropping-particle":"","family":"Puspawati","given":"Ni Made","non-dropping-particle":"","parse-names":false,"suffix":""},{"dropping-particle":"","family":"Suarsana","given":"I Nyoman","non-dropping-particle":"","parse-names":false,"suffix":""},{"dropping-particle":"","family":"Asih","given":"I A R Astiti","non-dropping-particle":"","parse-names":false,"suffix":""}],"container-title":"Cakra Kimia","id":"ITEM-2","issue":"1","issued":{"date-parts":[["2016"]]},"page":"30-37","title":"Aktivitas antioksidan fraksi n-butanol ekstrak kulit terong belanda (Solanum betaceum Cav.) secara in vitro dan identifikasi senyawa golongan flavonoidnya","type":"article-journal","volume":"4"},"uris":["http://www.mendeley.com/documents/?uuid=b496a96d-e2b8-4e87-ada5-ff0ca5fb9e10"]},{"id":"ITEM-3","itemData":{"abstract":"Antioksidan adalah molekul yang dapat menghambat oksidasi molekul lain. Antioksidan dapat melindungi kulit dari berbagai kerusakan sel akibat radiasi UV, antipenuaan dan perlindungan\ndari ROS. Antioksidan banyak digunakan sebagai produk perawatan kulit / kosmetik. Ada 3 jenis kosmetik antioksidan yaitu antioksidan endogen, eksogen dan tanaman. Tanaman adalah antioksidan alami yang banyak digunakan sebagai produk perawatan kulit karena memiliki efek samping yang lebih sedikit dan aman. Dalam formulasi antioksidan perlu diperhatikan mengenai stabilitas, kompatibiliitas dan penetrasi supaya sediaan yang dihasilkan stabil, dan mudah berpenetrasi ke dalam kulit untuk mencapai jaringan target dalam bentuk aktif dan bertahan lama dikulit agar mendapatkan hasil yang diharapkan. Review ini bertujuan untuk memberikan informasi mengenai manfaat antioksidan, formulasi terutama pada mekanisme penghantarannya ke dalam kulit dan pengujian aktivitas antioksidan.","author":[{"dropping-particle":"","family":"Haerani","given":"Ani","non-dropping-particle":"","parse-names":false,"suffix":""},{"dropping-particle":"","family":"Chaerunisa","given":"Anis Yohana","non-dropping-particle":"","parse-names":false,"suffix":""},{"dropping-particle":"","family":"Subranas","given":"Anas","non-dropping-particle":"","parse-names":false,"suffix":""}],"container-title":"Farmaka","id":"ITEM-3","issued":{"date-parts":[["2018"]]},"page":"135-151","title":"Artikel Tinjauan: Antioksidan untuk kulit","type":"article-journal","volume":"16"},"uris":["http://www.mendeley.com/documents/?uuid=facd2886-7218-4b1c-ab3e-4c4729a20f2c"]},{"id":"ITEM-4","itemData":{"DOI":"10.3390/antiox12020536","ISSN":"20763921","abstract":"Native to South America, tamarillo (Solanum betaceum Cav.) is a small tree cultivated as a fruit crop in several regions of the world. Known for its sweet and sour taste, tamarillo fruits are very nutritious due to the presence of health-beneficial components such as fiber, vitamins, and antioxidants. Despite its nutritional value, tamarillo remains poorly known in global markets. The present work aims to study the antioxidant activity of four genotypes of tamarillo. Several chemical assays were performed to assess the antioxidant components and antioxidant activity of aqueous ethanolic extracts from each genotype. Overall, the Mealhada genotype (a red cultivar) showed the most interesting results, displaying the highest amount of total phenolic, flavonoids, and anthocyanin contents, as well as higher antioxidant activity. To evaluate the composition of the extract, Fourier-transform infrared spectroscopy (FTIR) was used to characterize important components in aqueous ethanolic extracts of the fruits, having revealed the presence of high amounts of phenols (the main compounds responsible for antioxidant activity), as well as triterpenoids and polysaccharides. The present results highlight the potential nutraceutical importance of tamarillo fruits.","author":[{"dropping-particle":"","family":"Rito","given":"Miguel","non-dropping-particle":"","parse-names":false,"suffix":""},{"dropping-particle":"","family":"Marques","given":"Joana","non-dropping-particle":"","parse-names":false,"suffix":""},{"dropping-particle":"","family":"Costa","given":"Ricardo M.F.","non-dropping-particle":"da","parse-names":false,"suffix":""},{"dropping-particle":"","family":"Correia","given":"Sandra","non-dropping-particle":"","parse-names":false,"suffix":""},{"dropping-particle":"","family":"Lopes","given":"Tércia","non-dropping-particle":"","parse-names":false,"suffix":""},{"dropping-particle":"","family":"Martin","given":"Daniel","non-dropping-particle":"","parse-names":false,"suffix":""},{"dropping-particle":"","family":"Canhoto","given":"Jorge M.P.L.","non-dropping-particle":"","parse-names":false,"suffix":""},{"dropping-particle":"","family":"Batista de Carvalho","given":"Luís A.E.","non-dropping-particle":"","parse-names":false,"suffix":""},{"dropping-particle":"","family":"Marques","given":"Maria Paula M.","non-dropping-particle":"","parse-names":false,"suffix":""}],"container-title":"Antioxidants","id":"ITEM-4","issue":"2","issued":{"date-parts":[["2023"]]},"title":"Antioxidant Potential of Tamarillo Fruits—Chemical and Infrared Spectroscopy Analysis","type":"article-journal","volume":"12"},"uris":["http://www.mendeley.com/documents/?uuid=4943dda9-a2bd-4e5c-9e4d-78f3792f7527"]},{"id":"ITEM-5","itemData":{"ISSN":"2620-3847","abstract":"ABSTRAK Tujuan dari penelitian ini adalah untuk mengetahui pengaruh asupan glikosida flavonoid terong belanda (Solanum betaceum Cav.) terhadap aktivitas Superoksida Dismutase (SOD) darah tikus Wistar yang diberi aktivitas fisik maksimal. Sampel penelitian adalah 24 ekor tikus yang dibagi kedalam 4 kelompok perlakuan yaitu: kontrol negatif, kontrol positif, pemberian ekstrak etanol, dan pemberian fraksi n-butanol. Aktivitas SOD diukur menggunakan kit Biovision. Hasil penelitian menunjukkan bahwa perlakuan yang diberikan memberikan perbedaan yang signifikan (p&lt;0,05) terhadap aktivitas SOD. Pemberian glikosida flavonoid fraksi n-butanol meningkatkan aktivitas SOD tikus Wistar yang diberikan aktivitas fisik maksimal sebanyak 22,79% lebih tinggi dibandingkan pemberian asupan ekstrak etanol terong belanda. ABSTRACT This study was conducted to determine the effect of flavonoid glycoside of Tamarillo (Solanum betaceum Cav.) on the activity of Wistar rat's blood Superoxide Dismutase (SOD) enzyme provided maximum physical activity. Twenty four rats divided into 4 groups; negative control, positive control, ethanol extract, and n-butanol fraction. Superoxide Dismutase Enzyme activity was measured using Biovision kit. Results showed that the treatments gave significant difference (p&lt;0.05) to SOD. Flavonoid glycoside from n-butanol fraction increased SOD activity of Wistar rat 22,79% higher than ethanol extract.","author":[{"dropping-particle":"","family":"Jeane","given":"Magda","non-dropping-particle":"","parse-names":false,"suffix":""},{"dropping-particle":"","family":"Raka","given":"Ida Ayu","non-dropping-particle":"","parse-names":false,"suffix":""},{"dropping-particle":"","family":"Asih","given":"Astiti","non-dropping-particle":"","parse-names":false,"suffix":""},{"dropping-particle":"","family":"Bogoriani","given":"Ni Wayan","non-dropping-particle":"","parse-names":false,"suffix":""}],"container-title":"Jurnal Media Sains Maret","id":"ITEM-5","issue":"1","issued":{"date-parts":[["2018"]]},"page":"32-36","title":"Asupan Glikosida Flavonoid Terong Belanda (Solanum betaceum Cav.) Terhadap Aktivitas Superoksida Dismutase dan Kadar\nMalondialdehid Tikus Wistar yang Diberi Aktivitas Fisik Maksimal","type":"article-journal","volume":"2"},"uris":["http://www.mendeley.com/documents/?uuid=a1cbc1f4-6191-47b9-9fff-4a7249c276a0"]}],"mendeley":{"formattedCitation":"(Haerani et al., 2018; Jeane et al., 2018; Rito et al., 2023; Siti et al., 2024; Widayanti et al., 2016)","plainTextFormattedCitation":"(Haerani et al., 2018; Jeane et al., 2018; Rito et al., 2023; Siti et al., 2024; Widayanti et al., 2016)","previouslyFormattedCitation":"(Haerani et al., 2018; Jeane et al., 2018; Rito et al., 2023; Siti et al., 2024; Widayanti et al., 2016)"},"properties":{"noteIndex":0},"schema":"https://github.com/citation-style-language/schema/raw/master/csl-citation.json"}</w:instrText>
      </w:r>
      <w:r w:rsidR="00C6501E">
        <w:rPr>
          <w:rFonts w:ascii="Arial" w:hAnsi="Arial" w:cs="Arial"/>
        </w:rPr>
        <w:fldChar w:fldCharType="separate"/>
      </w:r>
      <w:r w:rsidR="007A4687" w:rsidRPr="007A4687">
        <w:rPr>
          <w:rFonts w:ascii="Arial" w:hAnsi="Arial" w:cs="Arial"/>
          <w:noProof/>
        </w:rPr>
        <w:t>(Haerani et al., 2018; Jeane et al., 2018; Rito et al., 2023; Siti et al., 2024; Widayanti et al., 2016)</w:t>
      </w:r>
      <w:r w:rsidR="00C6501E">
        <w:rPr>
          <w:rFonts w:ascii="Arial" w:hAnsi="Arial" w:cs="Arial"/>
        </w:rPr>
        <w:fldChar w:fldCharType="end"/>
      </w:r>
      <w:r w:rsidR="007E0F75">
        <w:rPr>
          <w:rFonts w:ascii="Arial" w:hAnsi="Arial" w:cs="Arial"/>
        </w:rPr>
        <w:t>.</w:t>
      </w:r>
      <w:r w:rsidR="0002112B">
        <w:rPr>
          <w:rFonts w:ascii="Arial" w:hAnsi="Arial" w:cs="Arial"/>
        </w:rPr>
        <w:t xml:space="preserve"> Tannins are able to bind metal ions such as copper (Cu) which is an </w:t>
      </w:r>
      <w:r w:rsidR="004E6E0A">
        <w:rPr>
          <w:rFonts w:ascii="Arial" w:hAnsi="Arial" w:cs="Arial"/>
        </w:rPr>
        <w:t>important cofactor for the tyrosinase enzyme. By attaching to these metal ions, tannins hinder the function of the tyrosinase enzyme, leading to a decrease in melanin production</w:t>
      </w:r>
      <w:r w:rsidR="005445EA">
        <w:rPr>
          <w:rFonts w:ascii="Arial" w:hAnsi="Arial" w:cs="Arial"/>
        </w:rPr>
        <w:fldChar w:fldCharType="begin" w:fldLock="1"/>
      </w:r>
      <w:r w:rsidR="0084202F">
        <w:rPr>
          <w:rFonts w:ascii="Arial" w:hAnsi="Arial" w:cs="Arial"/>
        </w:rPr>
        <w:instrText>ADDIN CSL_CITATION {"citationItems":[{"id":"ITEM-1","itemData":{"DOI":"10.1016/j.scp.2021.100481","ISSN":"23525541","abstract":"Tannins are natural phenolic compounds that are widespread and almost ubiquitous in the vegetal world. They can be found in fruit, wood and bark of trees, and many types of wild herbs and plants or from sustainable agriculture and forestry. Their traditional use for leather has been doubled for centuries in the popular medical and pharmacological lore by their use to cure or alleviate a variety of infections and diseases. This has indicated to modern researchers that these materials possess a great potential for the use in modern medicine and pharmacy. This review, after an introduction on tannins their structures and their basic chemistry describe what modern researchers have been able to glean and demonstrate of their real, identified and quantified effects on various diseases, from their bactericidal, anticancer and antinflammatory actions to the many other effects that putsnow in more close focus in pharmacology.","author":[{"dropping-particle":"","family":"Pizzi","given":"A.","non-dropping-particle":"","parse-names":false,"suffix":""}],"container-title":"Sustainable Chemistry and Pharmacy","id":"ITEM-1","issued":{"date-parts":[["2021"]]},"title":"Tannins medical / pharmacological and related applications: A critical review","type":"article-journal","volume":"22"},"uris":["http://www.mendeley.com/documents/?uuid=d33ce52b-3a5b-4912-a3da-602d5953a899"]},{"id":"ITEM-2","itemData":{"ISBN":"9788411172226","author":[{"dropping-particle":"","family":"Molino","given":"Silva","non-dropping-particle":"","parse-names":false,"suffix":""}],"id":"ITEM-2","issued":{"date-parts":[["2022"]]},"number-of-pages":"287","title":"Tannins. Bioactivity and effect on gut microbiota","type":"book"},"uris":["http://www.mendeley.com/documents/?uuid=fbb5d5e7-10bb-491b-b7a2-cf4f75daf13f"]},{"id":"ITEM-3","itemData":{"DOI":"10.3390/ijms24054360","ISSN":"14220067","PMID":"36901791","abstract":"Melanin is a biological pigment formed by indoles and phenolic compounds. It is widely found in living organisms and has a variety of unique properties. Due to its diverse characteristics and good biocompatibility, melanin has become the focus in the fields of biomedicine, agriculture, the food industry, etc. However, due to the wide range of melanin sources, complex polymerization properties, and low solubility of specific solvents, the specific macromolecular structure and polymerization mechanism of melanin remain unclear, which significantly limits the further study and application of melanin. Its synthesis and degradation pathways are also controversial. In addition, new properties and applications of melanin are constantly being discovered. In this review, we focus on the recent advances in the research of melanin in all aspects. Firstly, the classification, source, and degradation of melanin are summarized. Secondly, a detailed description of the structure, characterization, and properties of melanin is followed. The novel biological activity of melanin and its application is described at the end.","author":[{"dropping-particle":"","family":"Guo","given":"Lili","non-dropping-particle":"","parse-names":false,"suffix":""},{"dropping-particle":"","family":"Li","given":"Wenya","non-dropping-particle":"","parse-names":false,"suffix":""},{"dropping-particle":"","family":"Gu","given":"Zhiyang","non-dropping-particle":"","parse-names":false,"suffix":""},{"dropping-particle":"","family":"Wang","given":"Litong","non-dropping-particle":"","parse-names":false,"suffix":""},{"dropping-particle":"","family":"Guo","given":"Lan","non-dropping-particle":"","parse-names":false,"suffix":""},{"dropping-particle":"","family":"Ma","given":"Saibo","non-dropping-particle":"","parse-names":false,"suffix":""},{"dropping-particle":"","family":"Li","given":"Cuiyao","non-dropping-particle":"","parse-names":false,"suffix":""},{"dropping-particle":"","family":"Sun","given":"Jishang","non-dropping-particle":"","parse-names":false,"suffix":""},{"dropping-particle":"","family":"Han","given":"Baoqin","non-dropping-particle":"","parse-names":false,"suffix":""},{"dropping-particle":"","family":"Chang","given":"Jing","non-dropping-particle":"","parse-names":false,"suffix":""}],"container-title":"International Journal of Molecular Sciences","id":"ITEM-3","issue":"5","issued":{"date-parts":[["2023"]]},"title":"Recent Advances and Progress on Melanin: From Source to Application","type":"article-journal","volume":"24"},"uris":["http://www.mendeley.com/documents/?uuid=68f19bfc-6df3-487c-8ee8-8b3c2f820603"]}],"mendeley":{"formattedCitation":"(Guo et al., 2023; Molino, 2022; Pizzi, 2021)","plainTextFormattedCitation":"(Guo et al., 2023; Molino, 2022; Pizzi, 2021)","previouslyFormattedCitation":"(Guo et al., 2023; Molino, 2022; Pizzi, 2021)"},"properties":{"noteIndex":0},"schema":"https://github.com/citation-style-language/schema/raw/master/csl-citation.json"}</w:instrText>
      </w:r>
      <w:r w:rsidR="005445EA">
        <w:rPr>
          <w:rFonts w:ascii="Arial" w:hAnsi="Arial" w:cs="Arial"/>
        </w:rPr>
        <w:fldChar w:fldCharType="separate"/>
      </w:r>
      <w:r w:rsidR="007A4687" w:rsidRPr="007A4687">
        <w:rPr>
          <w:rFonts w:ascii="Arial" w:hAnsi="Arial" w:cs="Arial"/>
          <w:noProof/>
        </w:rPr>
        <w:t>(Guo et al., 2023; Molino, 2022; Pizzi, 2021)</w:t>
      </w:r>
      <w:r w:rsidR="005445EA">
        <w:rPr>
          <w:rFonts w:ascii="Arial" w:hAnsi="Arial" w:cs="Arial"/>
        </w:rPr>
        <w:fldChar w:fldCharType="end"/>
      </w:r>
      <w:r w:rsidR="005445EA">
        <w:rPr>
          <w:rFonts w:ascii="Arial" w:hAnsi="Arial" w:cs="Arial"/>
        </w:rPr>
        <w:t xml:space="preserve">. </w:t>
      </w:r>
    </w:p>
    <w:p w14:paraId="14DA7B75" w14:textId="373492E5" w:rsidR="00DB1982" w:rsidRDefault="00455B77" w:rsidP="007E1191">
      <w:pPr>
        <w:pStyle w:val="Body"/>
        <w:spacing w:after="0"/>
        <w:ind w:firstLine="720"/>
        <w:rPr>
          <w:rFonts w:ascii="Arial" w:hAnsi="Arial" w:cs="Arial"/>
        </w:rPr>
      </w:pPr>
      <w:r>
        <w:rPr>
          <w:rFonts w:ascii="Arial" w:hAnsi="Arial" w:cs="Arial"/>
        </w:rPr>
        <w:t>Flavonoids are a type of secondary metabolite classified as natural polyphenols founds in plants. These compounds</w:t>
      </w:r>
      <w:r w:rsidR="008910A1">
        <w:rPr>
          <w:rFonts w:ascii="Arial" w:hAnsi="Arial" w:cs="Arial"/>
        </w:rPr>
        <w:t xml:space="preserve"> has a core structure in the form of a C6-C3-C6 carbon skeleton, which consists</w:t>
      </w:r>
      <w:r w:rsidR="0030332E">
        <w:rPr>
          <w:rFonts w:ascii="Arial" w:hAnsi="Arial" w:cs="Arial"/>
        </w:rPr>
        <w:t xml:space="preserve"> of 15 carbon atoms</w:t>
      </w:r>
      <w:r w:rsidR="00C254B2">
        <w:rPr>
          <w:rFonts w:ascii="Arial" w:hAnsi="Arial" w:cs="Arial"/>
        </w:rPr>
        <w:fldChar w:fldCharType="begin" w:fldLock="1"/>
      </w:r>
      <w:r w:rsidR="0084202F">
        <w:rPr>
          <w:rFonts w:ascii="Arial" w:hAnsi="Arial" w:cs="Arial"/>
        </w:rPr>
        <w:instrText>ADDIN CSL_CITATION {"citationItems":[{"id":"ITEM-1","itemData":{"DOI":"10.1039/d1ra03196a","ISSN":"20462069","abstract":"Tyrosinase is a multifunctional glycosylated and copper-containing oxidase that is highly prevalent in plants and animals and plays a pivotal role in catalyzing the two key steps of melanogenesis: tyrosine's hydroxylation to dihydroxyphenylalanine (DOPA), and oxidation of the latter species to dopaquinone. Melanin guards against the destructive effects of ultraviolet radiation which is known to produce considerable pathological disorders such as skin cancer, among others. Moreover, the overproduction of melanin can create aesthetic problems along with serious disorders linked to hyperpigmented spots or patches on skin. Several skin-whitening products which reduce melanogenesis activity and alleviate hyperpigmentation are commercially available. A few of them, particularly those obtained from natural sources and that incorporate a phenolic scaffold, have been exploited in the cosmetic industry. In this context, synthetic tyrosinase inhibitors (TIs) with elevated efficacy and fewer side effects are direly needed in the pharmaceutical and cosmetic industries owing to their protective effect against pigmentation and dermatological disorders. Furthermore, the biological significance of the chromone skeleton and its associated medicinal and bioactive properties has drawn immense interest and inspired many researchers to design and develop novel anti-tyrosinase agents based on the flavonoid core (2-arylchromone). This review article is oriented to provide an insight and a deeper understanding of the tyrosinase inhibitory activity of an array of natural and bioinspired phenolic compounds with special emphasis on flavonoids to demonstrate how the position of ring substituents and their interaction with tyrosinase could be correlated with their effectiveness or lack thereof against inhibiting the enzyme.","author":[{"dropping-particle":"","family":"Obaid","given":"Rami J.","non-dropping-particle":"","parse-names":false,"suffix":""},{"dropping-particle":"","family":"Mughal","given":"Ehsan Ullah","non-dropping-particle":"","parse-names":false,"suffix":""},{"dropping-particle":"","family":"Naeem","given":"Nafeesa","non-dropping-particle":"","parse-names":false,"suffix":""},{"dropping-particle":"","family":"Sadiq","given":"Amina","non-dropping-particle":"","parse-names":false,"suffix":""},{"dropping-particle":"","family":"Alsantali","given":"Reem I.","non-dropping-particle":"","parse-names":false,"suffix":""},{"dropping-particle":"","family":"Jassas","given":"Rabab S.","non-dropping-particle":"","parse-names":false,"suffix":""},{"dropping-particle":"","family":"Moussa","given":"Ziad","non-dropping-particle":"","parse-names":false,"suffix":""},{"dropping-particle":"","family":"Ahmed","given":"Saleh A.","non-dropping-particle":"","parse-names":false,"suffix":""}],"container-title":"RSC Advances","id":"ITEM-1","issue":"36","issued":{"date-parts":[["2021"]]},"page":"22159-22198","title":"Natural and synthetic flavonoid derivatives as new potential tyrosinase inhibitors: a systematic review","type":"article-journal","volume":"11"},"uris":["http://www.mendeley.com/documents/?uuid=494dd977-3f09-4f15-a2f2-618281bb4b7d"]},{"id":"ITEM-2","itemData":{"ISSN":"2302-7274","abstract":"Penelitian ini bertujuan untuk mengetahui aktivitas antioksidan secara in vitro dan mengidentifikasi golongan senyawa flavonoid yang terkandung dalam fraksi n-butanol ekstrak kulit terong belanda. Uji aktivitas antioksidan dilakukan dengan metode DPPH. Pemisahan dan pemurnian fraksi aktif n-butanol dilakukan dengan kromatografi kolom menggunakan silika gel yang dielusi dengan n-butanol-etil asetat-asam asetat 10% (2:7:1) dan diidentifikasi dengan spektrofotometer UV-Vis dan FTIR. Fraksi n-butanol memiliki aktivitas antioksidan yang kuat dengan nilai IC50 sebesar 69,89 mg/L. Empat senyawa flavonoid (isolat A, C, H, dan J) berhasil diisolasi dan diidentifikasi sebagai golongan flavon, flavonol dan isoflavon. Senyawa tersebut dipercaya memiliki aktivitas antioksidan. Kata","author":[{"dropping-particle":"","family":"Widayanti","given":"Ni Putu","non-dropping-particle":"","parse-names":false,"suffix":""},{"dropping-particle":"","family":"Puspawati","given":"Ni Made","non-dropping-particle":"","parse-names":false,"suffix":""},{"dropping-particle":"","family":"Suarsana","given":"I Nyoman","non-dropping-particle":"","parse-names":false,"suffix":""},{"dropping-particle":"","family":"Asih","given":"I A R Astiti","non-dropping-particle":"","parse-names":false,"suffix":""}],"container-title":"Cakra Kimia","id":"ITEM-2","issue":"1","issued":{"date-parts":[["2016"]]},"page":"30-37","title":"Aktivitas antioksidan fraksi n-butanol ekstrak kulit terong belanda (Solanum betaceum Cav.) secara in vitro dan identifikasi senyawa golongan flavonoidnya","type":"article-journal","volume":"4"},"uris":["http://www.mendeley.com/documents/?uuid=b496a96d-e2b8-4e87-ada5-ff0ca5fb9e10"]},{"id":"ITEM-3","itemData":{"abstract":"Antioksidan adalah molekul yang dapat menghambat oksidasi molekul lain. Antioksidan dapat melindungi kulit dari berbagai kerusakan sel akibat radiasi UV, antipenuaan dan perlindungan\ndari ROS. Antioksidan banyak digunakan sebagai produk perawatan kulit / kosmetik. Ada 3 jenis kosmetik antioksidan yaitu antioksidan endogen, eksogen dan tanaman. Tanaman adalah antioksidan alami yang banyak digunakan sebagai produk perawatan kulit karena memiliki efek samping yang lebih sedikit dan aman. Dalam formulasi antioksidan perlu diperhatikan mengenai stabilitas, kompatibiliitas dan penetrasi supaya sediaan yang dihasilkan stabil, dan mudah berpenetrasi ke dalam kulit untuk mencapai jaringan target dalam bentuk aktif dan bertahan lama dikulit agar mendapatkan hasil yang diharapkan. Review ini bertujuan untuk memberikan informasi mengenai manfaat antioksidan, formulasi terutama pada mekanisme penghantarannya ke dalam kulit dan pengujian aktivitas antioksidan.","author":[{"dropping-particle":"","family":"Haerani","given":"Ani","non-dropping-particle":"","parse-names":false,"suffix":""},{"dropping-particle":"","family":"Chaerunisa","given":"Anis Yohana","non-dropping-particle":"","parse-names":false,"suffix":""},{"dropping-particle":"","family":"Subranas","given":"Anas","non-dropping-particle":"","parse-names":false,"suffix":""}],"container-title":"Farmaka","id":"ITEM-3","issued":{"date-parts":[["2018"]]},"page":"135-151","title":"Artikel Tinjauan: Antioksidan untuk kulit","type":"article-journal","volume":"16"},"uris":["http://www.mendeley.com/documents/?uuid=facd2886-7218-4b1c-ab3e-4c4729a20f2c"]},{"id":"ITEM-4","itemData":{"DOI":"10.8406/jpns.v1.i1.3540","author":[{"dropping-particle":"","family":"Siti","given":"Neneng","non-dropping-particle":"","parse-names":false,"suffix":""},{"dropping-particle":"","family":"Ambarwati","given":"Silfi","non-dropping-particle":"","parse-names":false,"suffix":""},{"dropping-particle":"","family":"Elya","given":"Berna","non-dropping-particle":"","parse-names":false,"suffix":""}],"id":"ITEM-4","issue":"1","issued":{"date-parts":[["2024"]]},"page":"35-40","title":"Tyrosinase Inhibitory Activity of The Extracts from Garcinia lateriflora Blume var . javanica Boerl , Garcinia fruticosa Lauterb , and Garcinia xanthochymus Aktivitas Penghambatan Enzim Tyrosinase dari Ekstrak Garcinia lateriflora Blume var . Javanica Boe","type":"article-journal","volume":"1"},"uris":["http://www.mendeley.com/documents/?uuid=4fa903d1-9a9d-4137-82da-c8a56c112755"]}],"mendeley":{"formattedCitation":"(Haerani et al., 2018; Obaid et al., 2021; Siti et al., 2024; Widayanti et al., 2016)","plainTextFormattedCitation":"(Haerani et al., 2018; Obaid et al., 2021; Siti et al., 2024; Widayanti et al., 2016)","previouslyFormattedCitation":"(Haerani et al., 2018; Obaid et al., 2021; Siti et al., 2024; Widayanti et al., 2016)"},"properties":{"noteIndex":0},"schema":"https://github.com/citation-style-language/schema/raw/master/csl-citation.json"}</w:instrText>
      </w:r>
      <w:r w:rsidR="00C254B2">
        <w:rPr>
          <w:rFonts w:ascii="Arial" w:hAnsi="Arial" w:cs="Arial"/>
        </w:rPr>
        <w:fldChar w:fldCharType="separate"/>
      </w:r>
      <w:r w:rsidR="007A4687" w:rsidRPr="007A4687">
        <w:rPr>
          <w:rFonts w:ascii="Arial" w:hAnsi="Arial" w:cs="Arial"/>
          <w:noProof/>
        </w:rPr>
        <w:t>(Haerani et al., 2018; Obaid et al., 2021; Siti et al., 2024; Widayanti et al., 2016)</w:t>
      </w:r>
      <w:r w:rsidR="00C254B2">
        <w:rPr>
          <w:rFonts w:ascii="Arial" w:hAnsi="Arial" w:cs="Arial"/>
        </w:rPr>
        <w:fldChar w:fldCharType="end"/>
      </w:r>
      <w:r w:rsidR="00C254B2">
        <w:rPr>
          <w:rFonts w:ascii="Arial" w:hAnsi="Arial" w:cs="Arial"/>
        </w:rPr>
        <w:t>.</w:t>
      </w:r>
      <w:r w:rsidR="00F36B3D">
        <w:rPr>
          <w:rFonts w:ascii="Arial" w:hAnsi="Arial" w:cs="Arial"/>
        </w:rPr>
        <w:t xml:space="preserve"> </w:t>
      </w:r>
    </w:p>
    <w:p w14:paraId="381F8FC5" w14:textId="51DD3DD4" w:rsidR="00053279" w:rsidRDefault="004103C1" w:rsidP="007E1191">
      <w:pPr>
        <w:pStyle w:val="Body"/>
        <w:spacing w:after="0"/>
        <w:ind w:firstLine="720"/>
        <w:rPr>
          <w:rFonts w:ascii="Arial" w:hAnsi="Arial" w:cs="Arial"/>
        </w:rPr>
      </w:pPr>
      <w:r>
        <w:rPr>
          <w:rFonts w:ascii="Arial" w:hAnsi="Arial" w:cs="Arial"/>
        </w:rPr>
        <w:t>The tyrosinase enzyme plays an important role in melanin synthesis. Decreased activity</w:t>
      </w:r>
      <w:r w:rsidR="000111EA">
        <w:rPr>
          <w:rFonts w:ascii="Arial" w:hAnsi="Arial" w:cs="Arial"/>
        </w:rPr>
        <w:t xml:space="preserve"> of this enzyme leads to reduced melanin production. Melanin production starts with the tyrosinase enzyme converting L-tyrosine to L-DOPA, which is then oxidized by the same enzyme into L-dopaquinone. L-dopaquinone is the key building block for melanin</w:t>
      </w:r>
      <w:r w:rsidR="00053279">
        <w:rPr>
          <w:rFonts w:ascii="Arial" w:hAnsi="Arial" w:cs="Arial"/>
        </w:rPr>
        <w:fldChar w:fldCharType="begin" w:fldLock="1"/>
      </w:r>
      <w:r w:rsidR="0084202F">
        <w:rPr>
          <w:rFonts w:ascii="Arial" w:hAnsi="Arial" w:cs="Arial"/>
        </w:rPr>
        <w:instrText>ADDIN CSL_CITATION {"citationItems":[{"id":"ITEM-1","itemData":{"DOI":"10.3390/ijms17071144","ISSN":"14220067","PMID":"27428965","abstract":"Melanocytes are melanin-producing cells found in skin, hair follicles, eyes, inner ear, bones, heart and brain of humans. They arise from pluripotent neural crest cells and differentiate in response to a complex network of interacting regulatory pathways. Melanins are pigment molecules that are endogenously synthesized by melanocytes. The light absorption of melanin in skin and hair leads to photoreceptor shielding, thermoregulation, photoprotection, camouflage and display coloring. Melanins are also powerful cation chelators and may act as free radical sinks. Melanin formation is a product of complex biochemical events that starts from amino acid tyrosine and its metabolite, dopa. The types and amounts of melanin produced by melanocytes are determined genetically and are influenced by a variety of extrinsic and intrinsic factors such as hormonal changes, inflammation, age and exposure to UV light. These stimuli affect the different pathways in melanogenesis. In this review we will discuss the regulatory mechanisms involved in melanogenesis and explain how intrinsic and extrinsic factors regulate melanin production. We will also explain the regulatory roles of different proteins involved in melanogenesis.","author":[{"dropping-particle":"","family":"D’Mello","given":"Stacey A.N.","non-dropping-particle":"","parse-names":false,"suffix":""},{"dropping-particle":"","family":"Finlay","given":"Graeme J.","non-dropping-particle":"","parse-names":false,"suffix":""},{"dropping-particle":"","family":"Baguley","given":"Bruce C.","non-dropping-particle":"","parse-names":false,"suffix":""},{"dropping-particle":"","family":"Askarian-Amiri","given":"Marjan E.","non-dropping-particle":"","parse-names":false,"suffix":""}],"container-title":"International Journal of Molecular Sciences","id":"ITEM-1","issue":"7","issued":{"date-parts":[["2016"]]},"page":"1-18","title":"Signaling pathways in melanogenesis","type":"article-journal","volume":"17"},"uris":["http://www.mendeley.com/documents/?uuid=2a578fd2-1d1f-48d6-b6f6-d5113a6d550b"]},{"id":"ITEM-2","itemData":{"author":[{"dropping-particle":"","family":"Choi","given":"Hyun-Jae Shin;Moon-Hee","non-dropping-particle":"","parse-names":false,"suffix":""}],"container-title":"MDPI","id":"ITEM-2","issued":{"date-parts":[["2016"]]},"title":"Anti-Melanogenesis Effect of Quercetin","type":"article-journal"},"uris":["http://www.mendeley.com/documents/?uuid=0c954f2e-427e-400a-83f1-33ae0b92051f"]},{"id":"ITEM-3","itemData":{"author":[{"dropping-particle":"","family":"Ruchi","given":"Gupta","non-dropping-particle":"","parse-names":false,"suffix":""}],"id":"ITEM-3","issued":{"date-parts":[["2020"]]},"page":"199-204","title":"Review on Antityrosinase Activity of Some Indian Medicinal Plants and their","type":"article-journal","volume":"10"},"uris":["http://www.mendeley.com/documents/?uuid=45488bda-8268-4c11-893b-b40cd15ad7ae"]}],"mendeley":{"formattedCitation":"(Choi, 2016; D’Mello et al., 2016; Ruchi, 2020)","plainTextFormattedCitation":"(Choi, 2016; D’Mello et al., 2016; Ruchi, 2020)","previouslyFormattedCitation":"(Choi, 2016; D’Mello et al., 2016; Ruchi, 2020)"},"properties":{"noteIndex":0},"schema":"https://github.com/citation-style-language/schema/raw/master/csl-citation.json"}</w:instrText>
      </w:r>
      <w:r w:rsidR="00053279">
        <w:rPr>
          <w:rFonts w:ascii="Arial" w:hAnsi="Arial" w:cs="Arial"/>
        </w:rPr>
        <w:fldChar w:fldCharType="separate"/>
      </w:r>
      <w:r w:rsidR="007A4687" w:rsidRPr="007A4687">
        <w:rPr>
          <w:rFonts w:ascii="Arial" w:hAnsi="Arial" w:cs="Arial"/>
          <w:noProof/>
        </w:rPr>
        <w:t>(Choi, 2016; D’Mello et al., 2016; Ruchi, 2020)</w:t>
      </w:r>
      <w:r w:rsidR="00053279">
        <w:rPr>
          <w:rFonts w:ascii="Arial" w:hAnsi="Arial" w:cs="Arial"/>
        </w:rPr>
        <w:fldChar w:fldCharType="end"/>
      </w:r>
      <w:r w:rsidR="00053279">
        <w:rPr>
          <w:rFonts w:ascii="Arial" w:hAnsi="Arial" w:cs="Arial"/>
        </w:rPr>
        <w:t>.</w:t>
      </w:r>
    </w:p>
    <w:p w14:paraId="1CC38B83" w14:textId="3036900C" w:rsidR="00053279" w:rsidRDefault="00245222" w:rsidP="007E1191">
      <w:pPr>
        <w:pStyle w:val="Body"/>
        <w:spacing w:after="0"/>
        <w:ind w:firstLine="720"/>
        <w:rPr>
          <w:rFonts w:ascii="Arial" w:hAnsi="Arial" w:cs="Arial"/>
        </w:rPr>
      </w:pPr>
      <w:r>
        <w:rPr>
          <w:rFonts w:ascii="Arial" w:hAnsi="Arial" w:cs="Arial"/>
        </w:rPr>
        <w:t>Tamarillo fruit contains high nutrients such as carotenoids, anthocyanins, phenolic compounds, vitamin and flavonols. Consumption of tamarillo fruit has been shown to have antioxidant, anti</w:t>
      </w:r>
      <w:r w:rsidR="0065468D">
        <w:rPr>
          <w:rFonts w:ascii="Arial" w:hAnsi="Arial" w:cs="Arial"/>
        </w:rPr>
        <w:t>-</w:t>
      </w:r>
      <w:r w:rsidR="005E52D7">
        <w:rPr>
          <w:rFonts w:ascii="Arial" w:hAnsi="Arial" w:cs="Arial"/>
        </w:rPr>
        <w:t>inflammatory, anti</w:t>
      </w:r>
      <w:r w:rsidR="0065468D">
        <w:rPr>
          <w:rFonts w:ascii="Arial" w:hAnsi="Arial" w:cs="Arial"/>
        </w:rPr>
        <w:t>-</w:t>
      </w:r>
      <w:r w:rsidR="005E52D7">
        <w:rPr>
          <w:rFonts w:ascii="Arial" w:hAnsi="Arial" w:cs="Arial"/>
        </w:rPr>
        <w:t>obesogenic and chemopreventif effects on cancer cell models in rodents</w:t>
      </w:r>
      <w:r w:rsidR="004B32E7">
        <w:rPr>
          <w:rFonts w:ascii="Arial" w:hAnsi="Arial" w:cs="Arial"/>
        </w:rPr>
        <w:fldChar w:fldCharType="begin" w:fldLock="1"/>
      </w:r>
      <w:r w:rsidR="0084202F">
        <w:rPr>
          <w:rFonts w:ascii="Arial" w:hAnsi="Arial" w:cs="Arial"/>
        </w:rPr>
        <w:instrText>ADDIN CSL_CITATION {"citationItems":[{"id":"ITEM-1","itemData":{"DOI":"10.59141/comserva.v2i12.719","ISSN":"2798-5652","abstract":"Dutch eggplant fruit (Solanum Betaceum Cav) has chemical contents including alkaloids, flavonoids, tannins, saponins and triterpenoids which are known to have antibacterial activities (Rahmadina and Sudiono 2019). Based on the compounds that are owned Dutch eggplant fruit can be used as a hand antiseptic. This study aims to formulate Dutch eggplant fruit extract (Solanum betaceum Cav) in the form of hand sanitizer preparations. Gel Hand sanitizer extract Dutch eggplant fruit is formulated with different concentrations. The method used is the Disc Diffusion Method (Kirby Bauer Method). Gel Hand sanitizer is tested for its physical properties, including Organoleptis test, homogeneity test, PH test, stability test, irritation test and antibacterial test. Hand sanitizer gel preparations that have antibacterial activity against staphylococcus aureus bacteria are at a concentration of 15%, which is 4.51 mm.","author":[{"dropping-particle":"","family":"Tanjung","given":"V.R.","non-dropping-particle":"","parse-names":false,"suffix":""}],"container-title":"COMSERVA Indonesian Jurnal of Community Services and Development","id":"ITEM-1","issue":"12","issued":{"date-parts":[["2023"]]},"page":"2904-2911","title":"Formulasi Hand Sanitizer Gel dengan Ekstrak Buah Terung Belanda (Solanum Betaceum Cav) Sebagai Antiseptik","type":"article-journal","volume":"2"},"uris":["http://www.mendeley.com/documents/?uuid=f104da3e-1b23-48eb-8bfa-d9cf753b249c"]},{"id":"ITEM-2","itemData":{"DOI":"10.3390/antiox11030520","ISSN":"20763921","abstract":"Tamarillo extract is a good source of phenolic and anthocyanin compounds which are well-known for beneficial antioxidant activity, but their bioactivity maybe lost during digestion. In this study, promising prospects of tamarillo polyphenols encapsulated in cubosome nanoparticles prepared via a top-down method were explored. The prepared nanocarriers were examined for their morphology, entrapment efficiency, particle size and stability during in vitro digestion as well as potential fortification of yoghurt. Tamarillo polyphenol-loaded cubosomes showed cubic shape with a mean particle size of 322.4 ± 7.27 nm and the entrapment efficiency for most polyphenols was over 50%. The encapsulated polyphenols showed high stability during the gastric phase of in vitro digestion and were almost completely, but slowly released in the intestinal phase. Addition of encapsulated tamarillo polyphenols to yoghurt (5, 10 and 15 wt% through pre-and post-fermentation) improved the physicochemical and potential nutritional properties (polyphenols concentration, TPC) as well as antioxidant activity. The encapsulation of tamarillo polyphenols protected against pH changes and enzymatic digestion and facilitated a targeted delivery and slow release of the encapsulated compounds to the intestine. Overall, the cubosomal delivery system demonstrated the potential for encapsulation of polyphenols from tamarillo for value-added food product development with yoghurt as the vehicle.","author":[{"dropping-particle":"","family":"Diep","given":"Tung Thanh","non-dropping-particle":"","parse-names":false,"suffix":""},{"dropping-particle":"","family":"Yoo","given":"Michelle Ji Yeon","non-dropping-particle":"","parse-names":false,"suffix":""},{"dropping-particle":"","family":"Rush","given":"Elaine","non-dropping-particle":"","parse-names":false,"suffix":""}],"container-title":"Antioxidants","id":"ITEM-2","issue":"3","issued":{"date-parts":[["2022"]]},"title":"Tamarillo Polyphenols Encapsulated-Cubosome: Formation, Characterization, Stability during Digestion and Application in Yoghurt","type":"article-journal","volume":"11"},"uris":["http://www.mendeley.com/documents/?uuid=7f45affd-51ec-473e-af39-08ec3baa38c2"]}],"mendeley":{"formattedCitation":"(Diep et al., 2022; Tanjung, 2023)","plainTextFormattedCitation":"(Diep et al., 2022; Tanjung, 2023)","previouslyFormattedCitation":"(Diep et al., 2022; Tanjung, 2023)"},"properties":{"noteIndex":0},"schema":"https://github.com/citation-style-language/schema/raw/master/csl-citation.json"}</w:instrText>
      </w:r>
      <w:r w:rsidR="004B32E7">
        <w:rPr>
          <w:rFonts w:ascii="Arial" w:hAnsi="Arial" w:cs="Arial"/>
        </w:rPr>
        <w:fldChar w:fldCharType="separate"/>
      </w:r>
      <w:r w:rsidR="007A4687" w:rsidRPr="007A4687">
        <w:rPr>
          <w:rFonts w:ascii="Arial" w:hAnsi="Arial" w:cs="Arial"/>
          <w:noProof/>
        </w:rPr>
        <w:t>(Diep et al., 2022; Tanjung, 2023)</w:t>
      </w:r>
      <w:r w:rsidR="004B32E7">
        <w:rPr>
          <w:rFonts w:ascii="Arial" w:hAnsi="Arial" w:cs="Arial"/>
        </w:rPr>
        <w:fldChar w:fldCharType="end"/>
      </w:r>
      <w:r w:rsidR="004B32E7">
        <w:rPr>
          <w:rFonts w:ascii="Arial" w:hAnsi="Arial" w:cs="Arial"/>
        </w:rPr>
        <w:t>.</w:t>
      </w:r>
    </w:p>
    <w:p w14:paraId="06C811EE" w14:textId="5CDB0DA5" w:rsidR="004103C1" w:rsidRDefault="007D50E4" w:rsidP="007E1191">
      <w:pPr>
        <w:pStyle w:val="Body"/>
        <w:spacing w:after="0"/>
        <w:ind w:firstLine="720"/>
        <w:rPr>
          <w:rFonts w:ascii="Arial" w:hAnsi="Arial" w:cs="Arial"/>
        </w:rPr>
      </w:pPr>
      <w:r>
        <w:rPr>
          <w:rFonts w:ascii="Arial" w:hAnsi="Arial" w:cs="Arial"/>
        </w:rPr>
        <w:t>The study</w:t>
      </w:r>
      <w:r w:rsidR="006F7F76">
        <w:rPr>
          <w:rFonts w:ascii="Arial" w:hAnsi="Arial" w:cs="Arial"/>
        </w:rPr>
        <w:t xml:space="preserve"> conducted by Isla (2022) have shown that polyphenolic extracts from tamarillo peel and seed inhibit the activity of </w:t>
      </w:r>
      <w:r w:rsidR="00A459B4">
        <w:rPr>
          <w:rFonts w:ascii="Arial" w:hAnsi="Arial" w:cs="Arial"/>
        </w:rPr>
        <w:t>hydrolytic enzymes sush as tyrosinase, elastase, collagenase and hyaluronidase, especially elastase and tyrosinase. These finding suggest</w:t>
      </w:r>
      <w:r w:rsidR="004A41F8">
        <w:rPr>
          <w:rFonts w:ascii="Arial" w:hAnsi="Arial" w:cs="Arial"/>
        </w:rPr>
        <w:t xml:space="preserve"> that tamarillo fruit subproducts are a promising source of bioactive phenols for application in the cosmetic industry</w:t>
      </w:r>
      <w:r w:rsidR="00CF01E4">
        <w:rPr>
          <w:rFonts w:ascii="Arial" w:hAnsi="Arial" w:cs="Arial"/>
        </w:rPr>
        <w:t xml:space="preserve">. Formulations such as hydrogels, lotions, or creams using this extract offer a more environmentally friendly, affordable and effective solution compared to </w:t>
      </w:r>
      <w:r w:rsidR="00CE2229">
        <w:rPr>
          <w:rFonts w:ascii="Arial" w:hAnsi="Arial" w:cs="Arial"/>
        </w:rPr>
        <w:t xml:space="preserve">other plant extract commonly used in cosmetic products </w:t>
      </w:r>
      <w:r w:rsidR="00D855D6">
        <w:rPr>
          <w:rFonts w:ascii="Arial" w:hAnsi="Arial" w:cs="Arial"/>
        </w:rPr>
        <w:fldChar w:fldCharType="begin" w:fldLock="1"/>
      </w:r>
      <w:r w:rsidR="0084202F">
        <w:rPr>
          <w:rFonts w:ascii="Arial" w:hAnsi="Arial" w:cs="Arial"/>
        </w:rPr>
        <w:instrText>ADDIN CSL_CITATION {"citationItems":[{"id":"ITEM-1","itemData":{"DOI":"10.3390/foods11213363","ISSN":"23048158","abstract":"The fruit supply chain generates large amounts of waste that are often used as animal feed and in the production of both composts and fertilizers and biogas (anaerobic digestion). Since these types of procedures imply high economic costs related to drying, storage, and transport processes, more efficient and environmentally friendly utilization and recycling of this kind of waste are becoming significant for governments and industries. However, improper waste disposal increases the burden on the environment. Many of these fruit wastes, such as Solanum betaceum fruit waste, viz., peels, seeds, and pomace, could be considered potent bio-resource materials for several applications in the food and non-food industries due to their richness in valuable compounds. The basic composition of Solanum betaceum fruits seed has a high content of protein (20%), fiber (around 25%), sugar (11–20%) and low lipid content (0.4%), while S. betaceum peel has a low content of sugar (2–9%), protein (8–10%) and lipid (0.2–0.8%) and high fiber content (23%). Regarding the phytochemicals, the wastes have a high level of phenolics (0.2–0.6%) and pigments such as anthocyanins (0.06%). The inherent bioactive compounds of waste can be used as natural ingredients for foods, cosmetics, medicines, and the production of packaging materials production. Along this line, the present review covers all possible approaches for the valorization of S. betaceum waste in the food and non-food sectors.","author":[{"dropping-particle":"","family":"Isla","given":"María Inés","non-dropping-particle":"","parse-names":false,"suffix":""},{"dropping-particle":"","family":"Orqueda","given":"María Eugenia","non-dropping-particle":"","parse-names":false,"suffix":""},{"dropping-particle":"","family":"Moreno","given":"María Alejandra","non-dropping-particle":"","parse-names":false,"suffix":""},{"dropping-particle":"","family":"Torres","given":"Sebastián","non-dropping-particle":"","parse-names":false,"suffix":""},{"dropping-particle":"","family":"Zampini","given":"Iris Catiana","non-dropping-particle":"","parse-names":false,"suffix":""}],"container-title":"Foods","id":"ITEM-1","issue":"21","issued":{"date-parts":[["2022"]]},"page":"1-16","title":"Solanum betaceum Fruits Waste: A Valuable Source of Bioactive Compounds to Be Used in Foods and Non-Foods Applications","type":"article-journal","volume":"11"},"uris":["http://www.mendeley.com/documents/?uuid=cc2ea50c-331c-4c6a-be54-36d89e3c779d"]}],"mendeley":{"formattedCitation":"(Isla et al., 2022)","plainTextFormattedCitation":"(Isla et al., 2022)","previouslyFormattedCitation":"(Isla et al., 2022)"},"properties":{"noteIndex":0},"schema":"https://github.com/citation-style-language/schema/raw/master/csl-citation.json"}</w:instrText>
      </w:r>
      <w:r w:rsidR="00D855D6">
        <w:rPr>
          <w:rFonts w:ascii="Arial" w:hAnsi="Arial" w:cs="Arial"/>
        </w:rPr>
        <w:fldChar w:fldCharType="separate"/>
      </w:r>
      <w:r w:rsidR="007A4687" w:rsidRPr="007A4687">
        <w:rPr>
          <w:rFonts w:ascii="Arial" w:hAnsi="Arial" w:cs="Arial"/>
          <w:noProof/>
        </w:rPr>
        <w:t>(Isla et al., 2022)</w:t>
      </w:r>
      <w:r w:rsidR="00D855D6">
        <w:rPr>
          <w:rFonts w:ascii="Arial" w:hAnsi="Arial" w:cs="Arial"/>
        </w:rPr>
        <w:fldChar w:fldCharType="end"/>
      </w:r>
      <w:r w:rsidR="00D855D6">
        <w:rPr>
          <w:rFonts w:ascii="Arial" w:hAnsi="Arial" w:cs="Arial"/>
        </w:rPr>
        <w:t>.</w:t>
      </w:r>
    </w:p>
    <w:p w14:paraId="478552C6" w14:textId="77777777" w:rsidR="005E52D7" w:rsidRDefault="005E52D7" w:rsidP="007E1191">
      <w:pPr>
        <w:pStyle w:val="Body"/>
        <w:spacing w:after="0"/>
        <w:ind w:firstLine="720"/>
        <w:rPr>
          <w:rFonts w:ascii="Arial" w:hAnsi="Arial" w:cs="Arial"/>
        </w:rPr>
      </w:pPr>
    </w:p>
    <w:p w14:paraId="5609A761" w14:textId="77777777" w:rsidR="00C254B2" w:rsidRDefault="00C254B2" w:rsidP="007E1191">
      <w:pPr>
        <w:pStyle w:val="Body"/>
        <w:spacing w:after="0"/>
        <w:ind w:firstLine="720"/>
        <w:rPr>
          <w:rFonts w:ascii="Arial" w:hAnsi="Arial" w:cs="Arial"/>
        </w:rPr>
      </w:pPr>
    </w:p>
    <w:p w14:paraId="4E879F69" w14:textId="3E2E20E1"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3FB4BF2" w14:textId="77777777" w:rsidR="00790ADA" w:rsidRPr="00FB3A86" w:rsidRDefault="00790ADA" w:rsidP="00441B6F">
      <w:pPr>
        <w:pStyle w:val="AbstHead"/>
        <w:spacing w:after="0"/>
        <w:jc w:val="both"/>
        <w:rPr>
          <w:rFonts w:ascii="Arial" w:hAnsi="Arial" w:cs="Arial"/>
        </w:rPr>
      </w:pPr>
    </w:p>
    <w:p w14:paraId="1A9D63B9" w14:textId="49085279" w:rsidR="00B95236" w:rsidRDefault="00132B22" w:rsidP="00DD0631">
      <w:pPr>
        <w:pStyle w:val="Body"/>
        <w:spacing w:after="0"/>
        <w:ind w:firstLine="720"/>
        <w:rPr>
          <w:rFonts w:ascii="Arial" w:hAnsi="Arial" w:cs="Arial"/>
        </w:rPr>
      </w:pPr>
      <w:r>
        <w:rPr>
          <w:rFonts w:ascii="Arial" w:hAnsi="Arial" w:cs="Arial"/>
        </w:rPr>
        <w:t>Tamarillo fruit extract was obtained through the maceration method using 96% ethanol at the Food Analysis Laboratory, Faculty of Agricultural Technology, Udayana University. Cream formulations containing tamarillo fruit ethanol extract at concentrations of 7,5%, 15% and 30% were developed</w:t>
      </w:r>
      <w:r w:rsidR="00DD0631">
        <w:rPr>
          <w:rFonts w:ascii="Arial" w:hAnsi="Arial" w:cs="Arial"/>
        </w:rPr>
        <w:t xml:space="preserve"> at the Integrated Biomedical Laboratory Unit, Faculty of Medicine, Udayana University, following established protocols.</w:t>
      </w:r>
    </w:p>
    <w:p w14:paraId="0D451AA1" w14:textId="14AB5278" w:rsidR="00091F2E" w:rsidRDefault="00091F2E" w:rsidP="00DD0631">
      <w:pPr>
        <w:pStyle w:val="Body"/>
        <w:spacing w:after="0"/>
        <w:ind w:firstLine="720"/>
        <w:rPr>
          <w:rFonts w:ascii="Arial" w:hAnsi="Arial" w:cs="Arial"/>
        </w:rPr>
      </w:pPr>
      <w:r>
        <w:rPr>
          <w:rFonts w:ascii="Arial" w:hAnsi="Arial" w:cs="Arial"/>
        </w:rPr>
        <w:t xml:space="preserve">This study used a randomized post-test only control group experimental design and was conducted at the Integrated Biomedical Laboratory </w:t>
      </w:r>
      <w:r w:rsidR="00A85C1B">
        <w:rPr>
          <w:rFonts w:ascii="Arial" w:hAnsi="Arial" w:cs="Arial"/>
        </w:rPr>
        <w:t>Unit, Faculty of Medicine, Udayana University from September to December 2024. The sam</w:t>
      </w:r>
      <w:r w:rsidR="00D76A23">
        <w:rPr>
          <w:rFonts w:ascii="Arial" w:hAnsi="Arial" w:cs="Arial"/>
        </w:rPr>
        <w:t>p</w:t>
      </w:r>
      <w:r w:rsidR="00A85C1B">
        <w:rPr>
          <w:rFonts w:ascii="Arial" w:hAnsi="Arial" w:cs="Arial"/>
        </w:rPr>
        <w:t>les included 25 locally b</w:t>
      </w:r>
      <w:r w:rsidR="00D76A23">
        <w:rPr>
          <w:rFonts w:ascii="Arial" w:hAnsi="Arial" w:cs="Arial"/>
        </w:rPr>
        <w:t>re</w:t>
      </w:r>
      <w:r w:rsidR="00A85C1B">
        <w:rPr>
          <w:rFonts w:ascii="Arial" w:hAnsi="Arial" w:cs="Arial"/>
        </w:rPr>
        <w:t>d male guinea pigs (Cavia porcellus), aged between three to four months, weighing between 300 and 350 grams, with brown fur, in healthy condition, exhibiting normal feeding and drinking behav</w:t>
      </w:r>
      <w:r w:rsidR="00F80E5F">
        <w:rPr>
          <w:rFonts w:ascii="Arial" w:hAnsi="Arial" w:cs="Arial"/>
        </w:rPr>
        <w:t xml:space="preserve">ior. The subjects were categorized into five groups, including a normal control group, that did not receive any treatment (K0); a negative control group that received a basic cream and was exposed to UVB radiation (K-), P1 group that received 7,5% tamarillo fruit ethanol </w:t>
      </w:r>
      <w:r w:rsidR="00F80E5F">
        <w:rPr>
          <w:rFonts w:ascii="Arial" w:hAnsi="Arial" w:cs="Arial"/>
        </w:rPr>
        <w:lastRenderedPageBreak/>
        <w:t>extract cream and was exposed to UVB radiation, P2</w:t>
      </w:r>
      <w:r w:rsidR="00243282">
        <w:rPr>
          <w:rFonts w:ascii="Arial" w:hAnsi="Arial" w:cs="Arial"/>
        </w:rPr>
        <w:t xml:space="preserve"> group that received 15% % tamarillo fruit ethanol extract cream and was exposed to UVB radiatio</w:t>
      </w:r>
      <w:r w:rsidR="00DD6E4E">
        <w:rPr>
          <w:rFonts w:ascii="Arial" w:hAnsi="Arial" w:cs="Arial"/>
        </w:rPr>
        <w:t>n; and P3 group that received 30%</w:t>
      </w:r>
      <w:r w:rsidR="00D0461F">
        <w:rPr>
          <w:rFonts w:ascii="Arial" w:hAnsi="Arial" w:cs="Arial"/>
        </w:rPr>
        <w:t xml:space="preserve"> tamarillo fruit extract crea</w:t>
      </w:r>
      <w:r w:rsidR="00D84FF6">
        <w:rPr>
          <w:rFonts w:ascii="Arial" w:hAnsi="Arial" w:cs="Arial"/>
        </w:rPr>
        <w:t>m</w:t>
      </w:r>
      <w:r w:rsidR="00D0461F">
        <w:rPr>
          <w:rFonts w:ascii="Arial" w:hAnsi="Arial" w:cs="Arial"/>
        </w:rPr>
        <w:t xml:space="preserve"> and was exposed to UVB radiation. The topical formulation were</w:t>
      </w:r>
      <w:r w:rsidR="00EC289E">
        <w:rPr>
          <w:rFonts w:ascii="Arial" w:hAnsi="Arial" w:cs="Arial"/>
        </w:rPr>
        <w:t xml:space="preserve"> </w:t>
      </w:r>
      <w:r w:rsidR="00D0461F">
        <w:rPr>
          <w:rFonts w:ascii="Arial" w:hAnsi="Arial" w:cs="Arial"/>
        </w:rPr>
        <w:t>applied once daily at 10.00</w:t>
      </w:r>
      <w:r w:rsidR="00BF2A0E">
        <w:rPr>
          <w:rFonts w:ascii="Arial" w:hAnsi="Arial" w:cs="Arial"/>
        </w:rPr>
        <w:t xml:space="preserve"> AM</w:t>
      </w:r>
      <w:r w:rsidR="00D0461F">
        <w:rPr>
          <w:rFonts w:ascii="Arial" w:hAnsi="Arial" w:cs="Arial"/>
        </w:rPr>
        <w:t xml:space="preserve"> Central Indonesia Time on non-UVB irradiation days. On days of UVB exposure, the topical formulation was applied at 10.</w:t>
      </w:r>
      <w:r w:rsidR="006C74A0">
        <w:rPr>
          <w:rFonts w:ascii="Arial" w:hAnsi="Arial" w:cs="Arial"/>
        </w:rPr>
        <w:t>0</w:t>
      </w:r>
      <w:r w:rsidR="00D0461F">
        <w:rPr>
          <w:rFonts w:ascii="Arial" w:hAnsi="Arial" w:cs="Arial"/>
        </w:rPr>
        <w:t>0</w:t>
      </w:r>
      <w:r w:rsidR="00BF2A0E">
        <w:rPr>
          <w:rFonts w:ascii="Arial" w:hAnsi="Arial" w:cs="Arial"/>
        </w:rPr>
        <w:t xml:space="preserve"> AM</w:t>
      </w:r>
      <w:r w:rsidR="00D0461F">
        <w:rPr>
          <w:rFonts w:ascii="Arial" w:hAnsi="Arial" w:cs="Arial"/>
        </w:rPr>
        <w:t xml:space="preserve"> Central Indonesia Time</w:t>
      </w:r>
      <w:r w:rsidR="00BF2A0E">
        <w:rPr>
          <w:rFonts w:ascii="Arial" w:hAnsi="Arial" w:cs="Arial"/>
        </w:rPr>
        <w:t xml:space="preserve"> (20 minutes before UVB exposure) and again at 2</w:t>
      </w:r>
      <w:r w:rsidR="00D63D36">
        <w:rPr>
          <w:rFonts w:ascii="Arial" w:hAnsi="Arial" w:cs="Arial"/>
        </w:rPr>
        <w:t>:</w:t>
      </w:r>
      <w:r w:rsidR="00BF2A0E">
        <w:rPr>
          <w:rFonts w:ascii="Arial" w:hAnsi="Arial" w:cs="Arial"/>
        </w:rPr>
        <w:t>20 PM</w:t>
      </w:r>
      <w:r w:rsidR="00D0461F">
        <w:rPr>
          <w:rFonts w:ascii="Arial" w:hAnsi="Arial" w:cs="Arial"/>
        </w:rPr>
        <w:t xml:space="preserve"> </w:t>
      </w:r>
      <w:r w:rsidR="00BF2A0E">
        <w:rPr>
          <w:rFonts w:ascii="Arial" w:hAnsi="Arial" w:cs="Arial"/>
        </w:rPr>
        <w:t>Central Indonesia Time</w:t>
      </w:r>
      <w:r w:rsidR="00D84FF6">
        <w:rPr>
          <w:rFonts w:ascii="Arial" w:hAnsi="Arial" w:cs="Arial"/>
        </w:rPr>
        <w:t xml:space="preserve"> (four hours after each UVB exposure), 0,4 mg of cream was applied to the shaved backs of the guinea pigs. UVB exposure</w:t>
      </w:r>
      <w:r w:rsidR="00A75962">
        <w:rPr>
          <w:rFonts w:ascii="Arial" w:hAnsi="Arial" w:cs="Arial"/>
        </w:rPr>
        <w:t xml:space="preserve"> (65 mJ/cm2 for 65 seconds) was administered three times a week (Monday, Wednesday, and Fri</w:t>
      </w:r>
      <w:r w:rsidR="00D63D36">
        <w:rPr>
          <w:rFonts w:ascii="Arial" w:hAnsi="Arial" w:cs="Arial"/>
        </w:rPr>
        <w:t xml:space="preserve">day) at 10:20 AM </w:t>
      </w:r>
      <w:r w:rsidR="006C74A0">
        <w:rPr>
          <w:rFonts w:ascii="Arial" w:hAnsi="Arial" w:cs="Arial"/>
        </w:rPr>
        <w:t>Central Indonesia Time for a total of 14 days. MDA and tyrosinase enzyme levels were then measured using ELISA, while melanin levels measured using the Fontana-Masson staining method following previously established protocols.</w:t>
      </w:r>
    </w:p>
    <w:p w14:paraId="1EF6F61C" w14:textId="77777777" w:rsidR="00A03B96" w:rsidRDefault="00A03B96" w:rsidP="00441B6F">
      <w:pPr>
        <w:pStyle w:val="Body"/>
        <w:spacing w:after="0"/>
        <w:rPr>
          <w:rFonts w:ascii="Arial" w:hAnsi="Arial" w:cs="Arial"/>
        </w:rPr>
      </w:pPr>
    </w:p>
    <w:p w14:paraId="22360D2C" w14:textId="77777777" w:rsidR="00790ADA" w:rsidRPr="00FB3A86" w:rsidRDefault="00790ADA" w:rsidP="00441B6F">
      <w:pPr>
        <w:pStyle w:val="Body"/>
        <w:spacing w:after="0"/>
        <w:rPr>
          <w:rFonts w:ascii="Arial" w:hAnsi="Arial" w:cs="Arial"/>
        </w:rPr>
      </w:pPr>
    </w:p>
    <w:p w14:paraId="0EA426B5" w14:textId="6EB225FB" w:rsidR="00AA74E0" w:rsidRDefault="00AA74E0" w:rsidP="00441B6F">
      <w:pPr>
        <w:pStyle w:val="Body"/>
        <w:spacing w:after="0"/>
        <w:rPr>
          <w:rFonts w:ascii="Arial" w:hAnsi="Arial" w:cs="Arial"/>
        </w:rPr>
      </w:pPr>
      <w:r w:rsidRPr="00C30A0F">
        <w:rPr>
          <w:rFonts w:ascii="Arial" w:hAnsi="Arial" w:cs="Arial"/>
          <w:b/>
          <w:caps/>
          <w:sz w:val="22"/>
        </w:rPr>
        <w:t xml:space="preserve">2.1 </w:t>
      </w:r>
      <w:r w:rsidR="00C6286B">
        <w:rPr>
          <w:rFonts w:ascii="Arial" w:hAnsi="Arial" w:cs="Arial"/>
          <w:b/>
          <w:caps/>
          <w:sz w:val="22"/>
        </w:rPr>
        <w:t xml:space="preserve">statistical analysis </w:t>
      </w:r>
    </w:p>
    <w:p w14:paraId="1D1409B1" w14:textId="5F393838" w:rsidR="00C6286B" w:rsidRDefault="00C6286B" w:rsidP="00441B6F">
      <w:pPr>
        <w:pStyle w:val="Body"/>
        <w:spacing w:after="0"/>
        <w:rPr>
          <w:rFonts w:ascii="Arial" w:hAnsi="Arial" w:cs="Arial"/>
        </w:rPr>
      </w:pPr>
      <w:r>
        <w:rPr>
          <w:rFonts w:ascii="Arial" w:hAnsi="Arial" w:cs="Arial"/>
        </w:rPr>
        <w:t>All data are expressed as mean ± standard deviation (SD). Statistical analyses were conducted using SPSS so</w:t>
      </w:r>
      <w:r w:rsidR="00A779C4">
        <w:rPr>
          <w:rFonts w:ascii="Arial" w:hAnsi="Arial" w:cs="Arial"/>
        </w:rPr>
        <w:t>ftware, version 26 (SPSS Inc., Chicago, IL, USA). The normality test of MDA levels, tyrosinase enzyme activity, and melanin content was assessed using the Shapiro-Wilk test</w:t>
      </w:r>
      <w:r w:rsidR="00A0270A">
        <w:rPr>
          <w:rFonts w:ascii="Arial" w:hAnsi="Arial" w:cs="Arial"/>
        </w:rPr>
        <w:t>, while homogeneity was evaluated with Levene’test. One-way ANOVA was used to compare the groups, with post hoc test performed to determine significant differences</w:t>
      </w:r>
      <w:r w:rsidR="008309C1">
        <w:rPr>
          <w:rFonts w:ascii="Arial" w:hAnsi="Arial" w:cs="Arial"/>
        </w:rPr>
        <w:t xml:space="preserve"> between specific groups.</w:t>
      </w:r>
    </w:p>
    <w:p w14:paraId="4A6DB071" w14:textId="77777777" w:rsidR="00505F06" w:rsidRDefault="00505F06" w:rsidP="00441B6F">
      <w:pPr>
        <w:pStyle w:val="Body"/>
        <w:spacing w:after="0"/>
        <w:rPr>
          <w:rFonts w:ascii="Arial" w:hAnsi="Arial" w:cs="Arial"/>
        </w:rPr>
      </w:pPr>
    </w:p>
    <w:p w14:paraId="6C9381C4" w14:textId="78CE087A" w:rsidR="00E352AC"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4A3165C" w14:textId="77777777" w:rsidR="00790ADA" w:rsidRPr="00FB3A86" w:rsidRDefault="00790ADA" w:rsidP="00441B6F">
      <w:pPr>
        <w:pStyle w:val="Head1"/>
        <w:spacing w:after="0"/>
        <w:jc w:val="both"/>
        <w:rPr>
          <w:rFonts w:ascii="Arial" w:hAnsi="Arial" w:cs="Arial"/>
        </w:rPr>
      </w:pPr>
    </w:p>
    <w:p w14:paraId="5F9DBBA2" w14:textId="6385171D" w:rsidR="00B95236" w:rsidRDefault="00E352AC" w:rsidP="00E352AC">
      <w:pPr>
        <w:pStyle w:val="Body"/>
        <w:spacing w:after="0"/>
        <w:ind w:firstLine="720"/>
        <w:rPr>
          <w:rFonts w:ascii="Arial" w:hAnsi="Arial" w:cs="Arial"/>
        </w:rPr>
      </w:pPr>
      <w:r>
        <w:rPr>
          <w:rFonts w:ascii="Arial" w:hAnsi="Arial" w:cs="Arial"/>
        </w:rPr>
        <w:t>The findings of this study revealed that</w:t>
      </w:r>
      <w:r w:rsidR="00382106">
        <w:rPr>
          <w:rFonts w:ascii="Arial" w:hAnsi="Arial" w:cs="Arial"/>
        </w:rPr>
        <w:t xml:space="preserve"> the total phenol content of tamarillo fruit ethanol extract was 3594.847 mg/100 gr GAE. The total flavonoids content was 104.907 mg/100 gr QE, while the tannin content was </w:t>
      </w:r>
      <w:r w:rsidR="00010959">
        <w:rPr>
          <w:rFonts w:ascii="Arial" w:hAnsi="Arial" w:cs="Arial"/>
        </w:rPr>
        <w:t xml:space="preserve">3857.756 mg/100g TAE. The IC50 value of the extract was found to be 418.828 ppm. </w:t>
      </w:r>
    </w:p>
    <w:p w14:paraId="5968D96F" w14:textId="367718AD" w:rsidR="00010959" w:rsidRDefault="00010959" w:rsidP="00E352AC">
      <w:pPr>
        <w:pStyle w:val="Body"/>
        <w:spacing w:after="0"/>
        <w:ind w:firstLine="720"/>
        <w:rPr>
          <w:rFonts w:ascii="Arial" w:hAnsi="Arial" w:cs="Arial"/>
        </w:rPr>
      </w:pPr>
      <w:r>
        <w:rPr>
          <w:rFonts w:ascii="Arial" w:hAnsi="Arial" w:cs="Arial"/>
        </w:rPr>
        <w:t xml:space="preserve">The average MDA </w:t>
      </w:r>
      <w:r w:rsidR="00384878">
        <w:rPr>
          <w:rFonts w:ascii="Arial" w:hAnsi="Arial" w:cs="Arial"/>
        </w:rPr>
        <w:t>levels in the K- group was 25.25</w:t>
      </w:r>
      <w:bookmarkStart w:id="0" w:name="_Hlk189989938"/>
      <w:r w:rsidR="00384878">
        <w:rPr>
          <w:rFonts w:ascii="Arial" w:hAnsi="Arial" w:cs="Arial"/>
        </w:rPr>
        <w:t xml:space="preserve"> ±</w:t>
      </w:r>
      <w:bookmarkEnd w:id="0"/>
      <w:r w:rsidR="00384878">
        <w:rPr>
          <w:rFonts w:ascii="Arial" w:hAnsi="Arial" w:cs="Arial"/>
        </w:rPr>
        <w:t xml:space="preserve"> 1,74 nmol/mL, higher than in the groups K0 (18.10  ± 0,17 nmol/mL), P1 (22.19  ± 0,32</w:t>
      </w:r>
      <w:r w:rsidR="005A7C13">
        <w:rPr>
          <w:rFonts w:ascii="Arial" w:hAnsi="Arial" w:cs="Arial"/>
        </w:rPr>
        <w:t xml:space="preserve"> nmol/mL), P2 (21.45  ± 0,49 nmol/mL), P3 (20.06  ± 0,29 nmol/mL) (P&lt;0.05) indicating that 7</w:t>
      </w:r>
      <w:r w:rsidR="00F836BD">
        <w:rPr>
          <w:rFonts w:ascii="Arial" w:hAnsi="Arial" w:cs="Arial"/>
        </w:rPr>
        <w:t>.</w:t>
      </w:r>
      <w:r w:rsidR="005A7C13">
        <w:rPr>
          <w:rFonts w:ascii="Arial" w:hAnsi="Arial" w:cs="Arial"/>
        </w:rPr>
        <w:t>5%</w:t>
      </w:r>
      <w:r w:rsidR="00F836BD">
        <w:rPr>
          <w:rFonts w:ascii="Arial" w:hAnsi="Arial" w:cs="Arial"/>
        </w:rPr>
        <w:t>, 15% and 30% tamarillo fruit ethanol extract creams were equally effective in reducing MDA levels in the skin of guinea pigs after UVB exposure were compared to those in the negative control group</w:t>
      </w:r>
      <w:r w:rsidR="00B17F8A">
        <w:rPr>
          <w:rFonts w:ascii="Arial" w:hAnsi="Arial" w:cs="Arial"/>
        </w:rPr>
        <w:t>. Among the three treatment groups, the P3 group exhibited the lowest average MDA levels.</w:t>
      </w:r>
    </w:p>
    <w:p w14:paraId="6BA5289A" w14:textId="77777777" w:rsidR="00B246BA" w:rsidRDefault="00B246BA" w:rsidP="00FE50F1">
      <w:pPr>
        <w:pStyle w:val="Body"/>
        <w:spacing w:after="0"/>
        <w:rPr>
          <w:rFonts w:ascii="Arial" w:hAnsi="Arial" w:cs="Arial"/>
        </w:rPr>
      </w:pPr>
    </w:p>
    <w:p w14:paraId="52D27037" w14:textId="6EB97405" w:rsidR="00B246BA" w:rsidRDefault="00433950" w:rsidP="00FE50F1">
      <w:pPr>
        <w:pStyle w:val="Body"/>
        <w:spacing w:after="0"/>
        <w:ind w:firstLine="720"/>
        <w:rPr>
          <w:rFonts w:ascii="Arial" w:hAnsi="Arial" w:cs="Arial"/>
        </w:rPr>
      </w:pPr>
      <w:r>
        <w:rPr>
          <w:rFonts w:ascii="Arial" w:hAnsi="Arial" w:cs="Arial"/>
        </w:rPr>
        <w:t>The average tyrosinase levels in the K- group was 39.74</w:t>
      </w:r>
      <w:r w:rsidR="00215086">
        <w:rPr>
          <w:rFonts w:ascii="Arial" w:hAnsi="Arial" w:cs="Arial"/>
        </w:rPr>
        <w:t xml:space="preserve"> ± 4.40 ng/mL higher than that in the groups K0 (19.11 ± 1.92 ng/mL), P1 (31.36 ±1.65 ng/mL) (P&lt;0.05)</w:t>
      </w:r>
      <w:r w:rsidR="00EC1145">
        <w:rPr>
          <w:rFonts w:ascii="Arial" w:hAnsi="Arial" w:cs="Arial"/>
        </w:rPr>
        <w:t>, indicating that three doses of tamarillo fruit ethanol extract cream was effective in reducing tyrosinase levels in the skin of guinea pigs after UVB exposure compared to the negative control group, no significant difference was observed (P</w:t>
      </w:r>
      <w:r w:rsidR="00E4422E">
        <w:rPr>
          <w:rFonts w:ascii="Arial" w:hAnsi="Arial" w:cs="Arial"/>
        </w:rPr>
        <w:t>&gt;0.05) between the effects of 15% and 30% tamarillo fruit ethanol extract creams.</w:t>
      </w:r>
    </w:p>
    <w:p w14:paraId="4339C2AE" w14:textId="77777777" w:rsidR="000A0998" w:rsidRDefault="000A0998" w:rsidP="00E352AC">
      <w:pPr>
        <w:pStyle w:val="Body"/>
        <w:spacing w:after="0"/>
        <w:ind w:firstLine="720"/>
        <w:rPr>
          <w:rFonts w:ascii="Arial" w:hAnsi="Arial" w:cs="Arial"/>
        </w:rPr>
      </w:pPr>
    </w:p>
    <w:p w14:paraId="2DC65BB8" w14:textId="37376EC0" w:rsidR="00795BC6" w:rsidRDefault="0030437E" w:rsidP="00795BC6">
      <w:pPr>
        <w:pStyle w:val="Body"/>
        <w:spacing w:after="0"/>
        <w:ind w:firstLine="720"/>
        <w:rPr>
          <w:rFonts w:ascii="Arial" w:hAnsi="Arial" w:cs="Arial"/>
          <w:color w:val="000000" w:themeColor="text1"/>
        </w:rPr>
      </w:pPr>
      <w:r>
        <w:rPr>
          <w:rFonts w:ascii="Arial" w:hAnsi="Arial" w:cs="Arial"/>
        </w:rPr>
        <w:t>The average melanin level in the K0 group was 3.64 ± 1.99%, which did not differ significantly from that in the P1, P2, P3 groups. However, the average melanin level in the K- group was 11.37 ± 3.37% higher than that in the K0 (3</w:t>
      </w:r>
      <w:r w:rsidR="009609B6">
        <w:rPr>
          <w:rFonts w:ascii="Arial" w:hAnsi="Arial" w:cs="Arial"/>
        </w:rPr>
        <w:t xml:space="preserve">.64 ± 1.99%), P1 (2.94 ± 1.45%), P2 (2.16 ± 1.45%) and P3 (0.47 ± 0.38%) groups with a P value of less than 0.05. </w:t>
      </w:r>
      <w:r w:rsidR="001A222C">
        <w:rPr>
          <w:rFonts w:ascii="Arial" w:hAnsi="Arial" w:cs="Arial"/>
        </w:rPr>
        <w:t>Likewise</w:t>
      </w:r>
      <w:r w:rsidR="00BA3116">
        <w:rPr>
          <w:rFonts w:ascii="Arial" w:hAnsi="Arial" w:cs="Arial"/>
        </w:rPr>
        <w:t>, in terms of melanin levels between groups P1, P2 and P3 was not different significantly, indicating that the three doses of tamarillo fruit ethanol extract cream were equally effective in reducing the levels of melanin in the skin of guine</w:t>
      </w:r>
      <w:r w:rsidR="00795BC6">
        <w:rPr>
          <w:rFonts w:ascii="Arial" w:hAnsi="Arial" w:cs="Arial"/>
        </w:rPr>
        <w:t>a</w:t>
      </w:r>
      <w:r w:rsidR="00BA3116">
        <w:rPr>
          <w:rFonts w:ascii="Arial" w:hAnsi="Arial" w:cs="Arial"/>
        </w:rPr>
        <w:t xml:space="preserve"> pigs after UVB exposure</w:t>
      </w:r>
      <w:r w:rsidR="00BF2C64">
        <w:rPr>
          <w:rFonts w:ascii="Arial" w:hAnsi="Arial" w:cs="Arial"/>
        </w:rPr>
        <w:t>.</w:t>
      </w:r>
      <w:r w:rsidR="008E4241" w:rsidRPr="008E4241">
        <w:rPr>
          <w:rFonts w:ascii="Arial" w:hAnsi="Arial" w:cs="Arial"/>
          <w:color w:val="000000" w:themeColor="text1"/>
        </w:rPr>
        <w:t xml:space="preserve"> </w:t>
      </w:r>
    </w:p>
    <w:p w14:paraId="23DAB67D" w14:textId="77777777" w:rsidR="00795BC6" w:rsidRDefault="00795BC6" w:rsidP="00795BC6">
      <w:pPr>
        <w:pStyle w:val="Body"/>
        <w:spacing w:after="0"/>
        <w:rPr>
          <w:rFonts w:ascii="Arial" w:hAnsi="Arial" w:cs="Arial"/>
          <w:color w:val="000000" w:themeColor="text1"/>
        </w:rPr>
      </w:pPr>
    </w:p>
    <w:p w14:paraId="212A6F4B" w14:textId="77777777" w:rsidR="00BF2C64" w:rsidRDefault="00BF2C64" w:rsidP="00795BC6">
      <w:pPr>
        <w:pStyle w:val="Body"/>
        <w:spacing w:after="0"/>
        <w:rPr>
          <w:rFonts w:ascii="Arial" w:hAnsi="Arial" w:cs="Arial"/>
          <w:color w:val="000000" w:themeColor="text1"/>
        </w:rPr>
      </w:pPr>
    </w:p>
    <w:p w14:paraId="57D3FEBB" w14:textId="77777777" w:rsidR="003A3C13" w:rsidRDefault="003A3C13" w:rsidP="00F25566">
      <w:pPr>
        <w:pStyle w:val="Body"/>
        <w:spacing w:after="0"/>
        <w:ind w:left="851"/>
        <w:rPr>
          <w:rFonts w:ascii="Arial" w:hAnsi="Arial" w:cs="Arial"/>
          <w:color w:val="000000" w:themeColor="text1"/>
        </w:rPr>
      </w:pPr>
    </w:p>
    <w:p w14:paraId="620FB971" w14:textId="481A3B1E" w:rsidR="008E4241" w:rsidRPr="00795BC6" w:rsidRDefault="008E4241" w:rsidP="00F25566">
      <w:pPr>
        <w:pStyle w:val="Body"/>
        <w:spacing w:after="0"/>
        <w:ind w:left="851"/>
        <w:rPr>
          <w:rFonts w:ascii="Arial" w:hAnsi="Arial" w:cs="Arial"/>
        </w:rPr>
      </w:pPr>
      <w:r w:rsidRPr="008E4241">
        <w:rPr>
          <w:rFonts w:ascii="Arial" w:hAnsi="Arial" w:cs="Arial"/>
          <w:color w:val="000000" w:themeColor="text1"/>
        </w:rPr>
        <w:lastRenderedPageBreak/>
        <w:t xml:space="preserve">Table </w:t>
      </w:r>
      <w:r w:rsidR="000E57E8">
        <w:rPr>
          <w:rFonts w:ascii="Arial" w:hAnsi="Arial" w:cs="Arial"/>
          <w:color w:val="000000" w:themeColor="text1"/>
        </w:rPr>
        <w:t>1</w:t>
      </w:r>
      <w:r w:rsidRPr="00795BC6">
        <w:rPr>
          <w:rFonts w:ascii="Arial" w:hAnsi="Arial" w:cs="Arial"/>
          <w:color w:val="000000" w:themeColor="text1"/>
        </w:rPr>
        <w:t xml:space="preserve">.  </w:t>
      </w:r>
      <w:r w:rsidR="00255AD1">
        <w:rPr>
          <w:rFonts w:ascii="Arial" w:hAnsi="Arial" w:cs="Arial"/>
          <w:color w:val="000000" w:themeColor="text1"/>
        </w:rPr>
        <w:t>Comparison</w:t>
      </w:r>
      <w:r w:rsidR="0004052C" w:rsidRPr="00795BC6">
        <w:rPr>
          <w:rFonts w:ascii="Arial" w:hAnsi="Arial" w:cs="Arial"/>
          <w:color w:val="000000" w:themeColor="text1"/>
        </w:rPr>
        <w:t xml:space="preserve"> the level of MDA, tyrosinase enzyme and</w:t>
      </w:r>
      <w:r w:rsidRPr="00795BC6">
        <w:rPr>
          <w:rFonts w:ascii="Arial" w:hAnsi="Arial" w:cs="Arial"/>
          <w:color w:val="000000" w:themeColor="text1"/>
        </w:rPr>
        <w:t xml:space="preserve"> melanin </w:t>
      </w:r>
      <w:r w:rsidR="00255AD1">
        <w:rPr>
          <w:rFonts w:ascii="Arial" w:hAnsi="Arial" w:cs="Arial"/>
          <w:color w:val="000000" w:themeColor="text1"/>
        </w:rPr>
        <w:t>among treatment groups and control</w:t>
      </w:r>
    </w:p>
    <w:tbl>
      <w:tblPr>
        <w:tblStyle w:val="TableGrid"/>
        <w:tblW w:w="0" w:type="auto"/>
        <w:tblInd w:w="1080" w:type="dxa"/>
        <w:tblLook w:val="04A0" w:firstRow="1" w:lastRow="0" w:firstColumn="1" w:lastColumn="0" w:noHBand="0" w:noVBand="1"/>
      </w:tblPr>
      <w:tblGrid>
        <w:gridCol w:w="1155"/>
        <w:gridCol w:w="1842"/>
        <w:gridCol w:w="1843"/>
        <w:gridCol w:w="2268"/>
        <w:gridCol w:w="236"/>
      </w:tblGrid>
      <w:tr w:rsidR="00DB2EA1" w:rsidRPr="008E4241" w14:paraId="1D9FFB69" w14:textId="77777777" w:rsidTr="007B5CA5">
        <w:tc>
          <w:tcPr>
            <w:tcW w:w="1155" w:type="dxa"/>
            <w:tcBorders>
              <w:top w:val="nil"/>
              <w:left w:val="nil"/>
              <w:bottom w:val="nil"/>
              <w:right w:val="nil"/>
            </w:tcBorders>
            <w:shd w:val="clear" w:color="auto" w:fill="4F81BD" w:themeFill="accent1"/>
          </w:tcPr>
          <w:p w14:paraId="104A034A" w14:textId="77777777" w:rsidR="00DB2EA1" w:rsidRPr="008E4241" w:rsidRDefault="00DB2EA1" w:rsidP="007B5CA5">
            <w:pPr>
              <w:pStyle w:val="ListParagraph"/>
              <w:spacing w:line="360" w:lineRule="auto"/>
              <w:ind w:left="0"/>
              <w:rPr>
                <w:rFonts w:ascii="Arial" w:hAnsi="Arial" w:cs="Arial"/>
                <w:b/>
                <w:bCs/>
                <w:sz w:val="20"/>
                <w:szCs w:val="20"/>
              </w:rPr>
            </w:pPr>
            <w:r w:rsidRPr="008E4241">
              <w:rPr>
                <w:rFonts w:ascii="Arial" w:hAnsi="Arial" w:cs="Arial"/>
                <w:b/>
                <w:bCs/>
                <w:sz w:val="20"/>
                <w:szCs w:val="20"/>
              </w:rPr>
              <w:t>Group</w:t>
            </w:r>
          </w:p>
        </w:tc>
        <w:tc>
          <w:tcPr>
            <w:tcW w:w="1842" w:type="dxa"/>
            <w:tcBorders>
              <w:top w:val="nil"/>
              <w:left w:val="nil"/>
              <w:bottom w:val="nil"/>
              <w:right w:val="nil"/>
            </w:tcBorders>
            <w:shd w:val="clear" w:color="auto" w:fill="4F81BD" w:themeFill="accent1"/>
          </w:tcPr>
          <w:p w14:paraId="026CDC31" w14:textId="06035EE0" w:rsidR="00DB2EA1" w:rsidRPr="008E4241" w:rsidRDefault="00DB2EA1" w:rsidP="00D34290">
            <w:pPr>
              <w:pStyle w:val="ListParagraph"/>
              <w:spacing w:line="360" w:lineRule="auto"/>
              <w:ind w:left="0"/>
              <w:jc w:val="center"/>
              <w:rPr>
                <w:rFonts w:ascii="Arial" w:hAnsi="Arial" w:cs="Arial"/>
                <w:b/>
                <w:bCs/>
                <w:sz w:val="20"/>
                <w:szCs w:val="20"/>
              </w:rPr>
            </w:pPr>
            <w:r>
              <w:rPr>
                <w:rFonts w:ascii="Arial" w:hAnsi="Arial" w:cs="Arial"/>
                <w:b/>
                <w:bCs/>
                <w:sz w:val="20"/>
                <w:szCs w:val="20"/>
              </w:rPr>
              <w:t>MDA (nmol/mL)</w:t>
            </w:r>
          </w:p>
        </w:tc>
        <w:tc>
          <w:tcPr>
            <w:tcW w:w="1843" w:type="dxa"/>
            <w:tcBorders>
              <w:top w:val="nil"/>
              <w:left w:val="nil"/>
              <w:bottom w:val="nil"/>
              <w:right w:val="nil"/>
            </w:tcBorders>
            <w:shd w:val="clear" w:color="auto" w:fill="4F81BD" w:themeFill="accent1"/>
          </w:tcPr>
          <w:p w14:paraId="6931BD3D" w14:textId="5FE5077E" w:rsidR="00DB2EA1" w:rsidRDefault="00DB2EA1" w:rsidP="00D34290">
            <w:pPr>
              <w:pStyle w:val="ListParagraph"/>
              <w:spacing w:line="360" w:lineRule="auto"/>
              <w:ind w:left="0"/>
              <w:jc w:val="center"/>
              <w:rPr>
                <w:rFonts w:ascii="Arial" w:hAnsi="Arial" w:cs="Arial"/>
                <w:b/>
                <w:bCs/>
                <w:sz w:val="20"/>
                <w:szCs w:val="20"/>
              </w:rPr>
            </w:pPr>
            <w:r>
              <w:rPr>
                <w:rFonts w:ascii="Arial" w:hAnsi="Arial" w:cs="Arial"/>
                <w:b/>
                <w:bCs/>
                <w:sz w:val="20"/>
                <w:szCs w:val="20"/>
              </w:rPr>
              <w:t>Tyrosinase (ng/mL)</w:t>
            </w:r>
          </w:p>
        </w:tc>
        <w:tc>
          <w:tcPr>
            <w:tcW w:w="2268" w:type="dxa"/>
            <w:tcBorders>
              <w:top w:val="nil"/>
              <w:left w:val="nil"/>
              <w:bottom w:val="nil"/>
              <w:right w:val="nil"/>
            </w:tcBorders>
            <w:shd w:val="clear" w:color="auto" w:fill="4F81BD" w:themeFill="accent1"/>
          </w:tcPr>
          <w:p w14:paraId="25480105" w14:textId="1C46F500" w:rsidR="00DB2EA1" w:rsidRPr="008E4241" w:rsidRDefault="00DB2EA1" w:rsidP="00D34290">
            <w:pPr>
              <w:pStyle w:val="ListParagraph"/>
              <w:spacing w:line="360" w:lineRule="auto"/>
              <w:ind w:left="0"/>
              <w:jc w:val="center"/>
              <w:rPr>
                <w:rFonts w:ascii="Arial" w:hAnsi="Arial" w:cs="Arial"/>
                <w:b/>
                <w:bCs/>
                <w:sz w:val="20"/>
                <w:szCs w:val="20"/>
              </w:rPr>
            </w:pPr>
            <w:r>
              <w:rPr>
                <w:rFonts w:ascii="Arial" w:hAnsi="Arial" w:cs="Arial"/>
                <w:b/>
                <w:bCs/>
                <w:sz w:val="20"/>
                <w:szCs w:val="20"/>
              </w:rPr>
              <w:t>Melanin (%)</w:t>
            </w:r>
          </w:p>
        </w:tc>
        <w:tc>
          <w:tcPr>
            <w:tcW w:w="236" w:type="dxa"/>
            <w:tcBorders>
              <w:top w:val="nil"/>
              <w:left w:val="nil"/>
              <w:bottom w:val="nil"/>
              <w:right w:val="nil"/>
            </w:tcBorders>
            <w:shd w:val="clear" w:color="auto" w:fill="4F81BD" w:themeFill="accent1"/>
          </w:tcPr>
          <w:p w14:paraId="565BDFA7" w14:textId="486356C1" w:rsidR="00DB2EA1" w:rsidRPr="008E4241" w:rsidRDefault="00DB2EA1" w:rsidP="00D34290">
            <w:pPr>
              <w:pStyle w:val="ListParagraph"/>
              <w:spacing w:line="360" w:lineRule="auto"/>
              <w:ind w:left="0"/>
              <w:jc w:val="center"/>
              <w:rPr>
                <w:rFonts w:ascii="Arial" w:hAnsi="Arial" w:cs="Arial"/>
                <w:b/>
                <w:bCs/>
                <w:sz w:val="20"/>
                <w:szCs w:val="20"/>
              </w:rPr>
            </w:pPr>
          </w:p>
        </w:tc>
      </w:tr>
      <w:tr w:rsidR="00DB2EA1" w:rsidRPr="008E4241" w14:paraId="113E6B84" w14:textId="77777777" w:rsidTr="007B5CA5">
        <w:tc>
          <w:tcPr>
            <w:tcW w:w="1155" w:type="dxa"/>
            <w:tcBorders>
              <w:top w:val="nil"/>
              <w:left w:val="nil"/>
              <w:bottom w:val="nil"/>
              <w:right w:val="nil"/>
            </w:tcBorders>
          </w:tcPr>
          <w:p w14:paraId="1D7CBAA5" w14:textId="77777777" w:rsidR="00DB2EA1" w:rsidRPr="008E4241" w:rsidRDefault="00DB2EA1" w:rsidP="00D34290">
            <w:pPr>
              <w:pStyle w:val="ListParagraph"/>
              <w:spacing w:line="360" w:lineRule="auto"/>
              <w:ind w:left="0"/>
              <w:jc w:val="both"/>
              <w:rPr>
                <w:rFonts w:ascii="Arial" w:hAnsi="Arial" w:cs="Arial"/>
                <w:sz w:val="20"/>
                <w:szCs w:val="20"/>
              </w:rPr>
            </w:pPr>
            <w:r w:rsidRPr="008E4241">
              <w:rPr>
                <w:rFonts w:ascii="Arial" w:hAnsi="Arial" w:cs="Arial"/>
                <w:sz w:val="20"/>
                <w:szCs w:val="20"/>
              </w:rPr>
              <w:t xml:space="preserve"> K0</w:t>
            </w:r>
          </w:p>
        </w:tc>
        <w:tc>
          <w:tcPr>
            <w:tcW w:w="1842" w:type="dxa"/>
            <w:tcBorders>
              <w:top w:val="nil"/>
              <w:left w:val="nil"/>
              <w:bottom w:val="nil"/>
              <w:right w:val="nil"/>
            </w:tcBorders>
          </w:tcPr>
          <w:p w14:paraId="55111B11" w14:textId="6E4FEA9E" w:rsidR="00DB2EA1" w:rsidRPr="008E4241" w:rsidRDefault="00DB2EA1" w:rsidP="00D34290">
            <w:pPr>
              <w:pStyle w:val="ListParagraph"/>
              <w:spacing w:line="360" w:lineRule="auto"/>
              <w:ind w:left="0"/>
              <w:jc w:val="center"/>
              <w:rPr>
                <w:rFonts w:ascii="Arial" w:hAnsi="Arial" w:cs="Arial"/>
                <w:sz w:val="20"/>
                <w:szCs w:val="20"/>
              </w:rPr>
            </w:pPr>
            <w:r w:rsidRPr="00184518">
              <w:rPr>
                <w:rFonts w:ascii="Arial" w:hAnsi="Arial" w:cs="Arial"/>
                <w:sz w:val="20"/>
                <w:szCs w:val="20"/>
              </w:rPr>
              <w:t>18.10 ± 0.17</w:t>
            </w:r>
            <w:r w:rsidR="00715222" w:rsidRPr="007C6D07">
              <w:rPr>
                <w:rFonts w:ascii="Arial" w:hAnsi="Arial" w:cs="Arial"/>
                <w:sz w:val="20"/>
                <w:szCs w:val="20"/>
                <w:vertAlign w:val="superscript"/>
              </w:rPr>
              <w:t>ab</w:t>
            </w:r>
            <w:r w:rsidR="00D93BE8">
              <w:rPr>
                <w:rFonts w:ascii="Arial" w:hAnsi="Arial" w:cs="Arial"/>
                <w:sz w:val="20"/>
                <w:szCs w:val="20"/>
                <w:vertAlign w:val="superscript"/>
              </w:rPr>
              <w:t>f</w:t>
            </w:r>
          </w:p>
        </w:tc>
        <w:tc>
          <w:tcPr>
            <w:tcW w:w="1843" w:type="dxa"/>
            <w:tcBorders>
              <w:top w:val="nil"/>
              <w:left w:val="nil"/>
              <w:bottom w:val="nil"/>
              <w:right w:val="nil"/>
            </w:tcBorders>
          </w:tcPr>
          <w:p w14:paraId="0F4DB7E0" w14:textId="495E6E2A" w:rsidR="00DB2EA1" w:rsidRPr="008E4241" w:rsidRDefault="00CD58E9" w:rsidP="00D34290">
            <w:pPr>
              <w:pStyle w:val="ListParagraph"/>
              <w:spacing w:line="360" w:lineRule="auto"/>
              <w:ind w:left="0"/>
              <w:jc w:val="center"/>
              <w:rPr>
                <w:rFonts w:ascii="Arial" w:hAnsi="Arial" w:cs="Arial"/>
                <w:sz w:val="20"/>
                <w:szCs w:val="20"/>
              </w:rPr>
            </w:pPr>
            <w:r w:rsidRPr="002A78E2">
              <w:rPr>
                <w:rFonts w:ascii="Arial" w:hAnsi="Arial" w:cs="Arial"/>
                <w:sz w:val="20"/>
                <w:szCs w:val="20"/>
              </w:rPr>
              <w:t>19.11 ± 1.92</w:t>
            </w:r>
            <w:r w:rsidR="00715222" w:rsidRPr="007C6D07">
              <w:rPr>
                <w:rFonts w:ascii="Arial" w:hAnsi="Arial" w:cs="Arial"/>
                <w:sz w:val="20"/>
                <w:szCs w:val="20"/>
                <w:vertAlign w:val="superscript"/>
              </w:rPr>
              <w:t>ab</w:t>
            </w:r>
            <w:r w:rsidR="00D93BE8">
              <w:rPr>
                <w:rFonts w:ascii="Arial" w:hAnsi="Arial" w:cs="Arial"/>
                <w:sz w:val="20"/>
                <w:szCs w:val="20"/>
                <w:vertAlign w:val="superscript"/>
              </w:rPr>
              <w:t>h</w:t>
            </w:r>
          </w:p>
        </w:tc>
        <w:tc>
          <w:tcPr>
            <w:tcW w:w="2268" w:type="dxa"/>
            <w:tcBorders>
              <w:top w:val="nil"/>
              <w:left w:val="nil"/>
              <w:bottom w:val="nil"/>
              <w:right w:val="nil"/>
            </w:tcBorders>
          </w:tcPr>
          <w:p w14:paraId="0C482DD3" w14:textId="06DA2064" w:rsidR="00DB2EA1" w:rsidRPr="008E4241" w:rsidRDefault="00DB2EA1" w:rsidP="00D34290">
            <w:pPr>
              <w:pStyle w:val="ListParagraph"/>
              <w:spacing w:line="360" w:lineRule="auto"/>
              <w:ind w:left="0"/>
              <w:jc w:val="center"/>
              <w:rPr>
                <w:rFonts w:ascii="Arial" w:hAnsi="Arial" w:cs="Arial"/>
                <w:b/>
                <w:bCs/>
                <w:sz w:val="20"/>
                <w:szCs w:val="20"/>
              </w:rPr>
            </w:pPr>
            <w:r w:rsidRPr="008E4241">
              <w:rPr>
                <w:rFonts w:ascii="Arial" w:hAnsi="Arial" w:cs="Arial"/>
                <w:sz w:val="20"/>
                <w:szCs w:val="20"/>
              </w:rPr>
              <w:t>3.64 ± 1.99</w:t>
            </w:r>
            <w:r w:rsidR="007C6D07" w:rsidRPr="00EB5A5D">
              <w:rPr>
                <w:rFonts w:ascii="Arial" w:hAnsi="Arial" w:cs="Arial"/>
                <w:sz w:val="20"/>
                <w:szCs w:val="20"/>
                <w:vertAlign w:val="superscript"/>
              </w:rPr>
              <w:t>ab</w:t>
            </w:r>
          </w:p>
        </w:tc>
        <w:tc>
          <w:tcPr>
            <w:tcW w:w="236" w:type="dxa"/>
            <w:vMerge w:val="restart"/>
            <w:tcBorders>
              <w:top w:val="nil"/>
              <w:left w:val="nil"/>
              <w:bottom w:val="nil"/>
              <w:right w:val="nil"/>
            </w:tcBorders>
          </w:tcPr>
          <w:p w14:paraId="4812B88A" w14:textId="2603F977" w:rsidR="00DB2EA1" w:rsidRPr="008E4241" w:rsidRDefault="00DB2EA1" w:rsidP="00D34290">
            <w:pPr>
              <w:pStyle w:val="ListParagraph"/>
              <w:spacing w:line="360" w:lineRule="auto"/>
              <w:ind w:left="0"/>
              <w:jc w:val="center"/>
              <w:rPr>
                <w:rFonts w:ascii="Arial" w:hAnsi="Arial" w:cs="Arial"/>
                <w:sz w:val="20"/>
                <w:szCs w:val="20"/>
              </w:rPr>
            </w:pPr>
          </w:p>
        </w:tc>
      </w:tr>
      <w:tr w:rsidR="00DB2EA1" w:rsidRPr="008E4241" w14:paraId="2457EA1E" w14:textId="77777777" w:rsidTr="007B5CA5">
        <w:tc>
          <w:tcPr>
            <w:tcW w:w="1155" w:type="dxa"/>
            <w:tcBorders>
              <w:top w:val="nil"/>
              <w:left w:val="nil"/>
              <w:bottom w:val="nil"/>
              <w:right w:val="nil"/>
            </w:tcBorders>
            <w:shd w:val="clear" w:color="auto" w:fill="DBE5F1" w:themeFill="accent1" w:themeFillTint="33"/>
          </w:tcPr>
          <w:p w14:paraId="22AF5137" w14:textId="77777777" w:rsidR="00DB2EA1" w:rsidRPr="008E4241" w:rsidRDefault="00DB2EA1" w:rsidP="00D34290">
            <w:pPr>
              <w:pStyle w:val="ListParagraph"/>
              <w:spacing w:line="360" w:lineRule="auto"/>
              <w:ind w:left="0"/>
              <w:jc w:val="both"/>
              <w:rPr>
                <w:rFonts w:ascii="Arial" w:hAnsi="Arial" w:cs="Arial"/>
                <w:sz w:val="20"/>
                <w:szCs w:val="20"/>
              </w:rPr>
            </w:pPr>
            <w:r w:rsidRPr="008E4241">
              <w:rPr>
                <w:rFonts w:ascii="Arial" w:hAnsi="Arial" w:cs="Arial"/>
                <w:sz w:val="20"/>
                <w:szCs w:val="20"/>
              </w:rPr>
              <w:t xml:space="preserve"> K-</w:t>
            </w:r>
          </w:p>
        </w:tc>
        <w:tc>
          <w:tcPr>
            <w:tcW w:w="1842" w:type="dxa"/>
            <w:tcBorders>
              <w:top w:val="nil"/>
              <w:left w:val="nil"/>
              <w:bottom w:val="nil"/>
              <w:right w:val="nil"/>
            </w:tcBorders>
            <w:shd w:val="clear" w:color="auto" w:fill="DBE5F1" w:themeFill="accent1" w:themeFillTint="33"/>
          </w:tcPr>
          <w:p w14:paraId="3ACB6F8A" w14:textId="647511B7" w:rsidR="00DB2EA1" w:rsidRPr="008E4241" w:rsidRDefault="00DB2EA1" w:rsidP="00D34290">
            <w:pPr>
              <w:pStyle w:val="ListParagraph"/>
              <w:spacing w:line="360" w:lineRule="auto"/>
              <w:ind w:left="0"/>
              <w:jc w:val="center"/>
              <w:rPr>
                <w:rFonts w:ascii="Arial" w:hAnsi="Arial" w:cs="Arial"/>
                <w:sz w:val="20"/>
                <w:szCs w:val="20"/>
              </w:rPr>
            </w:pPr>
            <w:r w:rsidRPr="00184518">
              <w:rPr>
                <w:rFonts w:ascii="Arial" w:hAnsi="Arial" w:cs="Arial"/>
                <w:sz w:val="20"/>
                <w:szCs w:val="20"/>
              </w:rPr>
              <w:t>25.25 ± 1.74</w:t>
            </w:r>
            <w:r w:rsidR="00715222" w:rsidRPr="007C6D07">
              <w:rPr>
                <w:rFonts w:ascii="Arial" w:hAnsi="Arial" w:cs="Arial"/>
                <w:sz w:val="20"/>
                <w:szCs w:val="20"/>
                <w:vertAlign w:val="superscript"/>
              </w:rPr>
              <w:t>b</w:t>
            </w:r>
          </w:p>
        </w:tc>
        <w:tc>
          <w:tcPr>
            <w:tcW w:w="1843" w:type="dxa"/>
            <w:tcBorders>
              <w:top w:val="nil"/>
              <w:left w:val="nil"/>
              <w:bottom w:val="nil"/>
              <w:right w:val="nil"/>
            </w:tcBorders>
            <w:shd w:val="clear" w:color="auto" w:fill="DBE5F1" w:themeFill="accent1" w:themeFillTint="33"/>
          </w:tcPr>
          <w:p w14:paraId="45482A79" w14:textId="1A533E7E" w:rsidR="00DB2EA1" w:rsidRPr="008E4241" w:rsidRDefault="00CD58E9" w:rsidP="00D34290">
            <w:pPr>
              <w:pStyle w:val="ListParagraph"/>
              <w:spacing w:line="360" w:lineRule="auto"/>
              <w:ind w:left="0"/>
              <w:jc w:val="center"/>
              <w:rPr>
                <w:rFonts w:ascii="Arial" w:hAnsi="Arial" w:cs="Arial"/>
                <w:sz w:val="20"/>
                <w:szCs w:val="20"/>
              </w:rPr>
            </w:pPr>
            <w:r w:rsidRPr="002A78E2">
              <w:rPr>
                <w:rFonts w:ascii="Arial" w:hAnsi="Arial" w:cs="Arial"/>
                <w:sz w:val="20"/>
                <w:szCs w:val="20"/>
              </w:rPr>
              <w:t>39.74 ± 4.41</w:t>
            </w:r>
            <w:r w:rsidR="00715222" w:rsidRPr="00EB5A5D">
              <w:rPr>
                <w:rFonts w:ascii="Arial" w:hAnsi="Arial" w:cs="Arial"/>
                <w:sz w:val="20"/>
                <w:szCs w:val="20"/>
                <w:vertAlign w:val="superscript"/>
              </w:rPr>
              <w:t>b</w:t>
            </w:r>
          </w:p>
        </w:tc>
        <w:tc>
          <w:tcPr>
            <w:tcW w:w="2268" w:type="dxa"/>
            <w:tcBorders>
              <w:top w:val="nil"/>
              <w:left w:val="nil"/>
              <w:bottom w:val="nil"/>
              <w:right w:val="nil"/>
            </w:tcBorders>
            <w:shd w:val="clear" w:color="auto" w:fill="DBE5F1" w:themeFill="accent1" w:themeFillTint="33"/>
          </w:tcPr>
          <w:p w14:paraId="2982E2B1" w14:textId="79194C21" w:rsidR="00DB2EA1" w:rsidRPr="008E4241" w:rsidRDefault="00DB2EA1" w:rsidP="00D34290">
            <w:pPr>
              <w:pStyle w:val="ListParagraph"/>
              <w:spacing w:line="360" w:lineRule="auto"/>
              <w:ind w:left="0"/>
              <w:jc w:val="center"/>
              <w:rPr>
                <w:rFonts w:ascii="Arial" w:hAnsi="Arial" w:cs="Arial"/>
                <w:b/>
                <w:bCs/>
                <w:sz w:val="20"/>
                <w:szCs w:val="20"/>
              </w:rPr>
            </w:pPr>
            <w:r w:rsidRPr="008E4241">
              <w:rPr>
                <w:rFonts w:ascii="Arial" w:hAnsi="Arial" w:cs="Arial"/>
                <w:sz w:val="20"/>
                <w:szCs w:val="20"/>
              </w:rPr>
              <w:t>11.37 ± 3.37</w:t>
            </w:r>
            <w:r w:rsidR="007C6D07" w:rsidRPr="00EB5A5D">
              <w:rPr>
                <w:rFonts w:ascii="Arial" w:hAnsi="Arial" w:cs="Arial"/>
                <w:sz w:val="20"/>
                <w:szCs w:val="20"/>
                <w:vertAlign w:val="superscript"/>
              </w:rPr>
              <w:t>b</w:t>
            </w:r>
          </w:p>
        </w:tc>
        <w:tc>
          <w:tcPr>
            <w:tcW w:w="236" w:type="dxa"/>
            <w:vMerge/>
            <w:tcBorders>
              <w:top w:val="nil"/>
              <w:left w:val="nil"/>
              <w:bottom w:val="nil"/>
              <w:right w:val="nil"/>
            </w:tcBorders>
            <w:shd w:val="clear" w:color="auto" w:fill="DBE5F1" w:themeFill="accent1" w:themeFillTint="33"/>
          </w:tcPr>
          <w:p w14:paraId="1D3F66D0" w14:textId="77777777" w:rsidR="00DB2EA1" w:rsidRPr="008E4241" w:rsidRDefault="00DB2EA1" w:rsidP="00D34290">
            <w:pPr>
              <w:pStyle w:val="ListParagraph"/>
              <w:spacing w:line="360" w:lineRule="auto"/>
              <w:ind w:left="0"/>
              <w:jc w:val="center"/>
              <w:rPr>
                <w:rFonts w:ascii="Arial" w:hAnsi="Arial" w:cs="Arial"/>
                <w:b/>
                <w:bCs/>
                <w:sz w:val="20"/>
                <w:szCs w:val="20"/>
              </w:rPr>
            </w:pPr>
          </w:p>
        </w:tc>
      </w:tr>
      <w:tr w:rsidR="00DB2EA1" w:rsidRPr="008E4241" w14:paraId="340D8DEA" w14:textId="77777777" w:rsidTr="007B5CA5">
        <w:tc>
          <w:tcPr>
            <w:tcW w:w="1155" w:type="dxa"/>
            <w:tcBorders>
              <w:top w:val="nil"/>
              <w:left w:val="nil"/>
              <w:bottom w:val="nil"/>
              <w:right w:val="nil"/>
            </w:tcBorders>
          </w:tcPr>
          <w:p w14:paraId="5BBD4F59" w14:textId="77777777" w:rsidR="00DB2EA1" w:rsidRPr="008E4241" w:rsidRDefault="00DB2EA1" w:rsidP="00D34290">
            <w:pPr>
              <w:pStyle w:val="ListParagraph"/>
              <w:spacing w:line="360" w:lineRule="auto"/>
              <w:ind w:left="0"/>
              <w:jc w:val="both"/>
              <w:rPr>
                <w:rFonts w:ascii="Arial" w:hAnsi="Arial" w:cs="Arial"/>
                <w:sz w:val="20"/>
                <w:szCs w:val="20"/>
              </w:rPr>
            </w:pPr>
            <w:r w:rsidRPr="008E4241">
              <w:rPr>
                <w:rFonts w:ascii="Arial" w:hAnsi="Arial" w:cs="Arial"/>
                <w:sz w:val="20"/>
                <w:szCs w:val="20"/>
              </w:rPr>
              <w:t xml:space="preserve"> P1</w:t>
            </w:r>
          </w:p>
        </w:tc>
        <w:tc>
          <w:tcPr>
            <w:tcW w:w="1842" w:type="dxa"/>
            <w:tcBorders>
              <w:top w:val="nil"/>
              <w:left w:val="nil"/>
              <w:bottom w:val="nil"/>
              <w:right w:val="nil"/>
            </w:tcBorders>
          </w:tcPr>
          <w:p w14:paraId="0899E9FE" w14:textId="38391CF0" w:rsidR="00DB2EA1" w:rsidRPr="008E4241" w:rsidRDefault="00DB2EA1" w:rsidP="00D34290">
            <w:pPr>
              <w:pStyle w:val="ListParagraph"/>
              <w:spacing w:line="360" w:lineRule="auto"/>
              <w:ind w:left="0"/>
              <w:jc w:val="center"/>
              <w:rPr>
                <w:rFonts w:ascii="Arial" w:hAnsi="Arial" w:cs="Arial"/>
                <w:sz w:val="20"/>
                <w:szCs w:val="20"/>
              </w:rPr>
            </w:pPr>
            <w:r w:rsidRPr="00184518">
              <w:rPr>
                <w:rFonts w:ascii="Arial" w:hAnsi="Arial" w:cs="Arial"/>
                <w:sz w:val="20"/>
                <w:szCs w:val="20"/>
              </w:rPr>
              <w:t>22.19 ± 0.32</w:t>
            </w:r>
            <w:r w:rsidR="00715222" w:rsidRPr="007C6D07">
              <w:rPr>
                <w:rFonts w:ascii="Arial" w:hAnsi="Arial" w:cs="Arial"/>
                <w:sz w:val="20"/>
                <w:szCs w:val="20"/>
                <w:vertAlign w:val="superscript"/>
              </w:rPr>
              <w:t>bcd</w:t>
            </w:r>
            <w:r w:rsidR="00D93BE8">
              <w:rPr>
                <w:rFonts w:ascii="Arial" w:hAnsi="Arial" w:cs="Arial"/>
                <w:sz w:val="20"/>
                <w:szCs w:val="20"/>
                <w:vertAlign w:val="superscript"/>
              </w:rPr>
              <w:t>f</w:t>
            </w:r>
          </w:p>
        </w:tc>
        <w:tc>
          <w:tcPr>
            <w:tcW w:w="1843" w:type="dxa"/>
            <w:tcBorders>
              <w:top w:val="nil"/>
              <w:left w:val="nil"/>
              <w:bottom w:val="nil"/>
              <w:right w:val="nil"/>
            </w:tcBorders>
          </w:tcPr>
          <w:p w14:paraId="102E9A3C" w14:textId="46B52AFB" w:rsidR="00DB2EA1" w:rsidRPr="008E4241" w:rsidRDefault="00CD58E9" w:rsidP="00D34290">
            <w:pPr>
              <w:pStyle w:val="ListParagraph"/>
              <w:spacing w:line="360" w:lineRule="auto"/>
              <w:ind w:left="0"/>
              <w:jc w:val="center"/>
              <w:rPr>
                <w:rFonts w:ascii="Arial" w:hAnsi="Arial" w:cs="Arial"/>
                <w:sz w:val="20"/>
                <w:szCs w:val="20"/>
              </w:rPr>
            </w:pPr>
            <w:r w:rsidRPr="002A78E2">
              <w:rPr>
                <w:rFonts w:ascii="Arial" w:hAnsi="Arial" w:cs="Arial"/>
                <w:sz w:val="20"/>
                <w:szCs w:val="20"/>
              </w:rPr>
              <w:t>31.36 ± 1.65</w:t>
            </w:r>
            <w:r w:rsidR="00715222" w:rsidRPr="00EB5A5D">
              <w:rPr>
                <w:rFonts w:ascii="Arial" w:hAnsi="Arial" w:cs="Arial"/>
                <w:sz w:val="20"/>
                <w:szCs w:val="20"/>
                <w:vertAlign w:val="superscript"/>
              </w:rPr>
              <w:t>bdf</w:t>
            </w:r>
            <w:r w:rsidR="00D93BE8">
              <w:rPr>
                <w:rFonts w:ascii="Arial" w:hAnsi="Arial" w:cs="Arial"/>
                <w:sz w:val="20"/>
                <w:szCs w:val="20"/>
                <w:vertAlign w:val="superscript"/>
              </w:rPr>
              <w:t>h</w:t>
            </w:r>
          </w:p>
        </w:tc>
        <w:tc>
          <w:tcPr>
            <w:tcW w:w="2268" w:type="dxa"/>
            <w:tcBorders>
              <w:top w:val="nil"/>
              <w:left w:val="nil"/>
              <w:bottom w:val="nil"/>
              <w:right w:val="nil"/>
            </w:tcBorders>
          </w:tcPr>
          <w:p w14:paraId="13B274E4" w14:textId="4736408F" w:rsidR="00DB2EA1" w:rsidRPr="008E4241" w:rsidRDefault="00DB2EA1" w:rsidP="00D34290">
            <w:pPr>
              <w:pStyle w:val="ListParagraph"/>
              <w:spacing w:line="360" w:lineRule="auto"/>
              <w:ind w:left="0"/>
              <w:jc w:val="center"/>
              <w:rPr>
                <w:rFonts w:ascii="Arial" w:hAnsi="Arial" w:cs="Arial"/>
                <w:b/>
                <w:bCs/>
                <w:sz w:val="20"/>
                <w:szCs w:val="20"/>
              </w:rPr>
            </w:pPr>
            <w:r w:rsidRPr="008E4241">
              <w:rPr>
                <w:rFonts w:ascii="Arial" w:hAnsi="Arial" w:cs="Arial"/>
                <w:sz w:val="20"/>
                <w:szCs w:val="20"/>
              </w:rPr>
              <w:t>2.95 ± 1.45</w:t>
            </w:r>
            <w:r w:rsidR="007C6D07" w:rsidRPr="00EB5A5D">
              <w:rPr>
                <w:rFonts w:ascii="Arial" w:hAnsi="Arial" w:cs="Arial"/>
                <w:sz w:val="20"/>
                <w:szCs w:val="20"/>
                <w:vertAlign w:val="superscript"/>
              </w:rPr>
              <w:t>ab</w:t>
            </w:r>
          </w:p>
        </w:tc>
        <w:tc>
          <w:tcPr>
            <w:tcW w:w="236" w:type="dxa"/>
            <w:vMerge/>
            <w:tcBorders>
              <w:top w:val="nil"/>
              <w:left w:val="nil"/>
              <w:bottom w:val="nil"/>
              <w:right w:val="nil"/>
            </w:tcBorders>
          </w:tcPr>
          <w:p w14:paraId="403B0A79" w14:textId="77777777" w:rsidR="00DB2EA1" w:rsidRPr="008E4241" w:rsidRDefault="00DB2EA1" w:rsidP="00D34290">
            <w:pPr>
              <w:pStyle w:val="ListParagraph"/>
              <w:spacing w:line="360" w:lineRule="auto"/>
              <w:ind w:left="0"/>
              <w:jc w:val="center"/>
              <w:rPr>
                <w:rFonts w:ascii="Arial" w:hAnsi="Arial" w:cs="Arial"/>
                <w:b/>
                <w:bCs/>
                <w:sz w:val="20"/>
                <w:szCs w:val="20"/>
              </w:rPr>
            </w:pPr>
          </w:p>
        </w:tc>
      </w:tr>
      <w:tr w:rsidR="00DB2EA1" w:rsidRPr="008E4241" w14:paraId="25D172B3" w14:textId="77777777" w:rsidTr="007B5CA5">
        <w:tc>
          <w:tcPr>
            <w:tcW w:w="1155" w:type="dxa"/>
            <w:tcBorders>
              <w:top w:val="nil"/>
              <w:left w:val="nil"/>
              <w:bottom w:val="nil"/>
              <w:right w:val="nil"/>
            </w:tcBorders>
            <w:shd w:val="clear" w:color="auto" w:fill="DBE5F1" w:themeFill="accent1" w:themeFillTint="33"/>
          </w:tcPr>
          <w:p w14:paraId="070A0834" w14:textId="77777777" w:rsidR="00DB2EA1" w:rsidRPr="008E4241" w:rsidRDefault="00DB2EA1" w:rsidP="00D34290">
            <w:pPr>
              <w:pStyle w:val="ListParagraph"/>
              <w:spacing w:line="360" w:lineRule="auto"/>
              <w:ind w:left="0"/>
              <w:jc w:val="both"/>
              <w:rPr>
                <w:rFonts w:ascii="Arial" w:hAnsi="Arial" w:cs="Arial"/>
                <w:sz w:val="20"/>
                <w:szCs w:val="20"/>
              </w:rPr>
            </w:pPr>
            <w:r w:rsidRPr="008E4241">
              <w:rPr>
                <w:rFonts w:ascii="Arial" w:hAnsi="Arial" w:cs="Arial"/>
                <w:sz w:val="20"/>
                <w:szCs w:val="20"/>
              </w:rPr>
              <w:t xml:space="preserve"> P2</w:t>
            </w:r>
          </w:p>
        </w:tc>
        <w:tc>
          <w:tcPr>
            <w:tcW w:w="1842" w:type="dxa"/>
            <w:tcBorders>
              <w:top w:val="nil"/>
              <w:left w:val="nil"/>
              <w:bottom w:val="nil"/>
              <w:right w:val="nil"/>
            </w:tcBorders>
            <w:shd w:val="clear" w:color="auto" w:fill="DBE5F1" w:themeFill="accent1" w:themeFillTint="33"/>
          </w:tcPr>
          <w:p w14:paraId="26E95D3A" w14:textId="0217F071" w:rsidR="00DB2EA1" w:rsidRPr="008E4241" w:rsidRDefault="00DB2EA1" w:rsidP="00D34290">
            <w:pPr>
              <w:pStyle w:val="ListParagraph"/>
              <w:spacing w:line="360" w:lineRule="auto"/>
              <w:ind w:left="0"/>
              <w:jc w:val="center"/>
              <w:rPr>
                <w:rFonts w:ascii="Arial" w:hAnsi="Arial" w:cs="Arial"/>
                <w:sz w:val="20"/>
                <w:szCs w:val="20"/>
              </w:rPr>
            </w:pPr>
            <w:r w:rsidRPr="00184518">
              <w:rPr>
                <w:rFonts w:ascii="Arial" w:hAnsi="Arial" w:cs="Arial"/>
                <w:sz w:val="20"/>
                <w:szCs w:val="20"/>
              </w:rPr>
              <w:t>21.46 ± 0.49</w:t>
            </w:r>
            <w:r w:rsidR="00715222" w:rsidRPr="007C6D07">
              <w:rPr>
                <w:rFonts w:ascii="Arial" w:hAnsi="Arial" w:cs="Arial"/>
                <w:sz w:val="20"/>
                <w:szCs w:val="20"/>
                <w:vertAlign w:val="superscript"/>
              </w:rPr>
              <w:t>bcd</w:t>
            </w:r>
            <w:r w:rsidR="00D93BE8">
              <w:rPr>
                <w:rFonts w:ascii="Arial" w:hAnsi="Arial" w:cs="Arial"/>
                <w:sz w:val="20"/>
                <w:szCs w:val="20"/>
                <w:vertAlign w:val="superscript"/>
              </w:rPr>
              <w:t>f</w:t>
            </w:r>
          </w:p>
        </w:tc>
        <w:tc>
          <w:tcPr>
            <w:tcW w:w="1843" w:type="dxa"/>
            <w:tcBorders>
              <w:top w:val="nil"/>
              <w:left w:val="nil"/>
              <w:bottom w:val="nil"/>
              <w:right w:val="nil"/>
            </w:tcBorders>
            <w:shd w:val="clear" w:color="auto" w:fill="DBE5F1" w:themeFill="accent1" w:themeFillTint="33"/>
          </w:tcPr>
          <w:p w14:paraId="2D78FB3D" w14:textId="2F3EC457" w:rsidR="00DB2EA1" w:rsidRPr="008E4241" w:rsidRDefault="00CD58E9" w:rsidP="00D34290">
            <w:pPr>
              <w:pStyle w:val="ListParagraph"/>
              <w:spacing w:line="360" w:lineRule="auto"/>
              <w:ind w:left="0"/>
              <w:jc w:val="center"/>
              <w:rPr>
                <w:rFonts w:ascii="Arial" w:hAnsi="Arial" w:cs="Arial"/>
                <w:sz w:val="20"/>
                <w:szCs w:val="20"/>
              </w:rPr>
            </w:pPr>
            <w:r w:rsidRPr="002A78E2">
              <w:rPr>
                <w:rFonts w:ascii="Arial" w:hAnsi="Arial" w:cs="Arial"/>
                <w:sz w:val="20"/>
                <w:szCs w:val="20"/>
              </w:rPr>
              <w:t>25.36 ± 0.73</w:t>
            </w:r>
            <w:r w:rsidR="007C6D07" w:rsidRPr="00EB5A5D">
              <w:rPr>
                <w:rFonts w:ascii="Arial" w:hAnsi="Arial" w:cs="Arial"/>
                <w:sz w:val="20"/>
                <w:szCs w:val="20"/>
                <w:vertAlign w:val="superscript"/>
              </w:rPr>
              <w:t>bcd</w:t>
            </w:r>
            <w:r w:rsidR="00D93BE8">
              <w:rPr>
                <w:rFonts w:ascii="Arial" w:hAnsi="Arial" w:cs="Arial"/>
                <w:sz w:val="20"/>
                <w:szCs w:val="20"/>
                <w:vertAlign w:val="superscript"/>
              </w:rPr>
              <w:t>h</w:t>
            </w:r>
          </w:p>
        </w:tc>
        <w:tc>
          <w:tcPr>
            <w:tcW w:w="2268" w:type="dxa"/>
            <w:tcBorders>
              <w:top w:val="nil"/>
              <w:left w:val="nil"/>
              <w:bottom w:val="nil"/>
              <w:right w:val="nil"/>
            </w:tcBorders>
            <w:shd w:val="clear" w:color="auto" w:fill="DBE5F1" w:themeFill="accent1" w:themeFillTint="33"/>
          </w:tcPr>
          <w:p w14:paraId="61AA4599" w14:textId="25D1432A" w:rsidR="00DB2EA1" w:rsidRPr="008E4241" w:rsidRDefault="00DB2EA1" w:rsidP="00D34290">
            <w:pPr>
              <w:pStyle w:val="ListParagraph"/>
              <w:spacing w:line="360" w:lineRule="auto"/>
              <w:ind w:left="0"/>
              <w:jc w:val="center"/>
              <w:rPr>
                <w:rFonts w:ascii="Arial" w:hAnsi="Arial" w:cs="Arial"/>
                <w:b/>
                <w:bCs/>
                <w:sz w:val="20"/>
                <w:szCs w:val="20"/>
              </w:rPr>
            </w:pPr>
            <w:r w:rsidRPr="008E4241">
              <w:rPr>
                <w:rFonts w:ascii="Arial" w:hAnsi="Arial" w:cs="Arial"/>
                <w:sz w:val="20"/>
                <w:szCs w:val="20"/>
              </w:rPr>
              <w:t>2.17 ± 1.45</w:t>
            </w:r>
            <w:r w:rsidR="007C6D07" w:rsidRPr="00EB5A5D">
              <w:rPr>
                <w:rFonts w:ascii="Arial" w:hAnsi="Arial" w:cs="Arial"/>
                <w:sz w:val="20"/>
                <w:szCs w:val="20"/>
                <w:vertAlign w:val="superscript"/>
              </w:rPr>
              <w:t>ab</w:t>
            </w:r>
          </w:p>
        </w:tc>
        <w:tc>
          <w:tcPr>
            <w:tcW w:w="236" w:type="dxa"/>
            <w:vMerge/>
            <w:tcBorders>
              <w:top w:val="nil"/>
              <w:left w:val="nil"/>
              <w:bottom w:val="nil"/>
              <w:right w:val="nil"/>
            </w:tcBorders>
            <w:shd w:val="clear" w:color="auto" w:fill="DBE5F1" w:themeFill="accent1" w:themeFillTint="33"/>
          </w:tcPr>
          <w:p w14:paraId="5C3CDC04" w14:textId="77777777" w:rsidR="00DB2EA1" w:rsidRPr="008E4241" w:rsidRDefault="00DB2EA1" w:rsidP="00D34290">
            <w:pPr>
              <w:pStyle w:val="ListParagraph"/>
              <w:spacing w:line="360" w:lineRule="auto"/>
              <w:ind w:left="0"/>
              <w:jc w:val="center"/>
              <w:rPr>
                <w:rFonts w:ascii="Arial" w:hAnsi="Arial" w:cs="Arial"/>
                <w:b/>
                <w:bCs/>
                <w:sz w:val="20"/>
                <w:szCs w:val="20"/>
              </w:rPr>
            </w:pPr>
          </w:p>
        </w:tc>
      </w:tr>
      <w:tr w:rsidR="00DB2EA1" w:rsidRPr="008E4241" w14:paraId="319BF235" w14:textId="77777777" w:rsidTr="002645A9">
        <w:tc>
          <w:tcPr>
            <w:tcW w:w="1155" w:type="dxa"/>
            <w:tcBorders>
              <w:top w:val="nil"/>
              <w:left w:val="nil"/>
              <w:bottom w:val="nil"/>
              <w:right w:val="nil"/>
            </w:tcBorders>
          </w:tcPr>
          <w:p w14:paraId="6F2A106C" w14:textId="77777777" w:rsidR="00DB2EA1" w:rsidRPr="008E4241" w:rsidRDefault="00DB2EA1" w:rsidP="00D34290">
            <w:pPr>
              <w:pStyle w:val="ListParagraph"/>
              <w:spacing w:line="360" w:lineRule="auto"/>
              <w:ind w:left="0"/>
              <w:jc w:val="both"/>
              <w:rPr>
                <w:rFonts w:ascii="Arial" w:hAnsi="Arial" w:cs="Arial"/>
                <w:sz w:val="20"/>
                <w:szCs w:val="20"/>
              </w:rPr>
            </w:pPr>
            <w:r w:rsidRPr="008E4241">
              <w:rPr>
                <w:rFonts w:ascii="Arial" w:hAnsi="Arial" w:cs="Arial"/>
                <w:sz w:val="20"/>
                <w:szCs w:val="20"/>
              </w:rPr>
              <w:t xml:space="preserve"> P3</w:t>
            </w:r>
          </w:p>
        </w:tc>
        <w:tc>
          <w:tcPr>
            <w:tcW w:w="1842" w:type="dxa"/>
            <w:tcBorders>
              <w:top w:val="nil"/>
              <w:left w:val="nil"/>
              <w:bottom w:val="nil"/>
              <w:right w:val="nil"/>
            </w:tcBorders>
          </w:tcPr>
          <w:p w14:paraId="3BC4DF71" w14:textId="6B6FDCF0" w:rsidR="00DB2EA1" w:rsidRPr="008E4241" w:rsidRDefault="00DB2EA1" w:rsidP="00D34290">
            <w:pPr>
              <w:pStyle w:val="ListParagraph"/>
              <w:spacing w:line="360" w:lineRule="auto"/>
              <w:ind w:left="0"/>
              <w:jc w:val="center"/>
              <w:rPr>
                <w:rFonts w:ascii="Arial" w:hAnsi="Arial" w:cs="Arial"/>
                <w:sz w:val="20"/>
                <w:szCs w:val="20"/>
              </w:rPr>
            </w:pPr>
            <w:r w:rsidRPr="00184518">
              <w:rPr>
                <w:rFonts w:ascii="Arial" w:hAnsi="Arial" w:cs="Arial"/>
                <w:sz w:val="20"/>
                <w:szCs w:val="20"/>
              </w:rPr>
              <w:t>20.06 ± 0.28</w:t>
            </w:r>
            <w:r w:rsidR="00715222" w:rsidRPr="007C6D07">
              <w:rPr>
                <w:rFonts w:ascii="Arial" w:hAnsi="Arial" w:cs="Arial"/>
                <w:sz w:val="20"/>
                <w:szCs w:val="20"/>
                <w:vertAlign w:val="superscript"/>
              </w:rPr>
              <w:t>bd</w:t>
            </w:r>
            <w:r w:rsidR="00D93BE8">
              <w:rPr>
                <w:rFonts w:ascii="Arial" w:hAnsi="Arial" w:cs="Arial"/>
                <w:sz w:val="20"/>
                <w:szCs w:val="20"/>
                <w:vertAlign w:val="superscript"/>
              </w:rPr>
              <w:t>f</w:t>
            </w:r>
          </w:p>
        </w:tc>
        <w:tc>
          <w:tcPr>
            <w:tcW w:w="1843" w:type="dxa"/>
            <w:tcBorders>
              <w:top w:val="nil"/>
              <w:left w:val="nil"/>
              <w:bottom w:val="nil"/>
              <w:right w:val="nil"/>
            </w:tcBorders>
          </w:tcPr>
          <w:p w14:paraId="7FD66CFF" w14:textId="15FEF954" w:rsidR="00DB2EA1" w:rsidRPr="008E4241" w:rsidRDefault="00CD58E9" w:rsidP="00D34290">
            <w:pPr>
              <w:pStyle w:val="ListParagraph"/>
              <w:spacing w:line="360" w:lineRule="auto"/>
              <w:ind w:left="0"/>
              <w:jc w:val="center"/>
              <w:rPr>
                <w:rFonts w:ascii="Arial" w:hAnsi="Arial" w:cs="Arial"/>
                <w:sz w:val="20"/>
                <w:szCs w:val="20"/>
              </w:rPr>
            </w:pPr>
            <w:r w:rsidRPr="002A78E2">
              <w:rPr>
                <w:rFonts w:ascii="Arial" w:hAnsi="Arial" w:cs="Arial"/>
                <w:sz w:val="20"/>
                <w:szCs w:val="20"/>
              </w:rPr>
              <w:t>22.59 ± 0.99</w:t>
            </w:r>
            <w:r w:rsidR="007C6D07" w:rsidRPr="00EB5A5D">
              <w:rPr>
                <w:rFonts w:ascii="Arial" w:hAnsi="Arial" w:cs="Arial"/>
                <w:sz w:val="20"/>
                <w:szCs w:val="20"/>
                <w:vertAlign w:val="superscript"/>
              </w:rPr>
              <w:t>bcf</w:t>
            </w:r>
            <w:r w:rsidR="00D93BE8">
              <w:rPr>
                <w:rFonts w:ascii="Arial" w:hAnsi="Arial" w:cs="Arial"/>
                <w:sz w:val="20"/>
                <w:szCs w:val="20"/>
                <w:vertAlign w:val="superscript"/>
              </w:rPr>
              <w:t>h</w:t>
            </w:r>
          </w:p>
        </w:tc>
        <w:tc>
          <w:tcPr>
            <w:tcW w:w="2268" w:type="dxa"/>
            <w:tcBorders>
              <w:top w:val="nil"/>
              <w:left w:val="nil"/>
              <w:bottom w:val="nil"/>
              <w:right w:val="nil"/>
            </w:tcBorders>
          </w:tcPr>
          <w:p w14:paraId="0ABCD496" w14:textId="6B3425E3" w:rsidR="00DB2EA1" w:rsidRPr="008E4241" w:rsidRDefault="00DB2EA1" w:rsidP="00D34290">
            <w:pPr>
              <w:pStyle w:val="ListParagraph"/>
              <w:spacing w:line="360" w:lineRule="auto"/>
              <w:ind w:left="0"/>
              <w:jc w:val="center"/>
              <w:rPr>
                <w:rFonts w:ascii="Arial" w:hAnsi="Arial" w:cs="Arial"/>
                <w:b/>
                <w:bCs/>
                <w:sz w:val="20"/>
                <w:szCs w:val="20"/>
              </w:rPr>
            </w:pPr>
            <w:r w:rsidRPr="008E4241">
              <w:rPr>
                <w:rFonts w:ascii="Arial" w:hAnsi="Arial" w:cs="Arial"/>
                <w:sz w:val="20"/>
                <w:szCs w:val="20"/>
              </w:rPr>
              <w:t>0.48 ± 0.38</w:t>
            </w:r>
            <w:r w:rsidR="007C6D07" w:rsidRPr="00EB5A5D">
              <w:rPr>
                <w:rFonts w:ascii="Arial" w:hAnsi="Arial" w:cs="Arial"/>
                <w:sz w:val="20"/>
                <w:szCs w:val="20"/>
                <w:vertAlign w:val="superscript"/>
              </w:rPr>
              <w:t>ab</w:t>
            </w:r>
          </w:p>
        </w:tc>
        <w:tc>
          <w:tcPr>
            <w:tcW w:w="236" w:type="dxa"/>
            <w:vMerge/>
            <w:tcBorders>
              <w:top w:val="nil"/>
              <w:left w:val="nil"/>
              <w:bottom w:val="nil"/>
              <w:right w:val="nil"/>
            </w:tcBorders>
          </w:tcPr>
          <w:p w14:paraId="09342C80" w14:textId="77777777" w:rsidR="00DB2EA1" w:rsidRPr="008E4241" w:rsidRDefault="00DB2EA1" w:rsidP="00D34290">
            <w:pPr>
              <w:pStyle w:val="ListParagraph"/>
              <w:spacing w:line="360" w:lineRule="auto"/>
              <w:ind w:left="0"/>
              <w:jc w:val="center"/>
              <w:rPr>
                <w:rFonts w:ascii="Arial" w:hAnsi="Arial" w:cs="Arial"/>
                <w:b/>
                <w:bCs/>
                <w:sz w:val="20"/>
                <w:szCs w:val="20"/>
              </w:rPr>
            </w:pPr>
          </w:p>
        </w:tc>
      </w:tr>
      <w:tr w:rsidR="002645A9" w:rsidRPr="008E4241" w14:paraId="28910E74" w14:textId="77777777" w:rsidTr="007B5CA5">
        <w:tc>
          <w:tcPr>
            <w:tcW w:w="1155" w:type="dxa"/>
            <w:tcBorders>
              <w:top w:val="nil"/>
              <w:left w:val="nil"/>
              <w:bottom w:val="single" w:sz="18" w:space="0" w:color="auto"/>
              <w:right w:val="nil"/>
            </w:tcBorders>
          </w:tcPr>
          <w:p w14:paraId="67598C72" w14:textId="5172252E" w:rsidR="002645A9" w:rsidRPr="008E4241" w:rsidRDefault="00715222" w:rsidP="00D34290">
            <w:pPr>
              <w:pStyle w:val="ListParagraph"/>
              <w:spacing w:line="360" w:lineRule="auto"/>
              <w:ind w:left="0"/>
              <w:jc w:val="both"/>
              <w:rPr>
                <w:rFonts w:ascii="Arial" w:hAnsi="Arial" w:cs="Arial"/>
                <w:sz w:val="20"/>
                <w:szCs w:val="20"/>
              </w:rPr>
            </w:pPr>
            <w:r>
              <w:rPr>
                <w:rFonts w:ascii="Arial" w:hAnsi="Arial" w:cs="Arial"/>
                <w:sz w:val="20"/>
                <w:szCs w:val="20"/>
              </w:rPr>
              <w:t>p-values</w:t>
            </w:r>
          </w:p>
        </w:tc>
        <w:tc>
          <w:tcPr>
            <w:tcW w:w="1842" w:type="dxa"/>
            <w:tcBorders>
              <w:top w:val="nil"/>
              <w:left w:val="nil"/>
              <w:bottom w:val="single" w:sz="18" w:space="0" w:color="auto"/>
              <w:right w:val="nil"/>
            </w:tcBorders>
          </w:tcPr>
          <w:p w14:paraId="716DEE8B" w14:textId="62E3BBA4" w:rsidR="002645A9" w:rsidRPr="00184518" w:rsidRDefault="00715222" w:rsidP="00D34290">
            <w:pPr>
              <w:pStyle w:val="ListParagraph"/>
              <w:spacing w:line="360" w:lineRule="auto"/>
              <w:ind w:left="0"/>
              <w:jc w:val="center"/>
              <w:rPr>
                <w:rFonts w:ascii="Arial" w:hAnsi="Arial" w:cs="Arial"/>
                <w:sz w:val="20"/>
                <w:szCs w:val="20"/>
              </w:rPr>
            </w:pPr>
            <w:r>
              <w:rPr>
                <w:rFonts w:ascii="Arial" w:hAnsi="Arial" w:cs="Arial"/>
                <w:sz w:val="20"/>
                <w:szCs w:val="20"/>
              </w:rPr>
              <w:t>&lt; 0.05</w:t>
            </w:r>
          </w:p>
        </w:tc>
        <w:tc>
          <w:tcPr>
            <w:tcW w:w="1843" w:type="dxa"/>
            <w:tcBorders>
              <w:top w:val="nil"/>
              <w:left w:val="nil"/>
              <w:bottom w:val="single" w:sz="18" w:space="0" w:color="auto"/>
              <w:right w:val="nil"/>
            </w:tcBorders>
          </w:tcPr>
          <w:p w14:paraId="21653160" w14:textId="1DBA415F" w:rsidR="002645A9" w:rsidRPr="002A78E2" w:rsidRDefault="00715222" w:rsidP="00D34290">
            <w:pPr>
              <w:pStyle w:val="ListParagraph"/>
              <w:spacing w:line="360" w:lineRule="auto"/>
              <w:ind w:left="0"/>
              <w:jc w:val="center"/>
              <w:rPr>
                <w:rFonts w:ascii="Arial" w:hAnsi="Arial" w:cs="Arial"/>
                <w:sz w:val="20"/>
                <w:szCs w:val="20"/>
              </w:rPr>
            </w:pPr>
            <w:r>
              <w:rPr>
                <w:rFonts w:ascii="Arial" w:hAnsi="Arial" w:cs="Arial"/>
                <w:sz w:val="20"/>
                <w:szCs w:val="20"/>
              </w:rPr>
              <w:t>&lt; 0.05</w:t>
            </w:r>
          </w:p>
        </w:tc>
        <w:tc>
          <w:tcPr>
            <w:tcW w:w="2268" w:type="dxa"/>
            <w:tcBorders>
              <w:top w:val="nil"/>
              <w:left w:val="nil"/>
              <w:bottom w:val="single" w:sz="18" w:space="0" w:color="auto"/>
              <w:right w:val="nil"/>
            </w:tcBorders>
          </w:tcPr>
          <w:p w14:paraId="4223F27D" w14:textId="11C40765" w:rsidR="002645A9" w:rsidRPr="008E4241" w:rsidRDefault="00715222" w:rsidP="00D34290">
            <w:pPr>
              <w:pStyle w:val="ListParagraph"/>
              <w:spacing w:line="360" w:lineRule="auto"/>
              <w:ind w:left="0"/>
              <w:jc w:val="center"/>
              <w:rPr>
                <w:rFonts w:ascii="Arial" w:hAnsi="Arial" w:cs="Arial"/>
                <w:sz w:val="20"/>
                <w:szCs w:val="20"/>
              </w:rPr>
            </w:pPr>
            <w:r>
              <w:rPr>
                <w:rFonts w:ascii="Arial" w:hAnsi="Arial" w:cs="Arial"/>
                <w:sz w:val="20"/>
                <w:szCs w:val="20"/>
              </w:rPr>
              <w:t>&lt; 0.05</w:t>
            </w:r>
          </w:p>
        </w:tc>
        <w:tc>
          <w:tcPr>
            <w:tcW w:w="236" w:type="dxa"/>
            <w:tcBorders>
              <w:top w:val="nil"/>
              <w:left w:val="nil"/>
              <w:bottom w:val="single" w:sz="18" w:space="0" w:color="auto"/>
              <w:right w:val="nil"/>
            </w:tcBorders>
          </w:tcPr>
          <w:p w14:paraId="781A6B3D" w14:textId="77777777" w:rsidR="002645A9" w:rsidRPr="008E4241" w:rsidRDefault="002645A9" w:rsidP="00D34290">
            <w:pPr>
              <w:pStyle w:val="ListParagraph"/>
              <w:spacing w:line="360" w:lineRule="auto"/>
              <w:ind w:left="0"/>
              <w:jc w:val="center"/>
              <w:rPr>
                <w:rFonts w:ascii="Arial" w:hAnsi="Arial" w:cs="Arial"/>
                <w:b/>
                <w:bCs/>
                <w:sz w:val="20"/>
                <w:szCs w:val="20"/>
              </w:rPr>
            </w:pPr>
          </w:p>
        </w:tc>
      </w:tr>
    </w:tbl>
    <w:p w14:paraId="64B770FC" w14:textId="1A05CC28" w:rsidR="008E4241" w:rsidRPr="00D23624" w:rsidRDefault="0037632A" w:rsidP="00DE5C5B">
      <w:pPr>
        <w:pStyle w:val="ListParagraph"/>
        <w:rPr>
          <w:rFonts w:ascii="Arial" w:eastAsiaTheme="minorEastAsia" w:hAnsi="Arial" w:cs="Arial"/>
          <w:i/>
          <w:iCs/>
          <w:sz w:val="20"/>
          <w:szCs w:val="20"/>
        </w:rPr>
      </w:pPr>
      <w:r w:rsidRPr="00D23624">
        <w:rPr>
          <w:rFonts w:ascii="Arial" w:eastAsiaTheme="minorEastAsia" w:hAnsi="Arial" w:cs="Arial"/>
          <w:i/>
          <w:iCs/>
          <w:sz w:val="20"/>
          <w:szCs w:val="20"/>
        </w:rPr>
        <w:t>Note: The superscripts in the same column”a,</w:t>
      </w:r>
      <w:r w:rsidR="00D23624" w:rsidRPr="00D23624">
        <w:rPr>
          <w:rFonts w:ascii="Arial" w:eastAsiaTheme="minorEastAsia" w:hAnsi="Arial" w:cs="Arial"/>
          <w:i/>
          <w:iCs/>
          <w:sz w:val="20"/>
          <w:szCs w:val="20"/>
        </w:rPr>
        <w:t xml:space="preserve"> </w:t>
      </w:r>
      <w:r w:rsidRPr="00D23624">
        <w:rPr>
          <w:rFonts w:ascii="Arial" w:eastAsiaTheme="minorEastAsia" w:hAnsi="Arial" w:cs="Arial"/>
          <w:i/>
          <w:iCs/>
          <w:sz w:val="20"/>
          <w:szCs w:val="20"/>
        </w:rPr>
        <w:t>c</w:t>
      </w:r>
      <w:r w:rsidR="00D23624" w:rsidRPr="00D23624">
        <w:rPr>
          <w:rFonts w:ascii="Arial" w:eastAsiaTheme="minorEastAsia" w:hAnsi="Arial" w:cs="Arial"/>
          <w:i/>
          <w:iCs/>
          <w:sz w:val="20"/>
          <w:szCs w:val="20"/>
        </w:rPr>
        <w:t>”</w:t>
      </w:r>
      <w:r w:rsidRPr="00D23624">
        <w:rPr>
          <w:rFonts w:ascii="Arial" w:eastAsiaTheme="minorEastAsia" w:hAnsi="Arial" w:cs="Arial"/>
          <w:i/>
          <w:iCs/>
          <w:sz w:val="20"/>
          <w:szCs w:val="20"/>
        </w:rPr>
        <w:t xml:space="preserve"> do not vary significantly from the negative control</w:t>
      </w:r>
      <w:r w:rsidR="00033DEE" w:rsidRPr="00D23624">
        <w:rPr>
          <w:rFonts w:ascii="Arial" w:eastAsiaTheme="minorEastAsia" w:hAnsi="Arial" w:cs="Arial"/>
          <w:i/>
          <w:iCs/>
          <w:sz w:val="20"/>
          <w:szCs w:val="20"/>
        </w:rPr>
        <w:t xml:space="preserve"> and the various groups, while superscripts “b,</w:t>
      </w:r>
      <w:r w:rsidR="00D23624" w:rsidRPr="00D23624">
        <w:rPr>
          <w:rFonts w:ascii="Arial" w:eastAsiaTheme="minorEastAsia" w:hAnsi="Arial" w:cs="Arial"/>
          <w:i/>
          <w:iCs/>
          <w:sz w:val="20"/>
          <w:szCs w:val="20"/>
        </w:rPr>
        <w:t xml:space="preserve"> </w:t>
      </w:r>
      <w:r w:rsidR="00033DEE" w:rsidRPr="00D23624">
        <w:rPr>
          <w:rFonts w:ascii="Arial" w:eastAsiaTheme="minorEastAsia" w:hAnsi="Arial" w:cs="Arial"/>
          <w:i/>
          <w:iCs/>
          <w:sz w:val="20"/>
          <w:szCs w:val="20"/>
        </w:rPr>
        <w:t>d, f</w:t>
      </w:r>
      <w:r w:rsidR="00B6096B">
        <w:rPr>
          <w:rFonts w:ascii="Arial" w:eastAsiaTheme="minorEastAsia" w:hAnsi="Arial" w:cs="Arial"/>
          <w:i/>
          <w:iCs/>
          <w:sz w:val="20"/>
          <w:szCs w:val="20"/>
        </w:rPr>
        <w:t>, h</w:t>
      </w:r>
      <w:r w:rsidR="00033DEE" w:rsidRPr="00D23624">
        <w:rPr>
          <w:rFonts w:ascii="Arial" w:eastAsiaTheme="minorEastAsia" w:hAnsi="Arial" w:cs="Arial"/>
          <w:i/>
          <w:iCs/>
          <w:sz w:val="20"/>
          <w:szCs w:val="20"/>
        </w:rPr>
        <w:t>” vary significantly from the negative control and various groups</w:t>
      </w:r>
    </w:p>
    <w:p w14:paraId="6FD26518" w14:textId="77777777" w:rsidR="00BC629E" w:rsidRDefault="00BC629E" w:rsidP="00441B6F">
      <w:pPr>
        <w:pStyle w:val="Body"/>
        <w:spacing w:after="0"/>
        <w:rPr>
          <w:rFonts w:ascii="Arial" w:hAnsi="Arial" w:cs="Arial"/>
        </w:rPr>
      </w:pPr>
    </w:p>
    <w:p w14:paraId="71650148" w14:textId="13A4CBBC" w:rsidR="00790ADA" w:rsidRDefault="005B52AF" w:rsidP="00A674D3">
      <w:pPr>
        <w:pStyle w:val="Body"/>
        <w:spacing w:after="0"/>
        <w:ind w:firstLine="720"/>
        <w:rPr>
          <w:rFonts w:ascii="Arial" w:hAnsi="Arial" w:cs="Arial"/>
        </w:rPr>
      </w:pPr>
      <w:r>
        <w:rPr>
          <w:rFonts w:ascii="Arial" w:hAnsi="Arial" w:cs="Arial"/>
        </w:rPr>
        <w:t xml:space="preserve">One of the characteristics of skin aging due to UVB radiation is skin hyperpigmentation, can be treated with oral or topical therapies. Previous studies have identified that inhibition of tyrosinase activity is an important for development of depigmentation therapy </w:t>
      </w:r>
      <w:r w:rsidR="00251161">
        <w:rPr>
          <w:rFonts w:ascii="Arial" w:hAnsi="Arial" w:cs="Arial"/>
        </w:rPr>
        <w:fldChar w:fldCharType="begin" w:fldLock="1"/>
      </w:r>
      <w:r w:rsidR="0084202F">
        <w:rPr>
          <w:rFonts w:ascii="Arial" w:hAnsi="Arial" w:cs="Arial"/>
        </w:rPr>
        <w:instrText>ADDIN CSL_CITATION {"citationItems":[{"id":"ITEM-1","itemData":{"DOI":"10.35790/jbm.9.1.2017.15313","ISSN":"2085-9481","abstract":"Abstract: As the outer organ of the body, skin becomes the main target of environmental influences, particularly the UVB rays. Based on analysis of phytochemicals, red pomegranate peel extract contains antioxidants such as flavonoids, phenols, tannins, and vitamin C which are able to prevent increased skin melanin by inhibiting the actions of tyrosinase. This study was aimed to prove that application of 8% red pomegranate peel extract (Punica granatum) cream could prevent the increase of skin melanin in female guinea pigs (Cavia porcellus) exposed to UVB as well as to prove that the 8% red pomegranate peel extract cream was as effective as 4% hydroquinone cream in preventing increased skin melanin. This was a true experimental study using post test only control group design. Subjects were divided into three groups, with 10 guinea pigs each group. Group 1, the control group, was treated with UVB exposure and basic cream. Group 2 was treated with UVB exposure and 4% hydroquinone cream. Group 3 was treated with UVB and 8% red pomegranate peel extract cream. A total of 390 mJ/cm UVB dosage was given for 2 weeks. Histopahtologic slides were stained with Masson-Fontana. The amount of melanin area colored in black was evaluated by the percentage of pixel areas of melanin compared with pixel areas of all epidermal tissues. The results showed that the highest amount of melanin was in group 1 (18.13±4.76%), followed by group 3 (1.876±0.73%), and group 2 as the lowest (0.67±0.291%). There was a significant difference between control group and group 2 as s well as group 3 (P &lt;0.05). There was no significant difference between group 2 and group 3 (P &gt;0.05). Conclusion: Application of 8% red pomegranate peel extract (Punica granatum) cream could prevent the increase of skin melanin in guinea pigs (Cavia porcellus) exposed to UVB. The 8% red pomegranate peel extract cream was as effective as 4% hydroquinone cream in preventing increased skin melanin.Keywords: red pomegranate peel extract, melanin, skin, UVBAbstrak: Sebagai organ terluar dari tubuh, kulit menjadi target utama dari pengaruh lingkungan, terutama oleh sinar UVB. Berdasarkan analisis fitokimia, ekstrak kulit delima merah memiliki kandungan antioksidan seperti flavonoid fenol, tanin, dan vitamin C yang mampu mencegah peningkatan jumlah melanin dengan cara menghambat kerja enzim tirosinase. Penelitian ini bertujuan untuk membuktikan efek pemberian krim ekstrak kulit delima merah (Punica granatum) 8% dalam me…","author":[{"dropping-particle":"","family":"Siahaan","given":"Eva R.","non-dropping-particle":"","parse-names":false,"suffix":""},{"dropping-particle":"","family":"Pangkahila","given":"Wimpie","non-dropping-particle":"","parse-names":false,"suffix":""},{"dropping-particle":"","family":"Wiraguna","given":"A A G P","non-dropping-particle":"","parse-names":false,"suffix":""}],"container-title":"Jurnal Biomedik (Jbm)","id":"ITEM-1","issue":"1","issued":{"date-parts":[["2017"]]},"page":"7-13","title":"Krim ekstrak kulit delima merah (Punica granatum) menghambat peningkatan jumlah melanin sama efektifnya dengan krim hidrokuinon pada kulit marmut (Cavia porcellus) betina yang dipapar sinar UVB","type":"article-journal","volume":"9"},"uris":["http://www.mendeley.com/documents/?uuid=ab077ce4-4567-4eb4-b2aa-7170aac363b3"]}],"mendeley":{"formattedCitation":"(Siahaan et al., 2017)","plainTextFormattedCitation":"(Siahaan et al., 2017)","previouslyFormattedCitation":"(Siahaan et al., 2017)"},"properties":{"noteIndex":0},"schema":"https://github.com/citation-style-language/schema/raw/master/csl-citation.json"}</w:instrText>
      </w:r>
      <w:r w:rsidR="00251161">
        <w:rPr>
          <w:rFonts w:ascii="Arial" w:hAnsi="Arial" w:cs="Arial"/>
        </w:rPr>
        <w:fldChar w:fldCharType="separate"/>
      </w:r>
      <w:r w:rsidR="007A4687" w:rsidRPr="007A4687">
        <w:rPr>
          <w:rFonts w:ascii="Arial" w:hAnsi="Arial" w:cs="Arial"/>
          <w:noProof/>
        </w:rPr>
        <w:t>(Siahaan et al., 2017)</w:t>
      </w:r>
      <w:r w:rsidR="00251161">
        <w:rPr>
          <w:rFonts w:ascii="Arial" w:hAnsi="Arial" w:cs="Arial"/>
        </w:rPr>
        <w:fldChar w:fldCharType="end"/>
      </w:r>
      <w:r w:rsidR="00251161">
        <w:rPr>
          <w:rFonts w:ascii="Arial" w:hAnsi="Arial" w:cs="Arial"/>
        </w:rPr>
        <w:t>.</w:t>
      </w:r>
    </w:p>
    <w:p w14:paraId="3EACC72C" w14:textId="1B96BF97" w:rsidR="00836322" w:rsidRDefault="00836322" w:rsidP="00441B6F">
      <w:pPr>
        <w:pStyle w:val="Body"/>
        <w:spacing w:after="0"/>
        <w:rPr>
          <w:rFonts w:ascii="Arial" w:hAnsi="Arial" w:cs="Arial"/>
        </w:rPr>
      </w:pPr>
      <w:r>
        <w:rPr>
          <w:rFonts w:ascii="Arial" w:hAnsi="Arial" w:cs="Arial"/>
        </w:rPr>
        <w:tab/>
        <w:t>The effectiveness of tamarillo fruit extract in decrease in the levels of tyrosinase and melanin can be attributed to its phytochemical content</w:t>
      </w:r>
      <w:r w:rsidR="005A63D8">
        <w:rPr>
          <w:rFonts w:ascii="Arial" w:hAnsi="Arial" w:cs="Arial"/>
        </w:rPr>
        <w:t xml:space="preserve">. Flavonoids can lighten skin by directly reducing the activity of the tyrosinase enzyme, which is involved in melanin production </w:t>
      </w:r>
      <w:r w:rsidR="005A63D8">
        <w:rPr>
          <w:rFonts w:ascii="Arial" w:hAnsi="Arial" w:cs="Arial"/>
        </w:rPr>
        <w:fldChar w:fldCharType="begin" w:fldLock="1"/>
      </w:r>
      <w:r w:rsidR="0084202F">
        <w:rPr>
          <w:rFonts w:ascii="Arial" w:hAnsi="Arial" w:cs="Arial"/>
        </w:rPr>
        <w:instrText>ADDIN CSL_CITATION {"citationItems":[{"id":"ITEM-1","itemData":{"DOI":"10.20473/bikk.v33.3.2021.194-199","ISSN":"1978-4279","abstract":"Background: Exposure to Ultraviolet B (UVB) rays on the skin causesmany problems, including pigmentation and aging effect. Hence, protection against it is needed. Purpose: The study aimedto determine the effect of corncob extract cream on the number of melanin pigments in guinea pig skins exposed to UVB rays. Methods: Anexperimental post-test-only control group study was conducted on the 25 guinea pigs. The guinea pigs were divided randomly into five groups: group I without cream, group II cream base, group III hydroquinone cream, group IV 30% corncob extract cream, and group V 40% corncob extract cream. The cream was given daily for 20 minutes before UVB exposure and 4 hours after UVB exposure. The total dose of UVB exposure was 780 mJ / cm2 for 28 days. The amount of melanin pigment was calculated using the CX21 image J. Result: The number of melanin pigment in groups I, II, III, IV, and V were 22.8±0.4 cells, 18±0.3 cells, 6.3±3.1 cells, 13.8±0.2 cells, and 9.4±0.5 cells, respectively. Asignificantlydifferent value of One way ANOVA test was &lt;0.05. Thus, there was a difference in the number of melanin pigments between the five groups. LSD post-hoc test showed differences in each group (p &lt;0.05). Conclusion: 40% corn cobs extract cream effectively decreased the number of melanin pigment in guinea pigs exposed to UVB rays.","author":[{"dropping-particle":"","family":"Harlisa","given":"Pasid","non-dropping-particle":"","parse-names":false,"suffix":""},{"dropping-particle":"","family":"Mahardika","given":"Sita","non-dropping-particle":"","parse-names":false,"suffix":""},{"dropping-particle":"","family":"Yuliyanti","given":"Suryani","non-dropping-particle":"","parse-names":false,"suffix":""}],"container-title":"Berkala Ilmu Kesehatan Kulit dan Kelamin","id":"ITEM-1","issue":"3","issued":{"date-parts":[["2021"]]},"page":"194","title":"The Effect of Corncob (Zea mays) Extract Cream on the Number of Melanin Pigments of Guinea Pig Exposed to Ultraviolet","type":"article-journal","volume":"33"},"uris":["http://www.mendeley.com/documents/?uuid=64d8a9d8-7dc2-482e-a895-2879027d6267"]}],"mendeley":{"formattedCitation":"(Harlisa et al., 2021)","plainTextFormattedCitation":"(Harlisa et al., 2021)","previouslyFormattedCitation":"(Harlisa et al., 2021)"},"properties":{"noteIndex":0},"schema":"https://github.com/citation-style-language/schema/raw/master/csl-citation.json"}</w:instrText>
      </w:r>
      <w:r w:rsidR="005A63D8">
        <w:rPr>
          <w:rFonts w:ascii="Arial" w:hAnsi="Arial" w:cs="Arial"/>
        </w:rPr>
        <w:fldChar w:fldCharType="separate"/>
      </w:r>
      <w:r w:rsidR="007A4687" w:rsidRPr="007A4687">
        <w:rPr>
          <w:rFonts w:ascii="Arial" w:hAnsi="Arial" w:cs="Arial"/>
          <w:noProof/>
        </w:rPr>
        <w:t>(Harlisa et al., 2021)</w:t>
      </w:r>
      <w:r w:rsidR="005A63D8">
        <w:rPr>
          <w:rFonts w:ascii="Arial" w:hAnsi="Arial" w:cs="Arial"/>
        </w:rPr>
        <w:fldChar w:fldCharType="end"/>
      </w:r>
      <w:r w:rsidR="005A63D8">
        <w:rPr>
          <w:rFonts w:ascii="Arial" w:hAnsi="Arial" w:cs="Arial"/>
        </w:rPr>
        <w:t xml:space="preserve">. </w:t>
      </w:r>
      <w:r w:rsidR="008E7899">
        <w:rPr>
          <w:rFonts w:ascii="Arial" w:hAnsi="Arial" w:cs="Arial"/>
        </w:rPr>
        <w:t xml:space="preserve">Additionally, flavonoid can inhibit the tyrosinase enzyme by inhibiting ROS </w:t>
      </w:r>
      <w:r w:rsidR="008E7899">
        <w:rPr>
          <w:rFonts w:ascii="Arial" w:hAnsi="Arial" w:cs="Arial"/>
        </w:rPr>
        <w:fldChar w:fldCharType="begin" w:fldLock="1"/>
      </w:r>
      <w:r w:rsidR="0084202F">
        <w:rPr>
          <w:rFonts w:ascii="Arial" w:hAnsi="Arial" w:cs="Arial"/>
        </w:rPr>
        <w:instrText>ADDIN CSL_CITATION {"citationItems":[{"id":"ITEM-1","itemData":{"DOI":"10.36444/nsmc.v4i1.147","abstract":"Background: Excessive sun exposure results in increased activity of the tyrosinase enzyme and the amount of melanin in the skin which causes hyperpigmentation, a sign of premature aging. The purpose of this study was to prove that Ashitaba (Angelica keiskei) leaves extract cream 8% inhibited the increase of melanin and tyrosinase enzymes as effective as hydroquinone cream 4% in the ultraviolet B-exposed guinea pig (Cavia porcellus) skin.\r Methods: This study used a randomized post-test only control group design. The subjects were 36 male guinea pigs (Cavia porcellus). Subjects were divided into two groups, the hydroquinone cream 4% group and the Ashitaba leaves extract cream 8% group exposed to UVB light. Skin samples were collected 48 hours after the last exposure to measure the tyrosinase enzyme levels using the ELISA method and the amount of melanin was examined by Masson-Fontana staining.\r Results: The mean levels of tyrosinase in the hydroquinone cream 4% group was 19.51 ± 5.16 ng/L and the Ashitaba leaves extract cream 8% group was 23.76 ± 3.09 ng/L (p = 0.005). The mean amount of melanin in the  hydroquinone cream 4% group was 2.98 ± 2.27% and the Ashitaba leaves extract cream 8% group was 4.77 ± 3.33% (p = 0.069).\r Conclusion: The administration of Ashitaba (Angelica keiskei) leaves extract cream 8% inhibited the increase of melanin amount as effective as hydroquinone cream 4% and inhibited the increase of tyrosinase enzymes not as effective as hydroquinone cream 4% in the ultraviolet B-exposed guinea pig (Cavia porcellus) skin.","author":[{"dropping-particle":"","family":"Friama","given":"Chynthia","non-dropping-particle":"","parse-names":false,"suffix":""},{"dropping-particle":"","family":"Wiraguna","given":"Anak Agung Gde Putra","non-dropping-particle":"","parse-names":false,"suffix":""},{"dropping-particle":"","family":"Pangkahila","given":"Wimpie","non-dropping-particle":"","parse-names":false,"suffix":""}],"container-title":"Neurologico Spinale Medico Chirurgico","id":"ITEM-1","issue":"1","issued":{"date-parts":[["2021"]]},"page":"22-27","title":"Ashitaba (Angelica keiskei) leaves extract cream 8% inhibited the increase of melanin amount as effective as hydroquinone cream 4% and inhibited the increase of tyrosinase enzymes not as effective as hydroquinone cream 4% in the ultraviolet B-exposed Guin","type":"article-journal","volume":"4"},"uris":["http://www.mendeley.com/documents/?uuid=ba19c3ad-68dd-48f6-87bd-03e9d26d72d3"]},{"id":"ITEM-2","itemData":{"author":[{"dropping-particle":"","family":"Z.Sagala","given":"","non-dropping-particle":"","parse-names":false,"suffix":""}],"id":"ITEM-2","issue":"2","issued":{"date-parts":[["2020"]]},"title":"Formulasi, Uji Stabilitas Dan Aktivitas Inhibitor Enzim Tirosinase Sediaan Krim Dari Ekstrak Buah Harendong (Melastoma affine D. Don)","type":"article-journal","volume":"5"},"uris":["http://www.mendeley.com/documents/?uuid=1b67e8d2-1661-472d-811d-f94ab354b0eb"]}],"mendeley":{"formattedCitation":"(Friama et al., 2021; Z.Sagala, 2020)","plainTextFormattedCitation":"(Friama et al., 2021; Z.Sagala, 2020)","previouslyFormattedCitation":"(Friama et al., 2021; Z.Sagala, 2020)"},"properties":{"noteIndex":0},"schema":"https://github.com/citation-style-language/schema/raw/master/csl-citation.json"}</w:instrText>
      </w:r>
      <w:r w:rsidR="008E7899">
        <w:rPr>
          <w:rFonts w:ascii="Arial" w:hAnsi="Arial" w:cs="Arial"/>
        </w:rPr>
        <w:fldChar w:fldCharType="separate"/>
      </w:r>
      <w:r w:rsidR="007A4687" w:rsidRPr="007A4687">
        <w:rPr>
          <w:rFonts w:ascii="Arial" w:hAnsi="Arial" w:cs="Arial"/>
          <w:noProof/>
        </w:rPr>
        <w:t>(Friama et al., 2021; Z.Sagala, 2020)</w:t>
      </w:r>
      <w:r w:rsidR="008E7899">
        <w:rPr>
          <w:rFonts w:ascii="Arial" w:hAnsi="Arial" w:cs="Arial"/>
        </w:rPr>
        <w:fldChar w:fldCharType="end"/>
      </w:r>
      <w:r w:rsidR="008E7899">
        <w:rPr>
          <w:rFonts w:ascii="Arial" w:hAnsi="Arial" w:cs="Arial"/>
        </w:rPr>
        <w:t xml:space="preserve">. </w:t>
      </w:r>
    </w:p>
    <w:p w14:paraId="00C14354" w14:textId="637490CB" w:rsidR="00346C92" w:rsidRDefault="00346C92" w:rsidP="00441B6F">
      <w:pPr>
        <w:pStyle w:val="Body"/>
        <w:spacing w:after="0"/>
        <w:rPr>
          <w:rFonts w:ascii="Arial" w:hAnsi="Arial" w:cs="Arial"/>
        </w:rPr>
      </w:pPr>
      <w:r>
        <w:rPr>
          <w:rFonts w:ascii="Arial" w:hAnsi="Arial" w:cs="Arial"/>
        </w:rPr>
        <w:tab/>
        <w:t>Tannin</w:t>
      </w:r>
      <w:r w:rsidR="00246262">
        <w:rPr>
          <w:rFonts w:ascii="Arial" w:hAnsi="Arial" w:cs="Arial"/>
        </w:rPr>
        <w:t xml:space="preserve"> can also inhibit the tyrosinase enzyme by binding copper (Cu) ions which are important cofactors for the enzyme. As a result, following exposure to UVB radiation</w:t>
      </w:r>
      <w:r w:rsidR="00A91BFF">
        <w:rPr>
          <w:rFonts w:ascii="Arial" w:hAnsi="Arial" w:cs="Arial"/>
        </w:rPr>
        <w:t xml:space="preserve">, melanin formation prevented because the melanin biosynthesis process has been inhibited </w:t>
      </w:r>
      <w:r w:rsidR="00A91BFF">
        <w:rPr>
          <w:rFonts w:ascii="Arial" w:hAnsi="Arial" w:cs="Arial"/>
        </w:rPr>
        <w:fldChar w:fldCharType="begin" w:fldLock="1"/>
      </w:r>
      <w:r w:rsidR="0084202F">
        <w:rPr>
          <w:rFonts w:ascii="Arial" w:hAnsi="Arial" w:cs="Arial"/>
        </w:rPr>
        <w:instrText>ADDIN CSL_CITATION {"citationItems":[{"id":"ITEM-1","itemData":{"ISBN":"9788411172226","author":[{"dropping-particle":"","family":"Molino","given":"Silva","non-dropping-particle":"","parse-names":false,"suffix":""}],"id":"ITEM-1","issued":{"date-parts":[["2022"]]},"number-of-pages":"287","title":"Tannins. Bioactivity and effect on gut microbiota","type":"book"},"uris":["http://www.mendeley.com/documents/?uuid=fbb5d5e7-10bb-491b-b7a2-cf4f75daf13f"]}],"mendeley":{"formattedCitation":"(Molino, 2022)","plainTextFormattedCitation":"(Molino, 2022)","previouslyFormattedCitation":"(Molino, 2022)"},"properties":{"noteIndex":0},"schema":"https://github.com/citation-style-language/schema/raw/master/csl-citation.json"}</w:instrText>
      </w:r>
      <w:r w:rsidR="00A91BFF">
        <w:rPr>
          <w:rFonts w:ascii="Arial" w:hAnsi="Arial" w:cs="Arial"/>
        </w:rPr>
        <w:fldChar w:fldCharType="separate"/>
      </w:r>
      <w:r w:rsidR="007A4687" w:rsidRPr="007A4687">
        <w:rPr>
          <w:rFonts w:ascii="Arial" w:hAnsi="Arial" w:cs="Arial"/>
          <w:noProof/>
        </w:rPr>
        <w:t>(Molino, 2022)</w:t>
      </w:r>
      <w:r w:rsidR="00A91BFF">
        <w:rPr>
          <w:rFonts w:ascii="Arial" w:hAnsi="Arial" w:cs="Arial"/>
        </w:rPr>
        <w:fldChar w:fldCharType="end"/>
      </w:r>
      <w:r w:rsidR="00A91BFF">
        <w:rPr>
          <w:rFonts w:ascii="Arial" w:hAnsi="Arial" w:cs="Arial"/>
        </w:rPr>
        <w:t>.</w:t>
      </w:r>
    </w:p>
    <w:p w14:paraId="07C0E730" w14:textId="64AEB8A6" w:rsidR="00927834" w:rsidRDefault="00FC28BC" w:rsidP="00025991">
      <w:pPr>
        <w:pStyle w:val="Body"/>
        <w:spacing w:after="0"/>
        <w:rPr>
          <w:rFonts w:ascii="Arial" w:hAnsi="Arial" w:cs="Arial"/>
          <w:b/>
          <w:bCs/>
          <w:sz w:val="22"/>
          <w:szCs w:val="22"/>
        </w:rPr>
      </w:pPr>
      <w:r>
        <w:rPr>
          <w:rFonts w:ascii="Arial" w:hAnsi="Arial" w:cs="Arial"/>
        </w:rPr>
        <w:tab/>
        <w:t>This study aims to demonstr</w:t>
      </w:r>
      <w:r w:rsidR="00474221">
        <w:rPr>
          <w:rFonts w:ascii="Arial" w:hAnsi="Arial" w:cs="Arial"/>
        </w:rPr>
        <w:t>a</w:t>
      </w:r>
      <w:r>
        <w:rPr>
          <w:rFonts w:ascii="Arial" w:hAnsi="Arial" w:cs="Arial"/>
        </w:rPr>
        <w:t>ted that tamarillo fruit ethanol extract cream</w:t>
      </w:r>
      <w:r w:rsidR="00474221">
        <w:rPr>
          <w:rFonts w:ascii="Arial" w:hAnsi="Arial" w:cs="Arial"/>
        </w:rPr>
        <w:t xml:space="preserve"> can decrease in the levels of MDA, tyrosinase enzymes and melanin production in the skin of guinea pigs after UVB exposure.</w:t>
      </w:r>
      <w:r w:rsidR="00172DBC">
        <w:rPr>
          <w:rFonts w:ascii="Arial" w:hAnsi="Arial" w:cs="Arial"/>
        </w:rPr>
        <w:t xml:space="preserve"> It was found that average of MDA, tyrosinase enzyme and melanin between groups differed significantly with lower values in tamarillo fruit ethanol extract cream compared to </w:t>
      </w:r>
      <w:r w:rsidR="00BC2761">
        <w:rPr>
          <w:rFonts w:ascii="Arial" w:hAnsi="Arial" w:cs="Arial"/>
        </w:rPr>
        <w:t>the negative control group. These findings suggest that the three doses of tamarillo fruit ethanol extract cream effectively decrease in the levels of MDA (</w:t>
      </w:r>
      <w:r w:rsidR="006D032F">
        <w:rPr>
          <w:rFonts w:ascii="Arial" w:hAnsi="Arial" w:cs="Arial"/>
        </w:rPr>
        <w:t>K0&lt;P3&lt;P2=P1&lt;K-), tyrosinase enzyme</w:t>
      </w:r>
      <w:r w:rsidR="00F95201">
        <w:rPr>
          <w:rFonts w:ascii="Arial" w:hAnsi="Arial" w:cs="Arial"/>
        </w:rPr>
        <w:t xml:space="preserve"> (K0&lt;P3=P2&lt;P1&lt;K-) and melanin (K0=P3=P2=P1&lt;K-)</w:t>
      </w:r>
      <w:r w:rsidR="00FD3744">
        <w:rPr>
          <w:rFonts w:ascii="Arial" w:hAnsi="Arial" w:cs="Arial"/>
        </w:rPr>
        <w:t xml:space="preserve">. Tamarillo fruit ethanol extract cream has been </w:t>
      </w:r>
      <w:r w:rsidR="00CF6120">
        <w:rPr>
          <w:rFonts w:ascii="Arial" w:hAnsi="Arial" w:cs="Arial"/>
        </w:rPr>
        <w:t>shown to inhibit UVB-induced hyperpigmentation and has the potential as an anti-hyperpigmentation agent with a mechanism of action involving the suppression of ROS, leading to the decreased of tyrosinase enzyme production and a reduction in melanin density due to exposure to UVB radiation.</w:t>
      </w:r>
    </w:p>
    <w:p w14:paraId="0E71CCFF" w14:textId="77777777" w:rsidR="00927834" w:rsidRDefault="00927834" w:rsidP="00441B6F">
      <w:pPr>
        <w:autoSpaceDE w:val="0"/>
        <w:autoSpaceDN w:val="0"/>
        <w:adjustRightInd w:val="0"/>
        <w:jc w:val="both"/>
        <w:rPr>
          <w:rFonts w:ascii="Arial" w:hAnsi="Arial" w:cs="Arial"/>
          <w:b/>
          <w:bCs/>
          <w:szCs w:val="22"/>
        </w:rPr>
      </w:pPr>
    </w:p>
    <w:p w14:paraId="12535AAC" w14:textId="77777777" w:rsidR="00790ADA" w:rsidRPr="00FB3A86" w:rsidRDefault="00790ADA" w:rsidP="00441B6F">
      <w:pPr>
        <w:pStyle w:val="Body"/>
        <w:spacing w:after="0"/>
        <w:rPr>
          <w:rFonts w:ascii="Arial" w:hAnsi="Arial" w:cs="Arial"/>
        </w:rPr>
      </w:pPr>
    </w:p>
    <w:p w14:paraId="22CA2E3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15B8A29" w14:textId="77777777" w:rsidR="00790ADA" w:rsidRPr="00FB3A86" w:rsidRDefault="00790ADA" w:rsidP="00441B6F">
      <w:pPr>
        <w:pStyle w:val="ConcHead"/>
        <w:spacing w:after="0"/>
        <w:jc w:val="both"/>
        <w:rPr>
          <w:rFonts w:ascii="Arial" w:hAnsi="Arial" w:cs="Arial"/>
        </w:rPr>
      </w:pPr>
    </w:p>
    <w:p w14:paraId="6FD017BD" w14:textId="7336D522" w:rsidR="00B01FCD" w:rsidRDefault="00FD1937" w:rsidP="00441B6F">
      <w:pPr>
        <w:pStyle w:val="Body"/>
        <w:spacing w:after="0"/>
        <w:rPr>
          <w:rFonts w:ascii="Arial" w:hAnsi="Arial" w:cs="Arial"/>
        </w:rPr>
      </w:pPr>
      <w:r>
        <w:rPr>
          <w:rFonts w:ascii="Arial" w:hAnsi="Arial" w:cs="Arial"/>
        </w:rPr>
        <w:t xml:space="preserve">Tamarillo fruit ethanol extract cream has been demonstrated to be more effective in decrease in the </w:t>
      </w:r>
      <w:r w:rsidR="0054575F">
        <w:rPr>
          <w:rFonts w:ascii="Arial" w:hAnsi="Arial" w:cs="Arial"/>
        </w:rPr>
        <w:t>levels of MDA, tyrosinase enzyme activity and melanin levels in the skin of guinea pigs after UVB exposure compared to negative control group.</w:t>
      </w:r>
      <w:r w:rsidR="00E94BCA">
        <w:rPr>
          <w:rFonts w:ascii="Arial" w:hAnsi="Arial" w:cs="Arial"/>
        </w:rPr>
        <w:t xml:space="preserve"> </w:t>
      </w:r>
      <w:r w:rsidR="00E94BCA">
        <w:rPr>
          <w:rFonts w:ascii="Arial" w:eastAsia="Calibri" w:hAnsi="Arial" w:cs="Arial"/>
          <w:szCs w:val="22"/>
        </w:rPr>
        <w:t xml:space="preserve">The 15% concentration showed potential in preventing hyperpigmentation and could serve as a natural sunscreen. </w:t>
      </w:r>
      <w:r w:rsidR="00E94BCA">
        <w:rPr>
          <w:rFonts w:ascii="Arial" w:eastAsia="Calibri" w:hAnsi="Arial" w:cs="Arial"/>
          <w:szCs w:val="22"/>
        </w:rPr>
        <w:lastRenderedPageBreak/>
        <w:t xml:space="preserve">However, further research is needed to evaluate the potential toxicity of this cream to the skin, including potential adverse </w:t>
      </w:r>
      <w:r w:rsidR="00266C73">
        <w:rPr>
          <w:rFonts w:ascii="Arial" w:eastAsia="Calibri" w:hAnsi="Arial" w:cs="Arial"/>
          <w:szCs w:val="22"/>
        </w:rPr>
        <w:t xml:space="preserve">reaction, </w:t>
      </w:r>
      <w:r w:rsidR="00E94BCA">
        <w:rPr>
          <w:rFonts w:ascii="Arial" w:eastAsia="Calibri" w:hAnsi="Arial" w:cs="Arial"/>
          <w:szCs w:val="22"/>
        </w:rPr>
        <w:t>such as skin irritation, may occur with both short-term and long-term use. In add</w:t>
      </w:r>
      <w:r w:rsidR="00266C73">
        <w:rPr>
          <w:rFonts w:ascii="Arial" w:eastAsia="Calibri" w:hAnsi="Arial" w:cs="Arial"/>
          <w:szCs w:val="22"/>
        </w:rPr>
        <w:t>ition, clinical trials are needed as an important step before this cream may offer a different treatment option for hyperpigmentation in humans.</w:t>
      </w:r>
    </w:p>
    <w:p w14:paraId="1D2BAD7E" w14:textId="77777777" w:rsidR="00790ADA" w:rsidRPr="00FB3A86" w:rsidRDefault="00790ADA" w:rsidP="00441B6F">
      <w:pPr>
        <w:pStyle w:val="Body"/>
        <w:spacing w:after="0"/>
        <w:rPr>
          <w:rFonts w:ascii="Arial" w:hAnsi="Arial" w:cs="Arial"/>
        </w:rPr>
      </w:pPr>
    </w:p>
    <w:p w14:paraId="0090B009" w14:textId="77777777" w:rsidR="002B685A" w:rsidRDefault="002B685A" w:rsidP="00441B6F">
      <w:pPr>
        <w:pStyle w:val="ReferHead"/>
        <w:spacing w:after="0"/>
        <w:jc w:val="both"/>
        <w:rPr>
          <w:rFonts w:ascii="Arial" w:hAnsi="Arial" w:cs="Arial"/>
          <w:b w:val="0"/>
          <w:caps w:val="0"/>
          <w:sz w:val="20"/>
        </w:rPr>
      </w:pPr>
    </w:p>
    <w:p w14:paraId="49BDF793" w14:textId="516E832B"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198BC821" w14:textId="77777777" w:rsidR="001A29D8" w:rsidRDefault="001A29D8" w:rsidP="00441B6F">
      <w:pPr>
        <w:pStyle w:val="ReferHead"/>
        <w:spacing w:after="0"/>
        <w:jc w:val="both"/>
        <w:rPr>
          <w:rFonts w:ascii="Arial" w:hAnsi="Arial" w:cs="Arial"/>
          <w:b w:val="0"/>
          <w:caps w:val="0"/>
          <w:sz w:val="20"/>
        </w:rPr>
      </w:pPr>
    </w:p>
    <w:p w14:paraId="2289625F" w14:textId="1FE5EDA6" w:rsidR="001A29D8" w:rsidRPr="00F469F0" w:rsidRDefault="001A29D8" w:rsidP="00441B6F">
      <w:pPr>
        <w:pStyle w:val="ReferHead"/>
        <w:spacing w:after="0"/>
        <w:jc w:val="both"/>
        <w:rPr>
          <w:rFonts w:ascii="Arial" w:hAnsi="Arial" w:cs="Arial"/>
          <w:b w:val="0"/>
          <w:caps w:val="0"/>
          <w:sz w:val="20"/>
          <w:u w:val="single"/>
        </w:rPr>
      </w:pPr>
      <w:r w:rsidRPr="00F469F0">
        <w:rPr>
          <w:rFonts w:ascii="Arial" w:hAnsi="Arial" w:cs="Arial"/>
          <w:b w:val="0"/>
          <w:caps w:val="0"/>
          <w:sz w:val="20"/>
          <w:u w:val="single"/>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0B8F9BD3" w14:textId="77777777" w:rsidR="001A29D8" w:rsidRDefault="001A29D8" w:rsidP="00441B6F">
      <w:pPr>
        <w:pStyle w:val="ReferHead"/>
        <w:spacing w:after="0"/>
        <w:jc w:val="both"/>
        <w:rPr>
          <w:rFonts w:ascii="Arial" w:hAnsi="Arial" w:cs="Arial"/>
          <w:b w:val="0"/>
          <w:caps w:val="0"/>
          <w:sz w:val="20"/>
        </w:rPr>
      </w:pPr>
    </w:p>
    <w:p w14:paraId="1F59A1CE" w14:textId="77777777" w:rsidR="005C784C" w:rsidRDefault="005C784C" w:rsidP="00441B6F">
      <w:pPr>
        <w:pStyle w:val="ReferHead"/>
        <w:spacing w:after="0"/>
        <w:jc w:val="both"/>
        <w:rPr>
          <w:rFonts w:ascii="Arial" w:hAnsi="Arial" w:cs="Arial"/>
          <w:b w:val="0"/>
          <w:caps w:val="0"/>
          <w:sz w:val="20"/>
        </w:rPr>
      </w:pPr>
    </w:p>
    <w:p w14:paraId="4CA11F7F"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5C4225CC" w14:textId="77777777" w:rsidR="005C784C" w:rsidRPr="002B685A" w:rsidRDefault="005C784C" w:rsidP="00441B6F">
      <w:pPr>
        <w:pStyle w:val="ReferHead"/>
        <w:spacing w:after="0"/>
        <w:jc w:val="both"/>
        <w:rPr>
          <w:rFonts w:ascii="Arial" w:hAnsi="Arial" w:cs="Arial"/>
          <w:bCs/>
        </w:rPr>
      </w:pPr>
    </w:p>
    <w:p w14:paraId="645E55DB" w14:textId="77777777" w:rsidR="00CD6856" w:rsidRDefault="00CD6856" w:rsidP="00441B6F">
      <w:pPr>
        <w:pStyle w:val="ReferHead"/>
        <w:spacing w:after="0"/>
        <w:jc w:val="both"/>
        <w:rPr>
          <w:rFonts w:ascii="Arial" w:hAnsi="Arial" w:cs="Arial"/>
          <w:b w:val="0"/>
          <w:caps w:val="0"/>
          <w:sz w:val="20"/>
        </w:rPr>
      </w:pPr>
    </w:p>
    <w:p w14:paraId="1210A86D" w14:textId="3221EE96" w:rsidR="0041027F" w:rsidRDefault="008671C6" w:rsidP="00441B6F">
      <w:pPr>
        <w:pStyle w:val="ReferHead"/>
        <w:spacing w:after="0"/>
        <w:jc w:val="both"/>
        <w:rPr>
          <w:rFonts w:ascii="Arial" w:hAnsi="Arial" w:cs="Arial"/>
          <w:b w:val="0"/>
          <w:caps w:val="0"/>
          <w:sz w:val="20"/>
          <w:u w:val="single"/>
        </w:rPr>
      </w:pPr>
      <w:r w:rsidRPr="0041027F">
        <w:rPr>
          <w:rFonts w:ascii="Arial" w:hAnsi="Arial" w:cs="Arial"/>
          <w:b w:val="0"/>
          <w:caps w:val="0"/>
          <w:sz w:val="20"/>
        </w:rPr>
        <w:t xml:space="preserve"> </w:t>
      </w:r>
      <w:r w:rsidRPr="008671C6">
        <w:rPr>
          <w:rFonts w:ascii="Arial" w:hAnsi="Arial" w:cs="Arial"/>
          <w:b w:val="0"/>
          <w:caps w:val="0"/>
          <w:sz w:val="20"/>
          <w:u w:val="single"/>
        </w:rPr>
        <w:t xml:space="preserve">“All authors hereby declare that </w:t>
      </w:r>
      <w:r w:rsidR="0041027F" w:rsidRPr="008671C6">
        <w:rPr>
          <w:rFonts w:ascii="Arial" w:hAnsi="Arial" w:cs="Arial"/>
          <w:b w:val="0"/>
          <w:caps w:val="0"/>
          <w:sz w:val="20"/>
          <w:u w:val="single"/>
        </w:rPr>
        <w:t>"Principles of laboratory animal care" (NIH publication No. 85-23, revised 1985) were followed, as well as specific national laws where applicable.</w:t>
      </w:r>
      <w:r>
        <w:rPr>
          <w:rFonts w:ascii="Arial" w:hAnsi="Arial" w:cs="Arial"/>
          <w:b w:val="0"/>
          <w:caps w:val="0"/>
          <w:sz w:val="20"/>
          <w:u w:val="single"/>
        </w:rPr>
        <w:t xml:space="preserve"> A</w:t>
      </w:r>
      <w:r w:rsidRPr="00F469F0">
        <w:rPr>
          <w:rFonts w:ascii="Arial" w:hAnsi="Arial" w:cs="Arial"/>
          <w:b w:val="0"/>
          <w:caps w:val="0"/>
          <w:sz w:val="20"/>
          <w:u w:val="single"/>
        </w:rPr>
        <w:t>ll experiments have been examined and approved by the appropriate ethics committee</w:t>
      </w:r>
      <w:r w:rsidRPr="008671C6">
        <w:rPr>
          <w:rFonts w:ascii="Arial" w:hAnsi="Arial" w:cs="Arial"/>
          <w:b w:val="0"/>
          <w:caps w:val="0"/>
          <w:sz w:val="20"/>
          <w:u w:val="single"/>
        </w:rPr>
        <w:t>”</w:t>
      </w:r>
    </w:p>
    <w:p w14:paraId="241A065C" w14:textId="77777777" w:rsidR="00CD6856" w:rsidRDefault="00CD6856" w:rsidP="00441B6F">
      <w:pPr>
        <w:pStyle w:val="ReferHead"/>
        <w:spacing w:after="0"/>
        <w:jc w:val="both"/>
        <w:rPr>
          <w:rFonts w:ascii="Arial" w:hAnsi="Arial" w:cs="Arial"/>
          <w:b w:val="0"/>
          <w:caps w:val="0"/>
          <w:sz w:val="20"/>
        </w:rPr>
      </w:pPr>
    </w:p>
    <w:p w14:paraId="6AD537D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C74E778" w14:textId="77777777" w:rsidR="0084202F" w:rsidRDefault="0084202F" w:rsidP="00441B6F">
      <w:pPr>
        <w:pStyle w:val="ReferHead"/>
        <w:spacing w:after="0"/>
        <w:jc w:val="both"/>
        <w:rPr>
          <w:rFonts w:ascii="Arial" w:hAnsi="Arial" w:cs="Arial"/>
        </w:rPr>
      </w:pPr>
    </w:p>
    <w:p w14:paraId="26E2CFF0" w14:textId="4373DB34" w:rsidR="0084202F" w:rsidRPr="0084202F" w:rsidRDefault="0084202F" w:rsidP="00C4299E">
      <w:pPr>
        <w:widowControl w:val="0"/>
        <w:autoSpaceDE w:val="0"/>
        <w:autoSpaceDN w:val="0"/>
        <w:adjustRightInd w:val="0"/>
        <w:ind w:left="480" w:hanging="480"/>
        <w:jc w:val="both"/>
        <w:rPr>
          <w:rFonts w:cs="Helvetica"/>
          <w:noProof/>
        </w:rPr>
      </w:pPr>
      <w:r>
        <w:fldChar w:fldCharType="begin" w:fldLock="1"/>
      </w:r>
      <w:r>
        <w:instrText xml:space="preserve">ADDIN Mendeley Bibliography CSL_BIBLIOGRAPHY </w:instrText>
      </w:r>
      <w:r>
        <w:fldChar w:fldCharType="separate"/>
      </w:r>
      <w:r w:rsidRPr="0084202F">
        <w:rPr>
          <w:rFonts w:cs="Helvetica"/>
          <w:noProof/>
        </w:rPr>
        <w:t xml:space="preserve">Alcantara, G. P., Esposito, A. C. C., Olivatti, T. O. F., Yoshida, M. M., &amp; Miot, H. A. 2020. Evaluation of ex vivo melanogenic response to UVB, UVA, and visible light in facial melasma and unaffected adjacent skin. </w:t>
      </w:r>
      <w:r w:rsidRPr="0084202F">
        <w:rPr>
          <w:rFonts w:cs="Helvetica"/>
          <w:i/>
          <w:iCs/>
          <w:noProof/>
        </w:rPr>
        <w:t>Anais Brasileiros de Dermatologia</w:t>
      </w:r>
      <w:r w:rsidRPr="0084202F">
        <w:rPr>
          <w:rFonts w:cs="Helvetica"/>
          <w:noProof/>
        </w:rPr>
        <w:t xml:space="preserve">, </w:t>
      </w:r>
      <w:r w:rsidRPr="0084202F">
        <w:rPr>
          <w:rFonts w:cs="Helvetica"/>
          <w:i/>
          <w:iCs/>
          <w:noProof/>
        </w:rPr>
        <w:t>95</w:t>
      </w:r>
      <w:r w:rsidRPr="0084202F">
        <w:rPr>
          <w:rFonts w:cs="Helvetica"/>
          <w:noProof/>
        </w:rPr>
        <w:t>(6), 684–690. https://doi.org/10.1016/j.abd.2020.02.015</w:t>
      </w:r>
    </w:p>
    <w:p w14:paraId="664FF231" w14:textId="77777777" w:rsidR="0084202F" w:rsidRPr="0084202F" w:rsidRDefault="0084202F" w:rsidP="00C4299E">
      <w:pPr>
        <w:widowControl w:val="0"/>
        <w:autoSpaceDE w:val="0"/>
        <w:autoSpaceDN w:val="0"/>
        <w:adjustRightInd w:val="0"/>
        <w:ind w:left="480" w:hanging="480"/>
        <w:jc w:val="both"/>
        <w:rPr>
          <w:rFonts w:cs="Helvetica"/>
          <w:noProof/>
        </w:rPr>
      </w:pPr>
      <w:r w:rsidRPr="0084202F">
        <w:rPr>
          <w:rFonts w:cs="Helvetica"/>
          <w:noProof/>
        </w:rPr>
        <w:t xml:space="preserve">Choi, H.-J. S.-H. 2016. Anti-Melanogenesis Effect of Quercetin. </w:t>
      </w:r>
      <w:r w:rsidRPr="0084202F">
        <w:rPr>
          <w:rFonts w:cs="Helvetica"/>
          <w:i/>
          <w:iCs/>
          <w:noProof/>
        </w:rPr>
        <w:t>MDPI</w:t>
      </w:r>
      <w:r w:rsidRPr="0084202F">
        <w:rPr>
          <w:rFonts w:cs="Helvetica"/>
          <w:noProof/>
        </w:rPr>
        <w:t>.</w:t>
      </w:r>
    </w:p>
    <w:p w14:paraId="240B30FF" w14:textId="77777777" w:rsidR="0084202F" w:rsidRPr="0084202F" w:rsidRDefault="0084202F" w:rsidP="00C4299E">
      <w:pPr>
        <w:widowControl w:val="0"/>
        <w:autoSpaceDE w:val="0"/>
        <w:autoSpaceDN w:val="0"/>
        <w:adjustRightInd w:val="0"/>
        <w:ind w:left="480" w:hanging="480"/>
        <w:jc w:val="both"/>
        <w:rPr>
          <w:rFonts w:cs="Helvetica"/>
          <w:noProof/>
        </w:rPr>
      </w:pPr>
      <w:r w:rsidRPr="0084202F">
        <w:rPr>
          <w:rFonts w:cs="Helvetica"/>
          <w:noProof/>
        </w:rPr>
        <w:t xml:space="preserve">D’Mello, S. A. N., Finlay, G. J., Baguley, B. C., &amp; Askarian-Amiri, M. E. 2016. Signaling pathways in melanogenesis. </w:t>
      </w:r>
      <w:r w:rsidRPr="0084202F">
        <w:rPr>
          <w:rFonts w:cs="Helvetica"/>
          <w:i/>
          <w:iCs/>
          <w:noProof/>
        </w:rPr>
        <w:t>International Journal of Molecular Sciences</w:t>
      </w:r>
      <w:r w:rsidRPr="0084202F">
        <w:rPr>
          <w:rFonts w:cs="Helvetica"/>
          <w:noProof/>
        </w:rPr>
        <w:t xml:space="preserve">, </w:t>
      </w:r>
      <w:r w:rsidRPr="0084202F">
        <w:rPr>
          <w:rFonts w:cs="Helvetica"/>
          <w:i/>
          <w:iCs/>
          <w:noProof/>
        </w:rPr>
        <w:t>17</w:t>
      </w:r>
      <w:r w:rsidRPr="0084202F">
        <w:rPr>
          <w:rFonts w:cs="Helvetica"/>
          <w:noProof/>
        </w:rPr>
        <w:t>(7), 1–18. https://doi.org/10.3390/ijms17071144</w:t>
      </w:r>
    </w:p>
    <w:p w14:paraId="5C636F64" w14:textId="77777777" w:rsidR="0084202F" w:rsidRPr="0084202F" w:rsidRDefault="0084202F" w:rsidP="00C4299E">
      <w:pPr>
        <w:widowControl w:val="0"/>
        <w:autoSpaceDE w:val="0"/>
        <w:autoSpaceDN w:val="0"/>
        <w:adjustRightInd w:val="0"/>
        <w:ind w:left="480" w:hanging="480"/>
        <w:jc w:val="both"/>
        <w:rPr>
          <w:rFonts w:cs="Helvetica"/>
          <w:noProof/>
        </w:rPr>
      </w:pPr>
      <w:r w:rsidRPr="0084202F">
        <w:rPr>
          <w:rFonts w:cs="Helvetica"/>
          <w:noProof/>
        </w:rPr>
        <w:t xml:space="preserve">Diep, T. T., Yoo, M. J. Y., &amp; Rush, E. 2022. Tamarillo Polyphenols Encapsulated-Cubosome: Formation, Characterization, Stability during Digestion and Application in Yoghurt. </w:t>
      </w:r>
      <w:r w:rsidRPr="0084202F">
        <w:rPr>
          <w:rFonts w:cs="Helvetica"/>
          <w:i/>
          <w:iCs/>
          <w:noProof/>
        </w:rPr>
        <w:t>Antioxidants</w:t>
      </w:r>
      <w:r w:rsidRPr="0084202F">
        <w:rPr>
          <w:rFonts w:cs="Helvetica"/>
          <w:noProof/>
        </w:rPr>
        <w:t xml:space="preserve">, </w:t>
      </w:r>
      <w:r w:rsidRPr="0084202F">
        <w:rPr>
          <w:rFonts w:cs="Helvetica"/>
          <w:i/>
          <w:iCs/>
          <w:noProof/>
        </w:rPr>
        <w:t>11</w:t>
      </w:r>
      <w:r w:rsidRPr="0084202F">
        <w:rPr>
          <w:rFonts w:cs="Helvetica"/>
          <w:noProof/>
        </w:rPr>
        <w:t>(3). https://doi.org/10.3390/antiox11030520</w:t>
      </w:r>
    </w:p>
    <w:p w14:paraId="6DB5377A" w14:textId="77777777" w:rsidR="0084202F" w:rsidRPr="0084202F" w:rsidRDefault="0084202F" w:rsidP="00C4299E">
      <w:pPr>
        <w:widowControl w:val="0"/>
        <w:autoSpaceDE w:val="0"/>
        <w:autoSpaceDN w:val="0"/>
        <w:adjustRightInd w:val="0"/>
        <w:ind w:left="480" w:hanging="480"/>
        <w:jc w:val="both"/>
        <w:rPr>
          <w:rFonts w:cs="Helvetica"/>
          <w:noProof/>
        </w:rPr>
      </w:pPr>
      <w:r w:rsidRPr="0084202F">
        <w:rPr>
          <w:rFonts w:cs="Helvetica"/>
          <w:noProof/>
        </w:rPr>
        <w:t xml:space="preserve">Friama, C., Wiraguna, A. A. G. P., &amp; Pangkahila, W. 2021. Ashitaba (Angelica keiskei) leaves extract cream 8% inhibited the increase of melanin amount as effective as hydroquinone cream 4% and inhibited the increase of tyrosinase enzymes not as effective as hydroquinone cream 4% in the ultraviolet B-exposed Guin. </w:t>
      </w:r>
      <w:r w:rsidRPr="0084202F">
        <w:rPr>
          <w:rFonts w:cs="Helvetica"/>
          <w:i/>
          <w:iCs/>
          <w:noProof/>
        </w:rPr>
        <w:t>Neurologico Spinale Medico Chirurgico</w:t>
      </w:r>
      <w:r w:rsidRPr="0084202F">
        <w:rPr>
          <w:rFonts w:cs="Helvetica"/>
          <w:noProof/>
        </w:rPr>
        <w:t xml:space="preserve">, </w:t>
      </w:r>
      <w:r w:rsidRPr="0084202F">
        <w:rPr>
          <w:rFonts w:cs="Helvetica"/>
          <w:i/>
          <w:iCs/>
          <w:noProof/>
        </w:rPr>
        <w:t>4</w:t>
      </w:r>
      <w:r w:rsidRPr="0084202F">
        <w:rPr>
          <w:rFonts w:cs="Helvetica"/>
          <w:noProof/>
        </w:rPr>
        <w:t>(1), 22–27. https://doi.org/10.36444/nsmc.v4i1.147</w:t>
      </w:r>
    </w:p>
    <w:p w14:paraId="5C1E2F97" w14:textId="77777777" w:rsidR="0084202F" w:rsidRPr="0084202F" w:rsidRDefault="0084202F" w:rsidP="00C4299E">
      <w:pPr>
        <w:widowControl w:val="0"/>
        <w:autoSpaceDE w:val="0"/>
        <w:autoSpaceDN w:val="0"/>
        <w:adjustRightInd w:val="0"/>
        <w:ind w:left="480" w:hanging="480"/>
        <w:jc w:val="both"/>
        <w:rPr>
          <w:rFonts w:cs="Helvetica"/>
          <w:noProof/>
        </w:rPr>
      </w:pPr>
      <w:r w:rsidRPr="0084202F">
        <w:rPr>
          <w:rFonts w:cs="Helvetica"/>
          <w:noProof/>
        </w:rPr>
        <w:t xml:space="preserve">Gery Umami, Gita Cahya Eka Darma, &amp; Mentari Luthfika Dewi. 2022. Formulasi Basis Masker Mata Hidrogel sebagai Metode Penghantaran Sediaan Antioksidan. </w:t>
      </w:r>
      <w:r w:rsidRPr="0084202F">
        <w:rPr>
          <w:rFonts w:cs="Helvetica"/>
          <w:i/>
          <w:iCs/>
          <w:noProof/>
        </w:rPr>
        <w:t>Bandung Conference Series: Pharmacy</w:t>
      </w:r>
      <w:r w:rsidRPr="0084202F">
        <w:rPr>
          <w:rFonts w:cs="Helvetica"/>
          <w:noProof/>
        </w:rPr>
        <w:t xml:space="preserve">, </w:t>
      </w:r>
      <w:r w:rsidRPr="0084202F">
        <w:rPr>
          <w:rFonts w:cs="Helvetica"/>
          <w:i/>
          <w:iCs/>
          <w:noProof/>
        </w:rPr>
        <w:t>2</w:t>
      </w:r>
      <w:r w:rsidRPr="0084202F">
        <w:rPr>
          <w:rFonts w:cs="Helvetica"/>
          <w:noProof/>
        </w:rPr>
        <w:t>(2), 291–297. https://doi.org/10.29313/bcsp.v2i2.4139</w:t>
      </w:r>
    </w:p>
    <w:p w14:paraId="0D149FD5" w14:textId="77777777" w:rsidR="0084202F" w:rsidRPr="0084202F" w:rsidRDefault="0084202F" w:rsidP="00C4299E">
      <w:pPr>
        <w:widowControl w:val="0"/>
        <w:autoSpaceDE w:val="0"/>
        <w:autoSpaceDN w:val="0"/>
        <w:adjustRightInd w:val="0"/>
        <w:ind w:left="480" w:hanging="480"/>
        <w:jc w:val="both"/>
        <w:rPr>
          <w:rFonts w:cs="Helvetica"/>
          <w:noProof/>
        </w:rPr>
      </w:pPr>
      <w:r w:rsidRPr="0084202F">
        <w:rPr>
          <w:rFonts w:cs="Helvetica"/>
          <w:noProof/>
        </w:rPr>
        <w:t xml:space="preserve">Guo, L., Li, W., Gu, Z., Wang, L., Guo, L., Ma, S., Li, C., Sun, J., Han, B., &amp; Chang, J. 2023. Recent Advances and Progress on Melanin: From Source to Application. </w:t>
      </w:r>
      <w:r w:rsidRPr="0084202F">
        <w:rPr>
          <w:rFonts w:cs="Helvetica"/>
          <w:i/>
          <w:iCs/>
          <w:noProof/>
        </w:rPr>
        <w:t>International Journal of Molecular Sciences</w:t>
      </w:r>
      <w:r w:rsidRPr="0084202F">
        <w:rPr>
          <w:rFonts w:cs="Helvetica"/>
          <w:noProof/>
        </w:rPr>
        <w:t xml:space="preserve">, </w:t>
      </w:r>
      <w:r w:rsidRPr="0084202F">
        <w:rPr>
          <w:rFonts w:cs="Helvetica"/>
          <w:i/>
          <w:iCs/>
          <w:noProof/>
        </w:rPr>
        <w:t>24</w:t>
      </w:r>
      <w:r w:rsidRPr="0084202F">
        <w:rPr>
          <w:rFonts w:cs="Helvetica"/>
          <w:noProof/>
        </w:rPr>
        <w:t>(5). https://doi.org/10.3390/ijms24054360</w:t>
      </w:r>
    </w:p>
    <w:p w14:paraId="6B445809" w14:textId="77777777" w:rsidR="0084202F" w:rsidRPr="0084202F" w:rsidRDefault="0084202F" w:rsidP="00C4299E">
      <w:pPr>
        <w:widowControl w:val="0"/>
        <w:autoSpaceDE w:val="0"/>
        <w:autoSpaceDN w:val="0"/>
        <w:adjustRightInd w:val="0"/>
        <w:ind w:left="480" w:hanging="480"/>
        <w:jc w:val="both"/>
        <w:rPr>
          <w:rFonts w:cs="Helvetica"/>
          <w:noProof/>
        </w:rPr>
      </w:pPr>
      <w:r w:rsidRPr="0084202F">
        <w:rPr>
          <w:rFonts w:cs="Helvetica"/>
          <w:noProof/>
        </w:rPr>
        <w:t xml:space="preserve">Haerani, A., Chaerunisa, A. Y., &amp; Subranas, A. 2018. Artikel Tinjauan: Antioksidan untuk kulit. </w:t>
      </w:r>
      <w:r w:rsidRPr="0084202F">
        <w:rPr>
          <w:rFonts w:cs="Helvetica"/>
          <w:i/>
          <w:iCs/>
          <w:noProof/>
        </w:rPr>
        <w:t>Farmaka</w:t>
      </w:r>
      <w:r w:rsidRPr="0084202F">
        <w:rPr>
          <w:rFonts w:cs="Helvetica"/>
          <w:noProof/>
        </w:rPr>
        <w:t xml:space="preserve">, </w:t>
      </w:r>
      <w:r w:rsidRPr="0084202F">
        <w:rPr>
          <w:rFonts w:cs="Helvetica"/>
          <w:i/>
          <w:iCs/>
          <w:noProof/>
        </w:rPr>
        <w:t>16</w:t>
      </w:r>
      <w:r w:rsidRPr="0084202F">
        <w:rPr>
          <w:rFonts w:cs="Helvetica"/>
          <w:noProof/>
        </w:rPr>
        <w:t>, 135–151.</w:t>
      </w:r>
    </w:p>
    <w:p w14:paraId="37F2512C" w14:textId="77777777" w:rsidR="0084202F" w:rsidRPr="0084202F" w:rsidRDefault="0084202F" w:rsidP="00C4299E">
      <w:pPr>
        <w:widowControl w:val="0"/>
        <w:autoSpaceDE w:val="0"/>
        <w:autoSpaceDN w:val="0"/>
        <w:adjustRightInd w:val="0"/>
        <w:ind w:left="480" w:hanging="480"/>
        <w:jc w:val="both"/>
        <w:rPr>
          <w:rFonts w:cs="Helvetica"/>
          <w:noProof/>
        </w:rPr>
      </w:pPr>
      <w:r w:rsidRPr="0084202F">
        <w:rPr>
          <w:rFonts w:cs="Helvetica"/>
          <w:noProof/>
        </w:rPr>
        <w:t xml:space="preserve">Harlisa, P., Mahardika, S., &amp; Yuliyanti, S. 2021. The Effect of Corncob (Zea mays) Extract Cream on the Number of Melanin Pigments of Guinea Pig Exposed to Ultraviolet. </w:t>
      </w:r>
      <w:r w:rsidRPr="0084202F">
        <w:rPr>
          <w:rFonts w:cs="Helvetica"/>
          <w:i/>
          <w:iCs/>
          <w:noProof/>
        </w:rPr>
        <w:t>Berkala Ilmu Kesehatan Kulit Dan Kelamin</w:t>
      </w:r>
      <w:r w:rsidRPr="0084202F">
        <w:rPr>
          <w:rFonts w:cs="Helvetica"/>
          <w:noProof/>
        </w:rPr>
        <w:t xml:space="preserve">, </w:t>
      </w:r>
      <w:r w:rsidRPr="0084202F">
        <w:rPr>
          <w:rFonts w:cs="Helvetica"/>
          <w:i/>
          <w:iCs/>
          <w:noProof/>
        </w:rPr>
        <w:t>33</w:t>
      </w:r>
      <w:r w:rsidRPr="0084202F">
        <w:rPr>
          <w:rFonts w:cs="Helvetica"/>
          <w:noProof/>
        </w:rPr>
        <w:t>(3), 194. https://doi.org/10.20473/bikk.v33.3.2021.194-199</w:t>
      </w:r>
    </w:p>
    <w:p w14:paraId="6620E138" w14:textId="77777777" w:rsidR="0084202F" w:rsidRPr="0084202F" w:rsidRDefault="0084202F" w:rsidP="00C4299E">
      <w:pPr>
        <w:widowControl w:val="0"/>
        <w:autoSpaceDE w:val="0"/>
        <w:autoSpaceDN w:val="0"/>
        <w:adjustRightInd w:val="0"/>
        <w:ind w:left="480" w:hanging="480"/>
        <w:jc w:val="both"/>
        <w:rPr>
          <w:rFonts w:cs="Helvetica"/>
          <w:noProof/>
        </w:rPr>
      </w:pPr>
      <w:r w:rsidRPr="0084202F">
        <w:rPr>
          <w:rFonts w:cs="Helvetica"/>
          <w:noProof/>
        </w:rPr>
        <w:t xml:space="preserve">Hart, P. H., Norval, M., Byrne, S. N., &amp; Rhodes, L. E. 2019. Exposure to Ultraviolet Radiation in the Modulation of Human Diseases. </w:t>
      </w:r>
      <w:r w:rsidRPr="0084202F">
        <w:rPr>
          <w:rFonts w:cs="Helvetica"/>
          <w:i/>
          <w:iCs/>
          <w:noProof/>
        </w:rPr>
        <w:t xml:space="preserve">Annual Review of Pathology: Mechanisms of </w:t>
      </w:r>
      <w:r w:rsidRPr="0084202F">
        <w:rPr>
          <w:rFonts w:cs="Helvetica"/>
          <w:i/>
          <w:iCs/>
          <w:noProof/>
        </w:rPr>
        <w:lastRenderedPageBreak/>
        <w:t>Disease</w:t>
      </w:r>
      <w:r w:rsidRPr="0084202F">
        <w:rPr>
          <w:rFonts w:cs="Helvetica"/>
          <w:noProof/>
        </w:rPr>
        <w:t xml:space="preserve">, </w:t>
      </w:r>
      <w:r w:rsidRPr="0084202F">
        <w:rPr>
          <w:rFonts w:cs="Helvetica"/>
          <w:i/>
          <w:iCs/>
          <w:noProof/>
        </w:rPr>
        <w:t>14</w:t>
      </w:r>
      <w:r w:rsidRPr="0084202F">
        <w:rPr>
          <w:rFonts w:cs="Helvetica"/>
          <w:noProof/>
        </w:rPr>
        <w:t>, 55–81. https://doi.org/10.1146/annurev-pathmechdis-012418-012809</w:t>
      </w:r>
    </w:p>
    <w:p w14:paraId="166D1230" w14:textId="77777777" w:rsidR="0084202F" w:rsidRPr="0084202F" w:rsidRDefault="0084202F" w:rsidP="00C4299E">
      <w:pPr>
        <w:widowControl w:val="0"/>
        <w:autoSpaceDE w:val="0"/>
        <w:autoSpaceDN w:val="0"/>
        <w:adjustRightInd w:val="0"/>
        <w:ind w:left="480" w:hanging="480"/>
        <w:jc w:val="both"/>
        <w:rPr>
          <w:rFonts w:cs="Helvetica"/>
          <w:noProof/>
        </w:rPr>
      </w:pPr>
      <w:r w:rsidRPr="0084202F">
        <w:rPr>
          <w:rFonts w:cs="Helvetica"/>
          <w:noProof/>
        </w:rPr>
        <w:t xml:space="preserve">Isla, M. I., Orqueda, M. E., Moreno, M. A., Torres, S., &amp; Zampini, I. C. 2022. Solanum betaceum Fruits Waste: A Valuable Source of Bioactive Compounds to Be Used in Foods and Non-Foods Applications. </w:t>
      </w:r>
      <w:r w:rsidRPr="0084202F">
        <w:rPr>
          <w:rFonts w:cs="Helvetica"/>
          <w:i/>
          <w:iCs/>
          <w:noProof/>
        </w:rPr>
        <w:t>Foods</w:t>
      </w:r>
      <w:r w:rsidRPr="0084202F">
        <w:rPr>
          <w:rFonts w:cs="Helvetica"/>
          <w:noProof/>
        </w:rPr>
        <w:t xml:space="preserve">, </w:t>
      </w:r>
      <w:r w:rsidRPr="0084202F">
        <w:rPr>
          <w:rFonts w:cs="Helvetica"/>
          <w:i/>
          <w:iCs/>
          <w:noProof/>
        </w:rPr>
        <w:t>11</w:t>
      </w:r>
      <w:r w:rsidRPr="0084202F">
        <w:rPr>
          <w:rFonts w:cs="Helvetica"/>
          <w:noProof/>
        </w:rPr>
        <w:t>(21), 1–16. https://doi.org/10.3390/foods11213363</w:t>
      </w:r>
    </w:p>
    <w:p w14:paraId="715F840A" w14:textId="77777777" w:rsidR="0084202F" w:rsidRPr="0084202F" w:rsidRDefault="0084202F" w:rsidP="00C4299E">
      <w:pPr>
        <w:widowControl w:val="0"/>
        <w:autoSpaceDE w:val="0"/>
        <w:autoSpaceDN w:val="0"/>
        <w:adjustRightInd w:val="0"/>
        <w:ind w:left="480" w:hanging="480"/>
        <w:jc w:val="both"/>
        <w:rPr>
          <w:rFonts w:cs="Helvetica"/>
          <w:noProof/>
        </w:rPr>
      </w:pPr>
      <w:r w:rsidRPr="0084202F">
        <w:rPr>
          <w:rFonts w:cs="Helvetica"/>
          <w:noProof/>
        </w:rPr>
        <w:t xml:space="preserve">Jeane, M., Raka, I. A., Asih, A., &amp; Bogoriani, N. W. 2018. Asupan Glikosida Flavonoid Terong Belanda (Solanum betaceum Cav.) Terhadap Aktivitas Superoksida Dismutase dan KadarMalondialdehid Tikus Wistar yang Diberi Aktivitas Fisik Maksimal. </w:t>
      </w:r>
      <w:r w:rsidRPr="0084202F">
        <w:rPr>
          <w:rFonts w:cs="Helvetica"/>
          <w:i/>
          <w:iCs/>
          <w:noProof/>
        </w:rPr>
        <w:t>Jurnal Media Sains Maret</w:t>
      </w:r>
      <w:r w:rsidRPr="0084202F">
        <w:rPr>
          <w:rFonts w:cs="Helvetica"/>
          <w:noProof/>
        </w:rPr>
        <w:t xml:space="preserve">, </w:t>
      </w:r>
      <w:r w:rsidRPr="0084202F">
        <w:rPr>
          <w:rFonts w:cs="Helvetica"/>
          <w:i/>
          <w:iCs/>
          <w:noProof/>
        </w:rPr>
        <w:t>2</w:t>
      </w:r>
      <w:r w:rsidRPr="0084202F">
        <w:rPr>
          <w:rFonts w:cs="Helvetica"/>
          <w:noProof/>
        </w:rPr>
        <w:t>(1), 32–36.</w:t>
      </w:r>
    </w:p>
    <w:p w14:paraId="78597435" w14:textId="77777777" w:rsidR="0084202F" w:rsidRPr="0084202F" w:rsidRDefault="0084202F" w:rsidP="00C4299E">
      <w:pPr>
        <w:widowControl w:val="0"/>
        <w:autoSpaceDE w:val="0"/>
        <w:autoSpaceDN w:val="0"/>
        <w:adjustRightInd w:val="0"/>
        <w:ind w:left="480" w:hanging="480"/>
        <w:jc w:val="both"/>
        <w:rPr>
          <w:rFonts w:cs="Helvetica"/>
          <w:noProof/>
        </w:rPr>
      </w:pPr>
      <w:r w:rsidRPr="0084202F">
        <w:rPr>
          <w:rFonts w:cs="Helvetica"/>
          <w:noProof/>
        </w:rPr>
        <w:t xml:space="preserve">Lee, T. H., Seo, J. O., Baek, S. H., &amp; Kim, S. Y. 2014. Inhibitory effects of resveratrol on melanin synthesis in ultraviolet B-induced pigmentation in guinea pig skin. </w:t>
      </w:r>
      <w:r w:rsidRPr="0084202F">
        <w:rPr>
          <w:rFonts w:cs="Helvetica"/>
          <w:i/>
          <w:iCs/>
          <w:noProof/>
        </w:rPr>
        <w:t>Biomolecules and Therapeutics</w:t>
      </w:r>
      <w:r w:rsidRPr="0084202F">
        <w:rPr>
          <w:rFonts w:cs="Helvetica"/>
          <w:noProof/>
        </w:rPr>
        <w:t xml:space="preserve">, </w:t>
      </w:r>
      <w:r w:rsidRPr="0084202F">
        <w:rPr>
          <w:rFonts w:cs="Helvetica"/>
          <w:i/>
          <w:iCs/>
          <w:noProof/>
        </w:rPr>
        <w:t>22</w:t>
      </w:r>
      <w:r w:rsidRPr="0084202F">
        <w:rPr>
          <w:rFonts w:cs="Helvetica"/>
          <w:noProof/>
        </w:rPr>
        <w:t>(1), 35–40. https://doi.org/10.4062/biomolther.2013.081</w:t>
      </w:r>
    </w:p>
    <w:p w14:paraId="1ACC09C5" w14:textId="77777777" w:rsidR="0084202F" w:rsidRPr="0084202F" w:rsidRDefault="0084202F" w:rsidP="00C4299E">
      <w:pPr>
        <w:widowControl w:val="0"/>
        <w:autoSpaceDE w:val="0"/>
        <w:autoSpaceDN w:val="0"/>
        <w:adjustRightInd w:val="0"/>
        <w:ind w:left="480" w:hanging="480"/>
        <w:jc w:val="both"/>
        <w:rPr>
          <w:rFonts w:cs="Helvetica"/>
          <w:noProof/>
        </w:rPr>
      </w:pPr>
      <w:r w:rsidRPr="0084202F">
        <w:rPr>
          <w:rFonts w:cs="Helvetica"/>
          <w:noProof/>
        </w:rPr>
        <w:t xml:space="preserve">Marza, A., Winaya, K. K., &amp; Indrayani, A. W. 2023. Administration of Moringa (Moringa oleifera L) Leaf Ethanol Extract Cream Inhibited the Increase of Tyrosinase Enzyme Levels and Amount of Melanin in Male Guinea Pigs (Cavia porcellus) Skin Exposed to Ultraviolet-B. </w:t>
      </w:r>
      <w:r w:rsidRPr="0084202F">
        <w:rPr>
          <w:rFonts w:cs="Helvetica"/>
          <w:i/>
          <w:iCs/>
          <w:noProof/>
        </w:rPr>
        <w:t>International Journal of Research and Review</w:t>
      </w:r>
      <w:r w:rsidRPr="0084202F">
        <w:rPr>
          <w:rFonts w:cs="Helvetica"/>
          <w:noProof/>
        </w:rPr>
        <w:t xml:space="preserve">, </w:t>
      </w:r>
      <w:r w:rsidRPr="0084202F">
        <w:rPr>
          <w:rFonts w:cs="Helvetica"/>
          <w:i/>
          <w:iCs/>
          <w:noProof/>
        </w:rPr>
        <w:t>10</w:t>
      </w:r>
      <w:r w:rsidRPr="0084202F">
        <w:rPr>
          <w:rFonts w:cs="Helvetica"/>
          <w:noProof/>
        </w:rPr>
        <w:t>(11), 521–526. https://doi.org/10.52403/ijrr.20231160</w:t>
      </w:r>
    </w:p>
    <w:p w14:paraId="209F8F6E" w14:textId="77777777" w:rsidR="0084202F" w:rsidRPr="0084202F" w:rsidRDefault="0084202F" w:rsidP="00C4299E">
      <w:pPr>
        <w:widowControl w:val="0"/>
        <w:autoSpaceDE w:val="0"/>
        <w:autoSpaceDN w:val="0"/>
        <w:adjustRightInd w:val="0"/>
        <w:ind w:left="480" w:hanging="480"/>
        <w:jc w:val="both"/>
        <w:rPr>
          <w:rFonts w:cs="Helvetica"/>
          <w:noProof/>
        </w:rPr>
      </w:pPr>
      <w:r w:rsidRPr="0084202F">
        <w:rPr>
          <w:rFonts w:cs="Helvetica"/>
          <w:noProof/>
        </w:rPr>
        <w:t xml:space="preserve">Molino, S. 2022. </w:t>
      </w:r>
      <w:r w:rsidRPr="0084202F">
        <w:rPr>
          <w:rFonts w:cs="Helvetica"/>
          <w:i/>
          <w:iCs/>
          <w:noProof/>
        </w:rPr>
        <w:t>Tannins. Bioactivity and effect on gut microbiota</w:t>
      </w:r>
      <w:r w:rsidRPr="0084202F">
        <w:rPr>
          <w:rFonts w:cs="Helvetica"/>
          <w:noProof/>
        </w:rPr>
        <w:t>.</w:t>
      </w:r>
    </w:p>
    <w:p w14:paraId="244E1FAB" w14:textId="77777777" w:rsidR="0084202F" w:rsidRPr="0084202F" w:rsidRDefault="0084202F" w:rsidP="00C4299E">
      <w:pPr>
        <w:widowControl w:val="0"/>
        <w:autoSpaceDE w:val="0"/>
        <w:autoSpaceDN w:val="0"/>
        <w:adjustRightInd w:val="0"/>
        <w:ind w:left="480" w:hanging="480"/>
        <w:jc w:val="both"/>
        <w:rPr>
          <w:rFonts w:cs="Helvetica"/>
          <w:noProof/>
        </w:rPr>
      </w:pPr>
      <w:r w:rsidRPr="0084202F">
        <w:rPr>
          <w:rFonts w:cs="Helvetica"/>
          <w:noProof/>
        </w:rPr>
        <w:t xml:space="preserve">Obaid, R. J., Mughal, E. U., Naeem, N., Sadiq, A., Alsantali, R. I., Jassas, R. S., Moussa, Z., &amp; Ahmed, S. A. 2021. Natural and synthetic flavonoid derivatives as new potential tyrosinase inhibitors: a systematic review. </w:t>
      </w:r>
      <w:r w:rsidRPr="0084202F">
        <w:rPr>
          <w:rFonts w:cs="Helvetica"/>
          <w:i/>
          <w:iCs/>
          <w:noProof/>
        </w:rPr>
        <w:t>RSC Advances</w:t>
      </w:r>
      <w:r w:rsidRPr="0084202F">
        <w:rPr>
          <w:rFonts w:cs="Helvetica"/>
          <w:noProof/>
        </w:rPr>
        <w:t xml:space="preserve">, </w:t>
      </w:r>
      <w:r w:rsidRPr="0084202F">
        <w:rPr>
          <w:rFonts w:cs="Helvetica"/>
          <w:i/>
          <w:iCs/>
          <w:noProof/>
        </w:rPr>
        <w:t>11</w:t>
      </w:r>
      <w:r w:rsidRPr="0084202F">
        <w:rPr>
          <w:rFonts w:cs="Helvetica"/>
          <w:noProof/>
        </w:rPr>
        <w:t>(36), 22159–22198. https://doi.org/10.1039/d1ra03196a</w:t>
      </w:r>
    </w:p>
    <w:p w14:paraId="64219924" w14:textId="77777777" w:rsidR="0084202F" w:rsidRPr="0084202F" w:rsidRDefault="0084202F" w:rsidP="00C4299E">
      <w:pPr>
        <w:widowControl w:val="0"/>
        <w:autoSpaceDE w:val="0"/>
        <w:autoSpaceDN w:val="0"/>
        <w:adjustRightInd w:val="0"/>
        <w:ind w:left="480" w:hanging="480"/>
        <w:jc w:val="both"/>
        <w:rPr>
          <w:rFonts w:cs="Helvetica"/>
          <w:noProof/>
        </w:rPr>
      </w:pPr>
      <w:r w:rsidRPr="0084202F">
        <w:rPr>
          <w:rFonts w:cs="Helvetica"/>
          <w:noProof/>
        </w:rPr>
        <w:t xml:space="preserve">Pizzi, A. 2021. Tannins medical / pharmacological and related applications: A critical review. </w:t>
      </w:r>
      <w:r w:rsidRPr="0084202F">
        <w:rPr>
          <w:rFonts w:cs="Helvetica"/>
          <w:i/>
          <w:iCs/>
          <w:noProof/>
        </w:rPr>
        <w:t>Sustainable Chemistry and Pharmacy</w:t>
      </w:r>
      <w:r w:rsidRPr="0084202F">
        <w:rPr>
          <w:rFonts w:cs="Helvetica"/>
          <w:noProof/>
        </w:rPr>
        <w:t xml:space="preserve">, </w:t>
      </w:r>
      <w:r w:rsidRPr="0084202F">
        <w:rPr>
          <w:rFonts w:cs="Helvetica"/>
          <w:i/>
          <w:iCs/>
          <w:noProof/>
        </w:rPr>
        <w:t>22</w:t>
      </w:r>
      <w:r w:rsidRPr="0084202F">
        <w:rPr>
          <w:rFonts w:cs="Helvetica"/>
          <w:noProof/>
        </w:rPr>
        <w:t>. https://doi.org/10.1016/j.scp.2021.100481</w:t>
      </w:r>
    </w:p>
    <w:p w14:paraId="77FCF8DB" w14:textId="77777777" w:rsidR="0084202F" w:rsidRPr="0084202F" w:rsidRDefault="0084202F" w:rsidP="00C4299E">
      <w:pPr>
        <w:widowControl w:val="0"/>
        <w:autoSpaceDE w:val="0"/>
        <w:autoSpaceDN w:val="0"/>
        <w:adjustRightInd w:val="0"/>
        <w:ind w:left="480" w:hanging="480"/>
        <w:jc w:val="both"/>
        <w:rPr>
          <w:rFonts w:cs="Helvetica"/>
          <w:noProof/>
        </w:rPr>
      </w:pPr>
      <w:r w:rsidRPr="0084202F">
        <w:rPr>
          <w:rFonts w:cs="Helvetica"/>
          <w:noProof/>
        </w:rPr>
        <w:t xml:space="preserve">Reddy, V. P. 2023. Oxidative Stress in Health and Disease. </w:t>
      </w:r>
      <w:r w:rsidRPr="0084202F">
        <w:rPr>
          <w:rFonts w:cs="Helvetica"/>
          <w:i/>
          <w:iCs/>
          <w:noProof/>
        </w:rPr>
        <w:t>Biomedicines</w:t>
      </w:r>
      <w:r w:rsidRPr="0084202F">
        <w:rPr>
          <w:rFonts w:cs="Helvetica"/>
          <w:noProof/>
        </w:rPr>
        <w:t xml:space="preserve">, </w:t>
      </w:r>
      <w:r w:rsidRPr="0084202F">
        <w:rPr>
          <w:rFonts w:cs="Helvetica"/>
          <w:i/>
          <w:iCs/>
          <w:noProof/>
        </w:rPr>
        <w:t>11</w:t>
      </w:r>
      <w:r w:rsidRPr="0084202F">
        <w:rPr>
          <w:rFonts w:cs="Helvetica"/>
          <w:noProof/>
        </w:rPr>
        <w:t>(11). https://doi.org/10.3390/biomedicines11112925</w:t>
      </w:r>
    </w:p>
    <w:p w14:paraId="3EE3D049" w14:textId="77777777" w:rsidR="0084202F" w:rsidRPr="0084202F" w:rsidRDefault="0084202F" w:rsidP="00C4299E">
      <w:pPr>
        <w:widowControl w:val="0"/>
        <w:autoSpaceDE w:val="0"/>
        <w:autoSpaceDN w:val="0"/>
        <w:adjustRightInd w:val="0"/>
        <w:ind w:left="480" w:hanging="480"/>
        <w:jc w:val="both"/>
        <w:rPr>
          <w:rFonts w:cs="Helvetica"/>
          <w:noProof/>
        </w:rPr>
      </w:pPr>
      <w:r w:rsidRPr="0084202F">
        <w:rPr>
          <w:rFonts w:cs="Helvetica"/>
          <w:noProof/>
        </w:rPr>
        <w:t xml:space="preserve">Rito, M., Marques, J., da Costa, R. M. F., Correia, S., Lopes, T., Martin, D., Canhoto, J. M. P. L., Batista de Carvalho, L. A. E., &amp; Marques, M. P. M. 2023. Antioxidant Potential of Tamarillo Fruits—Chemical and Infrared Spectroscopy Analysis. </w:t>
      </w:r>
      <w:r w:rsidRPr="0084202F">
        <w:rPr>
          <w:rFonts w:cs="Helvetica"/>
          <w:i/>
          <w:iCs/>
          <w:noProof/>
        </w:rPr>
        <w:t>Antioxidants</w:t>
      </w:r>
      <w:r w:rsidRPr="0084202F">
        <w:rPr>
          <w:rFonts w:cs="Helvetica"/>
          <w:noProof/>
        </w:rPr>
        <w:t xml:space="preserve">, </w:t>
      </w:r>
      <w:r w:rsidRPr="0084202F">
        <w:rPr>
          <w:rFonts w:cs="Helvetica"/>
          <w:i/>
          <w:iCs/>
          <w:noProof/>
        </w:rPr>
        <w:t>12</w:t>
      </w:r>
      <w:r w:rsidRPr="0084202F">
        <w:rPr>
          <w:rFonts w:cs="Helvetica"/>
          <w:noProof/>
        </w:rPr>
        <w:t>(2). https://doi.org/10.3390/antiox12020536</w:t>
      </w:r>
    </w:p>
    <w:p w14:paraId="44BA5B8F" w14:textId="77777777" w:rsidR="0084202F" w:rsidRPr="0084202F" w:rsidRDefault="0084202F" w:rsidP="00C4299E">
      <w:pPr>
        <w:widowControl w:val="0"/>
        <w:autoSpaceDE w:val="0"/>
        <w:autoSpaceDN w:val="0"/>
        <w:adjustRightInd w:val="0"/>
        <w:ind w:left="480" w:hanging="480"/>
        <w:jc w:val="both"/>
        <w:rPr>
          <w:rFonts w:cs="Helvetica"/>
          <w:noProof/>
        </w:rPr>
      </w:pPr>
      <w:r w:rsidRPr="0084202F">
        <w:rPr>
          <w:rFonts w:cs="Helvetica"/>
          <w:noProof/>
        </w:rPr>
        <w:t xml:space="preserve">Ruchi, G. 2020. </w:t>
      </w:r>
      <w:r w:rsidRPr="0084202F">
        <w:rPr>
          <w:rFonts w:cs="Helvetica"/>
          <w:i/>
          <w:iCs/>
          <w:noProof/>
        </w:rPr>
        <w:t>Review on Antityrosinase Activity of Some Indian Medicinal Plants and their</w:t>
      </w:r>
      <w:r w:rsidRPr="0084202F">
        <w:rPr>
          <w:rFonts w:cs="Helvetica"/>
          <w:noProof/>
        </w:rPr>
        <w:t xml:space="preserve">. </w:t>
      </w:r>
      <w:r w:rsidRPr="0084202F">
        <w:rPr>
          <w:rFonts w:cs="Helvetica"/>
          <w:i/>
          <w:iCs/>
          <w:noProof/>
        </w:rPr>
        <w:t>10</w:t>
      </w:r>
      <w:r w:rsidRPr="0084202F">
        <w:rPr>
          <w:rFonts w:cs="Helvetica"/>
          <w:noProof/>
        </w:rPr>
        <w:t>, 199–204.</w:t>
      </w:r>
    </w:p>
    <w:p w14:paraId="3C574B06" w14:textId="77777777" w:rsidR="0084202F" w:rsidRPr="0084202F" w:rsidRDefault="0084202F" w:rsidP="00C4299E">
      <w:pPr>
        <w:widowControl w:val="0"/>
        <w:autoSpaceDE w:val="0"/>
        <w:autoSpaceDN w:val="0"/>
        <w:adjustRightInd w:val="0"/>
        <w:ind w:left="480" w:hanging="480"/>
        <w:jc w:val="both"/>
        <w:rPr>
          <w:rFonts w:cs="Helvetica"/>
          <w:noProof/>
        </w:rPr>
      </w:pPr>
      <w:r w:rsidRPr="0084202F">
        <w:rPr>
          <w:rFonts w:cs="Helvetica"/>
          <w:noProof/>
        </w:rPr>
        <w:t xml:space="preserve">Siahaan, E. R., Pangkahila, W., &amp; Wiraguna, A. A. G. P. 2017. Krim ekstrak kulit delima merah (Punica granatum) menghambat peningkatan jumlah melanin sama efektifnya dengan krim hidrokuinon pada kulit marmut (Cavia porcellus) betina yang dipapar sinar UVB. </w:t>
      </w:r>
      <w:r w:rsidRPr="0084202F">
        <w:rPr>
          <w:rFonts w:cs="Helvetica"/>
          <w:i/>
          <w:iCs/>
          <w:noProof/>
        </w:rPr>
        <w:t>Jurnal Biomedik (Jbm)</w:t>
      </w:r>
      <w:r w:rsidRPr="0084202F">
        <w:rPr>
          <w:rFonts w:cs="Helvetica"/>
          <w:noProof/>
        </w:rPr>
        <w:t xml:space="preserve">, </w:t>
      </w:r>
      <w:r w:rsidRPr="0084202F">
        <w:rPr>
          <w:rFonts w:cs="Helvetica"/>
          <w:i/>
          <w:iCs/>
          <w:noProof/>
        </w:rPr>
        <w:t>9</w:t>
      </w:r>
      <w:r w:rsidRPr="0084202F">
        <w:rPr>
          <w:rFonts w:cs="Helvetica"/>
          <w:noProof/>
        </w:rPr>
        <w:t>(1), 7–13. https://doi.org/10.35790/jbm.9.1.2017.15313</w:t>
      </w:r>
    </w:p>
    <w:p w14:paraId="7BE6095B" w14:textId="77777777" w:rsidR="0084202F" w:rsidRPr="0084202F" w:rsidRDefault="0084202F" w:rsidP="00C4299E">
      <w:pPr>
        <w:widowControl w:val="0"/>
        <w:autoSpaceDE w:val="0"/>
        <w:autoSpaceDN w:val="0"/>
        <w:adjustRightInd w:val="0"/>
        <w:ind w:left="480" w:hanging="480"/>
        <w:jc w:val="both"/>
        <w:rPr>
          <w:rFonts w:cs="Helvetica"/>
          <w:noProof/>
        </w:rPr>
      </w:pPr>
      <w:r w:rsidRPr="0084202F">
        <w:rPr>
          <w:rFonts w:cs="Helvetica"/>
          <w:noProof/>
        </w:rPr>
        <w:t xml:space="preserve">Siti, N., Ambarwati, S., &amp; Elya, B. 2024. </w:t>
      </w:r>
      <w:r w:rsidRPr="0084202F">
        <w:rPr>
          <w:rFonts w:cs="Helvetica"/>
          <w:i/>
          <w:iCs/>
          <w:noProof/>
        </w:rPr>
        <w:t>Tyrosinase Inhibitory Activity of The Extracts from Garcinia lateriflora Blume var . javanica Boerl , Garcinia fruticosa Lauterb , and Garcinia xanthochymus Aktivitas Penghambatan Enzim Tyrosinase dari Ekstrak Garcinia lateriflora Blume var . Javanica Boe</w:t>
      </w:r>
      <w:r w:rsidRPr="0084202F">
        <w:rPr>
          <w:rFonts w:cs="Helvetica"/>
          <w:noProof/>
        </w:rPr>
        <w:t xml:space="preserve">. </w:t>
      </w:r>
      <w:r w:rsidRPr="0084202F">
        <w:rPr>
          <w:rFonts w:cs="Helvetica"/>
          <w:i/>
          <w:iCs/>
          <w:noProof/>
        </w:rPr>
        <w:t>1</w:t>
      </w:r>
      <w:r w:rsidRPr="0084202F">
        <w:rPr>
          <w:rFonts w:cs="Helvetica"/>
          <w:noProof/>
        </w:rPr>
        <w:t>(1), 35–40. https://doi.org/10.8406/jpns.v1.i1.3540</w:t>
      </w:r>
    </w:p>
    <w:p w14:paraId="4301E2A4" w14:textId="77777777" w:rsidR="0084202F" w:rsidRPr="0084202F" w:rsidRDefault="0084202F" w:rsidP="00C4299E">
      <w:pPr>
        <w:widowControl w:val="0"/>
        <w:autoSpaceDE w:val="0"/>
        <w:autoSpaceDN w:val="0"/>
        <w:adjustRightInd w:val="0"/>
        <w:ind w:left="480" w:hanging="480"/>
        <w:jc w:val="both"/>
        <w:rPr>
          <w:rFonts w:cs="Helvetica"/>
          <w:noProof/>
        </w:rPr>
      </w:pPr>
      <w:r w:rsidRPr="0084202F">
        <w:rPr>
          <w:rFonts w:cs="Helvetica"/>
          <w:noProof/>
        </w:rPr>
        <w:t xml:space="preserve">Tanjung, V. R. 2023. Formulasi Hand Sanitizer Gel dengan Ekstrak Buah Terung Belanda (Solanum Betaceum Cav) Sebagai Antiseptik. </w:t>
      </w:r>
      <w:r w:rsidRPr="0084202F">
        <w:rPr>
          <w:rFonts w:cs="Helvetica"/>
          <w:i/>
          <w:iCs/>
          <w:noProof/>
        </w:rPr>
        <w:t>COMSERVA Indonesian Jurnal of Community Services and Development</w:t>
      </w:r>
      <w:r w:rsidRPr="0084202F">
        <w:rPr>
          <w:rFonts w:cs="Helvetica"/>
          <w:noProof/>
        </w:rPr>
        <w:t xml:space="preserve">, </w:t>
      </w:r>
      <w:r w:rsidRPr="0084202F">
        <w:rPr>
          <w:rFonts w:cs="Helvetica"/>
          <w:i/>
          <w:iCs/>
          <w:noProof/>
        </w:rPr>
        <w:t>2</w:t>
      </w:r>
      <w:r w:rsidRPr="0084202F">
        <w:rPr>
          <w:rFonts w:cs="Helvetica"/>
          <w:noProof/>
        </w:rPr>
        <w:t>(12), 2904–2911. https://doi.org/10.59141/comserva.v2i12.719</w:t>
      </w:r>
    </w:p>
    <w:p w14:paraId="3A608DB6" w14:textId="77777777" w:rsidR="0084202F" w:rsidRPr="0084202F" w:rsidRDefault="0084202F" w:rsidP="00C4299E">
      <w:pPr>
        <w:widowControl w:val="0"/>
        <w:autoSpaceDE w:val="0"/>
        <w:autoSpaceDN w:val="0"/>
        <w:adjustRightInd w:val="0"/>
        <w:ind w:left="480" w:hanging="480"/>
        <w:jc w:val="both"/>
        <w:rPr>
          <w:rFonts w:cs="Helvetica"/>
          <w:noProof/>
        </w:rPr>
      </w:pPr>
      <w:r w:rsidRPr="0084202F">
        <w:rPr>
          <w:rFonts w:cs="Helvetica"/>
          <w:noProof/>
        </w:rPr>
        <w:t xml:space="preserve">Widayanti, N. P., Puspawati, N. M., Suarsana, I. N., &amp; Asih, I. A. R. A. 2016. Aktivitas antioksidan fraksi n-butanol ekstrak kulit terong belanda (Solanum betaceum Cav.) secara in vitro dan identifikasi senyawa golongan flavonoidnya. </w:t>
      </w:r>
      <w:r w:rsidRPr="0084202F">
        <w:rPr>
          <w:rFonts w:cs="Helvetica"/>
          <w:i/>
          <w:iCs/>
          <w:noProof/>
        </w:rPr>
        <w:t>Cakra Kimia</w:t>
      </w:r>
      <w:r w:rsidRPr="0084202F">
        <w:rPr>
          <w:rFonts w:cs="Helvetica"/>
          <w:noProof/>
        </w:rPr>
        <w:t xml:space="preserve">, </w:t>
      </w:r>
      <w:r w:rsidRPr="0084202F">
        <w:rPr>
          <w:rFonts w:cs="Helvetica"/>
          <w:i/>
          <w:iCs/>
          <w:noProof/>
        </w:rPr>
        <w:t>4</w:t>
      </w:r>
      <w:r w:rsidRPr="0084202F">
        <w:rPr>
          <w:rFonts w:cs="Helvetica"/>
          <w:noProof/>
        </w:rPr>
        <w:t>(1), 30–37.</w:t>
      </w:r>
    </w:p>
    <w:p w14:paraId="25295AAE" w14:textId="77777777" w:rsidR="0084202F" w:rsidRPr="0084202F" w:rsidRDefault="0084202F" w:rsidP="00C4299E">
      <w:pPr>
        <w:widowControl w:val="0"/>
        <w:autoSpaceDE w:val="0"/>
        <w:autoSpaceDN w:val="0"/>
        <w:adjustRightInd w:val="0"/>
        <w:ind w:left="480" w:hanging="480"/>
        <w:jc w:val="both"/>
        <w:rPr>
          <w:rFonts w:cs="Helvetica"/>
          <w:noProof/>
        </w:rPr>
      </w:pPr>
      <w:r w:rsidRPr="0084202F">
        <w:rPr>
          <w:rFonts w:cs="Helvetica"/>
          <w:noProof/>
        </w:rPr>
        <w:t xml:space="preserve">Z.Sagala. 2020. </w:t>
      </w:r>
      <w:r w:rsidRPr="0084202F">
        <w:rPr>
          <w:rFonts w:cs="Helvetica"/>
          <w:i/>
          <w:iCs/>
          <w:noProof/>
        </w:rPr>
        <w:t>Formulasi, Uji Stabilitas Dan Aktivitas Inhibitor Enzim Tirosinase Sediaan Krim Dari Ekstrak Buah Harendong (Melastoma affine D. Don)</w:t>
      </w:r>
      <w:r w:rsidRPr="0084202F">
        <w:rPr>
          <w:rFonts w:cs="Helvetica"/>
          <w:noProof/>
        </w:rPr>
        <w:t xml:space="preserve">. </w:t>
      </w:r>
      <w:r w:rsidRPr="0084202F">
        <w:rPr>
          <w:rFonts w:cs="Helvetica"/>
          <w:i/>
          <w:iCs/>
          <w:noProof/>
        </w:rPr>
        <w:t>5</w:t>
      </w:r>
      <w:r w:rsidRPr="0084202F">
        <w:rPr>
          <w:rFonts w:cs="Helvetica"/>
          <w:noProof/>
        </w:rPr>
        <w:t>(2).</w:t>
      </w:r>
    </w:p>
    <w:p w14:paraId="31C98548" w14:textId="267260A2" w:rsidR="00790ADA" w:rsidRPr="002C57D2" w:rsidRDefault="0084202F" w:rsidP="00C4299E">
      <w:pPr>
        <w:pStyle w:val="Body"/>
        <w:spacing w:after="0"/>
        <w:rPr>
          <w:rFonts w:ascii="Arial" w:hAnsi="Arial" w:cs="Arial"/>
        </w:rPr>
      </w:pPr>
      <w:r>
        <w:fldChar w:fldCharType="end"/>
      </w:r>
    </w:p>
    <w:p w14:paraId="1B0AF05A" w14:textId="77777777" w:rsidR="008B459E" w:rsidRPr="002C57D2" w:rsidRDefault="008B459E" w:rsidP="00C4299E">
      <w:pPr>
        <w:pStyle w:val="Body"/>
        <w:spacing w:after="0"/>
        <w:rPr>
          <w:rFonts w:ascii="Arial" w:hAnsi="Arial" w:cs="Arial"/>
        </w:rPr>
      </w:pPr>
    </w:p>
    <w:p w14:paraId="4FC37776" w14:textId="77777777" w:rsidR="000D689F" w:rsidRDefault="000D689F" w:rsidP="00C4299E">
      <w:pPr>
        <w:pStyle w:val="Body"/>
        <w:spacing w:after="0"/>
      </w:pPr>
    </w:p>
    <w:sectPr w:rsidR="000D689F" w:rsidSect="00980FD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4757E" w14:textId="77777777" w:rsidR="006911E8" w:rsidRDefault="006911E8" w:rsidP="00C37E61">
      <w:r>
        <w:separator/>
      </w:r>
    </w:p>
  </w:endnote>
  <w:endnote w:type="continuationSeparator" w:id="0">
    <w:p w14:paraId="7FE87FEB" w14:textId="77777777" w:rsidR="006911E8" w:rsidRDefault="006911E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F8995" w14:textId="77777777" w:rsidR="007B25EC" w:rsidRDefault="007B2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9F96B" w14:textId="77777777" w:rsidR="007B25EC" w:rsidRDefault="007B25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C0F4A" w14:textId="36110E8F" w:rsidR="00754C9A" w:rsidRPr="00980FD3" w:rsidRDefault="00754C9A" w:rsidP="00980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F1810" w14:textId="77777777" w:rsidR="006911E8" w:rsidRDefault="006911E8" w:rsidP="00C37E61">
      <w:r>
        <w:separator/>
      </w:r>
    </w:p>
  </w:footnote>
  <w:footnote w:type="continuationSeparator" w:id="0">
    <w:p w14:paraId="5BFCB35B" w14:textId="77777777" w:rsidR="006911E8" w:rsidRDefault="006911E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D7AAC" w14:textId="208718E1" w:rsidR="007B25EC" w:rsidRDefault="007B25EC">
    <w:pPr>
      <w:pStyle w:val="Header"/>
    </w:pPr>
    <w:r>
      <w:rPr>
        <w:noProof/>
      </w:rPr>
      <w:pict w14:anchorId="66F6AE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91612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DDB03" w14:textId="0BC4A8D3" w:rsidR="007B25EC" w:rsidRDefault="007B25EC">
    <w:pPr>
      <w:pStyle w:val="Header"/>
    </w:pPr>
    <w:r>
      <w:rPr>
        <w:noProof/>
      </w:rPr>
      <w:pict w14:anchorId="2C2E6A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91612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6D938" w14:textId="33C245AC" w:rsidR="00296529" w:rsidRPr="00296529" w:rsidRDefault="007B25EC" w:rsidP="00296529">
    <w:pPr>
      <w:ind w:left="2160"/>
      <w:jc w:val="center"/>
      <w:rPr>
        <w:rFonts w:ascii="Times New Roman" w:eastAsia="Calibri" w:hAnsi="Times New Roman"/>
        <w:i/>
        <w:sz w:val="18"/>
        <w:szCs w:val="22"/>
      </w:rPr>
    </w:pPr>
    <w:r>
      <w:rPr>
        <w:noProof/>
      </w:rPr>
      <w:pict w14:anchorId="25150D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91612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498010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66D230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3E6363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1BB828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18B29A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2C9660C"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6FC20B1"/>
    <w:multiLevelType w:val="hybridMultilevel"/>
    <w:tmpl w:val="73108CFA"/>
    <w:lvl w:ilvl="0" w:tplc="5A98FB76">
      <w:numFmt w:val="bullet"/>
      <w:lvlText w:val=""/>
      <w:lvlJc w:val="left"/>
      <w:pPr>
        <w:ind w:left="720" w:hanging="360"/>
      </w:pPr>
      <w:rPr>
        <w:rFonts w:ascii="Symbol" w:eastAsiaTheme="minorEastAsia" w:hAnsi="Symbo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52902570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24256437">
    <w:abstractNumId w:val="16"/>
  </w:num>
  <w:num w:numId="3" w16cid:durableId="620261690">
    <w:abstractNumId w:val="24"/>
  </w:num>
  <w:num w:numId="4" w16cid:durableId="18653651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68050735">
    <w:abstractNumId w:val="7"/>
  </w:num>
  <w:num w:numId="6" w16cid:durableId="1186482303">
    <w:abstractNumId w:val="6"/>
  </w:num>
  <w:num w:numId="7" w16cid:durableId="1179810574">
    <w:abstractNumId w:val="1"/>
  </w:num>
  <w:num w:numId="8" w16cid:durableId="1126309960">
    <w:abstractNumId w:val="12"/>
  </w:num>
  <w:num w:numId="9" w16cid:durableId="674040446">
    <w:abstractNumId w:val="26"/>
  </w:num>
  <w:num w:numId="10" w16cid:durableId="515391281">
    <w:abstractNumId w:val="2"/>
  </w:num>
  <w:num w:numId="11" w16cid:durableId="1199584771">
    <w:abstractNumId w:val="19"/>
  </w:num>
  <w:num w:numId="12" w16cid:durableId="1461417708">
    <w:abstractNumId w:val="3"/>
  </w:num>
  <w:num w:numId="13" w16cid:durableId="706952746">
    <w:abstractNumId w:val="18"/>
  </w:num>
  <w:num w:numId="14" w16cid:durableId="657877713">
    <w:abstractNumId w:val="8"/>
  </w:num>
  <w:num w:numId="15" w16cid:durableId="1156186224">
    <w:abstractNumId w:val="22"/>
  </w:num>
  <w:num w:numId="16" w16cid:durableId="1208449113">
    <w:abstractNumId w:val="5"/>
  </w:num>
  <w:num w:numId="17" w16cid:durableId="605313911">
    <w:abstractNumId w:val="23"/>
  </w:num>
  <w:num w:numId="18" w16cid:durableId="885489134">
    <w:abstractNumId w:val="14"/>
  </w:num>
  <w:num w:numId="19" w16cid:durableId="1918664608">
    <w:abstractNumId w:val="29"/>
  </w:num>
  <w:num w:numId="20" w16cid:durableId="843208670">
    <w:abstractNumId w:val="11"/>
  </w:num>
  <w:num w:numId="21" w16cid:durableId="646712406">
    <w:abstractNumId w:val="9"/>
  </w:num>
  <w:num w:numId="22" w16cid:durableId="1081562500">
    <w:abstractNumId w:val="13"/>
  </w:num>
  <w:num w:numId="23" w16cid:durableId="1398893242">
    <w:abstractNumId w:val="20"/>
  </w:num>
  <w:num w:numId="24" w16cid:durableId="1716392827">
    <w:abstractNumId w:val="27"/>
  </w:num>
  <w:num w:numId="25" w16cid:durableId="1597980968">
    <w:abstractNumId w:val="4"/>
  </w:num>
  <w:num w:numId="26" w16cid:durableId="413624701">
    <w:abstractNumId w:val="17"/>
  </w:num>
  <w:num w:numId="27" w16cid:durableId="2034066962">
    <w:abstractNumId w:val="21"/>
  </w:num>
  <w:num w:numId="28" w16cid:durableId="2072118561">
    <w:abstractNumId w:val="28"/>
  </w:num>
  <w:num w:numId="29" w16cid:durableId="2042708622">
    <w:abstractNumId w:val="25"/>
  </w:num>
  <w:num w:numId="30" w16cid:durableId="720982147">
    <w:abstractNumId w:val="10"/>
  </w:num>
  <w:num w:numId="31" w16cid:durableId="19554824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1223"/>
    <w:rsid w:val="00010959"/>
    <w:rsid w:val="000111EA"/>
    <w:rsid w:val="00011883"/>
    <w:rsid w:val="00013C8D"/>
    <w:rsid w:val="00016B93"/>
    <w:rsid w:val="0002112B"/>
    <w:rsid w:val="00025991"/>
    <w:rsid w:val="00030174"/>
    <w:rsid w:val="00033DEE"/>
    <w:rsid w:val="0004052C"/>
    <w:rsid w:val="0004579C"/>
    <w:rsid w:val="00053279"/>
    <w:rsid w:val="00073A4B"/>
    <w:rsid w:val="0008167B"/>
    <w:rsid w:val="00087FBE"/>
    <w:rsid w:val="00091F2E"/>
    <w:rsid w:val="000A0998"/>
    <w:rsid w:val="000A47FA"/>
    <w:rsid w:val="000A5193"/>
    <w:rsid w:val="000A65D3"/>
    <w:rsid w:val="000B1E33"/>
    <w:rsid w:val="000B5DE2"/>
    <w:rsid w:val="000B6B70"/>
    <w:rsid w:val="000C405B"/>
    <w:rsid w:val="000D0256"/>
    <w:rsid w:val="000D689F"/>
    <w:rsid w:val="000E57E8"/>
    <w:rsid w:val="000E7B7B"/>
    <w:rsid w:val="000E7D62"/>
    <w:rsid w:val="000F0F8A"/>
    <w:rsid w:val="00103357"/>
    <w:rsid w:val="00123C9F"/>
    <w:rsid w:val="00126190"/>
    <w:rsid w:val="00126442"/>
    <w:rsid w:val="00130F17"/>
    <w:rsid w:val="001320BF"/>
    <w:rsid w:val="00132B22"/>
    <w:rsid w:val="00163BC4"/>
    <w:rsid w:val="0016649D"/>
    <w:rsid w:val="00172DBC"/>
    <w:rsid w:val="001737D5"/>
    <w:rsid w:val="00184518"/>
    <w:rsid w:val="00191062"/>
    <w:rsid w:val="00192B72"/>
    <w:rsid w:val="001968DD"/>
    <w:rsid w:val="001A0F02"/>
    <w:rsid w:val="001A10FC"/>
    <w:rsid w:val="001A222C"/>
    <w:rsid w:val="001A29D8"/>
    <w:rsid w:val="001A5CAA"/>
    <w:rsid w:val="001A5CB7"/>
    <w:rsid w:val="001B0427"/>
    <w:rsid w:val="001B110B"/>
    <w:rsid w:val="001B2830"/>
    <w:rsid w:val="001B4348"/>
    <w:rsid w:val="001D113B"/>
    <w:rsid w:val="001D3A51"/>
    <w:rsid w:val="001D7BCD"/>
    <w:rsid w:val="001E10D2"/>
    <w:rsid w:val="001E25B4"/>
    <w:rsid w:val="001E2D9D"/>
    <w:rsid w:val="001E44FE"/>
    <w:rsid w:val="001F31AF"/>
    <w:rsid w:val="00200595"/>
    <w:rsid w:val="00204835"/>
    <w:rsid w:val="00210B11"/>
    <w:rsid w:val="00215086"/>
    <w:rsid w:val="00227F5E"/>
    <w:rsid w:val="00231920"/>
    <w:rsid w:val="0023195C"/>
    <w:rsid w:val="0024282C"/>
    <w:rsid w:val="00243282"/>
    <w:rsid w:val="00243B8E"/>
    <w:rsid w:val="00245222"/>
    <w:rsid w:val="002460DC"/>
    <w:rsid w:val="00246262"/>
    <w:rsid w:val="0024654B"/>
    <w:rsid w:val="0024680D"/>
    <w:rsid w:val="00250985"/>
    <w:rsid w:val="00251161"/>
    <w:rsid w:val="0025379C"/>
    <w:rsid w:val="002556F6"/>
    <w:rsid w:val="00255AD1"/>
    <w:rsid w:val="002645A9"/>
    <w:rsid w:val="00266C73"/>
    <w:rsid w:val="00271360"/>
    <w:rsid w:val="002806F4"/>
    <w:rsid w:val="00283105"/>
    <w:rsid w:val="00284C4C"/>
    <w:rsid w:val="00287E68"/>
    <w:rsid w:val="002930F0"/>
    <w:rsid w:val="00296529"/>
    <w:rsid w:val="002A4015"/>
    <w:rsid w:val="002A645A"/>
    <w:rsid w:val="002A78E2"/>
    <w:rsid w:val="002B248B"/>
    <w:rsid w:val="002B27FB"/>
    <w:rsid w:val="002B40FA"/>
    <w:rsid w:val="002B685A"/>
    <w:rsid w:val="002C57D2"/>
    <w:rsid w:val="002C7B6B"/>
    <w:rsid w:val="002E0D56"/>
    <w:rsid w:val="002E3B00"/>
    <w:rsid w:val="002E3FE3"/>
    <w:rsid w:val="002E73C4"/>
    <w:rsid w:val="002F65F0"/>
    <w:rsid w:val="0030332E"/>
    <w:rsid w:val="0030437E"/>
    <w:rsid w:val="00315186"/>
    <w:rsid w:val="0033343E"/>
    <w:rsid w:val="00344230"/>
    <w:rsid w:val="00346C92"/>
    <w:rsid w:val="003512C2"/>
    <w:rsid w:val="003600E7"/>
    <w:rsid w:val="0036615F"/>
    <w:rsid w:val="00371FB6"/>
    <w:rsid w:val="0037632A"/>
    <w:rsid w:val="003763C1"/>
    <w:rsid w:val="00376BBE"/>
    <w:rsid w:val="00382106"/>
    <w:rsid w:val="00384878"/>
    <w:rsid w:val="0039224F"/>
    <w:rsid w:val="003A2A61"/>
    <w:rsid w:val="003A3C13"/>
    <w:rsid w:val="003A43A4"/>
    <w:rsid w:val="003A61B7"/>
    <w:rsid w:val="003A6644"/>
    <w:rsid w:val="003A7E18"/>
    <w:rsid w:val="003B7D07"/>
    <w:rsid w:val="003C4234"/>
    <w:rsid w:val="003C4C86"/>
    <w:rsid w:val="003C6258"/>
    <w:rsid w:val="003E2904"/>
    <w:rsid w:val="003E52FC"/>
    <w:rsid w:val="00401927"/>
    <w:rsid w:val="00403BDB"/>
    <w:rsid w:val="0041027F"/>
    <w:rsid w:val="004103C1"/>
    <w:rsid w:val="00412475"/>
    <w:rsid w:val="00423789"/>
    <w:rsid w:val="00427342"/>
    <w:rsid w:val="00431B07"/>
    <w:rsid w:val="00433950"/>
    <w:rsid w:val="004375CC"/>
    <w:rsid w:val="00440F43"/>
    <w:rsid w:val="00441B6F"/>
    <w:rsid w:val="00446221"/>
    <w:rsid w:val="00450E62"/>
    <w:rsid w:val="00450E8D"/>
    <w:rsid w:val="004539DB"/>
    <w:rsid w:val="00455B77"/>
    <w:rsid w:val="004605D2"/>
    <w:rsid w:val="00470C16"/>
    <w:rsid w:val="00471A80"/>
    <w:rsid w:val="00474221"/>
    <w:rsid w:val="004751B2"/>
    <w:rsid w:val="004A41F8"/>
    <w:rsid w:val="004A576D"/>
    <w:rsid w:val="004B32E7"/>
    <w:rsid w:val="004B36F5"/>
    <w:rsid w:val="004C5D23"/>
    <w:rsid w:val="004D305E"/>
    <w:rsid w:val="004D4277"/>
    <w:rsid w:val="004D74BE"/>
    <w:rsid w:val="004E022C"/>
    <w:rsid w:val="004E5FCE"/>
    <w:rsid w:val="004E6E0A"/>
    <w:rsid w:val="004F01E6"/>
    <w:rsid w:val="00502516"/>
    <w:rsid w:val="00505F06"/>
    <w:rsid w:val="00506828"/>
    <w:rsid w:val="0053056E"/>
    <w:rsid w:val="0053343A"/>
    <w:rsid w:val="005337E0"/>
    <w:rsid w:val="005445EA"/>
    <w:rsid w:val="0054575F"/>
    <w:rsid w:val="00554FDA"/>
    <w:rsid w:val="00573CF3"/>
    <w:rsid w:val="00597C08"/>
    <w:rsid w:val="005A4493"/>
    <w:rsid w:val="005A63D8"/>
    <w:rsid w:val="005A7C13"/>
    <w:rsid w:val="005B52AF"/>
    <w:rsid w:val="005C784C"/>
    <w:rsid w:val="005D17F6"/>
    <w:rsid w:val="005E52D7"/>
    <w:rsid w:val="005E5539"/>
    <w:rsid w:val="005F284D"/>
    <w:rsid w:val="00601B94"/>
    <w:rsid w:val="00602BF5"/>
    <w:rsid w:val="00614C36"/>
    <w:rsid w:val="00617FDD"/>
    <w:rsid w:val="00624C16"/>
    <w:rsid w:val="00633614"/>
    <w:rsid w:val="00633F68"/>
    <w:rsid w:val="006341EE"/>
    <w:rsid w:val="00636EB2"/>
    <w:rsid w:val="006375B8"/>
    <w:rsid w:val="00653DD1"/>
    <w:rsid w:val="0065468D"/>
    <w:rsid w:val="006556D8"/>
    <w:rsid w:val="00655EF0"/>
    <w:rsid w:val="006567EB"/>
    <w:rsid w:val="0066475D"/>
    <w:rsid w:val="0066510A"/>
    <w:rsid w:val="00673F9F"/>
    <w:rsid w:val="00686953"/>
    <w:rsid w:val="00687DEA"/>
    <w:rsid w:val="00687E67"/>
    <w:rsid w:val="006911E8"/>
    <w:rsid w:val="00691ED7"/>
    <w:rsid w:val="006967F7"/>
    <w:rsid w:val="006A250C"/>
    <w:rsid w:val="006B1382"/>
    <w:rsid w:val="006B21D3"/>
    <w:rsid w:val="006B57D0"/>
    <w:rsid w:val="006C74A0"/>
    <w:rsid w:val="006D032F"/>
    <w:rsid w:val="006D30FF"/>
    <w:rsid w:val="006D6940"/>
    <w:rsid w:val="006F11EC"/>
    <w:rsid w:val="006F7607"/>
    <w:rsid w:val="006F7F76"/>
    <w:rsid w:val="0070082C"/>
    <w:rsid w:val="00703046"/>
    <w:rsid w:val="007063B3"/>
    <w:rsid w:val="0071487A"/>
    <w:rsid w:val="00715222"/>
    <w:rsid w:val="00722704"/>
    <w:rsid w:val="007369E6"/>
    <w:rsid w:val="00746E59"/>
    <w:rsid w:val="00754C9A"/>
    <w:rsid w:val="0075599A"/>
    <w:rsid w:val="00761D52"/>
    <w:rsid w:val="0077749E"/>
    <w:rsid w:val="00790ADA"/>
    <w:rsid w:val="00795BC6"/>
    <w:rsid w:val="007A4687"/>
    <w:rsid w:val="007B25EC"/>
    <w:rsid w:val="007B5CA5"/>
    <w:rsid w:val="007C4F47"/>
    <w:rsid w:val="007C6D07"/>
    <w:rsid w:val="007D2288"/>
    <w:rsid w:val="007D50E4"/>
    <w:rsid w:val="007E088F"/>
    <w:rsid w:val="007E0F75"/>
    <w:rsid w:val="007E1191"/>
    <w:rsid w:val="007F0175"/>
    <w:rsid w:val="007F7B32"/>
    <w:rsid w:val="00800561"/>
    <w:rsid w:val="00804BC2"/>
    <w:rsid w:val="0081431A"/>
    <w:rsid w:val="00820BF3"/>
    <w:rsid w:val="008309C1"/>
    <w:rsid w:val="0083216F"/>
    <w:rsid w:val="00836322"/>
    <w:rsid w:val="0084202F"/>
    <w:rsid w:val="00846BA1"/>
    <w:rsid w:val="00860000"/>
    <w:rsid w:val="00860FD3"/>
    <w:rsid w:val="00863BD3"/>
    <w:rsid w:val="008641ED"/>
    <w:rsid w:val="00866D66"/>
    <w:rsid w:val="008671C6"/>
    <w:rsid w:val="00875803"/>
    <w:rsid w:val="008910A1"/>
    <w:rsid w:val="0089273F"/>
    <w:rsid w:val="008A282B"/>
    <w:rsid w:val="008A5A91"/>
    <w:rsid w:val="008A6953"/>
    <w:rsid w:val="008B2A67"/>
    <w:rsid w:val="008B459E"/>
    <w:rsid w:val="008C2CE8"/>
    <w:rsid w:val="008E13AE"/>
    <w:rsid w:val="008E1506"/>
    <w:rsid w:val="008E4241"/>
    <w:rsid w:val="008E70E2"/>
    <w:rsid w:val="008E710C"/>
    <w:rsid w:val="008E7899"/>
    <w:rsid w:val="008F223C"/>
    <w:rsid w:val="008F69D6"/>
    <w:rsid w:val="008F7BBF"/>
    <w:rsid w:val="00902823"/>
    <w:rsid w:val="00907271"/>
    <w:rsid w:val="00915CA6"/>
    <w:rsid w:val="00927834"/>
    <w:rsid w:val="009500A6"/>
    <w:rsid w:val="00955142"/>
    <w:rsid w:val="00957C18"/>
    <w:rsid w:val="009609B6"/>
    <w:rsid w:val="009654F3"/>
    <w:rsid w:val="009659BA"/>
    <w:rsid w:val="009726BB"/>
    <w:rsid w:val="00980FD3"/>
    <w:rsid w:val="00983040"/>
    <w:rsid w:val="009836DC"/>
    <w:rsid w:val="009A7C58"/>
    <w:rsid w:val="009B0246"/>
    <w:rsid w:val="009B3FB9"/>
    <w:rsid w:val="009C2465"/>
    <w:rsid w:val="009C6432"/>
    <w:rsid w:val="009D3455"/>
    <w:rsid w:val="009D35A0"/>
    <w:rsid w:val="009D5463"/>
    <w:rsid w:val="009D7EB7"/>
    <w:rsid w:val="009E048A"/>
    <w:rsid w:val="009E08E9"/>
    <w:rsid w:val="009E3DB9"/>
    <w:rsid w:val="009E6E35"/>
    <w:rsid w:val="009F0308"/>
    <w:rsid w:val="009F0EDA"/>
    <w:rsid w:val="009F170D"/>
    <w:rsid w:val="00A0270A"/>
    <w:rsid w:val="00A03B96"/>
    <w:rsid w:val="00A05B19"/>
    <w:rsid w:val="00A1134E"/>
    <w:rsid w:val="00A20839"/>
    <w:rsid w:val="00A24E7E"/>
    <w:rsid w:val="00A258C3"/>
    <w:rsid w:val="00A314DD"/>
    <w:rsid w:val="00A347C0"/>
    <w:rsid w:val="00A459B4"/>
    <w:rsid w:val="00A502F9"/>
    <w:rsid w:val="00A51431"/>
    <w:rsid w:val="00A539AD"/>
    <w:rsid w:val="00A66E18"/>
    <w:rsid w:val="00A674D3"/>
    <w:rsid w:val="00A75962"/>
    <w:rsid w:val="00A779C4"/>
    <w:rsid w:val="00A85C1B"/>
    <w:rsid w:val="00A91BFF"/>
    <w:rsid w:val="00A94063"/>
    <w:rsid w:val="00A9426C"/>
    <w:rsid w:val="00AA6219"/>
    <w:rsid w:val="00AA74E0"/>
    <w:rsid w:val="00AB0E5C"/>
    <w:rsid w:val="00AB703F"/>
    <w:rsid w:val="00AC6BB8"/>
    <w:rsid w:val="00AE008F"/>
    <w:rsid w:val="00B01FCD"/>
    <w:rsid w:val="00B1776C"/>
    <w:rsid w:val="00B17F8A"/>
    <w:rsid w:val="00B246BA"/>
    <w:rsid w:val="00B26709"/>
    <w:rsid w:val="00B52583"/>
    <w:rsid w:val="00B52896"/>
    <w:rsid w:val="00B6096B"/>
    <w:rsid w:val="00B67709"/>
    <w:rsid w:val="00B70B4A"/>
    <w:rsid w:val="00B82885"/>
    <w:rsid w:val="00B95236"/>
    <w:rsid w:val="00B96BD9"/>
    <w:rsid w:val="00BA178E"/>
    <w:rsid w:val="00BA1B01"/>
    <w:rsid w:val="00BA2641"/>
    <w:rsid w:val="00BA3116"/>
    <w:rsid w:val="00BB37AA"/>
    <w:rsid w:val="00BC2761"/>
    <w:rsid w:val="00BC53A0"/>
    <w:rsid w:val="00BC629E"/>
    <w:rsid w:val="00BD44E3"/>
    <w:rsid w:val="00BE4CFA"/>
    <w:rsid w:val="00BE62AD"/>
    <w:rsid w:val="00BF121F"/>
    <w:rsid w:val="00BF1F80"/>
    <w:rsid w:val="00BF2A0E"/>
    <w:rsid w:val="00BF2C64"/>
    <w:rsid w:val="00BF3E39"/>
    <w:rsid w:val="00BF5F5C"/>
    <w:rsid w:val="00C0195E"/>
    <w:rsid w:val="00C166EF"/>
    <w:rsid w:val="00C17EB0"/>
    <w:rsid w:val="00C254B2"/>
    <w:rsid w:val="00C27F5F"/>
    <w:rsid w:val="00C30A0F"/>
    <w:rsid w:val="00C32E7E"/>
    <w:rsid w:val="00C37E61"/>
    <w:rsid w:val="00C40EE4"/>
    <w:rsid w:val="00C4299E"/>
    <w:rsid w:val="00C6286B"/>
    <w:rsid w:val="00C6501E"/>
    <w:rsid w:val="00C70F1B"/>
    <w:rsid w:val="00C71A47"/>
    <w:rsid w:val="00C7464C"/>
    <w:rsid w:val="00C82758"/>
    <w:rsid w:val="00C85588"/>
    <w:rsid w:val="00CA0270"/>
    <w:rsid w:val="00CA567F"/>
    <w:rsid w:val="00CC08E1"/>
    <w:rsid w:val="00CC3895"/>
    <w:rsid w:val="00CD58E9"/>
    <w:rsid w:val="00CD6755"/>
    <w:rsid w:val="00CD6856"/>
    <w:rsid w:val="00CD7F73"/>
    <w:rsid w:val="00CE0089"/>
    <w:rsid w:val="00CE2229"/>
    <w:rsid w:val="00CE793C"/>
    <w:rsid w:val="00CF01E4"/>
    <w:rsid w:val="00CF193C"/>
    <w:rsid w:val="00CF5C3A"/>
    <w:rsid w:val="00CF6120"/>
    <w:rsid w:val="00D00712"/>
    <w:rsid w:val="00D0461F"/>
    <w:rsid w:val="00D173F1"/>
    <w:rsid w:val="00D23624"/>
    <w:rsid w:val="00D46297"/>
    <w:rsid w:val="00D564FB"/>
    <w:rsid w:val="00D63D36"/>
    <w:rsid w:val="00D74CB0"/>
    <w:rsid w:val="00D76A23"/>
    <w:rsid w:val="00D8295D"/>
    <w:rsid w:val="00D84FF6"/>
    <w:rsid w:val="00D855D6"/>
    <w:rsid w:val="00D93BE8"/>
    <w:rsid w:val="00D94E50"/>
    <w:rsid w:val="00D97D1F"/>
    <w:rsid w:val="00DB1982"/>
    <w:rsid w:val="00DB2EA1"/>
    <w:rsid w:val="00DC2A65"/>
    <w:rsid w:val="00DC31B2"/>
    <w:rsid w:val="00DC5DD6"/>
    <w:rsid w:val="00DD0631"/>
    <w:rsid w:val="00DD351D"/>
    <w:rsid w:val="00DD6BC2"/>
    <w:rsid w:val="00DD6E4E"/>
    <w:rsid w:val="00DE089B"/>
    <w:rsid w:val="00DE15F0"/>
    <w:rsid w:val="00DE4723"/>
    <w:rsid w:val="00DE5663"/>
    <w:rsid w:val="00DE5C5B"/>
    <w:rsid w:val="00DE78AA"/>
    <w:rsid w:val="00DF2E26"/>
    <w:rsid w:val="00E030C2"/>
    <w:rsid w:val="00E053D0"/>
    <w:rsid w:val="00E1021C"/>
    <w:rsid w:val="00E15994"/>
    <w:rsid w:val="00E3114E"/>
    <w:rsid w:val="00E31A70"/>
    <w:rsid w:val="00E352AC"/>
    <w:rsid w:val="00E35B02"/>
    <w:rsid w:val="00E4422E"/>
    <w:rsid w:val="00E466E0"/>
    <w:rsid w:val="00E613CA"/>
    <w:rsid w:val="00E66496"/>
    <w:rsid w:val="00E66B35"/>
    <w:rsid w:val="00E66E10"/>
    <w:rsid w:val="00E72F02"/>
    <w:rsid w:val="00E76167"/>
    <w:rsid w:val="00E769F6"/>
    <w:rsid w:val="00E8407C"/>
    <w:rsid w:val="00E84F3C"/>
    <w:rsid w:val="00E93D05"/>
    <w:rsid w:val="00E94BCA"/>
    <w:rsid w:val="00EA012C"/>
    <w:rsid w:val="00EB5A5D"/>
    <w:rsid w:val="00EC1145"/>
    <w:rsid w:val="00EC1C0C"/>
    <w:rsid w:val="00EC289E"/>
    <w:rsid w:val="00EC5FB3"/>
    <w:rsid w:val="00EC6A55"/>
    <w:rsid w:val="00ED0288"/>
    <w:rsid w:val="00EE27B9"/>
    <w:rsid w:val="00EE52CB"/>
    <w:rsid w:val="00EF581D"/>
    <w:rsid w:val="00EF7FD8"/>
    <w:rsid w:val="00F06F59"/>
    <w:rsid w:val="00F13A63"/>
    <w:rsid w:val="00F17988"/>
    <w:rsid w:val="00F25566"/>
    <w:rsid w:val="00F25C96"/>
    <w:rsid w:val="00F26881"/>
    <w:rsid w:val="00F36B3D"/>
    <w:rsid w:val="00F36B54"/>
    <w:rsid w:val="00F469F0"/>
    <w:rsid w:val="00F472E3"/>
    <w:rsid w:val="00F53273"/>
    <w:rsid w:val="00F574AE"/>
    <w:rsid w:val="00F755E4"/>
    <w:rsid w:val="00F77D02"/>
    <w:rsid w:val="00F80E5F"/>
    <w:rsid w:val="00F836BD"/>
    <w:rsid w:val="00F867A0"/>
    <w:rsid w:val="00F95201"/>
    <w:rsid w:val="00F95710"/>
    <w:rsid w:val="00FA0CAF"/>
    <w:rsid w:val="00FA1AF8"/>
    <w:rsid w:val="00FA58E7"/>
    <w:rsid w:val="00FB3A86"/>
    <w:rsid w:val="00FB7C6B"/>
    <w:rsid w:val="00FC1CC6"/>
    <w:rsid w:val="00FC22BF"/>
    <w:rsid w:val="00FC28BC"/>
    <w:rsid w:val="00FC3613"/>
    <w:rsid w:val="00FD1937"/>
    <w:rsid w:val="00FD36C8"/>
    <w:rsid w:val="00FD3744"/>
    <w:rsid w:val="00FD38E0"/>
    <w:rsid w:val="00FE50F1"/>
    <w:rsid w:val="00FE6B07"/>
    <w:rsid w:val="00FF5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3A73E82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2A78E2"/>
    <w:pPr>
      <w:spacing w:after="160" w:line="259" w:lineRule="auto"/>
      <w:ind w:left="720"/>
      <w:contextualSpacing/>
    </w:pPr>
    <w:rPr>
      <w:rFonts w:asciiTheme="minorHAnsi" w:eastAsiaTheme="minorHAnsi" w:hAnsiTheme="minorHAnsi" w:cstheme="minorBidi"/>
      <w:kern w:val="2"/>
      <w:sz w:val="22"/>
      <w:szCs w:val="28"/>
      <w:lang w:val="en-ID" w:bidi="th-TH"/>
    </w:rPr>
  </w:style>
  <w:style w:type="character" w:styleId="PlaceholderText">
    <w:name w:val="Placeholder Text"/>
    <w:basedOn w:val="DefaultParagraphFont"/>
    <w:uiPriority w:val="99"/>
    <w:semiHidden/>
    <w:rsid w:val="0042734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1167</TotalTime>
  <Pages>7</Pages>
  <Words>12823</Words>
  <Characters>73097</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85749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94</cp:revision>
  <cp:lastPrinted>1999-07-06T11:00:00Z</cp:lastPrinted>
  <dcterms:created xsi:type="dcterms:W3CDTF">2014-10-25T14:34:00Z</dcterms:created>
  <dcterms:modified xsi:type="dcterms:W3CDTF">2025-02-12T08:02:00Z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https://csl.mendeley.com/styles/596005201/biomedikfkunud</vt:lpwstr>
  </property>
  <property fmtid="{D5CDD505-2E9C-101B-9397-08002B2CF9AE}" pid="15" name="Mendeley Recent Style Name 6_1">
    <vt:lpwstr>Magister Biomedik FK Unud by AED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877f3983-a35d-37fd-b2bd-f87c75faffe7</vt:lpwstr>
  </property>
  <property fmtid="{D5CDD505-2E9C-101B-9397-08002B2CF9AE}" pid="24" name="Mendeley Citation Style_1">
    <vt:lpwstr>https://csl.mendeley.com/styles/596005201/biomedikfkunud</vt:lpwstr>
  </property>
</Properties>
</file>