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CADFF" w14:textId="77777777" w:rsidR="00841722" w:rsidRDefault="00CB299E">
      <w:pPr>
        <w:spacing w:line="480" w:lineRule="auto"/>
        <w:jc w:val="center"/>
        <w:rPr>
          <w:rFonts w:ascii="Arial" w:eastAsia="Arial" w:hAnsi="Arial" w:cs="Arial"/>
          <w:sz w:val="24"/>
          <w:szCs w:val="24"/>
        </w:rPr>
      </w:pPr>
      <w:bookmarkStart w:id="0" w:name="_gjdgxs" w:colFirst="0" w:colLast="0"/>
      <w:bookmarkEnd w:id="0"/>
      <w:r>
        <w:rPr>
          <w:rFonts w:ascii="Arial" w:eastAsia="Arial" w:hAnsi="Arial" w:cs="Arial"/>
          <w:b/>
          <w:sz w:val="24"/>
          <w:szCs w:val="24"/>
        </w:rPr>
        <w:t>Comparative Therapeutic Efficacy of Tacrolimus and Cyclosporine in Canine Keratoconjunctivitis Sicca</w:t>
      </w:r>
    </w:p>
    <w:p w14:paraId="50282163" w14:textId="74853196" w:rsidR="00841722" w:rsidRDefault="00841722">
      <w:pPr>
        <w:spacing w:line="480" w:lineRule="auto"/>
        <w:jc w:val="center"/>
        <w:rPr>
          <w:rFonts w:ascii="Arial" w:eastAsia="Arial" w:hAnsi="Arial" w:cs="Arial"/>
          <w:sz w:val="24"/>
          <w:szCs w:val="24"/>
        </w:rPr>
      </w:pPr>
    </w:p>
    <w:p w14:paraId="34CC4B11" w14:textId="77777777" w:rsidR="001B23BE" w:rsidRDefault="001B23BE">
      <w:pPr>
        <w:spacing w:line="480" w:lineRule="auto"/>
        <w:jc w:val="center"/>
        <w:rPr>
          <w:rFonts w:ascii="Arial" w:eastAsia="Arial" w:hAnsi="Arial" w:cs="Arial"/>
          <w:sz w:val="24"/>
          <w:szCs w:val="24"/>
        </w:rPr>
      </w:pPr>
    </w:p>
    <w:p w14:paraId="6D98CC37" w14:textId="77777777" w:rsidR="00841722" w:rsidRDefault="00CB299E">
      <w:pPr>
        <w:spacing w:line="480" w:lineRule="auto"/>
        <w:rPr>
          <w:rFonts w:ascii="Arial" w:eastAsia="Arial" w:hAnsi="Arial" w:cs="Arial"/>
        </w:rPr>
      </w:pPr>
      <w:r>
        <w:rPr>
          <w:rFonts w:ascii="Arial" w:eastAsia="Arial" w:hAnsi="Arial" w:cs="Arial"/>
          <w:b/>
        </w:rPr>
        <w:t>ABSTRACT</w:t>
      </w:r>
    </w:p>
    <w:p w14:paraId="19DF53F7" w14:textId="77777777" w:rsidR="00841722" w:rsidRDefault="00CB299E">
      <w:pPr>
        <w:spacing w:line="480" w:lineRule="auto"/>
        <w:jc w:val="both"/>
        <w:rPr>
          <w:rFonts w:ascii="Arial" w:eastAsia="Arial" w:hAnsi="Arial" w:cs="Arial"/>
          <w:color w:val="000000"/>
        </w:rPr>
      </w:pPr>
      <w:bookmarkStart w:id="1" w:name="_30j0zll" w:colFirst="0" w:colLast="0"/>
      <w:bookmarkEnd w:id="1"/>
      <w:r>
        <w:rPr>
          <w:rFonts w:ascii="Arial" w:eastAsia="Arial" w:hAnsi="Arial" w:cs="Arial"/>
          <w:color w:val="000000"/>
        </w:rPr>
        <w:t>Cyclosporine and tacrolimus are key immunosuppressive treatments in Canine Keratoconjunctivitis Sicca (KCS). While cyclosporine is widely used, tacrolimus may be more effective in refractory cases. Comparing their therapeut</w:t>
      </w:r>
      <w:r>
        <w:rPr>
          <w:rFonts w:ascii="Arial" w:eastAsia="Arial" w:hAnsi="Arial" w:cs="Arial"/>
          <w:color w:val="000000"/>
        </w:rPr>
        <w:t xml:space="preserve">ic efficacy is crucial for optimizing treatment and improving canine eye health. The present study was carried out </w:t>
      </w:r>
      <w:r>
        <w:rPr>
          <w:rFonts w:ascii="Arial" w:eastAsia="Arial" w:hAnsi="Arial" w:cs="Arial"/>
        </w:rPr>
        <w:t xml:space="preserve">in the Department of Veterinary Medicine, College of Veterinary Science and Animal Husbandry, </w:t>
      </w:r>
      <w:proofErr w:type="spellStart"/>
      <w:r>
        <w:rPr>
          <w:rFonts w:ascii="Arial" w:eastAsia="Arial" w:hAnsi="Arial" w:cs="Arial"/>
        </w:rPr>
        <w:t>Nanaji</w:t>
      </w:r>
      <w:proofErr w:type="spellEnd"/>
      <w:r>
        <w:rPr>
          <w:rFonts w:ascii="Arial" w:eastAsia="Arial" w:hAnsi="Arial" w:cs="Arial"/>
        </w:rPr>
        <w:t xml:space="preserve"> Deshmukh Veterinary Science University (</w:t>
      </w:r>
      <w:r>
        <w:rPr>
          <w:rFonts w:ascii="Arial" w:eastAsia="Arial" w:hAnsi="Arial" w:cs="Arial"/>
        </w:rPr>
        <w:t>N.D.V.S.U.), Jabalpur, Madhya Pradesh (M.P.).</w:t>
      </w:r>
      <w:r>
        <w:rPr>
          <w:rFonts w:ascii="Arial" w:eastAsia="Arial" w:hAnsi="Arial" w:cs="Arial"/>
          <w:color w:val="000000"/>
        </w:rPr>
        <w:t xml:space="preserve"> for a period of 6 months. The study aimed to compare the therapeutic efficacy of topical tacrolimus (0.03%) and cyclosporine (0.2%) ointments in the management of canine keratoconjunctivitis sicca. A total of 8</w:t>
      </w:r>
      <w:r>
        <w:rPr>
          <w:rFonts w:ascii="Arial" w:eastAsia="Arial" w:hAnsi="Arial" w:cs="Arial"/>
          <w:color w:val="000000"/>
        </w:rPr>
        <w:t xml:space="preserve"> dogs diagnosed with idiopathic keratoconjunctivitis sicca were randomly divided into two treatment groups </w:t>
      </w:r>
      <w:r>
        <w:rPr>
          <w:rFonts w:ascii="Arial" w:eastAsia="Arial" w:hAnsi="Arial" w:cs="Arial"/>
        </w:rPr>
        <w:t xml:space="preserve">of 4 dogs each and </w:t>
      </w:r>
      <w:r>
        <w:rPr>
          <w:rFonts w:ascii="Arial" w:eastAsia="Arial" w:hAnsi="Arial" w:cs="Arial"/>
          <w:color w:val="000000"/>
        </w:rPr>
        <w:t>Group G3 served as the apparently healthy control. Dogs in Group G1 were treated with cyclosporine (0.2%) ointment three times dai</w:t>
      </w:r>
      <w:r>
        <w:rPr>
          <w:rFonts w:ascii="Arial" w:eastAsia="Arial" w:hAnsi="Arial" w:cs="Arial"/>
          <w:color w:val="000000"/>
        </w:rPr>
        <w:t>ly for 30 days, while those in Group G2 received tacrolimus (0.03%) ointment twice daily for the same duration. The therapeutic response of each treatment group was evaluated on days 15 and day 30 post-treatment using the Schirmer tear test (STT-I), tear f</w:t>
      </w:r>
      <w:r>
        <w:rPr>
          <w:rFonts w:ascii="Arial" w:eastAsia="Arial" w:hAnsi="Arial" w:cs="Arial"/>
          <w:color w:val="000000"/>
        </w:rPr>
        <w:t>ilm breakup time (TFBUT) and clinical ophthalmic grading score. The clinical ophthalmic grading score was determined by assessing conjunctivitis, ocular discharge, eye irritation, corneal opacity and pigmentation. G2 group showed a significant reduction in</w:t>
      </w:r>
      <w:r>
        <w:rPr>
          <w:rFonts w:ascii="Arial" w:eastAsia="Arial" w:hAnsi="Arial" w:cs="Arial"/>
          <w:color w:val="000000"/>
        </w:rPr>
        <w:t xml:space="preserve"> clinical signs except corneal opacity and pigmentation while G1 group showed non-significant reduction in clinical signs on day 30 (post treatment). There was no significant difference between both groups in efficacy. However, Group G2 demonstrated a more</w:t>
      </w:r>
      <w:r>
        <w:rPr>
          <w:rFonts w:ascii="Arial" w:eastAsia="Arial" w:hAnsi="Arial" w:cs="Arial"/>
          <w:color w:val="000000"/>
        </w:rPr>
        <w:t xml:space="preserve"> effective increase in tear production and better control of clinical signs by day 30 as compared to Group G1. </w:t>
      </w:r>
    </w:p>
    <w:p w14:paraId="27A4F97B" w14:textId="77777777" w:rsidR="00841722" w:rsidRDefault="00CB299E">
      <w:pPr>
        <w:spacing w:line="480" w:lineRule="auto"/>
        <w:jc w:val="both"/>
        <w:rPr>
          <w:rFonts w:ascii="Arial" w:eastAsia="Arial" w:hAnsi="Arial" w:cs="Arial"/>
          <w:sz w:val="20"/>
          <w:szCs w:val="20"/>
        </w:rPr>
      </w:pPr>
      <w:r>
        <w:rPr>
          <w:rFonts w:ascii="Arial" w:eastAsia="Arial" w:hAnsi="Arial" w:cs="Arial"/>
          <w:b/>
          <w:i/>
          <w:sz w:val="20"/>
          <w:szCs w:val="20"/>
        </w:rPr>
        <w:lastRenderedPageBreak/>
        <w:t xml:space="preserve">Keywords: </w:t>
      </w:r>
      <w:r>
        <w:rPr>
          <w:rFonts w:ascii="Arial" w:eastAsia="Arial" w:hAnsi="Arial" w:cs="Arial"/>
          <w:i/>
          <w:sz w:val="20"/>
          <w:szCs w:val="20"/>
        </w:rPr>
        <w:t>Tacrolimus, cyclosporine, Canine keratoconjunctivitis sicca, dogs</w:t>
      </w:r>
    </w:p>
    <w:p w14:paraId="7F03B9D9" w14:textId="77777777" w:rsidR="00841722" w:rsidRDefault="00841722">
      <w:pPr>
        <w:spacing w:after="60" w:line="480" w:lineRule="auto"/>
        <w:jc w:val="both"/>
        <w:rPr>
          <w:rFonts w:ascii="Arial" w:eastAsia="Arial" w:hAnsi="Arial" w:cs="Arial"/>
        </w:rPr>
      </w:pPr>
    </w:p>
    <w:p w14:paraId="4CFDB5B0" w14:textId="77777777" w:rsidR="00841722" w:rsidRDefault="00841722">
      <w:pPr>
        <w:spacing w:after="60" w:line="480" w:lineRule="auto"/>
        <w:jc w:val="both"/>
        <w:rPr>
          <w:rFonts w:ascii="Arial" w:eastAsia="Arial" w:hAnsi="Arial" w:cs="Arial"/>
        </w:rPr>
      </w:pPr>
    </w:p>
    <w:p w14:paraId="3C300485" w14:textId="77777777" w:rsidR="00841722" w:rsidRDefault="00CB299E">
      <w:pPr>
        <w:numPr>
          <w:ilvl w:val="0"/>
          <w:numId w:val="1"/>
        </w:numPr>
        <w:spacing w:after="60" w:line="480" w:lineRule="auto"/>
        <w:ind w:left="426" w:hanging="426"/>
        <w:jc w:val="both"/>
        <w:rPr>
          <w:rFonts w:ascii="Arial" w:eastAsia="Arial" w:hAnsi="Arial" w:cs="Arial"/>
        </w:rPr>
      </w:pPr>
      <w:bookmarkStart w:id="2" w:name="_1fob9te" w:colFirst="0" w:colLast="0"/>
      <w:bookmarkEnd w:id="2"/>
      <w:r>
        <w:rPr>
          <w:rFonts w:ascii="Arial" w:eastAsia="Arial" w:hAnsi="Arial" w:cs="Arial"/>
          <w:b/>
        </w:rPr>
        <w:t>INTRODUCTION</w:t>
      </w:r>
      <w:r>
        <w:rPr>
          <w:rFonts w:ascii="Arial" w:eastAsia="Arial" w:hAnsi="Arial" w:cs="Arial"/>
          <w:sz w:val="24"/>
          <w:szCs w:val="24"/>
        </w:rPr>
        <w:t xml:space="preserve"> </w:t>
      </w:r>
    </w:p>
    <w:p w14:paraId="192A2528" w14:textId="77777777" w:rsidR="00841722" w:rsidRDefault="00CB299E">
      <w:pPr>
        <w:spacing w:after="60" w:line="480" w:lineRule="auto"/>
        <w:jc w:val="both"/>
        <w:rPr>
          <w:rFonts w:ascii="Arial" w:eastAsia="Arial" w:hAnsi="Arial" w:cs="Arial"/>
          <w:sz w:val="20"/>
          <w:szCs w:val="20"/>
        </w:rPr>
      </w:pPr>
      <w:r>
        <w:rPr>
          <w:rFonts w:ascii="Arial" w:eastAsia="Arial" w:hAnsi="Arial" w:cs="Arial"/>
          <w:sz w:val="20"/>
          <w:szCs w:val="20"/>
        </w:rPr>
        <w:t>Keratoconjunctivitis sicca (KCS), or dry eye, is a l</w:t>
      </w:r>
      <w:r>
        <w:rPr>
          <w:rFonts w:ascii="Arial" w:eastAsia="Arial" w:hAnsi="Arial" w:cs="Arial"/>
          <w:sz w:val="20"/>
          <w:szCs w:val="20"/>
        </w:rPr>
        <w:t>ong-term inflammatory eye condition in dogs, primarily caused by an autoimmune attack on the lacrimal glands, though factors like medications, congenital issues, infections and systemic diseases can also contribute. It leads to insufficient tear production</w:t>
      </w:r>
      <w:r>
        <w:rPr>
          <w:rFonts w:ascii="Arial" w:eastAsia="Arial" w:hAnsi="Arial" w:cs="Arial"/>
          <w:sz w:val="20"/>
          <w:szCs w:val="20"/>
        </w:rPr>
        <w:t>, causing eye irritation, thick discharge, redness and corneal damage such as scarring, pigmentation and ulcers. Over time, compensatory changes like conjunctival thickening and epithelial damage can worsen vision impairment. Ageing, certain breeds and hor</w:t>
      </w:r>
      <w:r>
        <w:rPr>
          <w:rFonts w:ascii="Arial" w:eastAsia="Arial" w:hAnsi="Arial" w:cs="Arial"/>
          <w:sz w:val="20"/>
          <w:szCs w:val="20"/>
        </w:rPr>
        <w:t xml:space="preserve">monal imbalances increase the risk. Diagnosis is based on clinical signs and tear production tests like the Schirmer tear test (John </w:t>
      </w:r>
      <w:r>
        <w:rPr>
          <w:rFonts w:ascii="Arial" w:eastAsia="Arial" w:hAnsi="Arial" w:cs="Arial"/>
          <w:i/>
          <w:sz w:val="20"/>
          <w:szCs w:val="20"/>
        </w:rPr>
        <w:t>et al</w:t>
      </w:r>
      <w:r>
        <w:rPr>
          <w:rFonts w:ascii="Arial" w:eastAsia="Arial" w:hAnsi="Arial" w:cs="Arial"/>
          <w:sz w:val="20"/>
          <w:szCs w:val="20"/>
        </w:rPr>
        <w:t xml:space="preserve">., 2018). </w:t>
      </w:r>
      <w:r>
        <w:rPr>
          <w:rFonts w:ascii="Arial" w:eastAsia="Arial" w:hAnsi="Arial" w:cs="Arial"/>
          <w:color w:val="0D0D0D"/>
          <w:sz w:val="20"/>
          <w:szCs w:val="20"/>
          <w:highlight w:val="white"/>
        </w:rPr>
        <w:t>The primary therapeutic approach for managing KCS involves promoting tear production. This is typically achi</w:t>
      </w:r>
      <w:r>
        <w:rPr>
          <w:rFonts w:ascii="Arial" w:eastAsia="Arial" w:hAnsi="Arial" w:cs="Arial"/>
          <w:color w:val="0D0D0D"/>
          <w:sz w:val="20"/>
          <w:szCs w:val="20"/>
          <w:highlight w:val="white"/>
        </w:rPr>
        <w:t>eved through a combination of aqueous tear stimulants, anti-inflammatory agents, artificial tears and antibiotics</w:t>
      </w:r>
      <w:r>
        <w:rPr>
          <w:rFonts w:ascii="Arial" w:eastAsia="Arial" w:hAnsi="Arial" w:cs="Arial"/>
          <w:sz w:val="20"/>
          <w:szCs w:val="20"/>
        </w:rPr>
        <w:t xml:space="preserve">. </w:t>
      </w:r>
      <w:proofErr w:type="spellStart"/>
      <w:r>
        <w:rPr>
          <w:rFonts w:ascii="Arial" w:eastAsia="Arial" w:hAnsi="Arial" w:cs="Arial"/>
          <w:color w:val="0D0D0D"/>
          <w:sz w:val="20"/>
          <w:szCs w:val="20"/>
          <w:highlight w:val="white"/>
        </w:rPr>
        <w:t>Lacrimogenic</w:t>
      </w:r>
      <w:proofErr w:type="spellEnd"/>
      <w:r>
        <w:rPr>
          <w:rFonts w:ascii="Arial" w:eastAsia="Arial" w:hAnsi="Arial" w:cs="Arial"/>
          <w:color w:val="0D0D0D"/>
          <w:sz w:val="20"/>
          <w:szCs w:val="20"/>
          <w:highlight w:val="white"/>
        </w:rPr>
        <w:t xml:space="preserve"> agents, particularly topical calcineurin inhibitors such as Cyclosporine and Tacrolimus, have demonstrated significant efficacy </w:t>
      </w:r>
      <w:r>
        <w:rPr>
          <w:rFonts w:ascii="Arial" w:eastAsia="Arial" w:hAnsi="Arial" w:cs="Arial"/>
          <w:color w:val="0D0D0D"/>
          <w:sz w:val="20"/>
          <w:szCs w:val="20"/>
          <w:highlight w:val="white"/>
        </w:rPr>
        <w:t>in stimulating aqueous tear production and reducing inflammation</w:t>
      </w:r>
      <w:r>
        <w:rPr>
          <w:rFonts w:ascii="Arial" w:eastAsia="Arial" w:hAnsi="Arial" w:cs="Arial"/>
          <w:sz w:val="20"/>
          <w:szCs w:val="20"/>
        </w:rPr>
        <w:t xml:space="preserve"> (</w:t>
      </w:r>
      <w:proofErr w:type="spellStart"/>
      <w:r>
        <w:rPr>
          <w:rFonts w:ascii="Arial" w:eastAsia="Arial" w:hAnsi="Arial" w:cs="Arial"/>
          <w:sz w:val="20"/>
          <w:szCs w:val="20"/>
        </w:rPr>
        <w:t>Gilger</w:t>
      </w:r>
      <w:proofErr w:type="spellEnd"/>
      <w:r>
        <w:rPr>
          <w:rFonts w:ascii="Arial" w:eastAsia="Arial" w:hAnsi="Arial" w:cs="Arial"/>
          <w:sz w:val="20"/>
          <w:szCs w:val="20"/>
        </w:rPr>
        <w:t xml:space="preserve"> </w:t>
      </w:r>
      <w:r>
        <w:rPr>
          <w:rFonts w:ascii="Arial" w:eastAsia="Arial" w:hAnsi="Arial" w:cs="Arial"/>
          <w:i/>
          <w:sz w:val="20"/>
          <w:szCs w:val="20"/>
        </w:rPr>
        <w:t>et al.</w:t>
      </w:r>
      <w:r>
        <w:rPr>
          <w:rFonts w:ascii="Arial" w:eastAsia="Arial" w:hAnsi="Arial" w:cs="Arial"/>
          <w:sz w:val="20"/>
          <w:szCs w:val="20"/>
        </w:rPr>
        <w:t>, 2012).</w:t>
      </w:r>
    </w:p>
    <w:p w14:paraId="00E023E9" w14:textId="77777777" w:rsidR="00841722" w:rsidRDefault="00CB299E">
      <w:pPr>
        <w:spacing w:after="60" w:line="480" w:lineRule="auto"/>
        <w:ind w:firstLine="1440"/>
        <w:jc w:val="both"/>
        <w:rPr>
          <w:rFonts w:ascii="Arial" w:eastAsia="Arial" w:hAnsi="Arial" w:cs="Arial"/>
          <w:sz w:val="20"/>
          <w:szCs w:val="20"/>
        </w:rPr>
      </w:pPr>
      <w:r>
        <w:rPr>
          <w:rFonts w:ascii="Arial" w:eastAsia="Arial" w:hAnsi="Arial" w:cs="Arial"/>
          <w:sz w:val="20"/>
          <w:szCs w:val="20"/>
        </w:rPr>
        <w:t xml:space="preserve">Cyclosporine A is the most commonly used </w:t>
      </w:r>
      <w:proofErr w:type="spellStart"/>
      <w:r>
        <w:rPr>
          <w:rFonts w:ascii="Arial" w:eastAsia="Arial" w:hAnsi="Arial" w:cs="Arial"/>
          <w:sz w:val="20"/>
          <w:szCs w:val="20"/>
        </w:rPr>
        <w:t>lacrimostimulant</w:t>
      </w:r>
      <w:proofErr w:type="spellEnd"/>
      <w:r>
        <w:rPr>
          <w:rFonts w:ascii="Arial" w:eastAsia="Arial" w:hAnsi="Arial" w:cs="Arial"/>
          <w:sz w:val="20"/>
          <w:szCs w:val="20"/>
        </w:rPr>
        <w:t xml:space="preserve"> in KCS. It is a neutral, hydrophobic, cyclic undecapeptide produced by the fungi </w:t>
      </w:r>
      <w:proofErr w:type="spellStart"/>
      <w:r>
        <w:rPr>
          <w:rFonts w:ascii="Arial" w:eastAsia="Arial" w:hAnsi="Arial" w:cs="Arial"/>
          <w:i/>
          <w:sz w:val="20"/>
          <w:szCs w:val="20"/>
        </w:rPr>
        <w:t>Tolypocladium</w:t>
      </w:r>
      <w:proofErr w:type="spellEnd"/>
      <w:r>
        <w:rPr>
          <w:rFonts w:ascii="Arial" w:eastAsia="Arial" w:hAnsi="Arial" w:cs="Arial"/>
          <w:i/>
          <w:sz w:val="20"/>
          <w:szCs w:val="20"/>
        </w:rPr>
        <w:t xml:space="preserve"> </w:t>
      </w:r>
      <w:proofErr w:type="spellStart"/>
      <w:r>
        <w:rPr>
          <w:rFonts w:ascii="Arial" w:eastAsia="Arial" w:hAnsi="Arial" w:cs="Arial"/>
          <w:i/>
          <w:sz w:val="20"/>
          <w:szCs w:val="20"/>
        </w:rPr>
        <w:t>inflatum</w:t>
      </w:r>
      <w:proofErr w:type="spellEnd"/>
      <w:r>
        <w:rPr>
          <w:rFonts w:ascii="Arial" w:eastAsia="Arial" w:hAnsi="Arial" w:cs="Arial"/>
          <w:sz w:val="20"/>
          <w:szCs w:val="20"/>
        </w:rPr>
        <w:t xml:space="preserve"> and </w:t>
      </w:r>
      <w:r>
        <w:rPr>
          <w:rFonts w:ascii="Arial" w:eastAsia="Arial" w:hAnsi="Arial" w:cs="Arial"/>
          <w:i/>
          <w:sz w:val="20"/>
          <w:szCs w:val="20"/>
        </w:rPr>
        <w:t>Beauveria nevus</w:t>
      </w:r>
      <w:r>
        <w:rPr>
          <w:rFonts w:ascii="Arial" w:eastAsia="Arial" w:hAnsi="Arial" w:cs="Arial"/>
          <w:sz w:val="20"/>
          <w:szCs w:val="20"/>
        </w:rPr>
        <w:t xml:space="preserve"> (</w:t>
      </w:r>
      <w:proofErr w:type="spellStart"/>
      <w:r>
        <w:rPr>
          <w:rFonts w:ascii="Arial" w:eastAsia="Arial" w:hAnsi="Arial" w:cs="Arial"/>
          <w:sz w:val="20"/>
          <w:szCs w:val="20"/>
        </w:rPr>
        <w:t>Boboridis</w:t>
      </w:r>
      <w:proofErr w:type="spellEnd"/>
      <w:r>
        <w:rPr>
          <w:rFonts w:ascii="Arial" w:eastAsia="Arial" w:hAnsi="Arial" w:cs="Arial"/>
          <w:sz w:val="20"/>
          <w:szCs w:val="20"/>
        </w:rPr>
        <w:t xml:space="preserve"> and </w:t>
      </w:r>
      <w:proofErr w:type="spellStart"/>
      <w:r>
        <w:rPr>
          <w:rFonts w:ascii="Arial" w:eastAsia="Arial" w:hAnsi="Arial" w:cs="Arial"/>
          <w:sz w:val="20"/>
          <w:szCs w:val="20"/>
        </w:rPr>
        <w:t>Konstas</w:t>
      </w:r>
      <w:proofErr w:type="spellEnd"/>
      <w:r>
        <w:rPr>
          <w:rFonts w:ascii="Arial" w:eastAsia="Arial" w:hAnsi="Arial" w:cs="Arial"/>
          <w:sz w:val="20"/>
          <w:szCs w:val="20"/>
        </w:rPr>
        <w:t>, 2018). Cyclosporin A restores the production of mucin in the conjunctival goblet cells, which in turn increases tear production by blocking the growth of T-helper lymphocytes and the infiltration of lacrimal gland ac</w:t>
      </w:r>
      <w:r>
        <w:rPr>
          <w:rFonts w:ascii="Arial" w:eastAsia="Arial" w:hAnsi="Arial" w:cs="Arial"/>
          <w:sz w:val="20"/>
          <w:szCs w:val="20"/>
        </w:rPr>
        <w:t xml:space="preserve">ini (Hendrix </w:t>
      </w:r>
      <w:r>
        <w:rPr>
          <w:rFonts w:ascii="Arial" w:eastAsia="Arial" w:hAnsi="Arial" w:cs="Arial"/>
          <w:i/>
          <w:sz w:val="20"/>
          <w:szCs w:val="20"/>
        </w:rPr>
        <w:t>et al.</w:t>
      </w:r>
      <w:r>
        <w:rPr>
          <w:rFonts w:ascii="Arial" w:eastAsia="Arial" w:hAnsi="Arial" w:cs="Arial"/>
          <w:sz w:val="20"/>
          <w:szCs w:val="20"/>
        </w:rPr>
        <w:t xml:space="preserve">, 2011). Tacrolimus is a macrolide produced by </w:t>
      </w:r>
      <w:r>
        <w:rPr>
          <w:rFonts w:ascii="Arial" w:eastAsia="Arial" w:hAnsi="Arial" w:cs="Arial"/>
          <w:i/>
          <w:sz w:val="20"/>
          <w:szCs w:val="20"/>
        </w:rPr>
        <w:t xml:space="preserve">Streptomyces </w:t>
      </w:r>
      <w:proofErr w:type="spellStart"/>
      <w:r>
        <w:rPr>
          <w:rFonts w:ascii="Arial" w:eastAsia="Arial" w:hAnsi="Arial" w:cs="Arial"/>
          <w:i/>
          <w:sz w:val="20"/>
          <w:szCs w:val="20"/>
        </w:rPr>
        <w:t>tsukubaensis</w:t>
      </w:r>
      <w:proofErr w:type="spellEnd"/>
      <w:r>
        <w:rPr>
          <w:rFonts w:ascii="Arial" w:eastAsia="Arial" w:hAnsi="Arial" w:cs="Arial"/>
          <w:sz w:val="20"/>
          <w:szCs w:val="20"/>
        </w:rPr>
        <w:t xml:space="preserve"> that is similar to Cyclosporine A. Tacrolimus has been observed to reduce the immune system response by blocking the production of inflammatory cytokines and histam</w:t>
      </w:r>
      <w:r>
        <w:rPr>
          <w:rFonts w:ascii="Arial" w:eastAsia="Arial" w:hAnsi="Arial" w:cs="Arial"/>
          <w:sz w:val="20"/>
          <w:szCs w:val="20"/>
        </w:rPr>
        <w:t xml:space="preserve">ine from mast cells </w:t>
      </w:r>
      <w:r>
        <w:rPr>
          <w:rFonts w:ascii="Arial" w:eastAsia="Arial" w:hAnsi="Arial" w:cs="Arial"/>
          <w:color w:val="000000"/>
          <w:sz w:val="20"/>
          <w:szCs w:val="20"/>
        </w:rPr>
        <w:t>(</w:t>
      </w:r>
      <w:proofErr w:type="spellStart"/>
      <w:r>
        <w:rPr>
          <w:rFonts w:ascii="Arial" w:eastAsia="Arial" w:hAnsi="Arial" w:cs="Arial"/>
          <w:color w:val="000000"/>
          <w:sz w:val="20"/>
          <w:szCs w:val="20"/>
        </w:rPr>
        <w:t>Mahmoudi</w:t>
      </w:r>
      <w:proofErr w:type="spellEnd"/>
      <w:r>
        <w:rPr>
          <w:rFonts w:ascii="Arial" w:eastAsia="Arial" w:hAnsi="Arial" w:cs="Arial"/>
          <w:color w:val="000000"/>
          <w:sz w:val="20"/>
          <w:szCs w:val="20"/>
        </w:rPr>
        <w:t xml:space="preserve"> </w:t>
      </w:r>
      <w:r>
        <w:rPr>
          <w:rFonts w:ascii="Arial" w:eastAsia="Arial" w:hAnsi="Arial" w:cs="Arial"/>
          <w:i/>
          <w:color w:val="000000"/>
          <w:sz w:val="20"/>
          <w:szCs w:val="20"/>
        </w:rPr>
        <w:t>et al</w:t>
      </w:r>
      <w:r>
        <w:rPr>
          <w:rFonts w:ascii="Arial" w:eastAsia="Arial" w:hAnsi="Arial" w:cs="Arial"/>
          <w:color w:val="000000"/>
          <w:sz w:val="20"/>
          <w:szCs w:val="20"/>
        </w:rPr>
        <w:t>., 2020). While cyclosporine has been the traditional first-line therapy, tacrolimus has gained attention for its potential to be more effective in refractory cases. The present study was conducted to compare the therapeu</w:t>
      </w:r>
      <w:r>
        <w:rPr>
          <w:rFonts w:ascii="Arial" w:eastAsia="Arial" w:hAnsi="Arial" w:cs="Arial"/>
          <w:color w:val="000000"/>
          <w:sz w:val="20"/>
          <w:szCs w:val="20"/>
        </w:rPr>
        <w:t xml:space="preserve">tic efficacy of Tacrolimus and Cyclosporine in canine Keratoconjunctivitis sicca.                                                                                                                          </w:t>
      </w:r>
    </w:p>
    <w:p w14:paraId="31CE53D9" w14:textId="77777777" w:rsidR="00841722" w:rsidRDefault="00CB299E">
      <w:pPr>
        <w:spacing w:after="120" w:line="480" w:lineRule="auto"/>
        <w:rPr>
          <w:rFonts w:ascii="Arial" w:eastAsia="Arial" w:hAnsi="Arial" w:cs="Arial"/>
        </w:rPr>
      </w:pPr>
      <w:r>
        <w:rPr>
          <w:rFonts w:ascii="Arial" w:eastAsia="Arial" w:hAnsi="Arial" w:cs="Arial"/>
          <w:b/>
        </w:rPr>
        <w:t>2.   MATERIALS AND METHODS</w:t>
      </w:r>
    </w:p>
    <w:p w14:paraId="53737A22" w14:textId="77777777" w:rsidR="00841722" w:rsidRDefault="00CB299E">
      <w:pPr>
        <w:spacing w:after="120" w:line="480" w:lineRule="auto"/>
        <w:rPr>
          <w:rFonts w:ascii="Arial" w:eastAsia="Arial" w:hAnsi="Arial" w:cs="Arial"/>
          <w:color w:val="000000"/>
        </w:rPr>
      </w:pPr>
      <w:r>
        <w:rPr>
          <w:rFonts w:ascii="Arial" w:eastAsia="Arial" w:hAnsi="Arial" w:cs="Arial"/>
          <w:b/>
          <w:color w:val="000000"/>
        </w:rPr>
        <w:t>2.1 Location and place of</w:t>
      </w:r>
      <w:r>
        <w:rPr>
          <w:rFonts w:ascii="Arial" w:eastAsia="Arial" w:hAnsi="Arial" w:cs="Arial"/>
          <w:b/>
          <w:color w:val="000000"/>
        </w:rPr>
        <w:t xml:space="preserve"> work</w:t>
      </w:r>
    </w:p>
    <w:p w14:paraId="10214894" w14:textId="77777777" w:rsidR="00841722" w:rsidRDefault="00CB299E">
      <w:pPr>
        <w:spacing w:after="120" w:line="480" w:lineRule="auto"/>
        <w:jc w:val="both"/>
        <w:rPr>
          <w:rFonts w:ascii="Arial" w:eastAsia="Arial" w:hAnsi="Arial" w:cs="Arial"/>
          <w:sz w:val="20"/>
          <w:szCs w:val="20"/>
        </w:rPr>
      </w:pPr>
      <w:r>
        <w:rPr>
          <w:rFonts w:ascii="Arial" w:eastAsia="Arial" w:hAnsi="Arial" w:cs="Arial"/>
          <w:color w:val="000000"/>
          <w:sz w:val="20"/>
          <w:szCs w:val="20"/>
        </w:rPr>
        <w:lastRenderedPageBreak/>
        <w:t xml:space="preserve">The proposed study was carried out for six months i.e., from August, 2023 to January, 2024 at Department of Veterinary Medicine, College of Veterinary Science and Animal Husbandry, </w:t>
      </w:r>
      <w:proofErr w:type="spellStart"/>
      <w:r>
        <w:rPr>
          <w:rFonts w:ascii="Arial" w:eastAsia="Arial" w:hAnsi="Arial" w:cs="Arial"/>
          <w:color w:val="000000"/>
          <w:sz w:val="20"/>
          <w:szCs w:val="20"/>
        </w:rPr>
        <w:t>Nanaji</w:t>
      </w:r>
      <w:proofErr w:type="spellEnd"/>
      <w:r>
        <w:rPr>
          <w:rFonts w:ascii="Arial" w:eastAsia="Arial" w:hAnsi="Arial" w:cs="Arial"/>
          <w:color w:val="000000"/>
          <w:sz w:val="20"/>
          <w:szCs w:val="20"/>
        </w:rPr>
        <w:t xml:space="preserve"> Deshmukh Veterinary Science University (N.D.V.S.U), Jabalpur, </w:t>
      </w:r>
      <w:r>
        <w:rPr>
          <w:rFonts w:ascii="Arial" w:eastAsia="Arial" w:hAnsi="Arial" w:cs="Arial"/>
          <w:color w:val="000000"/>
          <w:sz w:val="20"/>
          <w:szCs w:val="20"/>
        </w:rPr>
        <w:t xml:space="preserve">Madhya Pradesh (M.P.). </w:t>
      </w:r>
    </w:p>
    <w:p w14:paraId="67EA05DE" w14:textId="77777777" w:rsidR="00841722" w:rsidRDefault="00CB299E">
      <w:pPr>
        <w:spacing w:after="120" w:line="480" w:lineRule="auto"/>
        <w:jc w:val="both"/>
        <w:rPr>
          <w:rFonts w:ascii="Arial" w:eastAsia="Arial" w:hAnsi="Arial" w:cs="Arial"/>
        </w:rPr>
      </w:pPr>
      <w:r>
        <w:rPr>
          <w:rFonts w:ascii="Arial" w:eastAsia="Arial" w:hAnsi="Arial" w:cs="Arial"/>
          <w:b/>
        </w:rPr>
        <w:t>2.2 Ophthalmic examinations</w:t>
      </w:r>
    </w:p>
    <w:p w14:paraId="0BBE231A" w14:textId="77777777" w:rsidR="007068C1" w:rsidRDefault="00CB299E">
      <w:pPr>
        <w:spacing w:after="120" w:line="480" w:lineRule="auto"/>
        <w:jc w:val="both"/>
        <w:rPr>
          <w:rFonts w:ascii="Arial" w:eastAsia="Arial" w:hAnsi="Arial" w:cs="Arial"/>
          <w:sz w:val="20"/>
          <w:szCs w:val="20"/>
        </w:rPr>
      </w:pPr>
      <w:r>
        <w:rPr>
          <w:rFonts w:ascii="Arial" w:eastAsia="Arial" w:hAnsi="Arial" w:cs="Arial"/>
          <w:sz w:val="20"/>
          <w:szCs w:val="20"/>
        </w:rPr>
        <w:t>In this study, eight dogs diagnosed with idiopathic KCS and presented to the Veterinary Clinical Complex underwent a comprehensive ophthalmic evaluation. The assessment included the Schirmer tear test (ST</w:t>
      </w:r>
      <w:r>
        <w:rPr>
          <w:rFonts w:ascii="Arial" w:eastAsia="Arial" w:hAnsi="Arial" w:cs="Arial"/>
          <w:sz w:val="20"/>
          <w:szCs w:val="20"/>
        </w:rPr>
        <w:t>T-I) using standardized strips (</w:t>
      </w:r>
      <w:proofErr w:type="spellStart"/>
      <w:r>
        <w:rPr>
          <w:rFonts w:ascii="Arial" w:eastAsia="Arial" w:hAnsi="Arial" w:cs="Arial"/>
          <w:sz w:val="20"/>
          <w:szCs w:val="20"/>
        </w:rPr>
        <w:t>Visioaid</w:t>
      </w:r>
      <w:proofErr w:type="spellEnd"/>
      <w:r>
        <w:rPr>
          <w:rFonts w:ascii="Arial" w:eastAsia="Arial" w:hAnsi="Arial" w:cs="Arial"/>
          <w:sz w:val="20"/>
          <w:szCs w:val="20"/>
        </w:rPr>
        <w:t>, Sava Vet, Gujarat, India), with an inclusion criterion of STT-I values below 10 mm/min (Figure 1 (a)) (</w:t>
      </w:r>
      <w:proofErr w:type="spellStart"/>
      <w:r>
        <w:rPr>
          <w:rFonts w:ascii="Arial" w:eastAsia="Arial" w:hAnsi="Arial" w:cs="Arial"/>
          <w:color w:val="000000"/>
          <w:sz w:val="20"/>
          <w:szCs w:val="20"/>
          <w:highlight w:val="white"/>
        </w:rPr>
        <w:t>Maggs</w:t>
      </w:r>
      <w:proofErr w:type="spellEnd"/>
      <w:r>
        <w:rPr>
          <w:rFonts w:ascii="Arial" w:eastAsia="Arial" w:hAnsi="Arial" w:cs="Arial"/>
          <w:color w:val="000000"/>
          <w:sz w:val="20"/>
          <w:szCs w:val="20"/>
          <w:highlight w:val="white"/>
        </w:rPr>
        <w:t xml:space="preserve"> </w:t>
      </w:r>
      <w:r>
        <w:rPr>
          <w:rFonts w:ascii="Arial" w:eastAsia="Arial" w:hAnsi="Arial" w:cs="Arial"/>
          <w:i/>
          <w:color w:val="000000"/>
          <w:sz w:val="20"/>
          <w:szCs w:val="20"/>
          <w:highlight w:val="white"/>
        </w:rPr>
        <w:t>et al</w:t>
      </w:r>
      <w:r>
        <w:rPr>
          <w:rFonts w:ascii="Arial" w:eastAsia="Arial" w:hAnsi="Arial" w:cs="Arial"/>
          <w:color w:val="000000"/>
          <w:sz w:val="20"/>
          <w:szCs w:val="20"/>
          <w:highlight w:val="white"/>
        </w:rPr>
        <w:t>., 2018)</w:t>
      </w:r>
      <w:r>
        <w:rPr>
          <w:rFonts w:ascii="Arial" w:eastAsia="Arial" w:hAnsi="Arial" w:cs="Arial"/>
          <w:sz w:val="20"/>
          <w:szCs w:val="20"/>
        </w:rPr>
        <w:t xml:space="preserve">. Tear film breakup time (TBUT) was also measured using FLUO strips (Care Group, Gujarat, </w:t>
      </w:r>
      <w:r>
        <w:rPr>
          <w:rFonts w:ascii="Arial" w:eastAsia="Arial" w:hAnsi="Arial" w:cs="Arial"/>
          <w:sz w:val="20"/>
          <w:szCs w:val="20"/>
        </w:rPr>
        <w:t>India) (Figure 1 (b)) (</w:t>
      </w:r>
      <w:proofErr w:type="spellStart"/>
      <w:r>
        <w:rPr>
          <w:rFonts w:ascii="Arial" w:eastAsia="Arial" w:hAnsi="Arial" w:cs="Arial"/>
          <w:color w:val="000000"/>
          <w:sz w:val="20"/>
          <w:szCs w:val="20"/>
          <w:highlight w:val="white"/>
        </w:rPr>
        <w:t>Maggs</w:t>
      </w:r>
      <w:proofErr w:type="spellEnd"/>
      <w:r>
        <w:rPr>
          <w:rFonts w:ascii="Arial" w:eastAsia="Arial" w:hAnsi="Arial" w:cs="Arial"/>
          <w:color w:val="000000"/>
          <w:sz w:val="20"/>
          <w:szCs w:val="20"/>
          <w:highlight w:val="white"/>
        </w:rPr>
        <w:t xml:space="preserve"> </w:t>
      </w:r>
      <w:r>
        <w:rPr>
          <w:rFonts w:ascii="Arial" w:eastAsia="Arial" w:hAnsi="Arial" w:cs="Arial"/>
          <w:i/>
          <w:color w:val="000000"/>
          <w:sz w:val="20"/>
          <w:szCs w:val="20"/>
          <w:highlight w:val="white"/>
        </w:rPr>
        <w:t>et al</w:t>
      </w:r>
      <w:r>
        <w:rPr>
          <w:rFonts w:ascii="Arial" w:eastAsia="Arial" w:hAnsi="Arial" w:cs="Arial"/>
          <w:color w:val="000000"/>
          <w:sz w:val="20"/>
          <w:szCs w:val="20"/>
          <w:highlight w:val="white"/>
        </w:rPr>
        <w:t>., 2018)</w:t>
      </w:r>
      <w:r>
        <w:rPr>
          <w:rFonts w:ascii="Arial" w:eastAsia="Arial" w:hAnsi="Arial" w:cs="Arial"/>
          <w:sz w:val="20"/>
          <w:szCs w:val="20"/>
        </w:rPr>
        <w:t>. The affected dogs were randomly assigned to two treatment groups (G1 and G2), each consisting of four dogs, while an additional four clinically healthy dogs served as apparently healthy control group (G3). Dogs i</w:t>
      </w:r>
      <w:r>
        <w:rPr>
          <w:rFonts w:ascii="Arial" w:eastAsia="Arial" w:hAnsi="Arial" w:cs="Arial"/>
          <w:sz w:val="20"/>
          <w:szCs w:val="20"/>
        </w:rPr>
        <w:t xml:space="preserve">n G1 were treated with 0.2% cyclosporine ointment three times daily for 30 days, whereas those in G2 received 0.03% tacrolimus ointment twice daily for the same period.     </w:t>
      </w:r>
    </w:p>
    <w:p w14:paraId="17F00705" w14:textId="5167F44A" w:rsidR="00841722" w:rsidRDefault="007068C1">
      <w:pPr>
        <w:spacing w:after="120" w:line="480" w:lineRule="auto"/>
        <w:jc w:val="both"/>
        <w:rPr>
          <w:rFonts w:ascii="Arial" w:eastAsia="Arial" w:hAnsi="Arial" w:cs="Arial"/>
          <w:sz w:val="20"/>
          <w:szCs w:val="20"/>
        </w:rPr>
      </w:pPr>
      <w:r w:rsidRPr="007068C1">
        <w:rPr>
          <w:rFonts w:ascii="Arial" w:eastAsia="Arial" w:hAnsi="Arial" w:cs="Arial"/>
          <w:noProof/>
          <w:sz w:val="20"/>
          <w:szCs w:val="20"/>
        </w:rPr>
        <w:drawing>
          <wp:inline distT="0" distB="0" distL="0" distR="0" wp14:anchorId="33BEFB63" wp14:editId="3EAC0A36">
            <wp:extent cx="2385075" cy="2193503"/>
            <wp:effectExtent l="0" t="0" r="0" b="0"/>
            <wp:docPr id="456322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2094" name=""/>
                    <pic:cNvPicPr/>
                  </pic:nvPicPr>
                  <pic:blipFill>
                    <a:blip r:embed="rId7"/>
                    <a:stretch>
                      <a:fillRect/>
                    </a:stretch>
                  </pic:blipFill>
                  <pic:spPr>
                    <a:xfrm>
                      <a:off x="0" y="0"/>
                      <a:ext cx="2396462" cy="2203975"/>
                    </a:xfrm>
                    <a:prstGeom prst="rect">
                      <a:avLst/>
                    </a:prstGeom>
                  </pic:spPr>
                </pic:pic>
              </a:graphicData>
            </a:graphic>
          </wp:inline>
        </w:drawing>
      </w:r>
      <w:r>
        <w:rPr>
          <w:rFonts w:ascii="Arial" w:eastAsia="Arial" w:hAnsi="Arial" w:cs="Arial"/>
          <w:sz w:val="20"/>
          <w:szCs w:val="20"/>
        </w:rPr>
        <w:t xml:space="preserve">   </w:t>
      </w:r>
      <w:r w:rsidR="00D56CE3" w:rsidRPr="00D56CE3">
        <w:rPr>
          <w:rFonts w:ascii="Arial" w:eastAsia="Arial" w:hAnsi="Arial" w:cs="Arial"/>
          <w:noProof/>
          <w:sz w:val="20"/>
          <w:szCs w:val="20"/>
        </w:rPr>
        <w:drawing>
          <wp:inline distT="0" distB="0" distL="0" distR="0" wp14:anchorId="1C1393C0" wp14:editId="015D1559">
            <wp:extent cx="2467155" cy="2246686"/>
            <wp:effectExtent l="0" t="0" r="9525" b="1270"/>
            <wp:docPr id="1788295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95734" name=""/>
                    <pic:cNvPicPr/>
                  </pic:nvPicPr>
                  <pic:blipFill>
                    <a:blip r:embed="rId8"/>
                    <a:stretch>
                      <a:fillRect/>
                    </a:stretch>
                  </pic:blipFill>
                  <pic:spPr>
                    <a:xfrm>
                      <a:off x="0" y="0"/>
                      <a:ext cx="2481483" cy="2259734"/>
                    </a:xfrm>
                    <a:prstGeom prst="rect">
                      <a:avLst/>
                    </a:prstGeom>
                  </pic:spPr>
                </pic:pic>
              </a:graphicData>
            </a:graphic>
          </wp:inline>
        </w:drawing>
      </w:r>
    </w:p>
    <w:p w14:paraId="26A7C0B0" w14:textId="77777777" w:rsidR="00841722" w:rsidRDefault="00CB299E">
      <w:pPr>
        <w:spacing w:line="480" w:lineRule="auto"/>
        <w:rPr>
          <w:rFonts w:ascii="Arial" w:eastAsia="Arial" w:hAnsi="Arial" w:cs="Arial"/>
          <w:color w:val="000000"/>
          <w:sz w:val="24"/>
          <w:szCs w:val="24"/>
        </w:rPr>
      </w:pPr>
      <w:r>
        <w:rPr>
          <w:rFonts w:ascii="Arial" w:eastAsia="Arial" w:hAnsi="Arial" w:cs="Arial"/>
          <w:color w:val="000000"/>
          <w:sz w:val="24"/>
          <w:szCs w:val="24"/>
        </w:rPr>
        <w:t xml:space="preserve">Fig. 1: (a) Schirmer tear test (STT-I)             </w:t>
      </w:r>
      <w:proofErr w:type="gramStart"/>
      <w:r>
        <w:rPr>
          <w:rFonts w:ascii="Arial" w:eastAsia="Arial" w:hAnsi="Arial" w:cs="Arial"/>
          <w:color w:val="000000"/>
          <w:sz w:val="24"/>
          <w:szCs w:val="24"/>
        </w:rPr>
        <w:t xml:space="preserve">   (</w:t>
      </w:r>
      <w:proofErr w:type="gramEnd"/>
      <w:r>
        <w:rPr>
          <w:rFonts w:ascii="Arial" w:eastAsia="Arial" w:hAnsi="Arial" w:cs="Arial"/>
          <w:color w:val="000000"/>
          <w:sz w:val="24"/>
          <w:szCs w:val="24"/>
        </w:rPr>
        <w:t xml:space="preserve">b) Tear film breakup </w:t>
      </w:r>
      <w:r>
        <w:rPr>
          <w:rFonts w:ascii="Arial" w:eastAsia="Arial" w:hAnsi="Arial" w:cs="Arial"/>
          <w:color w:val="000000"/>
          <w:sz w:val="24"/>
          <w:szCs w:val="24"/>
        </w:rPr>
        <w:t>time (TFBUT)</w:t>
      </w:r>
    </w:p>
    <w:p w14:paraId="0C97F0CA" w14:textId="77777777" w:rsidR="00841722" w:rsidRDefault="00CB299E">
      <w:pPr>
        <w:spacing w:after="120" w:line="480" w:lineRule="auto"/>
        <w:jc w:val="both"/>
        <w:rPr>
          <w:rFonts w:ascii="Arial" w:eastAsia="Arial" w:hAnsi="Arial" w:cs="Arial"/>
        </w:rPr>
      </w:pPr>
      <w:r>
        <w:rPr>
          <w:rFonts w:ascii="Arial" w:eastAsia="Arial" w:hAnsi="Arial" w:cs="Arial"/>
          <w:b/>
        </w:rPr>
        <w:t>2.3 Clinical Evaluation</w:t>
      </w:r>
    </w:p>
    <w:p w14:paraId="3BFD287C" w14:textId="77777777" w:rsidR="00841722" w:rsidRDefault="00CB299E">
      <w:pPr>
        <w:spacing w:after="120" w:line="480" w:lineRule="auto"/>
        <w:jc w:val="both"/>
        <w:rPr>
          <w:rFonts w:ascii="Arial" w:eastAsia="Arial" w:hAnsi="Arial" w:cs="Arial"/>
          <w:sz w:val="20"/>
          <w:szCs w:val="20"/>
        </w:rPr>
      </w:pPr>
      <w:r>
        <w:rPr>
          <w:rFonts w:ascii="Arial" w:eastAsia="Arial" w:hAnsi="Arial" w:cs="Arial"/>
          <w:color w:val="000000"/>
          <w:sz w:val="20"/>
          <w:szCs w:val="20"/>
        </w:rPr>
        <w:t xml:space="preserve">Clinical evaluation was based on Schirmer tear test (STT-I), tear film breakup time (TFBUT) and clinical ophthalmic grading score </w:t>
      </w:r>
      <w:r>
        <w:rPr>
          <w:rFonts w:ascii="Arial" w:eastAsia="Arial" w:hAnsi="Arial" w:cs="Arial"/>
          <w:sz w:val="20"/>
          <w:szCs w:val="20"/>
        </w:rPr>
        <w:t>on day 0 (Pre-treatment), day 15 and day 30 (post-treatment).</w:t>
      </w:r>
      <w:r>
        <w:rPr>
          <w:rFonts w:ascii="Arial" w:eastAsia="Arial" w:hAnsi="Arial" w:cs="Arial"/>
          <w:color w:val="000000"/>
          <w:sz w:val="20"/>
          <w:szCs w:val="20"/>
        </w:rPr>
        <w:t xml:space="preserve"> </w:t>
      </w:r>
      <w:r>
        <w:rPr>
          <w:rFonts w:ascii="Arial" w:eastAsia="Arial" w:hAnsi="Arial" w:cs="Arial"/>
          <w:sz w:val="20"/>
          <w:szCs w:val="20"/>
        </w:rPr>
        <w:t xml:space="preserve">The clinical-ophthalmic signs grading score was assigned to all dogs in the treatment group by subsequent follow-up examinations. Assessment of conjunctivitis, ocular discharge, eye irritation, corneal opacity and pigmentation was assigned a score of 0 to </w:t>
      </w:r>
      <w:r>
        <w:rPr>
          <w:rFonts w:ascii="Arial" w:eastAsia="Arial" w:hAnsi="Arial" w:cs="Arial"/>
          <w:sz w:val="20"/>
          <w:szCs w:val="20"/>
        </w:rPr>
        <w:t xml:space="preserve">3 (Silva </w:t>
      </w:r>
      <w:r>
        <w:rPr>
          <w:rFonts w:ascii="Arial" w:eastAsia="Arial" w:hAnsi="Arial" w:cs="Arial"/>
          <w:i/>
          <w:sz w:val="20"/>
          <w:szCs w:val="20"/>
        </w:rPr>
        <w:t>et al</w:t>
      </w:r>
      <w:r>
        <w:rPr>
          <w:rFonts w:ascii="Arial" w:eastAsia="Arial" w:hAnsi="Arial" w:cs="Arial"/>
          <w:sz w:val="20"/>
          <w:szCs w:val="20"/>
        </w:rPr>
        <w:t>., 2018) (Table 1).</w:t>
      </w:r>
    </w:p>
    <w:p w14:paraId="7A06F23D" w14:textId="77777777" w:rsidR="00841722" w:rsidRDefault="00841722">
      <w:pPr>
        <w:spacing w:after="120" w:line="480" w:lineRule="auto"/>
        <w:jc w:val="both"/>
        <w:rPr>
          <w:rFonts w:ascii="Arial" w:eastAsia="Arial" w:hAnsi="Arial" w:cs="Arial"/>
        </w:rPr>
      </w:pPr>
    </w:p>
    <w:p w14:paraId="7787FC27" w14:textId="77777777" w:rsidR="00841722" w:rsidRDefault="00841722">
      <w:pPr>
        <w:spacing w:after="120" w:line="480" w:lineRule="auto"/>
        <w:jc w:val="both"/>
        <w:rPr>
          <w:rFonts w:ascii="Arial" w:eastAsia="Arial" w:hAnsi="Arial" w:cs="Arial"/>
        </w:rPr>
      </w:pPr>
    </w:p>
    <w:p w14:paraId="36E156E2" w14:textId="77777777" w:rsidR="00841722" w:rsidRDefault="00CB299E">
      <w:pPr>
        <w:spacing w:after="120" w:line="480" w:lineRule="auto"/>
        <w:jc w:val="both"/>
        <w:rPr>
          <w:rFonts w:ascii="Arial" w:eastAsia="Arial" w:hAnsi="Arial" w:cs="Arial"/>
          <w:sz w:val="20"/>
          <w:szCs w:val="20"/>
        </w:rPr>
      </w:pPr>
      <w:r>
        <w:rPr>
          <w:rFonts w:ascii="Arial" w:eastAsia="Arial" w:hAnsi="Arial" w:cs="Arial"/>
          <w:b/>
          <w:sz w:val="20"/>
          <w:szCs w:val="20"/>
        </w:rPr>
        <w:t xml:space="preserve">Table 1: Clinical- ophthalmic signs grading score </w:t>
      </w:r>
    </w:p>
    <w:tbl>
      <w:tblPr>
        <w:tblStyle w:val="a"/>
        <w:tblW w:w="8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4"/>
        <w:gridCol w:w="1842"/>
        <w:gridCol w:w="1963"/>
        <w:gridCol w:w="1707"/>
        <w:gridCol w:w="1918"/>
      </w:tblGrid>
      <w:tr w:rsidR="00841722" w14:paraId="4725CD08" w14:textId="77777777">
        <w:trPr>
          <w:trHeight w:val="17"/>
          <w:jc w:val="center"/>
        </w:trPr>
        <w:tc>
          <w:tcPr>
            <w:tcW w:w="1524" w:type="dxa"/>
            <w:vAlign w:val="center"/>
          </w:tcPr>
          <w:p w14:paraId="7DCEF989"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b/>
                <w:sz w:val="20"/>
                <w:szCs w:val="20"/>
              </w:rPr>
              <w:t>Clinical score</w:t>
            </w:r>
          </w:p>
        </w:tc>
        <w:tc>
          <w:tcPr>
            <w:tcW w:w="1842" w:type="dxa"/>
            <w:vAlign w:val="center"/>
          </w:tcPr>
          <w:p w14:paraId="0847EA05"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b/>
                <w:sz w:val="20"/>
                <w:szCs w:val="20"/>
              </w:rPr>
              <w:t>Conjunctivitis</w:t>
            </w:r>
          </w:p>
        </w:tc>
        <w:tc>
          <w:tcPr>
            <w:tcW w:w="1963" w:type="dxa"/>
            <w:vAlign w:val="center"/>
          </w:tcPr>
          <w:p w14:paraId="49E96EFF"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b/>
                <w:sz w:val="20"/>
                <w:szCs w:val="20"/>
              </w:rPr>
              <w:t>Ocular discharge</w:t>
            </w:r>
          </w:p>
        </w:tc>
        <w:tc>
          <w:tcPr>
            <w:tcW w:w="1707" w:type="dxa"/>
            <w:vAlign w:val="center"/>
          </w:tcPr>
          <w:p w14:paraId="1B541AC9"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b/>
                <w:sz w:val="20"/>
                <w:szCs w:val="20"/>
              </w:rPr>
              <w:t xml:space="preserve">Eye irritation </w:t>
            </w:r>
          </w:p>
        </w:tc>
        <w:tc>
          <w:tcPr>
            <w:tcW w:w="1918" w:type="dxa"/>
            <w:vAlign w:val="center"/>
          </w:tcPr>
          <w:p w14:paraId="049444F3"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b/>
                <w:sz w:val="20"/>
                <w:szCs w:val="20"/>
              </w:rPr>
              <w:t>Corneal opacity and pigmentation</w:t>
            </w:r>
          </w:p>
        </w:tc>
      </w:tr>
      <w:tr w:rsidR="00841722" w14:paraId="541B0A70" w14:textId="77777777">
        <w:trPr>
          <w:trHeight w:val="17"/>
          <w:jc w:val="center"/>
        </w:trPr>
        <w:tc>
          <w:tcPr>
            <w:tcW w:w="1524" w:type="dxa"/>
            <w:vAlign w:val="center"/>
          </w:tcPr>
          <w:p w14:paraId="103792F0"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0</w:t>
            </w:r>
          </w:p>
        </w:tc>
        <w:tc>
          <w:tcPr>
            <w:tcW w:w="1842" w:type="dxa"/>
            <w:vAlign w:val="center"/>
          </w:tcPr>
          <w:p w14:paraId="3F0CAB4C"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None</w:t>
            </w:r>
          </w:p>
        </w:tc>
        <w:tc>
          <w:tcPr>
            <w:tcW w:w="1963" w:type="dxa"/>
            <w:vAlign w:val="center"/>
          </w:tcPr>
          <w:p w14:paraId="64145F98"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None</w:t>
            </w:r>
          </w:p>
        </w:tc>
        <w:tc>
          <w:tcPr>
            <w:tcW w:w="1707" w:type="dxa"/>
            <w:vAlign w:val="center"/>
          </w:tcPr>
          <w:p w14:paraId="7CA43404"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None</w:t>
            </w:r>
          </w:p>
        </w:tc>
        <w:tc>
          <w:tcPr>
            <w:tcW w:w="1918" w:type="dxa"/>
            <w:vAlign w:val="center"/>
          </w:tcPr>
          <w:p w14:paraId="426C6993"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None</w:t>
            </w:r>
          </w:p>
        </w:tc>
      </w:tr>
      <w:tr w:rsidR="00841722" w14:paraId="6A490CF3" w14:textId="77777777">
        <w:trPr>
          <w:trHeight w:val="17"/>
          <w:jc w:val="center"/>
        </w:trPr>
        <w:tc>
          <w:tcPr>
            <w:tcW w:w="1524" w:type="dxa"/>
            <w:vAlign w:val="center"/>
          </w:tcPr>
          <w:p w14:paraId="2C6C42F4"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1</w:t>
            </w:r>
          </w:p>
        </w:tc>
        <w:tc>
          <w:tcPr>
            <w:tcW w:w="1842" w:type="dxa"/>
            <w:vAlign w:val="center"/>
          </w:tcPr>
          <w:p w14:paraId="5051636E"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Mild hyperaemia</w:t>
            </w:r>
          </w:p>
        </w:tc>
        <w:tc>
          <w:tcPr>
            <w:tcW w:w="1963" w:type="dxa"/>
            <w:vAlign w:val="center"/>
          </w:tcPr>
          <w:p w14:paraId="5D60562A"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Mild ocular discharge</w:t>
            </w:r>
          </w:p>
        </w:tc>
        <w:tc>
          <w:tcPr>
            <w:tcW w:w="1707" w:type="dxa"/>
            <w:vAlign w:val="center"/>
          </w:tcPr>
          <w:p w14:paraId="53D675FA"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 xml:space="preserve">Some eye </w:t>
            </w:r>
            <w:r>
              <w:rPr>
                <w:rFonts w:ascii="Arial" w:eastAsia="Arial" w:hAnsi="Arial" w:cs="Arial"/>
                <w:sz w:val="20"/>
                <w:szCs w:val="20"/>
              </w:rPr>
              <w:t>blinking</w:t>
            </w:r>
          </w:p>
        </w:tc>
        <w:tc>
          <w:tcPr>
            <w:tcW w:w="1918" w:type="dxa"/>
            <w:vAlign w:val="center"/>
          </w:tcPr>
          <w:p w14:paraId="6578E729"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&lt; 25% of the surface</w:t>
            </w:r>
          </w:p>
        </w:tc>
      </w:tr>
      <w:tr w:rsidR="00841722" w14:paraId="019F6434" w14:textId="77777777">
        <w:trPr>
          <w:trHeight w:val="17"/>
          <w:jc w:val="center"/>
        </w:trPr>
        <w:tc>
          <w:tcPr>
            <w:tcW w:w="1524" w:type="dxa"/>
            <w:vAlign w:val="center"/>
          </w:tcPr>
          <w:p w14:paraId="0F82A630"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2</w:t>
            </w:r>
          </w:p>
        </w:tc>
        <w:tc>
          <w:tcPr>
            <w:tcW w:w="1842" w:type="dxa"/>
            <w:vAlign w:val="center"/>
          </w:tcPr>
          <w:p w14:paraId="222E4619"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Moderate to severe</w:t>
            </w:r>
          </w:p>
        </w:tc>
        <w:tc>
          <w:tcPr>
            <w:tcW w:w="1963" w:type="dxa"/>
            <w:vAlign w:val="center"/>
          </w:tcPr>
          <w:p w14:paraId="6443EB92"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Moderate mucoid ocular discharge cornea</w:t>
            </w:r>
          </w:p>
        </w:tc>
        <w:tc>
          <w:tcPr>
            <w:tcW w:w="1707" w:type="dxa"/>
            <w:vAlign w:val="center"/>
          </w:tcPr>
          <w:p w14:paraId="1CB12C9D"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Frequent eye blinking and narrow palpebral opening</w:t>
            </w:r>
          </w:p>
        </w:tc>
        <w:tc>
          <w:tcPr>
            <w:tcW w:w="1918" w:type="dxa"/>
            <w:vAlign w:val="center"/>
          </w:tcPr>
          <w:p w14:paraId="54093E14"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25% to 50% of the surface</w:t>
            </w:r>
          </w:p>
        </w:tc>
      </w:tr>
      <w:tr w:rsidR="00841722" w14:paraId="68CF3B68" w14:textId="77777777">
        <w:trPr>
          <w:trHeight w:val="17"/>
          <w:jc w:val="center"/>
        </w:trPr>
        <w:tc>
          <w:tcPr>
            <w:tcW w:w="1524" w:type="dxa"/>
            <w:vAlign w:val="center"/>
          </w:tcPr>
          <w:p w14:paraId="5AD3D7AF"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3</w:t>
            </w:r>
          </w:p>
        </w:tc>
        <w:tc>
          <w:tcPr>
            <w:tcW w:w="1842" w:type="dxa"/>
            <w:vAlign w:val="center"/>
          </w:tcPr>
          <w:p w14:paraId="0C0648A5"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Moderate to severe hyperaemia with chemosis</w:t>
            </w:r>
          </w:p>
        </w:tc>
        <w:tc>
          <w:tcPr>
            <w:tcW w:w="1963" w:type="dxa"/>
            <w:vAlign w:val="center"/>
          </w:tcPr>
          <w:p w14:paraId="681D8861"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Severe mucoid ocular discharge</w:t>
            </w:r>
          </w:p>
        </w:tc>
        <w:tc>
          <w:tcPr>
            <w:tcW w:w="1707" w:type="dxa"/>
            <w:vAlign w:val="center"/>
          </w:tcPr>
          <w:p w14:paraId="5005D20C"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 xml:space="preserve">Eye is </w:t>
            </w:r>
            <w:r>
              <w:rPr>
                <w:rFonts w:ascii="Arial" w:eastAsia="Arial" w:hAnsi="Arial" w:cs="Arial"/>
                <w:sz w:val="20"/>
                <w:szCs w:val="20"/>
              </w:rPr>
              <w:t>mainly closed</w:t>
            </w:r>
          </w:p>
        </w:tc>
        <w:tc>
          <w:tcPr>
            <w:tcW w:w="1918" w:type="dxa"/>
            <w:vAlign w:val="center"/>
          </w:tcPr>
          <w:p w14:paraId="0A57E3EA" w14:textId="77777777" w:rsidR="00841722" w:rsidRDefault="00CB299E">
            <w:pPr>
              <w:spacing w:before="80" w:after="80" w:line="480" w:lineRule="auto"/>
              <w:jc w:val="center"/>
              <w:rPr>
                <w:rFonts w:ascii="Arial" w:eastAsia="Arial" w:hAnsi="Arial" w:cs="Arial"/>
                <w:sz w:val="20"/>
                <w:szCs w:val="20"/>
              </w:rPr>
            </w:pPr>
            <w:r>
              <w:rPr>
                <w:rFonts w:ascii="Arial" w:eastAsia="Arial" w:hAnsi="Arial" w:cs="Arial"/>
                <w:sz w:val="20"/>
                <w:szCs w:val="20"/>
              </w:rPr>
              <w:t>&gt; 50% of the surface</w:t>
            </w:r>
          </w:p>
        </w:tc>
      </w:tr>
    </w:tbl>
    <w:p w14:paraId="7126F5D8" w14:textId="77777777" w:rsidR="00841722" w:rsidRDefault="00841722">
      <w:pPr>
        <w:spacing w:line="480" w:lineRule="auto"/>
        <w:jc w:val="both"/>
        <w:rPr>
          <w:rFonts w:ascii="Arial" w:eastAsia="Arial" w:hAnsi="Arial" w:cs="Arial"/>
          <w:color w:val="000000"/>
        </w:rPr>
      </w:pPr>
    </w:p>
    <w:p w14:paraId="7EB26357" w14:textId="77777777" w:rsidR="00841722" w:rsidRDefault="00CB299E">
      <w:pPr>
        <w:spacing w:line="480" w:lineRule="auto"/>
        <w:jc w:val="both"/>
        <w:rPr>
          <w:rFonts w:ascii="Arial" w:eastAsia="Arial" w:hAnsi="Arial" w:cs="Arial"/>
          <w:color w:val="000000"/>
        </w:rPr>
      </w:pPr>
      <w:r>
        <w:rPr>
          <w:rFonts w:ascii="Arial" w:eastAsia="Arial" w:hAnsi="Arial" w:cs="Arial"/>
          <w:b/>
          <w:color w:val="000000"/>
        </w:rPr>
        <w:t>2.4 Statistical analysis</w:t>
      </w:r>
    </w:p>
    <w:p w14:paraId="1C99F4D2" w14:textId="77777777" w:rsidR="00841722" w:rsidRDefault="00CB299E">
      <w:pPr>
        <w:spacing w:line="480" w:lineRule="auto"/>
        <w:jc w:val="both"/>
        <w:rPr>
          <w:rFonts w:ascii="Arial" w:eastAsia="Arial" w:hAnsi="Arial" w:cs="Arial"/>
          <w:color w:val="000000"/>
          <w:sz w:val="20"/>
          <w:szCs w:val="20"/>
        </w:rPr>
      </w:pPr>
      <w:r>
        <w:rPr>
          <w:rFonts w:ascii="Arial" w:eastAsia="Arial" w:hAnsi="Arial" w:cs="Arial"/>
          <w:sz w:val="20"/>
          <w:szCs w:val="20"/>
        </w:rPr>
        <w:t xml:space="preserve">The recorded data was </w:t>
      </w:r>
      <w:proofErr w:type="spellStart"/>
      <w:r>
        <w:rPr>
          <w:rFonts w:ascii="Arial" w:eastAsia="Arial" w:hAnsi="Arial" w:cs="Arial"/>
          <w:sz w:val="20"/>
          <w:szCs w:val="20"/>
        </w:rPr>
        <w:t>analyzed</w:t>
      </w:r>
      <w:proofErr w:type="spellEnd"/>
      <w:r>
        <w:rPr>
          <w:rFonts w:ascii="Arial" w:eastAsia="Arial" w:hAnsi="Arial" w:cs="Arial"/>
          <w:sz w:val="20"/>
          <w:szCs w:val="20"/>
        </w:rPr>
        <w:t xml:space="preserve"> by applying one-way ANOVA and mean comparisons within group were made by Duncan's multiple range test and between group by unpaired t-test and clinical score were </w:t>
      </w:r>
      <w:r>
        <w:rPr>
          <w:rFonts w:ascii="Arial" w:eastAsia="Arial" w:hAnsi="Arial" w:cs="Arial"/>
          <w:sz w:val="20"/>
          <w:szCs w:val="20"/>
        </w:rPr>
        <w:t>assessed using Kruskal–Wallis H test, based on the least significant difference at 5 % level of significance,</w:t>
      </w:r>
      <w:r>
        <w:rPr>
          <w:rFonts w:ascii="Arial" w:eastAsia="Arial" w:hAnsi="Arial" w:cs="Arial"/>
          <w:color w:val="000000"/>
          <w:sz w:val="20"/>
          <w:szCs w:val="20"/>
        </w:rPr>
        <w:t xml:space="preserve"> as per the standard procedure described by</w:t>
      </w:r>
      <w:r>
        <w:rPr>
          <w:rFonts w:ascii="Arial" w:eastAsia="Arial" w:hAnsi="Arial" w:cs="Arial"/>
          <w:b/>
          <w:color w:val="000000"/>
          <w:sz w:val="20"/>
          <w:szCs w:val="20"/>
        </w:rPr>
        <w:t xml:space="preserve"> </w:t>
      </w:r>
      <w:proofErr w:type="spellStart"/>
      <w:r>
        <w:rPr>
          <w:rFonts w:ascii="Arial" w:eastAsia="Arial" w:hAnsi="Arial" w:cs="Arial"/>
          <w:color w:val="000000"/>
          <w:sz w:val="20"/>
          <w:szCs w:val="20"/>
        </w:rPr>
        <w:t>Snedecor</w:t>
      </w:r>
      <w:proofErr w:type="spellEnd"/>
      <w:r>
        <w:rPr>
          <w:rFonts w:ascii="Arial" w:eastAsia="Arial" w:hAnsi="Arial" w:cs="Arial"/>
          <w:color w:val="000000"/>
          <w:sz w:val="20"/>
          <w:szCs w:val="20"/>
        </w:rPr>
        <w:t xml:space="preserve"> and Cochran (1994).</w:t>
      </w:r>
    </w:p>
    <w:p w14:paraId="5951EBA3" w14:textId="77777777" w:rsidR="00841722" w:rsidRDefault="00CB299E">
      <w:pPr>
        <w:spacing w:line="480" w:lineRule="auto"/>
        <w:ind w:right="-28"/>
        <w:jc w:val="both"/>
        <w:rPr>
          <w:rFonts w:ascii="Arial" w:eastAsia="Arial" w:hAnsi="Arial" w:cs="Arial"/>
        </w:rPr>
      </w:pPr>
      <w:r>
        <w:rPr>
          <w:rFonts w:ascii="Arial" w:eastAsia="Arial" w:hAnsi="Arial" w:cs="Arial"/>
          <w:b/>
        </w:rPr>
        <w:t>3. RESULTS AND DISCUSSION</w:t>
      </w:r>
    </w:p>
    <w:p w14:paraId="36C9B3C4" w14:textId="77777777" w:rsidR="00841722" w:rsidRDefault="00CB299E">
      <w:pPr>
        <w:spacing w:line="480" w:lineRule="auto"/>
        <w:ind w:right="-28"/>
        <w:jc w:val="both"/>
        <w:rPr>
          <w:rFonts w:ascii="Arial" w:eastAsia="Arial" w:hAnsi="Arial" w:cs="Arial"/>
          <w:color w:val="000000"/>
          <w:sz w:val="20"/>
          <w:szCs w:val="20"/>
        </w:rPr>
      </w:pPr>
      <w:r>
        <w:rPr>
          <w:rFonts w:ascii="Arial" w:eastAsia="Arial" w:hAnsi="Arial" w:cs="Arial"/>
          <w:b/>
          <w:color w:val="000000"/>
          <w:sz w:val="20"/>
          <w:szCs w:val="20"/>
        </w:rPr>
        <w:t xml:space="preserve">Schirmer tear test: </w:t>
      </w:r>
      <w:r>
        <w:rPr>
          <w:rFonts w:ascii="Arial" w:eastAsia="Arial" w:hAnsi="Arial" w:cs="Arial"/>
          <w:sz w:val="20"/>
          <w:szCs w:val="20"/>
        </w:rPr>
        <w:t xml:space="preserve">STT-I </w:t>
      </w:r>
      <w:r>
        <w:rPr>
          <w:rFonts w:ascii="Arial" w:eastAsia="Arial" w:hAnsi="Arial" w:cs="Arial"/>
          <w:color w:val="000000"/>
          <w:sz w:val="20"/>
          <w:szCs w:val="20"/>
        </w:rPr>
        <w:t xml:space="preserve">(mm/min) was measured </w:t>
      </w:r>
      <w:r>
        <w:rPr>
          <w:rFonts w:ascii="Arial" w:eastAsia="Arial" w:hAnsi="Arial" w:cs="Arial"/>
          <w:color w:val="000000"/>
          <w:sz w:val="20"/>
          <w:szCs w:val="20"/>
        </w:rPr>
        <w:t>in all 8 dogs under therapeutic trial on day 0 (</w:t>
      </w:r>
      <w:proofErr w:type="spellStart"/>
      <w:proofErr w:type="gramStart"/>
      <w:r>
        <w:rPr>
          <w:rFonts w:ascii="Arial" w:eastAsia="Arial" w:hAnsi="Arial" w:cs="Arial"/>
          <w:color w:val="000000"/>
          <w:sz w:val="20"/>
          <w:szCs w:val="20"/>
        </w:rPr>
        <w:t>pre treatment</w:t>
      </w:r>
      <w:proofErr w:type="spellEnd"/>
      <w:proofErr w:type="gramEnd"/>
      <w:r>
        <w:rPr>
          <w:rFonts w:ascii="Arial" w:eastAsia="Arial" w:hAnsi="Arial" w:cs="Arial"/>
          <w:color w:val="000000"/>
          <w:sz w:val="20"/>
          <w:szCs w:val="20"/>
        </w:rPr>
        <w:t xml:space="preserve">), day 15 and day 30 (post treatment) and compared with dogs of healthy control group. The initial (STT-I) values (mm/min) measured on day 0 before treatment were 4.29 ± 1.20 in group G1 and </w:t>
      </w:r>
      <w:r>
        <w:rPr>
          <w:rFonts w:ascii="Arial" w:eastAsia="Arial" w:hAnsi="Arial" w:cs="Arial"/>
          <w:color w:val="000000"/>
          <w:sz w:val="20"/>
          <w:szCs w:val="20"/>
        </w:rPr>
        <w:lastRenderedPageBreak/>
        <w:t>4.00</w:t>
      </w:r>
      <w:r>
        <w:rPr>
          <w:rFonts w:ascii="Arial" w:eastAsia="Arial" w:hAnsi="Arial" w:cs="Arial"/>
          <w:color w:val="000000"/>
          <w:sz w:val="20"/>
          <w:szCs w:val="20"/>
        </w:rPr>
        <w:t xml:space="preserve"> ± 0.56 in group G2. Statistical analysis indicated a significant reduction in STT-I values in both treatment groups compared to the healthy control group (G3), which had a mean STT-I of 17.38 ± 0.59 mm/min. Following treatment, an increase in STT-I values</w:t>
      </w:r>
      <w:r>
        <w:rPr>
          <w:rFonts w:ascii="Arial" w:eastAsia="Arial" w:hAnsi="Arial" w:cs="Arial"/>
          <w:color w:val="000000"/>
          <w:sz w:val="20"/>
          <w:szCs w:val="20"/>
        </w:rPr>
        <w:t xml:space="preserve"> was observed in both G1 and G2, reaching 7.00 ± 1.34 mm/min and 7.88 ± 0.54 mm/min, respectively on day 15. By day 30, further improvement was noted, with STT-I values increased to 9.00 ± 1.70 mm/min in G1 and 10.25 ± 0.84 mm/min in G2. The results are su</w:t>
      </w:r>
      <w:r>
        <w:rPr>
          <w:rFonts w:ascii="Arial" w:eastAsia="Arial" w:hAnsi="Arial" w:cs="Arial"/>
          <w:color w:val="000000"/>
          <w:sz w:val="20"/>
          <w:szCs w:val="20"/>
        </w:rPr>
        <w:t>mmarised in Table 2.</w:t>
      </w:r>
    </w:p>
    <w:p w14:paraId="73024117" w14:textId="77777777" w:rsidR="00841722" w:rsidRDefault="00CB299E">
      <w:pPr>
        <w:spacing w:line="480" w:lineRule="auto"/>
        <w:ind w:right="-28"/>
        <w:jc w:val="both"/>
        <w:rPr>
          <w:rFonts w:ascii="Arial" w:eastAsia="Arial" w:hAnsi="Arial" w:cs="Arial"/>
          <w:sz w:val="20"/>
          <w:szCs w:val="20"/>
        </w:rPr>
      </w:pPr>
      <w:bookmarkStart w:id="3" w:name="_3znysh7" w:colFirst="0" w:colLast="0"/>
      <w:bookmarkEnd w:id="3"/>
      <w:r>
        <w:rPr>
          <w:rFonts w:ascii="Arial" w:eastAsia="Arial" w:hAnsi="Arial" w:cs="Arial"/>
          <w:sz w:val="20"/>
          <w:szCs w:val="20"/>
        </w:rPr>
        <w:t xml:space="preserve">The decline in STT-I (mm/min) in the study suggestive of KCS in infected dogs, this might be due chronic desiccation and inflammation leads to swelling of excretory </w:t>
      </w:r>
      <w:proofErr w:type="spellStart"/>
      <w:r>
        <w:rPr>
          <w:rFonts w:ascii="Arial" w:eastAsia="Arial" w:hAnsi="Arial" w:cs="Arial"/>
          <w:sz w:val="20"/>
          <w:szCs w:val="20"/>
        </w:rPr>
        <w:t>ductules</w:t>
      </w:r>
      <w:proofErr w:type="spellEnd"/>
      <w:r>
        <w:rPr>
          <w:rFonts w:ascii="Arial" w:eastAsia="Arial" w:hAnsi="Arial" w:cs="Arial"/>
          <w:sz w:val="20"/>
          <w:szCs w:val="20"/>
        </w:rPr>
        <w:t xml:space="preserve"> of lacrimal gland or immune mediated destruction of lacrimal </w:t>
      </w:r>
      <w:r>
        <w:rPr>
          <w:rFonts w:ascii="Arial" w:eastAsia="Arial" w:hAnsi="Arial" w:cs="Arial"/>
          <w:sz w:val="20"/>
          <w:szCs w:val="20"/>
        </w:rPr>
        <w:t xml:space="preserve">gland resulting in significant drops in tear production. </w:t>
      </w:r>
      <w:r>
        <w:rPr>
          <w:rFonts w:ascii="Arial" w:eastAsia="Arial" w:hAnsi="Arial" w:cs="Arial"/>
          <w:color w:val="000000"/>
          <w:sz w:val="20"/>
          <w:szCs w:val="20"/>
        </w:rPr>
        <w:t xml:space="preserve">These findings </w:t>
      </w:r>
      <w:proofErr w:type="gramStart"/>
      <w:r>
        <w:rPr>
          <w:rFonts w:ascii="Arial" w:eastAsia="Arial" w:hAnsi="Arial" w:cs="Arial"/>
          <w:color w:val="000000"/>
          <w:sz w:val="20"/>
          <w:szCs w:val="20"/>
        </w:rPr>
        <w:t>are in agreement</w:t>
      </w:r>
      <w:proofErr w:type="gramEnd"/>
      <w:r>
        <w:rPr>
          <w:rFonts w:ascii="Arial" w:eastAsia="Arial" w:hAnsi="Arial" w:cs="Arial"/>
          <w:color w:val="000000"/>
          <w:sz w:val="20"/>
          <w:szCs w:val="20"/>
        </w:rPr>
        <w:t xml:space="preserve"> with </w:t>
      </w:r>
      <w:proofErr w:type="spellStart"/>
      <w:r>
        <w:rPr>
          <w:rFonts w:ascii="Arial" w:eastAsia="Arial" w:hAnsi="Arial" w:cs="Arial"/>
          <w:sz w:val="20"/>
          <w:szCs w:val="20"/>
        </w:rPr>
        <w:t>Berdoulay</w:t>
      </w:r>
      <w:proofErr w:type="spellEnd"/>
      <w:r>
        <w:rPr>
          <w:rFonts w:ascii="Arial" w:eastAsia="Arial" w:hAnsi="Arial" w:cs="Arial"/>
          <w:sz w:val="20"/>
          <w:szCs w:val="20"/>
        </w:rPr>
        <w:t xml:space="preserve"> </w:t>
      </w:r>
      <w:r>
        <w:rPr>
          <w:rFonts w:ascii="Arial" w:eastAsia="Arial" w:hAnsi="Arial" w:cs="Arial"/>
          <w:i/>
          <w:sz w:val="20"/>
          <w:szCs w:val="20"/>
        </w:rPr>
        <w:t>et al</w:t>
      </w:r>
      <w:r>
        <w:rPr>
          <w:rFonts w:ascii="Arial" w:eastAsia="Arial" w:hAnsi="Arial" w:cs="Arial"/>
          <w:sz w:val="20"/>
          <w:szCs w:val="20"/>
        </w:rPr>
        <w:t xml:space="preserve">. (2005), Best </w:t>
      </w:r>
      <w:r>
        <w:rPr>
          <w:rFonts w:ascii="Arial" w:eastAsia="Arial" w:hAnsi="Arial" w:cs="Arial"/>
          <w:i/>
          <w:sz w:val="20"/>
          <w:szCs w:val="20"/>
        </w:rPr>
        <w:t>et al</w:t>
      </w:r>
      <w:r>
        <w:rPr>
          <w:rFonts w:ascii="Arial" w:eastAsia="Arial" w:hAnsi="Arial" w:cs="Arial"/>
          <w:sz w:val="20"/>
          <w:szCs w:val="20"/>
        </w:rPr>
        <w:t xml:space="preserve">. (2014), </w:t>
      </w:r>
      <w:proofErr w:type="spellStart"/>
      <w:r>
        <w:rPr>
          <w:rFonts w:ascii="Arial" w:eastAsia="Arial" w:hAnsi="Arial" w:cs="Arial"/>
          <w:sz w:val="20"/>
          <w:szCs w:val="20"/>
        </w:rPr>
        <w:t>Radziejewski</w:t>
      </w:r>
      <w:proofErr w:type="spellEnd"/>
      <w:r>
        <w:rPr>
          <w:rFonts w:ascii="Arial" w:eastAsia="Arial" w:hAnsi="Arial" w:cs="Arial"/>
          <w:sz w:val="20"/>
          <w:szCs w:val="20"/>
        </w:rPr>
        <w:t xml:space="preserve"> and </w:t>
      </w:r>
      <w:proofErr w:type="spellStart"/>
      <w:r>
        <w:rPr>
          <w:rFonts w:ascii="Arial" w:eastAsia="Arial" w:hAnsi="Arial" w:cs="Arial"/>
          <w:sz w:val="20"/>
          <w:szCs w:val="20"/>
        </w:rPr>
        <w:t>Balicki</w:t>
      </w:r>
      <w:proofErr w:type="spellEnd"/>
      <w:r>
        <w:rPr>
          <w:rFonts w:ascii="Arial" w:eastAsia="Arial" w:hAnsi="Arial" w:cs="Arial"/>
          <w:sz w:val="20"/>
          <w:szCs w:val="20"/>
        </w:rPr>
        <w:t xml:space="preserve"> (2016), </w:t>
      </w:r>
      <w:r>
        <w:rPr>
          <w:rFonts w:ascii="Arial" w:eastAsia="Arial" w:hAnsi="Arial" w:cs="Arial"/>
          <w:sz w:val="20"/>
          <w:szCs w:val="20"/>
          <w:highlight w:val="white"/>
        </w:rPr>
        <w:t xml:space="preserve">John </w:t>
      </w:r>
      <w:r>
        <w:rPr>
          <w:rFonts w:ascii="Arial" w:eastAsia="Arial" w:hAnsi="Arial" w:cs="Arial"/>
          <w:i/>
          <w:sz w:val="20"/>
          <w:szCs w:val="20"/>
          <w:highlight w:val="white"/>
        </w:rPr>
        <w:t>et al</w:t>
      </w:r>
      <w:r>
        <w:rPr>
          <w:rFonts w:ascii="Arial" w:eastAsia="Arial" w:hAnsi="Arial" w:cs="Arial"/>
          <w:sz w:val="20"/>
          <w:szCs w:val="20"/>
          <w:highlight w:val="white"/>
        </w:rPr>
        <w:t>. (2018</w:t>
      </w:r>
      <w:r>
        <w:rPr>
          <w:rFonts w:ascii="Arial" w:eastAsia="Arial" w:hAnsi="Arial" w:cs="Arial"/>
          <w:sz w:val="20"/>
          <w:szCs w:val="20"/>
        </w:rPr>
        <w:t>)</w:t>
      </w:r>
      <w:r>
        <w:rPr>
          <w:rFonts w:ascii="Arial" w:eastAsia="Arial" w:hAnsi="Arial" w:cs="Arial"/>
          <w:color w:val="000000"/>
          <w:sz w:val="20"/>
          <w:szCs w:val="20"/>
        </w:rPr>
        <w:t>,</w:t>
      </w:r>
      <w:r>
        <w:rPr>
          <w:rFonts w:ascii="Arial" w:eastAsia="Arial" w:hAnsi="Arial" w:cs="Arial"/>
          <w:sz w:val="20"/>
          <w:szCs w:val="20"/>
        </w:rPr>
        <w:t xml:space="preserve"> </w:t>
      </w:r>
      <w:proofErr w:type="spellStart"/>
      <w:r>
        <w:rPr>
          <w:rFonts w:ascii="Arial" w:eastAsia="Arial" w:hAnsi="Arial" w:cs="Arial"/>
          <w:sz w:val="20"/>
          <w:szCs w:val="20"/>
        </w:rPr>
        <w:t>Voitena</w:t>
      </w:r>
      <w:proofErr w:type="spellEnd"/>
      <w:r>
        <w:rPr>
          <w:rFonts w:ascii="Arial" w:eastAsia="Arial" w:hAnsi="Arial" w:cs="Arial"/>
          <w:sz w:val="20"/>
          <w:szCs w:val="20"/>
        </w:rPr>
        <w:t xml:space="preserve"> </w:t>
      </w:r>
      <w:r>
        <w:rPr>
          <w:rFonts w:ascii="Arial" w:eastAsia="Arial" w:hAnsi="Arial" w:cs="Arial"/>
          <w:i/>
          <w:sz w:val="20"/>
          <w:szCs w:val="20"/>
        </w:rPr>
        <w:t>et al</w:t>
      </w:r>
      <w:r>
        <w:rPr>
          <w:rFonts w:ascii="Arial" w:eastAsia="Arial" w:hAnsi="Arial" w:cs="Arial"/>
          <w:sz w:val="20"/>
          <w:szCs w:val="20"/>
        </w:rPr>
        <w:t xml:space="preserve">. (2018), </w:t>
      </w:r>
      <w:r>
        <w:rPr>
          <w:rFonts w:ascii="Arial" w:eastAsia="Arial" w:hAnsi="Arial" w:cs="Arial"/>
          <w:color w:val="000000"/>
          <w:sz w:val="20"/>
          <w:szCs w:val="20"/>
        </w:rPr>
        <w:t xml:space="preserve">Oliveira </w:t>
      </w:r>
      <w:r>
        <w:rPr>
          <w:rFonts w:ascii="Arial" w:eastAsia="Arial" w:hAnsi="Arial" w:cs="Arial"/>
          <w:i/>
          <w:color w:val="000000"/>
          <w:sz w:val="20"/>
          <w:szCs w:val="20"/>
        </w:rPr>
        <w:t>et al</w:t>
      </w:r>
      <w:r>
        <w:rPr>
          <w:rFonts w:ascii="Arial" w:eastAsia="Arial" w:hAnsi="Arial" w:cs="Arial"/>
          <w:color w:val="000000"/>
          <w:sz w:val="20"/>
          <w:szCs w:val="20"/>
        </w:rPr>
        <w:t xml:space="preserve">. (2019) and </w:t>
      </w:r>
      <w:r>
        <w:rPr>
          <w:rFonts w:ascii="Arial" w:eastAsia="Arial" w:hAnsi="Arial" w:cs="Arial"/>
          <w:sz w:val="20"/>
          <w:szCs w:val="20"/>
        </w:rPr>
        <w:t xml:space="preserve">Silva </w:t>
      </w:r>
      <w:r>
        <w:rPr>
          <w:rFonts w:ascii="Arial" w:eastAsia="Arial" w:hAnsi="Arial" w:cs="Arial"/>
          <w:i/>
          <w:sz w:val="20"/>
          <w:szCs w:val="20"/>
        </w:rPr>
        <w:t>et al</w:t>
      </w:r>
      <w:r>
        <w:rPr>
          <w:rFonts w:ascii="Arial" w:eastAsia="Arial" w:hAnsi="Arial" w:cs="Arial"/>
          <w:sz w:val="20"/>
          <w:szCs w:val="20"/>
        </w:rPr>
        <w:t xml:space="preserve">. </w:t>
      </w:r>
      <w:r>
        <w:rPr>
          <w:rFonts w:ascii="Arial" w:eastAsia="Arial" w:hAnsi="Arial" w:cs="Arial"/>
          <w:sz w:val="20"/>
          <w:szCs w:val="20"/>
        </w:rPr>
        <w:t>(2018)</w:t>
      </w:r>
      <w:r>
        <w:rPr>
          <w:rFonts w:ascii="Arial" w:eastAsia="Arial" w:hAnsi="Arial" w:cs="Arial"/>
          <w:color w:val="000000"/>
          <w:sz w:val="20"/>
          <w:szCs w:val="20"/>
        </w:rPr>
        <w:t xml:space="preserve"> who reported lower </w:t>
      </w:r>
      <w:r>
        <w:rPr>
          <w:rFonts w:ascii="Arial" w:eastAsia="Arial" w:hAnsi="Arial" w:cs="Arial"/>
          <w:sz w:val="20"/>
          <w:szCs w:val="20"/>
        </w:rPr>
        <w:t xml:space="preserve">STT-I </w:t>
      </w:r>
      <w:r>
        <w:rPr>
          <w:rFonts w:ascii="Arial" w:eastAsia="Arial" w:hAnsi="Arial" w:cs="Arial"/>
          <w:color w:val="000000"/>
          <w:sz w:val="20"/>
          <w:szCs w:val="20"/>
        </w:rPr>
        <w:t>(mm/min) in dogs affected with KCS and also found significant increase in mean STT-I value after treatment.</w:t>
      </w:r>
    </w:p>
    <w:p w14:paraId="3887F5DC" w14:textId="77777777" w:rsidR="00841722" w:rsidRDefault="00CB299E">
      <w:pPr>
        <w:spacing w:after="120" w:line="480" w:lineRule="auto"/>
        <w:ind w:left="1260" w:hanging="1260"/>
        <w:jc w:val="both"/>
        <w:rPr>
          <w:rFonts w:ascii="Arial" w:eastAsia="Arial" w:hAnsi="Arial" w:cs="Arial"/>
          <w:sz w:val="20"/>
          <w:szCs w:val="20"/>
        </w:rPr>
      </w:pPr>
      <w:r>
        <w:rPr>
          <w:rFonts w:ascii="Arial" w:eastAsia="Arial" w:hAnsi="Arial" w:cs="Arial"/>
          <w:b/>
          <w:color w:val="000000"/>
          <w:sz w:val="20"/>
          <w:szCs w:val="20"/>
        </w:rPr>
        <w:t>Table 2:</w:t>
      </w:r>
      <w:r>
        <w:rPr>
          <w:rFonts w:ascii="Arial" w:eastAsia="Arial" w:hAnsi="Arial" w:cs="Arial"/>
          <w:b/>
          <w:color w:val="000000"/>
          <w:sz w:val="20"/>
          <w:szCs w:val="20"/>
        </w:rPr>
        <w:tab/>
        <w:t xml:space="preserve">Mean Schirmer tear test (mm/min) in dogs of different treatment groups </w:t>
      </w:r>
      <w:r>
        <w:rPr>
          <w:rFonts w:ascii="Arial" w:eastAsia="Arial" w:hAnsi="Arial" w:cs="Arial"/>
          <w:b/>
          <w:sz w:val="20"/>
          <w:szCs w:val="20"/>
        </w:rPr>
        <w:t>at different time intervals</w:t>
      </w:r>
    </w:p>
    <w:tbl>
      <w:tblPr>
        <w:tblStyle w:val="a0"/>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
        <w:gridCol w:w="2754"/>
        <w:gridCol w:w="2652"/>
        <w:gridCol w:w="2447"/>
      </w:tblGrid>
      <w:tr w:rsidR="00841722" w14:paraId="527E76A7" w14:textId="77777777">
        <w:trPr>
          <w:trHeight w:val="20"/>
        </w:trPr>
        <w:tc>
          <w:tcPr>
            <w:tcW w:w="8789" w:type="dxa"/>
            <w:gridSpan w:val="4"/>
            <w:vAlign w:val="center"/>
          </w:tcPr>
          <w:p w14:paraId="52EFBEFB"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color w:val="000000"/>
                <w:sz w:val="20"/>
                <w:szCs w:val="20"/>
              </w:rPr>
              <w:t>Schirmer</w:t>
            </w:r>
            <w:r>
              <w:rPr>
                <w:rFonts w:ascii="Arial" w:eastAsia="Arial" w:hAnsi="Arial" w:cs="Arial"/>
                <w:b/>
                <w:color w:val="000000"/>
                <w:sz w:val="20"/>
                <w:szCs w:val="20"/>
              </w:rPr>
              <w:t xml:space="preserve"> tear test (mm/min)</w:t>
            </w:r>
            <w:r>
              <w:rPr>
                <w:rFonts w:ascii="Arial" w:eastAsia="Arial" w:hAnsi="Arial" w:cs="Arial"/>
                <w:b/>
                <w:sz w:val="20"/>
                <w:szCs w:val="20"/>
              </w:rPr>
              <w:t xml:space="preserve"> (Mean ± SE)</w:t>
            </w:r>
          </w:p>
        </w:tc>
      </w:tr>
      <w:tr w:rsidR="00841722" w14:paraId="1665E4AA" w14:textId="77777777">
        <w:trPr>
          <w:trHeight w:val="20"/>
        </w:trPr>
        <w:tc>
          <w:tcPr>
            <w:tcW w:w="936" w:type="dxa"/>
            <w:vAlign w:val="center"/>
          </w:tcPr>
          <w:p w14:paraId="589ACBD8"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Group</w:t>
            </w:r>
          </w:p>
        </w:tc>
        <w:tc>
          <w:tcPr>
            <w:tcW w:w="2754" w:type="dxa"/>
            <w:vAlign w:val="center"/>
          </w:tcPr>
          <w:p w14:paraId="458AFBE1"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Day 0</w:t>
            </w:r>
          </w:p>
        </w:tc>
        <w:tc>
          <w:tcPr>
            <w:tcW w:w="2652" w:type="dxa"/>
            <w:vAlign w:val="center"/>
          </w:tcPr>
          <w:p w14:paraId="7FEDBB7B"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Day 15</w:t>
            </w:r>
          </w:p>
        </w:tc>
        <w:tc>
          <w:tcPr>
            <w:tcW w:w="2447" w:type="dxa"/>
            <w:vAlign w:val="center"/>
          </w:tcPr>
          <w:p w14:paraId="5E3E483B"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Day 30</w:t>
            </w:r>
          </w:p>
        </w:tc>
      </w:tr>
      <w:tr w:rsidR="00841722" w14:paraId="55813C96" w14:textId="77777777">
        <w:trPr>
          <w:trHeight w:val="20"/>
        </w:trPr>
        <w:tc>
          <w:tcPr>
            <w:tcW w:w="936" w:type="dxa"/>
            <w:vAlign w:val="center"/>
          </w:tcPr>
          <w:p w14:paraId="5E021071"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G1</w:t>
            </w:r>
          </w:p>
        </w:tc>
        <w:tc>
          <w:tcPr>
            <w:tcW w:w="2754" w:type="dxa"/>
            <w:vAlign w:val="center"/>
          </w:tcPr>
          <w:p w14:paraId="103DB238"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04.29</w:t>
            </w:r>
            <w:r>
              <w:rPr>
                <w:rFonts w:ascii="Arial" w:eastAsia="Arial" w:hAnsi="Arial" w:cs="Arial"/>
                <w:sz w:val="20"/>
                <w:szCs w:val="20"/>
                <w:vertAlign w:val="superscript"/>
              </w:rPr>
              <w:t xml:space="preserve">Bb </w:t>
            </w:r>
            <w:r>
              <w:rPr>
                <w:rFonts w:ascii="Arial" w:eastAsia="Arial" w:hAnsi="Arial" w:cs="Arial"/>
                <w:sz w:val="20"/>
                <w:szCs w:val="20"/>
              </w:rPr>
              <w:t>± 1.20</w:t>
            </w:r>
          </w:p>
        </w:tc>
        <w:tc>
          <w:tcPr>
            <w:tcW w:w="2652" w:type="dxa"/>
            <w:vAlign w:val="center"/>
          </w:tcPr>
          <w:p w14:paraId="29EAC8CA"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07.00</w:t>
            </w:r>
            <w:r>
              <w:rPr>
                <w:rFonts w:ascii="Arial" w:eastAsia="Arial" w:hAnsi="Arial" w:cs="Arial"/>
                <w:sz w:val="20"/>
                <w:szCs w:val="20"/>
                <w:vertAlign w:val="superscript"/>
              </w:rPr>
              <w:t xml:space="preserve">Abb </w:t>
            </w:r>
            <w:r>
              <w:rPr>
                <w:rFonts w:ascii="Arial" w:eastAsia="Arial" w:hAnsi="Arial" w:cs="Arial"/>
                <w:sz w:val="20"/>
                <w:szCs w:val="20"/>
              </w:rPr>
              <w:t>± 1.34</w:t>
            </w:r>
          </w:p>
        </w:tc>
        <w:tc>
          <w:tcPr>
            <w:tcW w:w="2447" w:type="dxa"/>
            <w:vAlign w:val="center"/>
          </w:tcPr>
          <w:p w14:paraId="2F25BAEF"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9.00</w:t>
            </w:r>
            <w:r>
              <w:rPr>
                <w:rFonts w:ascii="Arial" w:eastAsia="Arial" w:hAnsi="Arial" w:cs="Arial"/>
                <w:sz w:val="20"/>
                <w:szCs w:val="20"/>
                <w:vertAlign w:val="superscript"/>
              </w:rPr>
              <w:t xml:space="preserve">Ab </w:t>
            </w:r>
            <w:r>
              <w:rPr>
                <w:rFonts w:ascii="Arial" w:eastAsia="Arial" w:hAnsi="Arial" w:cs="Arial"/>
                <w:sz w:val="20"/>
                <w:szCs w:val="20"/>
              </w:rPr>
              <w:t>± 1.70</w:t>
            </w:r>
          </w:p>
        </w:tc>
      </w:tr>
      <w:tr w:rsidR="00841722" w14:paraId="0BB3B3A2" w14:textId="77777777">
        <w:trPr>
          <w:trHeight w:val="20"/>
        </w:trPr>
        <w:tc>
          <w:tcPr>
            <w:tcW w:w="936" w:type="dxa"/>
            <w:vAlign w:val="center"/>
          </w:tcPr>
          <w:p w14:paraId="59FE378F"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G2</w:t>
            </w:r>
          </w:p>
        </w:tc>
        <w:tc>
          <w:tcPr>
            <w:tcW w:w="2754" w:type="dxa"/>
            <w:vAlign w:val="center"/>
          </w:tcPr>
          <w:p w14:paraId="08A64677"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04.00</w:t>
            </w:r>
            <w:r>
              <w:rPr>
                <w:rFonts w:ascii="Arial" w:eastAsia="Arial" w:hAnsi="Arial" w:cs="Arial"/>
                <w:sz w:val="20"/>
                <w:szCs w:val="20"/>
                <w:vertAlign w:val="superscript"/>
              </w:rPr>
              <w:t xml:space="preserve">Cb </w:t>
            </w:r>
            <w:r>
              <w:rPr>
                <w:rFonts w:ascii="Arial" w:eastAsia="Arial" w:hAnsi="Arial" w:cs="Arial"/>
                <w:sz w:val="20"/>
                <w:szCs w:val="20"/>
              </w:rPr>
              <w:t>± 0.56</w:t>
            </w:r>
          </w:p>
        </w:tc>
        <w:tc>
          <w:tcPr>
            <w:tcW w:w="2652" w:type="dxa"/>
            <w:vAlign w:val="center"/>
          </w:tcPr>
          <w:p w14:paraId="6DE9EAB7"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07.88</w:t>
            </w:r>
            <w:r>
              <w:rPr>
                <w:rFonts w:ascii="Arial" w:eastAsia="Arial" w:hAnsi="Arial" w:cs="Arial"/>
                <w:sz w:val="20"/>
                <w:szCs w:val="20"/>
                <w:vertAlign w:val="superscript"/>
              </w:rPr>
              <w:t xml:space="preserve">Bb </w:t>
            </w:r>
            <w:r>
              <w:rPr>
                <w:rFonts w:ascii="Arial" w:eastAsia="Arial" w:hAnsi="Arial" w:cs="Arial"/>
                <w:sz w:val="20"/>
                <w:szCs w:val="20"/>
              </w:rPr>
              <w:t>± 0.54</w:t>
            </w:r>
          </w:p>
        </w:tc>
        <w:tc>
          <w:tcPr>
            <w:tcW w:w="2447" w:type="dxa"/>
            <w:vAlign w:val="center"/>
          </w:tcPr>
          <w:p w14:paraId="41DE641E"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10.25</w:t>
            </w:r>
            <w:r>
              <w:rPr>
                <w:rFonts w:ascii="Arial" w:eastAsia="Arial" w:hAnsi="Arial" w:cs="Arial"/>
                <w:sz w:val="20"/>
                <w:szCs w:val="20"/>
                <w:vertAlign w:val="superscript"/>
              </w:rPr>
              <w:t xml:space="preserve">Ab </w:t>
            </w:r>
            <w:r>
              <w:rPr>
                <w:rFonts w:ascii="Arial" w:eastAsia="Arial" w:hAnsi="Arial" w:cs="Arial"/>
                <w:sz w:val="20"/>
                <w:szCs w:val="20"/>
              </w:rPr>
              <w:t>± 0.84</w:t>
            </w:r>
          </w:p>
        </w:tc>
      </w:tr>
      <w:tr w:rsidR="00841722" w14:paraId="0FC3B760" w14:textId="77777777">
        <w:trPr>
          <w:trHeight w:val="20"/>
        </w:trPr>
        <w:tc>
          <w:tcPr>
            <w:tcW w:w="936" w:type="dxa"/>
            <w:vAlign w:val="center"/>
          </w:tcPr>
          <w:p w14:paraId="07FF1470"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G3</w:t>
            </w:r>
          </w:p>
        </w:tc>
        <w:tc>
          <w:tcPr>
            <w:tcW w:w="2754" w:type="dxa"/>
            <w:vAlign w:val="center"/>
          </w:tcPr>
          <w:p w14:paraId="5FBFC435"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17.38</w:t>
            </w:r>
            <w:r>
              <w:rPr>
                <w:rFonts w:ascii="Arial" w:eastAsia="Arial" w:hAnsi="Arial" w:cs="Arial"/>
                <w:sz w:val="20"/>
                <w:szCs w:val="20"/>
                <w:vertAlign w:val="superscript"/>
              </w:rPr>
              <w:t xml:space="preserve">Aa </w:t>
            </w:r>
            <w:r>
              <w:rPr>
                <w:rFonts w:ascii="Arial" w:eastAsia="Arial" w:hAnsi="Arial" w:cs="Arial"/>
                <w:sz w:val="20"/>
                <w:szCs w:val="20"/>
              </w:rPr>
              <w:t>± 0.59</w:t>
            </w:r>
          </w:p>
        </w:tc>
        <w:tc>
          <w:tcPr>
            <w:tcW w:w="2652" w:type="dxa"/>
            <w:vAlign w:val="center"/>
          </w:tcPr>
          <w:p w14:paraId="5AD715F2"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17.25</w:t>
            </w:r>
            <w:r>
              <w:rPr>
                <w:rFonts w:ascii="Arial" w:eastAsia="Arial" w:hAnsi="Arial" w:cs="Arial"/>
                <w:sz w:val="20"/>
                <w:szCs w:val="20"/>
                <w:vertAlign w:val="superscript"/>
              </w:rPr>
              <w:t xml:space="preserve">Aa </w:t>
            </w:r>
            <w:r>
              <w:rPr>
                <w:rFonts w:ascii="Arial" w:eastAsia="Arial" w:hAnsi="Arial" w:cs="Arial"/>
                <w:sz w:val="20"/>
                <w:szCs w:val="20"/>
              </w:rPr>
              <w:t>± 0.25</w:t>
            </w:r>
          </w:p>
        </w:tc>
        <w:tc>
          <w:tcPr>
            <w:tcW w:w="2447" w:type="dxa"/>
            <w:vAlign w:val="center"/>
          </w:tcPr>
          <w:p w14:paraId="0871C5F3" w14:textId="77777777" w:rsidR="00841722" w:rsidRDefault="00CB299E">
            <w:pPr>
              <w:tabs>
                <w:tab w:val="left" w:pos="600"/>
              </w:tabs>
              <w:spacing w:before="120" w:after="120" w:line="480" w:lineRule="auto"/>
              <w:jc w:val="center"/>
              <w:rPr>
                <w:rFonts w:ascii="Arial" w:eastAsia="Arial" w:hAnsi="Arial" w:cs="Arial"/>
                <w:sz w:val="20"/>
                <w:szCs w:val="20"/>
              </w:rPr>
            </w:pPr>
            <w:r>
              <w:rPr>
                <w:rFonts w:ascii="Arial" w:eastAsia="Arial" w:hAnsi="Arial" w:cs="Arial"/>
                <w:sz w:val="20"/>
                <w:szCs w:val="20"/>
              </w:rPr>
              <w:t>17.88</w:t>
            </w:r>
            <w:r>
              <w:rPr>
                <w:rFonts w:ascii="Arial" w:eastAsia="Arial" w:hAnsi="Arial" w:cs="Arial"/>
                <w:sz w:val="20"/>
                <w:szCs w:val="20"/>
                <w:vertAlign w:val="superscript"/>
              </w:rPr>
              <w:t xml:space="preserve">Aa </w:t>
            </w:r>
            <w:r>
              <w:rPr>
                <w:rFonts w:ascii="Arial" w:eastAsia="Arial" w:hAnsi="Arial" w:cs="Arial"/>
                <w:sz w:val="20"/>
                <w:szCs w:val="20"/>
              </w:rPr>
              <w:t>± 0.54</w:t>
            </w:r>
          </w:p>
        </w:tc>
      </w:tr>
    </w:tbl>
    <w:p w14:paraId="625E84E9" w14:textId="77777777" w:rsidR="00841722" w:rsidRDefault="00CB299E">
      <w:pPr>
        <w:widowControl w:val="0"/>
        <w:spacing w:after="120" w:line="480" w:lineRule="auto"/>
        <w:ind w:right="227"/>
        <w:jc w:val="both"/>
        <w:rPr>
          <w:rFonts w:ascii="Arial" w:eastAsia="Arial" w:hAnsi="Arial" w:cs="Arial"/>
          <w:sz w:val="20"/>
          <w:szCs w:val="20"/>
        </w:rPr>
      </w:pPr>
      <w:r>
        <w:rPr>
          <w:rFonts w:ascii="Arial" w:eastAsia="Arial" w:hAnsi="Arial" w:cs="Arial"/>
          <w:i/>
          <w:sz w:val="20"/>
          <w:szCs w:val="20"/>
        </w:rPr>
        <w:t xml:space="preserve">Means with different superscripts between groups </w:t>
      </w:r>
      <w:r>
        <w:rPr>
          <w:rFonts w:ascii="Arial" w:eastAsia="Arial" w:hAnsi="Arial" w:cs="Arial"/>
          <w:i/>
          <w:sz w:val="20"/>
          <w:szCs w:val="20"/>
        </w:rPr>
        <w:t>(lowercase) and between days (uppercase) differ significantly (P ≤ 0.05)</w:t>
      </w:r>
    </w:p>
    <w:p w14:paraId="5F1DD0D5" w14:textId="77777777" w:rsidR="00841722" w:rsidRDefault="00CB299E">
      <w:pPr>
        <w:widowControl w:val="0"/>
        <w:spacing w:after="120" w:line="480" w:lineRule="auto"/>
        <w:ind w:right="227"/>
        <w:jc w:val="both"/>
        <w:rPr>
          <w:rFonts w:ascii="Arial" w:eastAsia="Arial" w:hAnsi="Arial" w:cs="Arial"/>
          <w:sz w:val="20"/>
          <w:szCs w:val="20"/>
        </w:rPr>
      </w:pPr>
      <w:r>
        <w:rPr>
          <w:rFonts w:ascii="Arial" w:eastAsia="Arial" w:hAnsi="Arial" w:cs="Arial"/>
          <w:b/>
          <w:sz w:val="20"/>
          <w:szCs w:val="20"/>
        </w:rPr>
        <w:t xml:space="preserve">Tear film breakup time (TFBUT): </w:t>
      </w:r>
      <w:r>
        <w:rPr>
          <w:rFonts w:ascii="Arial" w:eastAsia="Arial" w:hAnsi="Arial" w:cs="Arial"/>
          <w:sz w:val="20"/>
          <w:szCs w:val="20"/>
        </w:rPr>
        <w:t>TFBUT was assessed in eight dogs undergoing treatment on days 0, 15 and 30 and compared with the healthy control group. Pre-treatment mean TFBUT values</w:t>
      </w:r>
      <w:r>
        <w:rPr>
          <w:rFonts w:ascii="Arial" w:eastAsia="Arial" w:hAnsi="Arial" w:cs="Arial"/>
          <w:sz w:val="20"/>
          <w:szCs w:val="20"/>
        </w:rPr>
        <w:t xml:space="preserve"> (sec) in groups G1 and G2 were 8.29 ± 0.83 and 7.63 ± 1.16, respectively, which were significantly lower than the control group (G3) at 20.13 ± 0.95 sec. Following treatment, TFBUT increased to 10.14 ± </w:t>
      </w:r>
      <w:r>
        <w:rPr>
          <w:rFonts w:ascii="Arial" w:eastAsia="Arial" w:hAnsi="Arial" w:cs="Arial"/>
          <w:sz w:val="20"/>
          <w:szCs w:val="20"/>
        </w:rPr>
        <w:lastRenderedPageBreak/>
        <w:t xml:space="preserve">0.91 sec in G1 and 10.25 ± 1.09 sec in G2 by day 15. </w:t>
      </w:r>
      <w:r>
        <w:rPr>
          <w:rFonts w:ascii="Arial" w:eastAsia="Arial" w:hAnsi="Arial" w:cs="Arial"/>
          <w:sz w:val="20"/>
          <w:szCs w:val="20"/>
        </w:rPr>
        <w:t xml:space="preserve">By day 30, further improvement was observed, with values reaching 14.14 ± 1.24 sec in G1 and 14.63 ± 0.84 sec in G2. </w:t>
      </w:r>
      <w:r>
        <w:rPr>
          <w:rFonts w:ascii="Arial" w:eastAsia="Arial" w:hAnsi="Arial" w:cs="Arial"/>
          <w:color w:val="000000"/>
          <w:sz w:val="20"/>
          <w:szCs w:val="20"/>
        </w:rPr>
        <w:t>The results are summarised in Table 3.</w:t>
      </w:r>
    </w:p>
    <w:p w14:paraId="15E174B1" w14:textId="77777777" w:rsidR="00841722" w:rsidRDefault="00CB299E">
      <w:pPr>
        <w:spacing w:line="480" w:lineRule="auto"/>
        <w:ind w:right="-28"/>
        <w:jc w:val="both"/>
        <w:rPr>
          <w:rFonts w:ascii="Arial" w:eastAsia="Arial" w:hAnsi="Arial" w:cs="Arial"/>
          <w:sz w:val="20"/>
          <w:szCs w:val="20"/>
        </w:rPr>
      </w:pPr>
      <w:bookmarkStart w:id="4" w:name="_2et92p0" w:colFirst="0" w:colLast="0"/>
      <w:bookmarkEnd w:id="4"/>
      <w:r>
        <w:rPr>
          <w:rFonts w:ascii="Arial" w:eastAsia="Arial" w:hAnsi="Arial" w:cs="Arial"/>
          <w:color w:val="000000"/>
          <w:sz w:val="20"/>
          <w:szCs w:val="20"/>
        </w:rPr>
        <w:t>The decrease in TFBUT is primarily due to decreased goblet cell density caused by chronic conjunctiv</w:t>
      </w:r>
      <w:r>
        <w:rPr>
          <w:rFonts w:ascii="Arial" w:eastAsia="Arial" w:hAnsi="Arial" w:cs="Arial"/>
          <w:color w:val="000000"/>
          <w:sz w:val="20"/>
          <w:szCs w:val="20"/>
        </w:rPr>
        <w:t>al inflammation results in qualitative abnormalities in the tear film, such as reduced lipid or mucin components. These deficiencies lead to increased evaporation and instability of the tear film when accompanied by clinical signs. These findings match wit</w:t>
      </w:r>
      <w:r>
        <w:rPr>
          <w:rFonts w:ascii="Arial" w:eastAsia="Arial" w:hAnsi="Arial" w:cs="Arial"/>
          <w:color w:val="000000"/>
          <w:sz w:val="20"/>
          <w:szCs w:val="20"/>
        </w:rPr>
        <w:t xml:space="preserve">h </w:t>
      </w:r>
      <w:proofErr w:type="spellStart"/>
      <w:r>
        <w:rPr>
          <w:rFonts w:ascii="Arial" w:eastAsia="Arial" w:hAnsi="Arial" w:cs="Arial"/>
          <w:sz w:val="20"/>
          <w:szCs w:val="20"/>
        </w:rPr>
        <w:t>Madruga</w:t>
      </w:r>
      <w:proofErr w:type="spellEnd"/>
      <w:r>
        <w:rPr>
          <w:rFonts w:ascii="Arial" w:eastAsia="Arial" w:hAnsi="Arial" w:cs="Arial"/>
          <w:sz w:val="20"/>
          <w:szCs w:val="20"/>
        </w:rPr>
        <w:t xml:space="preserve"> </w:t>
      </w:r>
      <w:r>
        <w:rPr>
          <w:rFonts w:ascii="Arial" w:eastAsia="Arial" w:hAnsi="Arial" w:cs="Arial"/>
          <w:i/>
          <w:sz w:val="20"/>
          <w:szCs w:val="20"/>
        </w:rPr>
        <w:t>et al</w:t>
      </w:r>
      <w:r>
        <w:rPr>
          <w:rFonts w:ascii="Arial" w:eastAsia="Arial" w:hAnsi="Arial" w:cs="Arial"/>
          <w:sz w:val="20"/>
          <w:szCs w:val="20"/>
        </w:rPr>
        <w:t xml:space="preserve">. (2018), Ribeiro </w:t>
      </w:r>
      <w:r>
        <w:rPr>
          <w:rFonts w:ascii="Arial" w:eastAsia="Arial" w:hAnsi="Arial" w:cs="Arial"/>
          <w:i/>
          <w:sz w:val="20"/>
          <w:szCs w:val="20"/>
        </w:rPr>
        <w:t>et al</w:t>
      </w:r>
      <w:r>
        <w:rPr>
          <w:rFonts w:ascii="Arial" w:eastAsia="Arial" w:hAnsi="Arial" w:cs="Arial"/>
          <w:sz w:val="20"/>
          <w:szCs w:val="20"/>
        </w:rPr>
        <w:t xml:space="preserve">. (2008) and Nascimento </w:t>
      </w:r>
      <w:r>
        <w:rPr>
          <w:rFonts w:ascii="Arial" w:eastAsia="Arial" w:hAnsi="Arial" w:cs="Arial"/>
          <w:i/>
          <w:sz w:val="20"/>
          <w:szCs w:val="20"/>
        </w:rPr>
        <w:t>et al</w:t>
      </w:r>
      <w:r>
        <w:rPr>
          <w:rFonts w:ascii="Arial" w:eastAsia="Arial" w:hAnsi="Arial" w:cs="Arial"/>
          <w:sz w:val="20"/>
          <w:szCs w:val="20"/>
        </w:rPr>
        <w:t>. (2023) who reported decreased TFBUT in KCS affected dogs.</w:t>
      </w:r>
    </w:p>
    <w:p w14:paraId="054660B4" w14:textId="77777777" w:rsidR="00841722" w:rsidRDefault="00CB299E">
      <w:pPr>
        <w:spacing w:after="120" w:line="480" w:lineRule="auto"/>
        <w:ind w:left="993" w:hanging="1135"/>
        <w:jc w:val="both"/>
        <w:rPr>
          <w:rFonts w:ascii="Arial" w:eastAsia="Arial" w:hAnsi="Arial" w:cs="Arial"/>
          <w:color w:val="000000"/>
          <w:sz w:val="20"/>
          <w:szCs w:val="20"/>
        </w:rPr>
      </w:pPr>
      <w:r>
        <w:rPr>
          <w:rFonts w:ascii="Arial" w:eastAsia="Arial" w:hAnsi="Arial" w:cs="Arial"/>
          <w:b/>
          <w:color w:val="000000"/>
          <w:sz w:val="20"/>
          <w:szCs w:val="20"/>
        </w:rPr>
        <w:t>Table 3:</w:t>
      </w:r>
      <w:r>
        <w:rPr>
          <w:rFonts w:ascii="Arial" w:eastAsia="Arial" w:hAnsi="Arial" w:cs="Arial"/>
          <w:b/>
          <w:color w:val="000000"/>
          <w:sz w:val="20"/>
          <w:szCs w:val="20"/>
        </w:rPr>
        <w:tab/>
        <w:t>Mean Tear film breakup time (sec) in dogs of different treatment groups at different time intervals</w:t>
      </w:r>
    </w:p>
    <w:tbl>
      <w:tblPr>
        <w:tblStyle w:val="a1"/>
        <w:tblW w:w="8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
        <w:gridCol w:w="2555"/>
        <w:gridCol w:w="2466"/>
        <w:gridCol w:w="2161"/>
      </w:tblGrid>
      <w:tr w:rsidR="00841722" w14:paraId="14833ADC" w14:textId="77777777">
        <w:trPr>
          <w:trHeight w:val="730"/>
          <w:jc w:val="center"/>
        </w:trPr>
        <w:tc>
          <w:tcPr>
            <w:tcW w:w="8118" w:type="dxa"/>
            <w:gridSpan w:val="4"/>
            <w:vAlign w:val="center"/>
          </w:tcPr>
          <w:p w14:paraId="77F887EB"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color w:val="000000"/>
                <w:sz w:val="20"/>
                <w:szCs w:val="20"/>
              </w:rPr>
              <w:t>Tear film breakup ti</w:t>
            </w:r>
            <w:r>
              <w:rPr>
                <w:rFonts w:ascii="Arial" w:eastAsia="Arial" w:hAnsi="Arial" w:cs="Arial"/>
                <w:b/>
                <w:color w:val="000000"/>
                <w:sz w:val="20"/>
                <w:szCs w:val="20"/>
              </w:rPr>
              <w:t xml:space="preserve">me (sec) </w:t>
            </w:r>
            <w:r>
              <w:rPr>
                <w:rFonts w:ascii="Arial" w:eastAsia="Arial" w:hAnsi="Arial" w:cs="Arial"/>
                <w:b/>
                <w:sz w:val="20"/>
                <w:szCs w:val="20"/>
              </w:rPr>
              <w:t>(Mean ± SE)</w:t>
            </w:r>
          </w:p>
        </w:tc>
      </w:tr>
      <w:tr w:rsidR="00841722" w14:paraId="31899FBB" w14:textId="77777777">
        <w:trPr>
          <w:trHeight w:val="20"/>
          <w:jc w:val="center"/>
        </w:trPr>
        <w:tc>
          <w:tcPr>
            <w:tcW w:w="936" w:type="dxa"/>
            <w:vAlign w:val="center"/>
          </w:tcPr>
          <w:p w14:paraId="0975C066"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Group</w:t>
            </w:r>
          </w:p>
        </w:tc>
        <w:tc>
          <w:tcPr>
            <w:tcW w:w="2555" w:type="dxa"/>
            <w:vAlign w:val="center"/>
          </w:tcPr>
          <w:p w14:paraId="0562BE8F"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Day 0</w:t>
            </w:r>
          </w:p>
        </w:tc>
        <w:tc>
          <w:tcPr>
            <w:tcW w:w="2466" w:type="dxa"/>
            <w:vAlign w:val="center"/>
          </w:tcPr>
          <w:p w14:paraId="38351B96"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Day 15</w:t>
            </w:r>
          </w:p>
        </w:tc>
        <w:tc>
          <w:tcPr>
            <w:tcW w:w="2161" w:type="dxa"/>
            <w:vAlign w:val="center"/>
          </w:tcPr>
          <w:p w14:paraId="687026B3"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b/>
                <w:sz w:val="20"/>
                <w:szCs w:val="20"/>
              </w:rPr>
              <w:t>Day 30</w:t>
            </w:r>
          </w:p>
        </w:tc>
      </w:tr>
      <w:tr w:rsidR="00841722" w14:paraId="354A527F" w14:textId="77777777">
        <w:trPr>
          <w:trHeight w:val="20"/>
          <w:jc w:val="center"/>
        </w:trPr>
        <w:tc>
          <w:tcPr>
            <w:tcW w:w="936" w:type="dxa"/>
            <w:vAlign w:val="center"/>
          </w:tcPr>
          <w:p w14:paraId="07C1A8B2" w14:textId="77777777" w:rsidR="00841722" w:rsidRDefault="00CB299E">
            <w:pPr>
              <w:spacing w:before="120" w:after="120" w:line="480" w:lineRule="auto"/>
              <w:jc w:val="center"/>
              <w:rPr>
                <w:rFonts w:ascii="Arial" w:eastAsia="Arial" w:hAnsi="Arial" w:cs="Arial"/>
                <w:sz w:val="20"/>
                <w:szCs w:val="20"/>
              </w:rPr>
            </w:pPr>
            <w:bookmarkStart w:id="5" w:name="_tyjcwt" w:colFirst="0" w:colLast="0"/>
            <w:bookmarkEnd w:id="5"/>
            <w:r>
              <w:rPr>
                <w:rFonts w:ascii="Arial" w:eastAsia="Arial" w:hAnsi="Arial" w:cs="Arial"/>
                <w:b/>
                <w:sz w:val="20"/>
                <w:szCs w:val="20"/>
              </w:rPr>
              <w:t>G1</w:t>
            </w:r>
          </w:p>
        </w:tc>
        <w:tc>
          <w:tcPr>
            <w:tcW w:w="2555" w:type="dxa"/>
            <w:vAlign w:val="center"/>
          </w:tcPr>
          <w:p w14:paraId="2B716D63"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08.29</w:t>
            </w:r>
            <w:r>
              <w:rPr>
                <w:rFonts w:ascii="Arial" w:eastAsia="Arial" w:hAnsi="Arial" w:cs="Arial"/>
                <w:sz w:val="20"/>
                <w:szCs w:val="20"/>
                <w:vertAlign w:val="superscript"/>
              </w:rPr>
              <w:t xml:space="preserve">Bb </w:t>
            </w:r>
            <w:r>
              <w:rPr>
                <w:rFonts w:ascii="Arial" w:eastAsia="Arial" w:hAnsi="Arial" w:cs="Arial"/>
                <w:sz w:val="20"/>
                <w:szCs w:val="20"/>
              </w:rPr>
              <w:t>± 0.83</w:t>
            </w:r>
          </w:p>
        </w:tc>
        <w:tc>
          <w:tcPr>
            <w:tcW w:w="2466" w:type="dxa"/>
            <w:vAlign w:val="center"/>
          </w:tcPr>
          <w:p w14:paraId="397E35B3" w14:textId="77777777" w:rsidR="00841722" w:rsidRDefault="00CB299E">
            <w:pPr>
              <w:spacing w:before="120" w:after="120" w:line="480" w:lineRule="auto"/>
              <w:jc w:val="center"/>
              <w:rPr>
                <w:rFonts w:ascii="Arial" w:eastAsia="Arial" w:hAnsi="Arial" w:cs="Arial"/>
                <w:sz w:val="20"/>
                <w:szCs w:val="20"/>
              </w:rPr>
            </w:pPr>
            <w:bookmarkStart w:id="6" w:name="_3dy6vkm" w:colFirst="0" w:colLast="0"/>
            <w:bookmarkEnd w:id="6"/>
            <w:r>
              <w:rPr>
                <w:rFonts w:ascii="Arial" w:eastAsia="Arial" w:hAnsi="Arial" w:cs="Arial"/>
                <w:sz w:val="20"/>
                <w:szCs w:val="20"/>
              </w:rPr>
              <w:t>10.14</w:t>
            </w:r>
            <w:r>
              <w:rPr>
                <w:rFonts w:ascii="Arial" w:eastAsia="Arial" w:hAnsi="Arial" w:cs="Arial"/>
                <w:sz w:val="20"/>
                <w:szCs w:val="20"/>
                <w:vertAlign w:val="superscript"/>
              </w:rPr>
              <w:t xml:space="preserve">Bb </w:t>
            </w:r>
            <w:r>
              <w:rPr>
                <w:rFonts w:ascii="Arial" w:eastAsia="Arial" w:hAnsi="Arial" w:cs="Arial"/>
                <w:sz w:val="20"/>
                <w:szCs w:val="20"/>
              </w:rPr>
              <w:t>± 0.91</w:t>
            </w:r>
          </w:p>
        </w:tc>
        <w:tc>
          <w:tcPr>
            <w:tcW w:w="2161" w:type="dxa"/>
            <w:vAlign w:val="center"/>
          </w:tcPr>
          <w:p w14:paraId="39DED97D"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14.14</w:t>
            </w:r>
            <w:r>
              <w:rPr>
                <w:rFonts w:ascii="Arial" w:eastAsia="Arial" w:hAnsi="Arial" w:cs="Arial"/>
                <w:sz w:val="20"/>
                <w:szCs w:val="20"/>
                <w:vertAlign w:val="superscript"/>
              </w:rPr>
              <w:t xml:space="preserve">Ab </w:t>
            </w:r>
            <w:r>
              <w:rPr>
                <w:rFonts w:ascii="Arial" w:eastAsia="Arial" w:hAnsi="Arial" w:cs="Arial"/>
                <w:sz w:val="20"/>
                <w:szCs w:val="20"/>
              </w:rPr>
              <w:t>± 1.24</w:t>
            </w:r>
          </w:p>
        </w:tc>
      </w:tr>
      <w:tr w:rsidR="00841722" w14:paraId="2A2678EA" w14:textId="77777777">
        <w:trPr>
          <w:trHeight w:val="20"/>
          <w:jc w:val="center"/>
        </w:trPr>
        <w:tc>
          <w:tcPr>
            <w:tcW w:w="936" w:type="dxa"/>
            <w:vAlign w:val="center"/>
          </w:tcPr>
          <w:p w14:paraId="7F4BB3EA" w14:textId="77777777" w:rsidR="00841722" w:rsidRDefault="00CB299E">
            <w:pPr>
              <w:spacing w:before="120" w:after="120" w:line="480" w:lineRule="auto"/>
              <w:jc w:val="center"/>
              <w:rPr>
                <w:rFonts w:ascii="Arial" w:eastAsia="Arial" w:hAnsi="Arial" w:cs="Arial"/>
                <w:sz w:val="20"/>
                <w:szCs w:val="20"/>
              </w:rPr>
            </w:pPr>
            <w:bookmarkStart w:id="7" w:name="_1t3h5sf" w:colFirst="0" w:colLast="0"/>
            <w:bookmarkEnd w:id="7"/>
            <w:r>
              <w:rPr>
                <w:rFonts w:ascii="Arial" w:eastAsia="Arial" w:hAnsi="Arial" w:cs="Arial"/>
                <w:b/>
                <w:sz w:val="20"/>
                <w:szCs w:val="20"/>
              </w:rPr>
              <w:t>G2</w:t>
            </w:r>
          </w:p>
        </w:tc>
        <w:tc>
          <w:tcPr>
            <w:tcW w:w="2555" w:type="dxa"/>
            <w:vAlign w:val="center"/>
          </w:tcPr>
          <w:p w14:paraId="164219C9" w14:textId="77777777" w:rsidR="00841722" w:rsidRDefault="00CB299E">
            <w:pPr>
              <w:spacing w:before="120" w:after="120" w:line="480" w:lineRule="auto"/>
              <w:jc w:val="center"/>
              <w:rPr>
                <w:rFonts w:ascii="Arial" w:eastAsia="Arial" w:hAnsi="Arial" w:cs="Arial"/>
                <w:sz w:val="20"/>
                <w:szCs w:val="20"/>
              </w:rPr>
            </w:pPr>
            <w:bookmarkStart w:id="8" w:name="_4d34og8" w:colFirst="0" w:colLast="0"/>
            <w:bookmarkEnd w:id="8"/>
            <w:r>
              <w:rPr>
                <w:rFonts w:ascii="Arial" w:eastAsia="Arial" w:hAnsi="Arial" w:cs="Arial"/>
                <w:sz w:val="20"/>
                <w:szCs w:val="20"/>
              </w:rPr>
              <w:t>07.63</w:t>
            </w:r>
            <w:r>
              <w:rPr>
                <w:rFonts w:ascii="Arial" w:eastAsia="Arial" w:hAnsi="Arial" w:cs="Arial"/>
                <w:sz w:val="20"/>
                <w:szCs w:val="20"/>
                <w:vertAlign w:val="superscript"/>
              </w:rPr>
              <w:t xml:space="preserve">Bb </w:t>
            </w:r>
            <w:r>
              <w:rPr>
                <w:rFonts w:ascii="Arial" w:eastAsia="Arial" w:hAnsi="Arial" w:cs="Arial"/>
                <w:sz w:val="20"/>
                <w:szCs w:val="20"/>
              </w:rPr>
              <w:t>± 1.16</w:t>
            </w:r>
          </w:p>
        </w:tc>
        <w:tc>
          <w:tcPr>
            <w:tcW w:w="2466" w:type="dxa"/>
            <w:vAlign w:val="center"/>
          </w:tcPr>
          <w:p w14:paraId="00E3FE94" w14:textId="77777777" w:rsidR="00841722" w:rsidRDefault="00CB299E">
            <w:pPr>
              <w:spacing w:before="120" w:after="120" w:line="480" w:lineRule="auto"/>
              <w:jc w:val="center"/>
              <w:rPr>
                <w:rFonts w:ascii="Arial" w:eastAsia="Arial" w:hAnsi="Arial" w:cs="Arial"/>
                <w:sz w:val="20"/>
                <w:szCs w:val="20"/>
              </w:rPr>
            </w:pPr>
            <w:bookmarkStart w:id="9" w:name="_2s8eyo1" w:colFirst="0" w:colLast="0"/>
            <w:bookmarkEnd w:id="9"/>
            <w:r>
              <w:rPr>
                <w:rFonts w:ascii="Arial" w:eastAsia="Arial" w:hAnsi="Arial" w:cs="Arial"/>
                <w:sz w:val="20"/>
                <w:szCs w:val="20"/>
              </w:rPr>
              <w:t>10.25</w:t>
            </w:r>
            <w:r>
              <w:rPr>
                <w:rFonts w:ascii="Arial" w:eastAsia="Arial" w:hAnsi="Arial" w:cs="Arial"/>
                <w:sz w:val="20"/>
                <w:szCs w:val="20"/>
                <w:vertAlign w:val="superscript"/>
              </w:rPr>
              <w:t xml:space="preserve">Bb </w:t>
            </w:r>
            <w:r>
              <w:rPr>
                <w:rFonts w:ascii="Arial" w:eastAsia="Arial" w:hAnsi="Arial" w:cs="Arial"/>
                <w:sz w:val="20"/>
                <w:szCs w:val="20"/>
              </w:rPr>
              <w:t>± 1.09</w:t>
            </w:r>
          </w:p>
        </w:tc>
        <w:tc>
          <w:tcPr>
            <w:tcW w:w="2161" w:type="dxa"/>
            <w:vAlign w:val="center"/>
          </w:tcPr>
          <w:p w14:paraId="45AA1CFA" w14:textId="77777777" w:rsidR="00841722" w:rsidRDefault="00CB299E">
            <w:pPr>
              <w:spacing w:before="120" w:after="120" w:line="480" w:lineRule="auto"/>
              <w:jc w:val="center"/>
              <w:rPr>
                <w:rFonts w:ascii="Arial" w:eastAsia="Arial" w:hAnsi="Arial" w:cs="Arial"/>
                <w:sz w:val="20"/>
                <w:szCs w:val="20"/>
              </w:rPr>
            </w:pPr>
            <w:r>
              <w:rPr>
                <w:rFonts w:ascii="Arial" w:eastAsia="Arial" w:hAnsi="Arial" w:cs="Arial"/>
                <w:sz w:val="20"/>
                <w:szCs w:val="20"/>
              </w:rPr>
              <w:t>14.63</w:t>
            </w:r>
            <w:r>
              <w:rPr>
                <w:rFonts w:ascii="Arial" w:eastAsia="Arial" w:hAnsi="Arial" w:cs="Arial"/>
                <w:sz w:val="20"/>
                <w:szCs w:val="20"/>
                <w:vertAlign w:val="superscript"/>
              </w:rPr>
              <w:t xml:space="preserve">Ab </w:t>
            </w:r>
            <w:r>
              <w:rPr>
                <w:rFonts w:ascii="Arial" w:eastAsia="Arial" w:hAnsi="Arial" w:cs="Arial"/>
                <w:sz w:val="20"/>
                <w:szCs w:val="20"/>
              </w:rPr>
              <w:t>± 0.84</w:t>
            </w:r>
          </w:p>
        </w:tc>
      </w:tr>
      <w:tr w:rsidR="00841722" w14:paraId="1C8F1F99" w14:textId="77777777">
        <w:trPr>
          <w:trHeight w:val="20"/>
          <w:jc w:val="center"/>
        </w:trPr>
        <w:tc>
          <w:tcPr>
            <w:tcW w:w="936" w:type="dxa"/>
            <w:vAlign w:val="center"/>
          </w:tcPr>
          <w:p w14:paraId="20F98300" w14:textId="77777777" w:rsidR="00841722" w:rsidRDefault="00CB299E">
            <w:pPr>
              <w:spacing w:before="120" w:after="120" w:line="480" w:lineRule="auto"/>
              <w:jc w:val="center"/>
              <w:rPr>
                <w:rFonts w:ascii="Arial" w:eastAsia="Arial" w:hAnsi="Arial" w:cs="Arial"/>
                <w:sz w:val="20"/>
                <w:szCs w:val="20"/>
              </w:rPr>
            </w:pPr>
            <w:bookmarkStart w:id="10" w:name="_17dp8vu" w:colFirst="0" w:colLast="0"/>
            <w:bookmarkEnd w:id="10"/>
            <w:r>
              <w:rPr>
                <w:rFonts w:ascii="Arial" w:eastAsia="Arial" w:hAnsi="Arial" w:cs="Arial"/>
                <w:b/>
                <w:sz w:val="20"/>
                <w:szCs w:val="20"/>
              </w:rPr>
              <w:t>G3</w:t>
            </w:r>
          </w:p>
        </w:tc>
        <w:tc>
          <w:tcPr>
            <w:tcW w:w="2555" w:type="dxa"/>
            <w:vAlign w:val="center"/>
          </w:tcPr>
          <w:p w14:paraId="1F23503F" w14:textId="77777777" w:rsidR="00841722" w:rsidRDefault="00CB299E">
            <w:pPr>
              <w:spacing w:before="120" w:after="120" w:line="480" w:lineRule="auto"/>
              <w:jc w:val="center"/>
              <w:rPr>
                <w:rFonts w:ascii="Arial" w:eastAsia="Arial" w:hAnsi="Arial" w:cs="Arial"/>
                <w:sz w:val="20"/>
                <w:szCs w:val="20"/>
              </w:rPr>
            </w:pPr>
            <w:bookmarkStart w:id="11" w:name="_3rdcrjn" w:colFirst="0" w:colLast="0"/>
            <w:bookmarkEnd w:id="11"/>
            <w:r>
              <w:rPr>
                <w:rFonts w:ascii="Arial" w:eastAsia="Arial" w:hAnsi="Arial" w:cs="Arial"/>
                <w:sz w:val="20"/>
                <w:szCs w:val="20"/>
              </w:rPr>
              <w:t>20.13</w:t>
            </w:r>
            <w:r>
              <w:rPr>
                <w:rFonts w:ascii="Arial" w:eastAsia="Arial" w:hAnsi="Arial" w:cs="Arial"/>
                <w:sz w:val="20"/>
                <w:szCs w:val="20"/>
                <w:vertAlign w:val="superscript"/>
              </w:rPr>
              <w:t xml:space="preserve">Aa </w:t>
            </w:r>
            <w:r>
              <w:rPr>
                <w:rFonts w:ascii="Arial" w:eastAsia="Arial" w:hAnsi="Arial" w:cs="Arial"/>
                <w:sz w:val="20"/>
                <w:szCs w:val="20"/>
              </w:rPr>
              <w:t>± 0.95</w:t>
            </w:r>
          </w:p>
        </w:tc>
        <w:tc>
          <w:tcPr>
            <w:tcW w:w="2466" w:type="dxa"/>
            <w:vAlign w:val="center"/>
          </w:tcPr>
          <w:p w14:paraId="28CA5209" w14:textId="77777777" w:rsidR="00841722" w:rsidRDefault="00CB299E">
            <w:pPr>
              <w:spacing w:before="120" w:after="120" w:line="480" w:lineRule="auto"/>
              <w:jc w:val="center"/>
              <w:rPr>
                <w:rFonts w:ascii="Arial" w:eastAsia="Arial" w:hAnsi="Arial" w:cs="Arial"/>
                <w:sz w:val="20"/>
                <w:szCs w:val="20"/>
              </w:rPr>
            </w:pPr>
            <w:bookmarkStart w:id="12" w:name="_26in1rg" w:colFirst="0" w:colLast="0"/>
            <w:bookmarkEnd w:id="12"/>
            <w:r>
              <w:rPr>
                <w:rFonts w:ascii="Arial" w:eastAsia="Arial" w:hAnsi="Arial" w:cs="Arial"/>
                <w:sz w:val="20"/>
                <w:szCs w:val="20"/>
              </w:rPr>
              <w:t>20.00</w:t>
            </w:r>
            <w:r>
              <w:rPr>
                <w:rFonts w:ascii="Arial" w:eastAsia="Arial" w:hAnsi="Arial" w:cs="Arial"/>
                <w:sz w:val="20"/>
                <w:szCs w:val="20"/>
                <w:vertAlign w:val="superscript"/>
              </w:rPr>
              <w:t xml:space="preserve">Aa </w:t>
            </w:r>
            <w:r>
              <w:rPr>
                <w:rFonts w:ascii="Arial" w:eastAsia="Arial" w:hAnsi="Arial" w:cs="Arial"/>
                <w:sz w:val="20"/>
                <w:szCs w:val="20"/>
              </w:rPr>
              <w:t>± 1.06</w:t>
            </w:r>
          </w:p>
        </w:tc>
        <w:tc>
          <w:tcPr>
            <w:tcW w:w="2161" w:type="dxa"/>
            <w:vAlign w:val="center"/>
          </w:tcPr>
          <w:p w14:paraId="74B9F23E" w14:textId="77777777" w:rsidR="00841722" w:rsidRDefault="00CB299E">
            <w:pPr>
              <w:tabs>
                <w:tab w:val="left" w:pos="600"/>
              </w:tabs>
              <w:spacing w:before="120" w:after="120" w:line="480" w:lineRule="auto"/>
              <w:jc w:val="center"/>
              <w:rPr>
                <w:rFonts w:ascii="Arial" w:eastAsia="Arial" w:hAnsi="Arial" w:cs="Arial"/>
                <w:sz w:val="20"/>
                <w:szCs w:val="20"/>
              </w:rPr>
            </w:pPr>
            <w:r>
              <w:rPr>
                <w:rFonts w:ascii="Arial" w:eastAsia="Arial" w:hAnsi="Arial" w:cs="Arial"/>
                <w:sz w:val="20"/>
                <w:szCs w:val="20"/>
              </w:rPr>
              <w:t>20.63</w:t>
            </w:r>
            <w:r>
              <w:rPr>
                <w:rFonts w:ascii="Arial" w:eastAsia="Arial" w:hAnsi="Arial" w:cs="Arial"/>
                <w:sz w:val="20"/>
                <w:szCs w:val="20"/>
                <w:vertAlign w:val="superscript"/>
              </w:rPr>
              <w:t xml:space="preserve">Aa </w:t>
            </w:r>
            <w:r>
              <w:rPr>
                <w:rFonts w:ascii="Arial" w:eastAsia="Arial" w:hAnsi="Arial" w:cs="Arial"/>
                <w:sz w:val="20"/>
                <w:szCs w:val="20"/>
              </w:rPr>
              <w:t>± 1.26</w:t>
            </w:r>
          </w:p>
        </w:tc>
      </w:tr>
    </w:tbl>
    <w:p w14:paraId="39BBF9CA" w14:textId="77777777" w:rsidR="00841722" w:rsidRDefault="00CB299E">
      <w:pPr>
        <w:widowControl w:val="0"/>
        <w:spacing w:after="120" w:line="480" w:lineRule="auto"/>
        <w:ind w:right="227"/>
        <w:jc w:val="both"/>
        <w:rPr>
          <w:rFonts w:ascii="Arial" w:eastAsia="Arial" w:hAnsi="Arial" w:cs="Arial"/>
          <w:sz w:val="20"/>
          <w:szCs w:val="20"/>
        </w:rPr>
      </w:pPr>
      <w:r>
        <w:rPr>
          <w:rFonts w:ascii="Arial" w:eastAsia="Arial" w:hAnsi="Arial" w:cs="Arial"/>
          <w:i/>
          <w:sz w:val="20"/>
          <w:szCs w:val="20"/>
        </w:rPr>
        <w:t>Means with different superscripts between groups (lowercase)</w:t>
      </w:r>
      <w:r>
        <w:rPr>
          <w:rFonts w:ascii="Arial" w:eastAsia="Arial" w:hAnsi="Arial" w:cs="Arial"/>
          <w:i/>
          <w:sz w:val="20"/>
          <w:szCs w:val="20"/>
        </w:rPr>
        <w:t xml:space="preserve"> and between days (uppercase) differ significantly (P ≤ 0.05)</w:t>
      </w:r>
    </w:p>
    <w:p w14:paraId="7B6A7F9D" w14:textId="77777777" w:rsidR="00841722" w:rsidRDefault="00CB299E">
      <w:pPr>
        <w:spacing w:line="480" w:lineRule="auto"/>
        <w:ind w:right="-28"/>
        <w:jc w:val="both"/>
        <w:rPr>
          <w:rFonts w:ascii="Arial" w:eastAsia="Arial" w:hAnsi="Arial" w:cs="Arial"/>
          <w:color w:val="000000"/>
        </w:rPr>
      </w:pPr>
      <w:r>
        <w:rPr>
          <w:rFonts w:ascii="Arial" w:eastAsia="Arial" w:hAnsi="Arial" w:cs="Arial"/>
          <w:b/>
          <w:color w:val="000000"/>
        </w:rPr>
        <w:t xml:space="preserve">Clinical ophthalmic signs grading score </w:t>
      </w:r>
      <w:r>
        <w:rPr>
          <w:rFonts w:ascii="Arial" w:eastAsia="Arial" w:hAnsi="Arial" w:cs="Arial"/>
          <w:color w:val="000000"/>
        </w:rPr>
        <w:t xml:space="preserve">                          </w:t>
      </w:r>
    </w:p>
    <w:p w14:paraId="3FAEA3F2" w14:textId="77777777" w:rsidR="00841722" w:rsidRDefault="00CB299E">
      <w:pPr>
        <w:spacing w:line="480" w:lineRule="auto"/>
        <w:ind w:right="-28"/>
        <w:jc w:val="both"/>
        <w:rPr>
          <w:rFonts w:ascii="Arial" w:eastAsia="Arial" w:hAnsi="Arial" w:cs="Arial"/>
          <w:color w:val="000000"/>
          <w:sz w:val="20"/>
          <w:szCs w:val="20"/>
        </w:rPr>
      </w:pPr>
      <w:r>
        <w:rPr>
          <w:rFonts w:ascii="Arial" w:eastAsia="Arial" w:hAnsi="Arial" w:cs="Arial"/>
          <w:color w:val="000000"/>
          <w:sz w:val="20"/>
          <w:szCs w:val="20"/>
        </w:rPr>
        <w:t xml:space="preserve">The therapeutic response evaluation of different treatment regimen was studied on day 15 and 30 (post treatment) on the basis of </w:t>
      </w:r>
      <w:r>
        <w:rPr>
          <w:rFonts w:ascii="Arial" w:eastAsia="Arial" w:hAnsi="Arial" w:cs="Arial"/>
          <w:sz w:val="20"/>
          <w:szCs w:val="20"/>
        </w:rPr>
        <w:t xml:space="preserve">clinical-ophthalmic signs grading score conjunctivitis, ocular discharge, eye irritation, corneal opacity and pigmentation, an </w:t>
      </w:r>
      <w:r>
        <w:rPr>
          <w:rFonts w:ascii="Arial" w:eastAsia="Arial" w:hAnsi="Arial" w:cs="Arial"/>
          <w:sz w:val="20"/>
          <w:szCs w:val="20"/>
        </w:rPr>
        <w:t>overall response to treatment was assessed.</w:t>
      </w:r>
    </w:p>
    <w:p w14:paraId="29D442C6" w14:textId="77777777" w:rsidR="00841722" w:rsidRDefault="00CB299E">
      <w:pPr>
        <w:spacing w:line="480" w:lineRule="auto"/>
        <w:ind w:right="-28"/>
        <w:jc w:val="both"/>
        <w:rPr>
          <w:rFonts w:ascii="Arial" w:eastAsia="Arial" w:hAnsi="Arial" w:cs="Arial"/>
          <w:sz w:val="20"/>
          <w:szCs w:val="20"/>
        </w:rPr>
      </w:pPr>
      <w:r>
        <w:rPr>
          <w:rFonts w:ascii="Arial" w:eastAsia="Arial" w:hAnsi="Arial" w:cs="Arial"/>
          <w:sz w:val="20"/>
          <w:szCs w:val="20"/>
        </w:rPr>
        <w:t xml:space="preserve">In the clinical signs evaluated, G1 group showed </w:t>
      </w:r>
      <w:proofErr w:type="spellStart"/>
      <w:proofErr w:type="gramStart"/>
      <w:r>
        <w:rPr>
          <w:rFonts w:ascii="Arial" w:eastAsia="Arial" w:hAnsi="Arial" w:cs="Arial"/>
          <w:sz w:val="20"/>
          <w:szCs w:val="20"/>
        </w:rPr>
        <w:t>non significant</w:t>
      </w:r>
      <w:proofErr w:type="spellEnd"/>
      <w:proofErr w:type="gramEnd"/>
      <w:r>
        <w:rPr>
          <w:rFonts w:ascii="Arial" w:eastAsia="Arial" w:hAnsi="Arial" w:cs="Arial"/>
          <w:sz w:val="20"/>
          <w:szCs w:val="20"/>
        </w:rPr>
        <w:t xml:space="preserve"> (P &gt; 0.05) improvement in all individual clinical signs while G2 group showed significant improvement (p&lt;0.05) in clinical signs except corneal opa</w:t>
      </w:r>
      <w:r>
        <w:rPr>
          <w:rFonts w:ascii="Arial" w:eastAsia="Arial" w:hAnsi="Arial" w:cs="Arial"/>
          <w:sz w:val="20"/>
          <w:szCs w:val="20"/>
        </w:rPr>
        <w:t>city and pigmentation. The overall clinical ophthalmic score showed significant improvement in clinical signs in both treatment groups with no significant difference between them Table 4, 5 ,6 and 7.</w:t>
      </w:r>
    </w:p>
    <w:p w14:paraId="4F1260D3" w14:textId="77777777" w:rsidR="00841722" w:rsidRDefault="00CB299E">
      <w:pPr>
        <w:spacing w:line="480" w:lineRule="auto"/>
        <w:ind w:right="-28"/>
        <w:jc w:val="both"/>
        <w:rPr>
          <w:rFonts w:ascii="Arial" w:eastAsia="Arial" w:hAnsi="Arial" w:cs="Arial"/>
          <w:sz w:val="20"/>
          <w:szCs w:val="20"/>
        </w:rPr>
      </w:pPr>
      <w:r>
        <w:rPr>
          <w:rFonts w:ascii="Arial" w:eastAsia="Arial" w:hAnsi="Arial" w:cs="Arial"/>
          <w:color w:val="000000"/>
          <w:sz w:val="20"/>
          <w:szCs w:val="20"/>
        </w:rPr>
        <w:lastRenderedPageBreak/>
        <w:t>In view of the above study, it is concluded that Cyclosp</w:t>
      </w:r>
      <w:r>
        <w:rPr>
          <w:rFonts w:ascii="Arial" w:eastAsia="Arial" w:hAnsi="Arial" w:cs="Arial"/>
          <w:color w:val="000000"/>
          <w:sz w:val="20"/>
          <w:szCs w:val="20"/>
        </w:rPr>
        <w:t>orine is an immune-modulating medication that interferes with the activation of certain T cells. It binds with cyclophilin to form a complex that inhibits calcineurin, a phosphatase essential for activating the NF-AT (Nuclear Factor of Activated T-cells) t</w:t>
      </w:r>
      <w:r>
        <w:rPr>
          <w:rFonts w:ascii="Arial" w:eastAsia="Arial" w:hAnsi="Arial" w:cs="Arial"/>
          <w:color w:val="000000"/>
          <w:sz w:val="20"/>
          <w:szCs w:val="20"/>
        </w:rPr>
        <w:t xml:space="preserve">ranscription factor. This blockage prevents the transcription of interleukin-2 (IL-2) and other cytokines, reducing inflammation and boosting tear production. The present study was similar to the findings of Morgan and Abrams (1991), Olivero </w:t>
      </w:r>
      <w:r>
        <w:rPr>
          <w:rFonts w:ascii="Arial" w:eastAsia="Arial" w:hAnsi="Arial" w:cs="Arial"/>
          <w:i/>
          <w:color w:val="000000"/>
          <w:sz w:val="20"/>
          <w:szCs w:val="20"/>
        </w:rPr>
        <w:t>et al</w:t>
      </w:r>
      <w:r>
        <w:rPr>
          <w:rFonts w:ascii="Arial" w:eastAsia="Arial" w:hAnsi="Arial" w:cs="Arial"/>
          <w:color w:val="000000"/>
          <w:sz w:val="20"/>
          <w:szCs w:val="20"/>
        </w:rPr>
        <w:t>. (1991),</w:t>
      </w:r>
      <w:r>
        <w:rPr>
          <w:rFonts w:ascii="Arial" w:eastAsia="Arial" w:hAnsi="Arial" w:cs="Arial"/>
          <w:color w:val="000000"/>
          <w:sz w:val="20"/>
          <w:szCs w:val="20"/>
        </w:rPr>
        <w:t xml:space="preserve"> </w:t>
      </w:r>
      <w:r>
        <w:rPr>
          <w:rFonts w:ascii="Arial" w:eastAsia="Arial" w:hAnsi="Arial" w:cs="Arial"/>
          <w:sz w:val="20"/>
          <w:szCs w:val="20"/>
        </w:rPr>
        <w:t xml:space="preserve">Hendrix </w:t>
      </w:r>
      <w:r>
        <w:rPr>
          <w:rFonts w:ascii="Arial" w:eastAsia="Arial" w:hAnsi="Arial" w:cs="Arial"/>
          <w:i/>
          <w:sz w:val="20"/>
          <w:szCs w:val="20"/>
        </w:rPr>
        <w:t>et al</w:t>
      </w:r>
      <w:r>
        <w:rPr>
          <w:rFonts w:ascii="Arial" w:eastAsia="Arial" w:hAnsi="Arial" w:cs="Arial"/>
          <w:sz w:val="20"/>
          <w:szCs w:val="20"/>
        </w:rPr>
        <w:t xml:space="preserve">. (2011), John </w:t>
      </w:r>
      <w:r>
        <w:rPr>
          <w:rFonts w:ascii="Arial" w:eastAsia="Arial" w:hAnsi="Arial" w:cs="Arial"/>
          <w:i/>
          <w:sz w:val="20"/>
          <w:szCs w:val="20"/>
        </w:rPr>
        <w:t>et al</w:t>
      </w:r>
      <w:r>
        <w:rPr>
          <w:rFonts w:ascii="Arial" w:eastAsia="Arial" w:hAnsi="Arial" w:cs="Arial"/>
          <w:sz w:val="20"/>
          <w:szCs w:val="20"/>
        </w:rPr>
        <w:t xml:space="preserve">. (2018), </w:t>
      </w:r>
      <w:proofErr w:type="spellStart"/>
      <w:r>
        <w:rPr>
          <w:rFonts w:ascii="Arial" w:eastAsia="Arial" w:hAnsi="Arial" w:cs="Arial"/>
          <w:color w:val="000000"/>
          <w:sz w:val="20"/>
          <w:szCs w:val="20"/>
        </w:rPr>
        <w:t>Voitena</w:t>
      </w:r>
      <w:proofErr w:type="spellEnd"/>
      <w:r>
        <w:rPr>
          <w:rFonts w:ascii="Arial" w:eastAsia="Arial" w:hAnsi="Arial" w:cs="Arial"/>
          <w:color w:val="000000"/>
          <w:sz w:val="20"/>
          <w:szCs w:val="20"/>
        </w:rPr>
        <w:t xml:space="preserve"> </w:t>
      </w:r>
      <w:r>
        <w:rPr>
          <w:rFonts w:ascii="Arial" w:eastAsia="Arial" w:hAnsi="Arial" w:cs="Arial"/>
          <w:i/>
          <w:color w:val="000000"/>
          <w:sz w:val="20"/>
          <w:szCs w:val="20"/>
        </w:rPr>
        <w:t>et al</w:t>
      </w:r>
      <w:r>
        <w:rPr>
          <w:rFonts w:ascii="Arial" w:eastAsia="Arial" w:hAnsi="Arial" w:cs="Arial"/>
          <w:color w:val="000000"/>
          <w:sz w:val="20"/>
          <w:szCs w:val="20"/>
        </w:rPr>
        <w:t>. (2018)</w:t>
      </w:r>
      <w:r>
        <w:rPr>
          <w:rFonts w:ascii="Arial" w:eastAsia="Arial" w:hAnsi="Arial" w:cs="Arial"/>
          <w:sz w:val="20"/>
          <w:szCs w:val="20"/>
        </w:rPr>
        <w:t xml:space="preserve"> and </w:t>
      </w:r>
      <w:proofErr w:type="spellStart"/>
      <w:r>
        <w:rPr>
          <w:rFonts w:ascii="Arial" w:eastAsia="Arial" w:hAnsi="Arial" w:cs="Arial"/>
          <w:sz w:val="20"/>
          <w:szCs w:val="20"/>
        </w:rPr>
        <w:t>Radziejewski</w:t>
      </w:r>
      <w:proofErr w:type="spellEnd"/>
      <w:r>
        <w:rPr>
          <w:rFonts w:ascii="Arial" w:eastAsia="Arial" w:hAnsi="Arial" w:cs="Arial"/>
          <w:sz w:val="20"/>
          <w:szCs w:val="20"/>
        </w:rPr>
        <w:t xml:space="preserve"> and </w:t>
      </w:r>
      <w:proofErr w:type="spellStart"/>
      <w:r>
        <w:rPr>
          <w:rFonts w:ascii="Arial" w:eastAsia="Arial" w:hAnsi="Arial" w:cs="Arial"/>
          <w:sz w:val="20"/>
          <w:szCs w:val="20"/>
        </w:rPr>
        <w:t>Balicki</w:t>
      </w:r>
      <w:proofErr w:type="spellEnd"/>
      <w:r>
        <w:rPr>
          <w:rFonts w:ascii="Arial" w:eastAsia="Arial" w:hAnsi="Arial" w:cs="Arial"/>
          <w:sz w:val="20"/>
          <w:szCs w:val="20"/>
        </w:rPr>
        <w:t xml:space="preserve"> (2016), who reported </w:t>
      </w:r>
      <w:proofErr w:type="spellStart"/>
      <w:proofErr w:type="gramStart"/>
      <w:r>
        <w:rPr>
          <w:rFonts w:ascii="Arial" w:eastAsia="Arial" w:hAnsi="Arial" w:cs="Arial"/>
          <w:sz w:val="20"/>
          <w:szCs w:val="20"/>
        </w:rPr>
        <w:t>non significant</w:t>
      </w:r>
      <w:proofErr w:type="spellEnd"/>
      <w:proofErr w:type="gramEnd"/>
      <w:r>
        <w:rPr>
          <w:rFonts w:ascii="Arial" w:eastAsia="Arial" w:hAnsi="Arial" w:cs="Arial"/>
          <w:sz w:val="20"/>
          <w:szCs w:val="20"/>
        </w:rPr>
        <w:t xml:space="preserve"> clinical improvement with Cyclosporine within one month of treatment. In contrast, </w:t>
      </w:r>
      <w:proofErr w:type="spellStart"/>
      <w:r>
        <w:rPr>
          <w:rFonts w:ascii="Arial" w:eastAsia="Arial" w:hAnsi="Arial" w:cs="Arial"/>
          <w:sz w:val="20"/>
          <w:szCs w:val="20"/>
        </w:rPr>
        <w:t>Ofri</w:t>
      </w:r>
      <w:proofErr w:type="spellEnd"/>
      <w:r>
        <w:rPr>
          <w:rFonts w:ascii="Arial" w:eastAsia="Arial" w:hAnsi="Arial" w:cs="Arial"/>
          <w:sz w:val="20"/>
          <w:szCs w:val="20"/>
        </w:rPr>
        <w:t xml:space="preserve"> </w:t>
      </w:r>
      <w:r>
        <w:rPr>
          <w:rFonts w:ascii="Arial" w:eastAsia="Arial" w:hAnsi="Arial" w:cs="Arial"/>
          <w:i/>
          <w:sz w:val="20"/>
          <w:szCs w:val="20"/>
        </w:rPr>
        <w:t>et al</w:t>
      </w:r>
      <w:r>
        <w:rPr>
          <w:rFonts w:ascii="Arial" w:eastAsia="Arial" w:hAnsi="Arial" w:cs="Arial"/>
          <w:sz w:val="20"/>
          <w:szCs w:val="20"/>
        </w:rPr>
        <w:t>. (2009) observed significant r</w:t>
      </w:r>
      <w:r>
        <w:rPr>
          <w:rFonts w:ascii="Arial" w:eastAsia="Arial" w:hAnsi="Arial" w:cs="Arial"/>
          <w:sz w:val="20"/>
          <w:szCs w:val="20"/>
        </w:rPr>
        <w:t>esults after two weeks of treatment with 0.2% Cyclosporine when administered three times a day.</w:t>
      </w:r>
    </w:p>
    <w:p w14:paraId="0F194FA7" w14:textId="77777777" w:rsidR="00841722" w:rsidRDefault="00CB299E">
      <w:pPr>
        <w:spacing w:after="120" w:line="480" w:lineRule="auto"/>
        <w:ind w:right="-29"/>
        <w:jc w:val="both"/>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Tacrolimus is a macrolide antibiotic and topical calcineurin inhibitor that suppresses the transcription of pro-inflammatory cytokine genes</w:t>
      </w:r>
      <w:r>
        <w:rPr>
          <w:rFonts w:ascii="Arial" w:eastAsia="Arial" w:hAnsi="Arial" w:cs="Arial"/>
          <w:color w:val="000000"/>
          <w:sz w:val="20"/>
          <w:szCs w:val="20"/>
        </w:rPr>
        <w:t xml:space="preserve"> by targeting the T-cell activation process. It has a pharmacological profile similar to Cyclosporine but is considered more potent, achieving comparable or superior results at lower concentrations. The present study was similar to the findings of </w:t>
      </w:r>
      <w:proofErr w:type="spellStart"/>
      <w:r>
        <w:rPr>
          <w:rFonts w:ascii="Arial" w:eastAsia="Arial" w:hAnsi="Arial" w:cs="Arial"/>
          <w:sz w:val="20"/>
          <w:szCs w:val="20"/>
        </w:rPr>
        <w:t>Berdoula</w:t>
      </w:r>
      <w:r>
        <w:rPr>
          <w:rFonts w:ascii="Arial" w:eastAsia="Arial" w:hAnsi="Arial" w:cs="Arial"/>
          <w:sz w:val="20"/>
          <w:szCs w:val="20"/>
        </w:rPr>
        <w:t>y</w:t>
      </w:r>
      <w:proofErr w:type="spellEnd"/>
      <w:r>
        <w:rPr>
          <w:rFonts w:ascii="Arial" w:eastAsia="Arial" w:hAnsi="Arial" w:cs="Arial"/>
          <w:sz w:val="20"/>
          <w:szCs w:val="20"/>
        </w:rPr>
        <w:t xml:space="preserve"> </w:t>
      </w:r>
      <w:r>
        <w:rPr>
          <w:rFonts w:ascii="Arial" w:eastAsia="Arial" w:hAnsi="Arial" w:cs="Arial"/>
          <w:i/>
          <w:sz w:val="20"/>
          <w:szCs w:val="20"/>
        </w:rPr>
        <w:t>et al</w:t>
      </w:r>
      <w:r>
        <w:rPr>
          <w:rFonts w:ascii="Arial" w:eastAsia="Arial" w:hAnsi="Arial" w:cs="Arial"/>
          <w:sz w:val="20"/>
          <w:szCs w:val="20"/>
        </w:rPr>
        <w:t xml:space="preserve">. (2005), </w:t>
      </w:r>
      <w:proofErr w:type="spellStart"/>
      <w:r>
        <w:rPr>
          <w:rFonts w:ascii="Arial" w:eastAsia="Arial" w:hAnsi="Arial" w:cs="Arial"/>
          <w:sz w:val="20"/>
          <w:szCs w:val="20"/>
        </w:rPr>
        <w:t>Radziejewski</w:t>
      </w:r>
      <w:proofErr w:type="spellEnd"/>
      <w:r>
        <w:rPr>
          <w:rFonts w:ascii="Arial" w:eastAsia="Arial" w:hAnsi="Arial" w:cs="Arial"/>
          <w:sz w:val="20"/>
          <w:szCs w:val="20"/>
        </w:rPr>
        <w:t xml:space="preserve"> and </w:t>
      </w:r>
      <w:proofErr w:type="spellStart"/>
      <w:r>
        <w:rPr>
          <w:rFonts w:ascii="Arial" w:eastAsia="Arial" w:hAnsi="Arial" w:cs="Arial"/>
          <w:sz w:val="20"/>
          <w:szCs w:val="20"/>
        </w:rPr>
        <w:t>Balicki</w:t>
      </w:r>
      <w:proofErr w:type="spellEnd"/>
      <w:r>
        <w:rPr>
          <w:rFonts w:ascii="Arial" w:eastAsia="Arial" w:hAnsi="Arial" w:cs="Arial"/>
          <w:sz w:val="20"/>
          <w:szCs w:val="20"/>
        </w:rPr>
        <w:t xml:space="preserve"> (2016), John </w:t>
      </w:r>
      <w:r>
        <w:rPr>
          <w:rFonts w:ascii="Arial" w:eastAsia="Arial" w:hAnsi="Arial" w:cs="Arial"/>
          <w:i/>
          <w:sz w:val="20"/>
          <w:szCs w:val="20"/>
        </w:rPr>
        <w:t>et al</w:t>
      </w:r>
      <w:r>
        <w:rPr>
          <w:rFonts w:ascii="Arial" w:eastAsia="Arial" w:hAnsi="Arial" w:cs="Arial"/>
          <w:sz w:val="20"/>
          <w:szCs w:val="20"/>
        </w:rPr>
        <w:t xml:space="preserve">. (2018), Silva </w:t>
      </w:r>
      <w:r>
        <w:rPr>
          <w:rFonts w:ascii="Arial" w:eastAsia="Arial" w:hAnsi="Arial" w:cs="Arial"/>
          <w:i/>
          <w:sz w:val="20"/>
          <w:szCs w:val="20"/>
        </w:rPr>
        <w:t>et al</w:t>
      </w:r>
      <w:r>
        <w:rPr>
          <w:rFonts w:ascii="Arial" w:eastAsia="Arial" w:hAnsi="Arial" w:cs="Arial"/>
          <w:sz w:val="20"/>
          <w:szCs w:val="20"/>
        </w:rPr>
        <w:t xml:space="preserve">. (2018), </w:t>
      </w:r>
      <w:proofErr w:type="spellStart"/>
      <w:r>
        <w:rPr>
          <w:rFonts w:ascii="Arial" w:eastAsia="Arial" w:hAnsi="Arial" w:cs="Arial"/>
          <w:color w:val="000000"/>
          <w:sz w:val="20"/>
          <w:szCs w:val="20"/>
        </w:rPr>
        <w:t>Voitena</w:t>
      </w:r>
      <w:proofErr w:type="spellEnd"/>
      <w:r>
        <w:rPr>
          <w:rFonts w:ascii="Arial" w:eastAsia="Arial" w:hAnsi="Arial" w:cs="Arial"/>
          <w:color w:val="000000"/>
          <w:sz w:val="20"/>
          <w:szCs w:val="20"/>
        </w:rPr>
        <w:t xml:space="preserve"> </w:t>
      </w:r>
      <w:r>
        <w:rPr>
          <w:rFonts w:ascii="Arial" w:eastAsia="Arial" w:hAnsi="Arial" w:cs="Arial"/>
          <w:i/>
          <w:color w:val="000000"/>
          <w:sz w:val="20"/>
          <w:szCs w:val="20"/>
        </w:rPr>
        <w:t>et al</w:t>
      </w:r>
      <w:r>
        <w:rPr>
          <w:rFonts w:ascii="Arial" w:eastAsia="Arial" w:hAnsi="Arial" w:cs="Arial"/>
          <w:color w:val="000000"/>
          <w:sz w:val="20"/>
          <w:szCs w:val="20"/>
        </w:rPr>
        <w:t>. (2018)</w:t>
      </w:r>
      <w:r>
        <w:rPr>
          <w:rFonts w:ascii="Arial" w:eastAsia="Arial" w:hAnsi="Arial" w:cs="Arial"/>
          <w:sz w:val="20"/>
          <w:szCs w:val="20"/>
        </w:rPr>
        <w:t xml:space="preserve">, </w:t>
      </w:r>
      <w:r>
        <w:rPr>
          <w:rFonts w:ascii="Arial" w:eastAsia="Arial" w:hAnsi="Arial" w:cs="Arial"/>
          <w:color w:val="000000"/>
          <w:sz w:val="20"/>
          <w:szCs w:val="20"/>
        </w:rPr>
        <w:t xml:space="preserve">Oliveira </w:t>
      </w:r>
      <w:r>
        <w:rPr>
          <w:rFonts w:ascii="Arial" w:eastAsia="Arial" w:hAnsi="Arial" w:cs="Arial"/>
          <w:i/>
          <w:color w:val="000000"/>
          <w:sz w:val="20"/>
          <w:szCs w:val="20"/>
        </w:rPr>
        <w:t>et al</w:t>
      </w:r>
      <w:r>
        <w:rPr>
          <w:rFonts w:ascii="Arial" w:eastAsia="Arial" w:hAnsi="Arial" w:cs="Arial"/>
          <w:color w:val="000000"/>
          <w:sz w:val="20"/>
          <w:szCs w:val="20"/>
        </w:rPr>
        <w:t xml:space="preserve">. (2019) and </w:t>
      </w:r>
      <w:proofErr w:type="spellStart"/>
      <w:r>
        <w:rPr>
          <w:rFonts w:ascii="Arial" w:eastAsia="Arial" w:hAnsi="Arial" w:cs="Arial"/>
          <w:color w:val="222222"/>
          <w:sz w:val="20"/>
          <w:szCs w:val="20"/>
          <w:highlight w:val="white"/>
        </w:rPr>
        <w:t>Estanho</w:t>
      </w:r>
      <w:proofErr w:type="spellEnd"/>
      <w:r>
        <w:rPr>
          <w:rFonts w:ascii="Arial" w:eastAsia="Arial" w:hAnsi="Arial" w:cs="Arial"/>
          <w:sz w:val="20"/>
          <w:szCs w:val="20"/>
        </w:rPr>
        <w:t xml:space="preserve"> </w:t>
      </w:r>
      <w:r>
        <w:rPr>
          <w:rFonts w:ascii="Arial" w:eastAsia="Arial" w:hAnsi="Arial" w:cs="Arial"/>
          <w:i/>
          <w:sz w:val="20"/>
          <w:szCs w:val="20"/>
        </w:rPr>
        <w:t>et al</w:t>
      </w:r>
      <w:r>
        <w:rPr>
          <w:rFonts w:ascii="Arial" w:eastAsia="Arial" w:hAnsi="Arial" w:cs="Arial"/>
          <w:sz w:val="20"/>
          <w:szCs w:val="20"/>
        </w:rPr>
        <w:t xml:space="preserve">. (2023) who reported significant clinical improvement with Tacrolimus by the end </w:t>
      </w:r>
      <w:proofErr w:type="gramStart"/>
      <w:r>
        <w:rPr>
          <w:rFonts w:ascii="Arial" w:eastAsia="Arial" w:hAnsi="Arial" w:cs="Arial"/>
          <w:sz w:val="20"/>
          <w:szCs w:val="20"/>
        </w:rPr>
        <w:t>of  one</w:t>
      </w:r>
      <w:proofErr w:type="gramEnd"/>
      <w:r>
        <w:rPr>
          <w:rFonts w:ascii="Arial" w:eastAsia="Arial" w:hAnsi="Arial" w:cs="Arial"/>
          <w:sz w:val="20"/>
          <w:szCs w:val="20"/>
        </w:rPr>
        <w:t xml:space="preserve"> month of tre</w:t>
      </w:r>
      <w:r>
        <w:rPr>
          <w:rFonts w:ascii="Arial" w:eastAsia="Arial" w:hAnsi="Arial" w:cs="Arial"/>
          <w:sz w:val="20"/>
          <w:szCs w:val="20"/>
        </w:rPr>
        <w:t>atment.</w:t>
      </w:r>
      <w:r>
        <w:rPr>
          <w:rFonts w:ascii="Arial" w:eastAsia="Arial" w:hAnsi="Arial" w:cs="Arial"/>
          <w:color w:val="000000"/>
          <w:sz w:val="20"/>
          <w:szCs w:val="20"/>
        </w:rPr>
        <w:t xml:space="preserve"> However, in contrast, Hendrix </w:t>
      </w:r>
      <w:r>
        <w:rPr>
          <w:rFonts w:ascii="Arial" w:eastAsia="Arial" w:hAnsi="Arial" w:cs="Arial"/>
          <w:i/>
          <w:color w:val="000000"/>
          <w:sz w:val="20"/>
          <w:szCs w:val="20"/>
        </w:rPr>
        <w:t>et al</w:t>
      </w:r>
      <w:r>
        <w:rPr>
          <w:rFonts w:ascii="Arial" w:eastAsia="Arial" w:hAnsi="Arial" w:cs="Arial"/>
          <w:color w:val="000000"/>
          <w:sz w:val="20"/>
          <w:szCs w:val="20"/>
        </w:rPr>
        <w:t>. (2011) reported non-significant clinical improvement after 12 weeks of treatments with 0.03% Tacrolimus. A significant clinical improvement in corneal pigmentation was not observed, even treated with Tacrolimus,</w:t>
      </w:r>
      <w:r>
        <w:rPr>
          <w:rFonts w:ascii="Arial" w:eastAsia="Arial" w:hAnsi="Arial" w:cs="Arial"/>
          <w:color w:val="000000"/>
          <w:sz w:val="20"/>
          <w:szCs w:val="20"/>
        </w:rPr>
        <w:t xml:space="preserve"> in which amelioration of conjunctivitis, ocular discharge and eye irritation was seen. This may be explained by the short duration of the treatment (only 30 days).</w:t>
      </w:r>
    </w:p>
    <w:p w14:paraId="59117AB4" w14:textId="77777777" w:rsidR="00841722" w:rsidRDefault="00CB299E">
      <w:pPr>
        <w:spacing w:after="120" w:line="480" w:lineRule="auto"/>
        <w:ind w:right="-28"/>
        <w:jc w:val="both"/>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Within each group, the decrease in overall clinical ophthalmic gra</w:t>
      </w:r>
      <w:r>
        <w:rPr>
          <w:rFonts w:ascii="Arial" w:eastAsia="Arial" w:hAnsi="Arial" w:cs="Arial"/>
          <w:color w:val="000000"/>
          <w:sz w:val="20"/>
          <w:szCs w:val="20"/>
        </w:rPr>
        <w:t>ding scores over time was statistically significant indicating substantial improvement in ophthalmic parameters. Both treatments i.e., Cyclosporine and Tacrolimus were effective, but notably a more pronounced therapeutic response was observed in G2 (Tacrol</w:t>
      </w:r>
      <w:r>
        <w:rPr>
          <w:rFonts w:ascii="Arial" w:eastAsia="Arial" w:hAnsi="Arial" w:cs="Arial"/>
          <w:color w:val="000000"/>
          <w:sz w:val="20"/>
          <w:szCs w:val="20"/>
        </w:rPr>
        <w:t xml:space="preserve">imus) by the end of study. </w:t>
      </w:r>
    </w:p>
    <w:p w14:paraId="0E9D3EB5" w14:textId="77777777" w:rsidR="00841722" w:rsidRDefault="00CB299E">
      <w:pPr>
        <w:spacing w:line="480" w:lineRule="auto"/>
        <w:ind w:right="-28"/>
        <w:jc w:val="both"/>
        <w:rPr>
          <w:rFonts w:ascii="Arial" w:eastAsia="Arial" w:hAnsi="Arial" w:cs="Arial"/>
          <w:color w:val="000000"/>
          <w:sz w:val="20"/>
          <w:szCs w:val="20"/>
        </w:rPr>
      </w:pPr>
      <w:r>
        <w:rPr>
          <w:rFonts w:ascii="Arial" w:eastAsia="Arial" w:hAnsi="Arial" w:cs="Arial"/>
          <w:sz w:val="20"/>
          <w:szCs w:val="20"/>
        </w:rPr>
        <w:t>The results of this small, short term study support that tacrolimus and cyclosporine are potentially successful in increasing tear production and improvement in clinical signs,</w:t>
      </w:r>
      <w:r>
        <w:rPr>
          <w:rFonts w:ascii="Arial" w:eastAsia="Arial" w:hAnsi="Arial" w:cs="Arial"/>
          <w:color w:val="000000"/>
          <w:sz w:val="20"/>
          <w:szCs w:val="20"/>
        </w:rPr>
        <w:t xml:space="preserve"> but notably a more pronounced therapeutic response was observed in G2 (Tacrolimus) by the end of study. </w:t>
      </w:r>
    </w:p>
    <w:p w14:paraId="417B6E23" w14:textId="77777777" w:rsidR="00841722" w:rsidRDefault="00CB299E">
      <w:pPr>
        <w:widowControl w:val="0"/>
        <w:spacing w:after="120" w:line="480" w:lineRule="auto"/>
        <w:ind w:left="1260" w:right="-28" w:hanging="1260"/>
        <w:jc w:val="both"/>
        <w:rPr>
          <w:rFonts w:ascii="Arial" w:eastAsia="Arial" w:hAnsi="Arial" w:cs="Arial"/>
          <w:sz w:val="20"/>
          <w:szCs w:val="20"/>
        </w:rPr>
      </w:pPr>
      <w:r>
        <w:rPr>
          <w:rFonts w:ascii="Arial" w:eastAsia="Arial" w:hAnsi="Arial" w:cs="Arial"/>
          <w:b/>
          <w:color w:val="000000"/>
          <w:sz w:val="20"/>
          <w:szCs w:val="20"/>
        </w:rPr>
        <w:t>Table 4:</w:t>
      </w:r>
      <w:r>
        <w:rPr>
          <w:rFonts w:ascii="Arial" w:eastAsia="Arial" w:hAnsi="Arial" w:cs="Arial"/>
          <w:b/>
          <w:color w:val="000000"/>
          <w:sz w:val="20"/>
          <w:szCs w:val="20"/>
        </w:rPr>
        <w:tab/>
        <w:t xml:space="preserve">Mean </w:t>
      </w:r>
      <w:r>
        <w:rPr>
          <w:rFonts w:ascii="Arial" w:eastAsia="Arial" w:hAnsi="Arial" w:cs="Arial"/>
          <w:b/>
          <w:sz w:val="20"/>
          <w:szCs w:val="20"/>
        </w:rPr>
        <w:t xml:space="preserve">conjunctivitis </w:t>
      </w:r>
      <w:r>
        <w:rPr>
          <w:rFonts w:ascii="Arial" w:eastAsia="Arial" w:hAnsi="Arial" w:cs="Arial"/>
          <w:b/>
          <w:color w:val="000000"/>
          <w:sz w:val="20"/>
          <w:szCs w:val="20"/>
        </w:rPr>
        <w:t xml:space="preserve">score in dogs of different treatment groups </w:t>
      </w:r>
      <w:r>
        <w:rPr>
          <w:rFonts w:ascii="Arial" w:eastAsia="Arial" w:hAnsi="Arial" w:cs="Arial"/>
          <w:b/>
          <w:sz w:val="20"/>
          <w:szCs w:val="20"/>
        </w:rPr>
        <w:t>at different time intervals</w:t>
      </w:r>
    </w:p>
    <w:tbl>
      <w:tblPr>
        <w:tblStyle w:val="a2"/>
        <w:tblW w:w="8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4"/>
        <w:gridCol w:w="1643"/>
        <w:gridCol w:w="1514"/>
        <w:gridCol w:w="1694"/>
        <w:gridCol w:w="1134"/>
        <w:gridCol w:w="1343"/>
      </w:tblGrid>
      <w:tr w:rsidR="00841722" w14:paraId="395092B2" w14:textId="77777777">
        <w:trPr>
          <w:trHeight w:val="19"/>
          <w:jc w:val="center"/>
        </w:trPr>
        <w:tc>
          <w:tcPr>
            <w:tcW w:w="8842" w:type="dxa"/>
            <w:gridSpan w:val="6"/>
            <w:vAlign w:val="center"/>
          </w:tcPr>
          <w:p w14:paraId="373CFA06"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lastRenderedPageBreak/>
              <w:t>Conjunctivitis score (Mean ± SE)</w:t>
            </w:r>
          </w:p>
        </w:tc>
      </w:tr>
      <w:tr w:rsidR="00841722" w14:paraId="5DA8C71F" w14:textId="77777777">
        <w:trPr>
          <w:trHeight w:val="19"/>
          <w:jc w:val="center"/>
        </w:trPr>
        <w:tc>
          <w:tcPr>
            <w:tcW w:w="1514" w:type="dxa"/>
            <w:vAlign w:val="center"/>
          </w:tcPr>
          <w:p w14:paraId="63187A5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Group</w:t>
            </w:r>
          </w:p>
        </w:tc>
        <w:tc>
          <w:tcPr>
            <w:tcW w:w="1643" w:type="dxa"/>
            <w:vAlign w:val="center"/>
          </w:tcPr>
          <w:p w14:paraId="3D199CD1"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Day 0</w:t>
            </w:r>
          </w:p>
        </w:tc>
        <w:tc>
          <w:tcPr>
            <w:tcW w:w="1514" w:type="dxa"/>
            <w:vAlign w:val="center"/>
          </w:tcPr>
          <w:p w14:paraId="1AA1CF86"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Day</w:t>
            </w:r>
            <w:r>
              <w:rPr>
                <w:rFonts w:ascii="Arial" w:eastAsia="Arial" w:hAnsi="Arial" w:cs="Arial"/>
                <w:b/>
                <w:sz w:val="20"/>
                <w:szCs w:val="20"/>
              </w:rPr>
              <w:t xml:space="preserve"> 15</w:t>
            </w:r>
          </w:p>
        </w:tc>
        <w:tc>
          <w:tcPr>
            <w:tcW w:w="1694" w:type="dxa"/>
            <w:vAlign w:val="center"/>
          </w:tcPr>
          <w:p w14:paraId="4CA31A1A"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Day 30</w:t>
            </w:r>
          </w:p>
        </w:tc>
        <w:tc>
          <w:tcPr>
            <w:tcW w:w="1134" w:type="dxa"/>
            <w:vAlign w:val="center"/>
          </w:tcPr>
          <w:p w14:paraId="282D29CB"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K value</w:t>
            </w:r>
          </w:p>
        </w:tc>
        <w:tc>
          <w:tcPr>
            <w:tcW w:w="1343" w:type="dxa"/>
            <w:vAlign w:val="center"/>
          </w:tcPr>
          <w:p w14:paraId="67A91C1F"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i/>
                <w:sz w:val="20"/>
                <w:szCs w:val="20"/>
              </w:rPr>
              <w:t>P</w:t>
            </w:r>
            <w:r>
              <w:rPr>
                <w:rFonts w:ascii="Arial" w:eastAsia="Arial" w:hAnsi="Arial" w:cs="Arial"/>
                <w:b/>
                <w:sz w:val="20"/>
                <w:szCs w:val="20"/>
              </w:rPr>
              <w:t xml:space="preserve"> value</w:t>
            </w:r>
          </w:p>
        </w:tc>
      </w:tr>
      <w:tr w:rsidR="00841722" w14:paraId="7785BE30" w14:textId="77777777">
        <w:trPr>
          <w:trHeight w:val="19"/>
          <w:jc w:val="center"/>
        </w:trPr>
        <w:tc>
          <w:tcPr>
            <w:tcW w:w="1514" w:type="dxa"/>
            <w:vAlign w:val="center"/>
          </w:tcPr>
          <w:p w14:paraId="2EEBE5C0" w14:textId="77777777" w:rsidR="00841722" w:rsidRDefault="00CB299E">
            <w:pPr>
              <w:spacing w:before="120" w:after="120" w:line="480" w:lineRule="auto"/>
              <w:ind w:right="-29"/>
              <w:rPr>
                <w:rFonts w:ascii="Arial" w:eastAsia="Arial" w:hAnsi="Arial" w:cs="Arial"/>
                <w:sz w:val="20"/>
                <w:szCs w:val="20"/>
              </w:rPr>
            </w:pPr>
            <w:r>
              <w:rPr>
                <w:rFonts w:ascii="Arial" w:eastAsia="Arial" w:hAnsi="Arial" w:cs="Arial"/>
                <w:sz w:val="20"/>
                <w:szCs w:val="20"/>
              </w:rPr>
              <w:t>G1</w:t>
            </w:r>
          </w:p>
        </w:tc>
        <w:tc>
          <w:tcPr>
            <w:tcW w:w="1643" w:type="dxa"/>
            <w:vAlign w:val="center"/>
          </w:tcPr>
          <w:p w14:paraId="2AD9C966"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1.75 ± 0.25</w:t>
            </w:r>
          </w:p>
        </w:tc>
        <w:tc>
          <w:tcPr>
            <w:tcW w:w="1514" w:type="dxa"/>
            <w:vAlign w:val="center"/>
          </w:tcPr>
          <w:p w14:paraId="00100EF2"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1.50 ± 0.50</w:t>
            </w:r>
          </w:p>
        </w:tc>
        <w:tc>
          <w:tcPr>
            <w:tcW w:w="1694" w:type="dxa"/>
            <w:vAlign w:val="center"/>
          </w:tcPr>
          <w:p w14:paraId="031A18EF"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0.75 ± 0.25</w:t>
            </w:r>
          </w:p>
        </w:tc>
        <w:tc>
          <w:tcPr>
            <w:tcW w:w="1134" w:type="dxa"/>
            <w:vAlign w:val="center"/>
          </w:tcPr>
          <w:p w14:paraId="1B3B3316"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4.263</w:t>
            </w:r>
          </w:p>
        </w:tc>
        <w:tc>
          <w:tcPr>
            <w:tcW w:w="1343" w:type="dxa"/>
            <w:vAlign w:val="center"/>
          </w:tcPr>
          <w:p w14:paraId="4923A535"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1.119</w:t>
            </w:r>
            <w:r>
              <w:rPr>
                <w:rFonts w:ascii="Arial" w:eastAsia="Arial" w:hAnsi="Arial" w:cs="Arial"/>
                <w:sz w:val="20"/>
                <w:szCs w:val="20"/>
                <w:vertAlign w:val="superscript"/>
              </w:rPr>
              <w:t>NS</w:t>
            </w:r>
          </w:p>
        </w:tc>
      </w:tr>
      <w:tr w:rsidR="00841722" w14:paraId="1777730A" w14:textId="77777777">
        <w:trPr>
          <w:trHeight w:val="19"/>
          <w:jc w:val="center"/>
        </w:trPr>
        <w:tc>
          <w:tcPr>
            <w:tcW w:w="1514" w:type="dxa"/>
            <w:vAlign w:val="center"/>
          </w:tcPr>
          <w:p w14:paraId="60DE32C5" w14:textId="77777777" w:rsidR="00841722" w:rsidRDefault="00CB299E">
            <w:pPr>
              <w:spacing w:before="120" w:after="120" w:line="480" w:lineRule="auto"/>
              <w:ind w:right="-29"/>
              <w:rPr>
                <w:rFonts w:ascii="Arial" w:eastAsia="Arial" w:hAnsi="Arial" w:cs="Arial"/>
                <w:sz w:val="20"/>
                <w:szCs w:val="20"/>
              </w:rPr>
            </w:pPr>
            <w:r>
              <w:rPr>
                <w:rFonts w:ascii="Arial" w:eastAsia="Arial" w:hAnsi="Arial" w:cs="Arial"/>
                <w:sz w:val="20"/>
                <w:szCs w:val="20"/>
              </w:rPr>
              <w:t>G2</w:t>
            </w:r>
          </w:p>
        </w:tc>
        <w:tc>
          <w:tcPr>
            <w:tcW w:w="1643" w:type="dxa"/>
            <w:vAlign w:val="center"/>
          </w:tcPr>
          <w:p w14:paraId="474E88CE"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2.00 ± 0.40</w:t>
            </w:r>
          </w:p>
        </w:tc>
        <w:tc>
          <w:tcPr>
            <w:tcW w:w="1514" w:type="dxa"/>
            <w:vAlign w:val="center"/>
          </w:tcPr>
          <w:p w14:paraId="2AE32D7D"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1.50 ± 0.50</w:t>
            </w:r>
          </w:p>
        </w:tc>
        <w:tc>
          <w:tcPr>
            <w:tcW w:w="1694" w:type="dxa"/>
            <w:vAlign w:val="center"/>
          </w:tcPr>
          <w:p w14:paraId="6854E867"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0.50 ± 0.28</w:t>
            </w:r>
          </w:p>
        </w:tc>
        <w:tc>
          <w:tcPr>
            <w:tcW w:w="1134" w:type="dxa"/>
            <w:vAlign w:val="center"/>
          </w:tcPr>
          <w:p w14:paraId="1C64A90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4.988</w:t>
            </w:r>
          </w:p>
        </w:tc>
        <w:tc>
          <w:tcPr>
            <w:tcW w:w="1343" w:type="dxa"/>
            <w:vAlign w:val="center"/>
          </w:tcPr>
          <w:p w14:paraId="5CB499A7"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0.050*</w:t>
            </w:r>
          </w:p>
        </w:tc>
      </w:tr>
      <w:tr w:rsidR="00841722" w14:paraId="3B1AC6BC" w14:textId="77777777">
        <w:trPr>
          <w:cantSplit/>
          <w:trHeight w:val="19"/>
          <w:jc w:val="center"/>
        </w:trPr>
        <w:tc>
          <w:tcPr>
            <w:tcW w:w="1514" w:type="dxa"/>
            <w:vAlign w:val="center"/>
          </w:tcPr>
          <w:p w14:paraId="5C84F22A" w14:textId="77777777" w:rsidR="00841722" w:rsidRDefault="00CB299E">
            <w:pPr>
              <w:spacing w:before="120" w:after="120" w:line="480" w:lineRule="auto"/>
              <w:ind w:right="-29"/>
              <w:rPr>
                <w:rFonts w:ascii="Arial" w:eastAsia="Arial" w:hAnsi="Arial" w:cs="Arial"/>
                <w:sz w:val="20"/>
                <w:szCs w:val="20"/>
              </w:rPr>
            </w:pPr>
            <w:r>
              <w:rPr>
                <w:rFonts w:ascii="Arial" w:eastAsia="Arial" w:hAnsi="Arial" w:cs="Arial"/>
                <w:b/>
                <w:sz w:val="20"/>
                <w:szCs w:val="20"/>
              </w:rPr>
              <w:t>K value</w:t>
            </w:r>
          </w:p>
        </w:tc>
        <w:tc>
          <w:tcPr>
            <w:tcW w:w="1643" w:type="dxa"/>
            <w:vAlign w:val="center"/>
          </w:tcPr>
          <w:p w14:paraId="734B238D"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0.250</w:t>
            </w:r>
          </w:p>
        </w:tc>
        <w:tc>
          <w:tcPr>
            <w:tcW w:w="1514" w:type="dxa"/>
            <w:vAlign w:val="center"/>
          </w:tcPr>
          <w:p w14:paraId="249FC07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0.000</w:t>
            </w:r>
          </w:p>
        </w:tc>
        <w:tc>
          <w:tcPr>
            <w:tcW w:w="1694" w:type="dxa"/>
            <w:vAlign w:val="center"/>
          </w:tcPr>
          <w:p w14:paraId="1FA6C8BB"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0.467</w:t>
            </w:r>
          </w:p>
        </w:tc>
        <w:tc>
          <w:tcPr>
            <w:tcW w:w="2477" w:type="dxa"/>
            <w:gridSpan w:val="2"/>
            <w:vMerge w:val="restart"/>
            <w:vAlign w:val="center"/>
          </w:tcPr>
          <w:p w14:paraId="5C6F7650" w14:textId="77777777" w:rsidR="00841722" w:rsidRDefault="00841722">
            <w:pPr>
              <w:spacing w:before="120" w:after="120" w:line="480" w:lineRule="auto"/>
              <w:ind w:right="-29"/>
              <w:jc w:val="center"/>
              <w:rPr>
                <w:rFonts w:ascii="Arial" w:eastAsia="Arial" w:hAnsi="Arial" w:cs="Arial"/>
                <w:sz w:val="20"/>
                <w:szCs w:val="20"/>
              </w:rPr>
            </w:pPr>
          </w:p>
        </w:tc>
      </w:tr>
      <w:tr w:rsidR="00841722" w14:paraId="7E44DB58" w14:textId="77777777">
        <w:trPr>
          <w:cantSplit/>
          <w:trHeight w:val="19"/>
          <w:jc w:val="center"/>
        </w:trPr>
        <w:tc>
          <w:tcPr>
            <w:tcW w:w="1514" w:type="dxa"/>
            <w:vAlign w:val="center"/>
          </w:tcPr>
          <w:p w14:paraId="0D46F4D0" w14:textId="77777777" w:rsidR="00841722" w:rsidRDefault="00CB299E">
            <w:pPr>
              <w:spacing w:before="120" w:after="120" w:line="480" w:lineRule="auto"/>
              <w:ind w:right="-29"/>
              <w:rPr>
                <w:rFonts w:ascii="Arial" w:eastAsia="Arial" w:hAnsi="Arial" w:cs="Arial"/>
                <w:sz w:val="20"/>
                <w:szCs w:val="20"/>
              </w:rPr>
            </w:pPr>
            <w:r>
              <w:rPr>
                <w:rFonts w:ascii="Arial" w:eastAsia="Arial" w:hAnsi="Arial" w:cs="Arial"/>
                <w:b/>
                <w:i/>
                <w:sz w:val="20"/>
                <w:szCs w:val="20"/>
              </w:rPr>
              <w:t>P</w:t>
            </w:r>
            <w:r>
              <w:rPr>
                <w:rFonts w:ascii="Arial" w:eastAsia="Arial" w:hAnsi="Arial" w:cs="Arial"/>
                <w:b/>
                <w:sz w:val="20"/>
                <w:szCs w:val="20"/>
              </w:rPr>
              <w:t xml:space="preserve"> value</w:t>
            </w:r>
          </w:p>
        </w:tc>
        <w:tc>
          <w:tcPr>
            <w:tcW w:w="1643" w:type="dxa"/>
            <w:vAlign w:val="center"/>
          </w:tcPr>
          <w:p w14:paraId="762A9338"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0.617</w:t>
            </w:r>
            <w:r>
              <w:rPr>
                <w:rFonts w:ascii="Arial" w:eastAsia="Arial" w:hAnsi="Arial" w:cs="Arial"/>
                <w:sz w:val="20"/>
                <w:szCs w:val="20"/>
                <w:vertAlign w:val="superscript"/>
              </w:rPr>
              <w:t>NS</w:t>
            </w:r>
          </w:p>
        </w:tc>
        <w:tc>
          <w:tcPr>
            <w:tcW w:w="1514" w:type="dxa"/>
            <w:vAlign w:val="center"/>
          </w:tcPr>
          <w:p w14:paraId="5A5ECC5E"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1.000</w:t>
            </w:r>
            <w:r>
              <w:rPr>
                <w:rFonts w:ascii="Arial" w:eastAsia="Arial" w:hAnsi="Arial" w:cs="Arial"/>
                <w:sz w:val="20"/>
                <w:szCs w:val="20"/>
                <w:vertAlign w:val="superscript"/>
              </w:rPr>
              <w:t>NS</w:t>
            </w:r>
          </w:p>
        </w:tc>
        <w:tc>
          <w:tcPr>
            <w:tcW w:w="1694" w:type="dxa"/>
            <w:vAlign w:val="center"/>
          </w:tcPr>
          <w:p w14:paraId="01D32A4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0.490</w:t>
            </w:r>
            <w:r>
              <w:rPr>
                <w:rFonts w:ascii="Arial" w:eastAsia="Arial" w:hAnsi="Arial" w:cs="Arial"/>
                <w:sz w:val="20"/>
                <w:szCs w:val="20"/>
                <w:vertAlign w:val="superscript"/>
              </w:rPr>
              <w:t>NS</w:t>
            </w:r>
          </w:p>
        </w:tc>
        <w:tc>
          <w:tcPr>
            <w:tcW w:w="2477" w:type="dxa"/>
            <w:gridSpan w:val="2"/>
            <w:vMerge/>
            <w:vAlign w:val="center"/>
          </w:tcPr>
          <w:p w14:paraId="1D090656" w14:textId="77777777" w:rsidR="00841722" w:rsidRDefault="00841722">
            <w:pPr>
              <w:widowControl w:val="0"/>
              <w:pBdr>
                <w:top w:val="nil"/>
                <w:left w:val="nil"/>
                <w:bottom w:val="nil"/>
                <w:right w:val="nil"/>
                <w:between w:val="nil"/>
              </w:pBdr>
              <w:spacing w:after="0" w:line="276" w:lineRule="auto"/>
              <w:rPr>
                <w:rFonts w:ascii="Arial" w:eastAsia="Arial" w:hAnsi="Arial" w:cs="Arial"/>
                <w:sz w:val="20"/>
                <w:szCs w:val="20"/>
              </w:rPr>
            </w:pPr>
          </w:p>
        </w:tc>
      </w:tr>
    </w:tbl>
    <w:p w14:paraId="329FC877" w14:textId="77777777" w:rsidR="00841722" w:rsidRDefault="00CB299E">
      <w:pPr>
        <w:widowControl w:val="0"/>
        <w:spacing w:after="120" w:line="480" w:lineRule="auto"/>
        <w:ind w:left="1134" w:right="-28" w:hanging="1134"/>
        <w:jc w:val="both"/>
        <w:rPr>
          <w:rFonts w:ascii="Arial" w:eastAsia="Arial" w:hAnsi="Arial" w:cs="Arial"/>
          <w:color w:val="000000"/>
          <w:sz w:val="20"/>
          <w:szCs w:val="20"/>
        </w:rPr>
      </w:pPr>
      <w:r>
        <w:rPr>
          <w:rFonts w:ascii="Arial" w:eastAsia="Arial" w:hAnsi="Arial" w:cs="Arial"/>
          <w:i/>
          <w:color w:val="000000"/>
          <w:sz w:val="20"/>
          <w:szCs w:val="20"/>
        </w:rPr>
        <w:t xml:space="preserve">*Significant (P ≤ 0.05), NS- </w:t>
      </w:r>
      <w:proofErr w:type="gramStart"/>
      <w:r>
        <w:rPr>
          <w:rFonts w:ascii="Arial" w:eastAsia="Arial" w:hAnsi="Arial" w:cs="Arial"/>
          <w:i/>
          <w:color w:val="000000"/>
          <w:sz w:val="20"/>
          <w:szCs w:val="20"/>
        </w:rPr>
        <w:t>Non significant</w:t>
      </w:r>
      <w:proofErr w:type="gramEnd"/>
    </w:p>
    <w:p w14:paraId="36DA3CB2" w14:textId="77777777" w:rsidR="00841722" w:rsidRDefault="00CB299E">
      <w:pPr>
        <w:widowControl w:val="0"/>
        <w:spacing w:after="120" w:line="480" w:lineRule="auto"/>
        <w:ind w:left="1134" w:right="-28" w:hanging="1134"/>
        <w:jc w:val="both"/>
        <w:rPr>
          <w:rFonts w:ascii="Arial" w:eastAsia="Arial" w:hAnsi="Arial" w:cs="Arial"/>
          <w:sz w:val="20"/>
          <w:szCs w:val="20"/>
        </w:rPr>
      </w:pPr>
      <w:r>
        <w:rPr>
          <w:rFonts w:ascii="Arial" w:eastAsia="Arial" w:hAnsi="Arial" w:cs="Arial"/>
          <w:b/>
          <w:color w:val="000000"/>
          <w:sz w:val="20"/>
          <w:szCs w:val="20"/>
        </w:rPr>
        <w:t>Table 5:</w:t>
      </w:r>
      <w:r>
        <w:rPr>
          <w:rFonts w:ascii="Arial" w:eastAsia="Arial" w:hAnsi="Arial" w:cs="Arial"/>
          <w:b/>
          <w:color w:val="000000"/>
          <w:sz w:val="20"/>
          <w:szCs w:val="20"/>
        </w:rPr>
        <w:tab/>
        <w:t xml:space="preserve">Mean </w:t>
      </w:r>
      <w:r>
        <w:rPr>
          <w:rFonts w:ascii="Arial" w:eastAsia="Arial" w:hAnsi="Arial" w:cs="Arial"/>
          <w:b/>
          <w:sz w:val="20"/>
          <w:szCs w:val="20"/>
        </w:rPr>
        <w:t xml:space="preserve">discharge </w:t>
      </w:r>
      <w:r>
        <w:rPr>
          <w:rFonts w:ascii="Arial" w:eastAsia="Arial" w:hAnsi="Arial" w:cs="Arial"/>
          <w:b/>
          <w:color w:val="000000"/>
          <w:sz w:val="20"/>
          <w:szCs w:val="20"/>
        </w:rPr>
        <w:t xml:space="preserve">score in dogs of different treatment groups </w:t>
      </w:r>
      <w:r>
        <w:rPr>
          <w:rFonts w:ascii="Arial" w:eastAsia="Arial" w:hAnsi="Arial" w:cs="Arial"/>
          <w:b/>
          <w:sz w:val="20"/>
          <w:szCs w:val="20"/>
        </w:rPr>
        <w:t>at different time intervals</w:t>
      </w:r>
    </w:p>
    <w:tbl>
      <w:tblPr>
        <w:tblStyle w:val="a3"/>
        <w:tblW w:w="8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3"/>
        <w:gridCol w:w="1613"/>
        <w:gridCol w:w="1496"/>
        <w:gridCol w:w="1644"/>
        <w:gridCol w:w="1080"/>
        <w:gridCol w:w="1215"/>
      </w:tblGrid>
      <w:tr w:rsidR="00841722" w14:paraId="49279A7E" w14:textId="77777777">
        <w:trPr>
          <w:trHeight w:val="20"/>
          <w:jc w:val="center"/>
        </w:trPr>
        <w:tc>
          <w:tcPr>
            <w:tcW w:w="8191" w:type="dxa"/>
            <w:gridSpan w:val="6"/>
            <w:vAlign w:val="center"/>
          </w:tcPr>
          <w:p w14:paraId="6D574CBB"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Ocular discharge score (</w:t>
            </w:r>
            <w:proofErr w:type="spellStart"/>
            <w:r>
              <w:rPr>
                <w:rFonts w:ascii="Arial" w:eastAsia="Arial" w:hAnsi="Arial" w:cs="Arial"/>
                <w:b/>
                <w:sz w:val="20"/>
                <w:szCs w:val="20"/>
              </w:rPr>
              <w:t>Mean±SE</w:t>
            </w:r>
            <w:proofErr w:type="spellEnd"/>
            <w:r>
              <w:rPr>
                <w:rFonts w:ascii="Arial" w:eastAsia="Arial" w:hAnsi="Arial" w:cs="Arial"/>
                <w:b/>
                <w:sz w:val="20"/>
                <w:szCs w:val="20"/>
              </w:rPr>
              <w:t>)</w:t>
            </w:r>
          </w:p>
        </w:tc>
      </w:tr>
      <w:tr w:rsidR="00841722" w14:paraId="548F2146" w14:textId="77777777">
        <w:trPr>
          <w:trHeight w:val="20"/>
          <w:jc w:val="center"/>
        </w:trPr>
        <w:tc>
          <w:tcPr>
            <w:tcW w:w="1143" w:type="dxa"/>
            <w:vAlign w:val="center"/>
          </w:tcPr>
          <w:p w14:paraId="0F5EB7A8"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Group</w:t>
            </w:r>
          </w:p>
        </w:tc>
        <w:tc>
          <w:tcPr>
            <w:tcW w:w="1613" w:type="dxa"/>
            <w:vAlign w:val="center"/>
          </w:tcPr>
          <w:p w14:paraId="3FB86061"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Day 0</w:t>
            </w:r>
          </w:p>
        </w:tc>
        <w:tc>
          <w:tcPr>
            <w:tcW w:w="1496" w:type="dxa"/>
            <w:vAlign w:val="center"/>
          </w:tcPr>
          <w:p w14:paraId="1F56337F"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Day 15</w:t>
            </w:r>
          </w:p>
        </w:tc>
        <w:tc>
          <w:tcPr>
            <w:tcW w:w="1644" w:type="dxa"/>
            <w:vAlign w:val="center"/>
          </w:tcPr>
          <w:p w14:paraId="490242D6"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Day 30</w:t>
            </w:r>
          </w:p>
        </w:tc>
        <w:tc>
          <w:tcPr>
            <w:tcW w:w="1080" w:type="dxa"/>
            <w:vAlign w:val="center"/>
          </w:tcPr>
          <w:p w14:paraId="76CAF251"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sz w:val="20"/>
                <w:szCs w:val="20"/>
              </w:rPr>
              <w:t>K value</w:t>
            </w:r>
          </w:p>
        </w:tc>
        <w:tc>
          <w:tcPr>
            <w:tcW w:w="1215" w:type="dxa"/>
            <w:vAlign w:val="center"/>
          </w:tcPr>
          <w:p w14:paraId="62BF00D0"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b/>
                <w:i/>
                <w:sz w:val="20"/>
                <w:szCs w:val="20"/>
              </w:rPr>
              <w:t>P</w:t>
            </w:r>
            <w:r>
              <w:rPr>
                <w:rFonts w:ascii="Arial" w:eastAsia="Arial" w:hAnsi="Arial" w:cs="Arial"/>
                <w:b/>
                <w:sz w:val="20"/>
                <w:szCs w:val="20"/>
              </w:rPr>
              <w:t xml:space="preserve"> value</w:t>
            </w:r>
          </w:p>
        </w:tc>
      </w:tr>
      <w:tr w:rsidR="00841722" w14:paraId="319DAF40" w14:textId="77777777">
        <w:trPr>
          <w:trHeight w:val="20"/>
          <w:jc w:val="center"/>
        </w:trPr>
        <w:tc>
          <w:tcPr>
            <w:tcW w:w="1143" w:type="dxa"/>
            <w:vAlign w:val="center"/>
          </w:tcPr>
          <w:p w14:paraId="11FC61FC" w14:textId="77777777" w:rsidR="00841722" w:rsidRDefault="00CB299E">
            <w:pPr>
              <w:spacing w:before="120" w:after="120" w:line="480" w:lineRule="auto"/>
              <w:ind w:right="-29"/>
              <w:rPr>
                <w:rFonts w:ascii="Arial" w:eastAsia="Arial" w:hAnsi="Arial" w:cs="Arial"/>
                <w:sz w:val="20"/>
                <w:szCs w:val="20"/>
              </w:rPr>
            </w:pPr>
            <w:r>
              <w:rPr>
                <w:rFonts w:ascii="Arial" w:eastAsia="Arial" w:hAnsi="Arial" w:cs="Arial"/>
                <w:sz w:val="20"/>
                <w:szCs w:val="20"/>
              </w:rPr>
              <w:t>G1</w:t>
            </w:r>
          </w:p>
        </w:tc>
        <w:tc>
          <w:tcPr>
            <w:tcW w:w="1613" w:type="dxa"/>
            <w:vAlign w:val="center"/>
          </w:tcPr>
          <w:p w14:paraId="1A47B51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2.00 ± 0.40</w:t>
            </w:r>
          </w:p>
        </w:tc>
        <w:tc>
          <w:tcPr>
            <w:tcW w:w="1496" w:type="dxa"/>
            <w:vAlign w:val="center"/>
          </w:tcPr>
          <w:p w14:paraId="4BFA5A0A"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1.75 ± 0.62</w:t>
            </w:r>
          </w:p>
        </w:tc>
        <w:tc>
          <w:tcPr>
            <w:tcW w:w="1644" w:type="dxa"/>
            <w:vAlign w:val="center"/>
          </w:tcPr>
          <w:p w14:paraId="5E5D1E0D"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1.00 ± 0.40</w:t>
            </w:r>
          </w:p>
        </w:tc>
        <w:tc>
          <w:tcPr>
            <w:tcW w:w="1080" w:type="dxa"/>
            <w:vAlign w:val="center"/>
          </w:tcPr>
          <w:p w14:paraId="3556D28F"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2.359</w:t>
            </w:r>
          </w:p>
        </w:tc>
        <w:tc>
          <w:tcPr>
            <w:tcW w:w="1215" w:type="dxa"/>
            <w:vAlign w:val="center"/>
          </w:tcPr>
          <w:p w14:paraId="5ED878C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0.320</w:t>
            </w:r>
            <w:r>
              <w:rPr>
                <w:rFonts w:ascii="Arial" w:eastAsia="Arial" w:hAnsi="Arial" w:cs="Arial"/>
                <w:sz w:val="20"/>
                <w:szCs w:val="20"/>
                <w:vertAlign w:val="superscript"/>
              </w:rPr>
              <w:t>NS</w:t>
            </w:r>
          </w:p>
        </w:tc>
      </w:tr>
      <w:tr w:rsidR="00841722" w14:paraId="2B4713FD" w14:textId="77777777">
        <w:trPr>
          <w:trHeight w:val="20"/>
          <w:jc w:val="center"/>
        </w:trPr>
        <w:tc>
          <w:tcPr>
            <w:tcW w:w="1143" w:type="dxa"/>
            <w:vAlign w:val="center"/>
          </w:tcPr>
          <w:p w14:paraId="0958FEFF" w14:textId="77777777" w:rsidR="00841722" w:rsidRDefault="00CB299E">
            <w:pPr>
              <w:spacing w:before="120" w:after="120" w:line="480" w:lineRule="auto"/>
              <w:ind w:right="-29"/>
              <w:rPr>
                <w:rFonts w:ascii="Arial" w:eastAsia="Arial" w:hAnsi="Arial" w:cs="Arial"/>
                <w:sz w:val="20"/>
                <w:szCs w:val="20"/>
              </w:rPr>
            </w:pPr>
            <w:r>
              <w:rPr>
                <w:rFonts w:ascii="Arial" w:eastAsia="Arial" w:hAnsi="Arial" w:cs="Arial"/>
                <w:sz w:val="20"/>
                <w:szCs w:val="20"/>
              </w:rPr>
              <w:t>G2</w:t>
            </w:r>
          </w:p>
        </w:tc>
        <w:tc>
          <w:tcPr>
            <w:tcW w:w="1613" w:type="dxa"/>
            <w:vAlign w:val="center"/>
          </w:tcPr>
          <w:p w14:paraId="363B40D3"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2.00 ± 0.00</w:t>
            </w:r>
          </w:p>
        </w:tc>
        <w:tc>
          <w:tcPr>
            <w:tcW w:w="1496" w:type="dxa"/>
            <w:vAlign w:val="center"/>
          </w:tcPr>
          <w:p w14:paraId="1A329D5F"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1.50 ± 0.28</w:t>
            </w:r>
          </w:p>
        </w:tc>
        <w:tc>
          <w:tcPr>
            <w:tcW w:w="1644" w:type="dxa"/>
            <w:vAlign w:val="center"/>
          </w:tcPr>
          <w:p w14:paraId="22CBFA4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0.50 ± 0.28</w:t>
            </w:r>
          </w:p>
        </w:tc>
        <w:tc>
          <w:tcPr>
            <w:tcW w:w="1080" w:type="dxa"/>
            <w:vAlign w:val="center"/>
          </w:tcPr>
          <w:p w14:paraId="064CB16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7.883</w:t>
            </w:r>
          </w:p>
        </w:tc>
        <w:tc>
          <w:tcPr>
            <w:tcW w:w="1215" w:type="dxa"/>
            <w:vAlign w:val="center"/>
          </w:tcPr>
          <w:p w14:paraId="473DDCA9"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0.019*</w:t>
            </w:r>
          </w:p>
        </w:tc>
      </w:tr>
      <w:tr w:rsidR="00841722" w14:paraId="6EC79429" w14:textId="77777777">
        <w:trPr>
          <w:cantSplit/>
          <w:trHeight w:val="20"/>
          <w:jc w:val="center"/>
        </w:trPr>
        <w:tc>
          <w:tcPr>
            <w:tcW w:w="1143" w:type="dxa"/>
            <w:vAlign w:val="center"/>
          </w:tcPr>
          <w:p w14:paraId="60D6AD85" w14:textId="77777777" w:rsidR="00841722" w:rsidRDefault="00CB299E">
            <w:pPr>
              <w:spacing w:before="120" w:after="120" w:line="480" w:lineRule="auto"/>
              <w:ind w:right="-29"/>
              <w:rPr>
                <w:rFonts w:ascii="Arial" w:eastAsia="Arial" w:hAnsi="Arial" w:cs="Arial"/>
                <w:sz w:val="20"/>
                <w:szCs w:val="20"/>
              </w:rPr>
            </w:pPr>
            <w:r>
              <w:rPr>
                <w:rFonts w:ascii="Arial" w:eastAsia="Arial" w:hAnsi="Arial" w:cs="Arial"/>
                <w:b/>
                <w:sz w:val="20"/>
                <w:szCs w:val="20"/>
              </w:rPr>
              <w:t>K value</w:t>
            </w:r>
          </w:p>
        </w:tc>
        <w:tc>
          <w:tcPr>
            <w:tcW w:w="1613" w:type="dxa"/>
            <w:vAlign w:val="center"/>
          </w:tcPr>
          <w:p w14:paraId="26CBB4A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0.000</w:t>
            </w:r>
          </w:p>
        </w:tc>
        <w:tc>
          <w:tcPr>
            <w:tcW w:w="1496" w:type="dxa"/>
            <w:vAlign w:val="center"/>
          </w:tcPr>
          <w:p w14:paraId="6FDDAB9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0.384</w:t>
            </w:r>
          </w:p>
        </w:tc>
        <w:tc>
          <w:tcPr>
            <w:tcW w:w="1644" w:type="dxa"/>
            <w:vAlign w:val="center"/>
          </w:tcPr>
          <w:p w14:paraId="260C28DB"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0.900</w:t>
            </w:r>
          </w:p>
        </w:tc>
        <w:tc>
          <w:tcPr>
            <w:tcW w:w="2295" w:type="dxa"/>
            <w:gridSpan w:val="2"/>
            <w:vMerge w:val="restart"/>
            <w:vAlign w:val="center"/>
          </w:tcPr>
          <w:p w14:paraId="3B88162D" w14:textId="77777777" w:rsidR="00841722" w:rsidRDefault="00841722">
            <w:pPr>
              <w:spacing w:before="120" w:after="120" w:line="480" w:lineRule="auto"/>
              <w:ind w:right="-29"/>
              <w:jc w:val="center"/>
              <w:rPr>
                <w:rFonts w:ascii="Arial" w:eastAsia="Arial" w:hAnsi="Arial" w:cs="Arial"/>
                <w:sz w:val="20"/>
                <w:szCs w:val="20"/>
                <w:vertAlign w:val="superscript"/>
              </w:rPr>
            </w:pPr>
          </w:p>
        </w:tc>
      </w:tr>
      <w:tr w:rsidR="00841722" w14:paraId="7D049668" w14:textId="77777777">
        <w:trPr>
          <w:cantSplit/>
          <w:trHeight w:val="20"/>
          <w:jc w:val="center"/>
        </w:trPr>
        <w:tc>
          <w:tcPr>
            <w:tcW w:w="1143" w:type="dxa"/>
            <w:vAlign w:val="center"/>
          </w:tcPr>
          <w:p w14:paraId="798BE499" w14:textId="77777777" w:rsidR="00841722" w:rsidRDefault="00CB299E">
            <w:pPr>
              <w:spacing w:before="120" w:after="120" w:line="480" w:lineRule="auto"/>
              <w:ind w:right="-29"/>
              <w:rPr>
                <w:rFonts w:ascii="Arial" w:eastAsia="Arial" w:hAnsi="Arial" w:cs="Arial"/>
                <w:sz w:val="20"/>
                <w:szCs w:val="20"/>
              </w:rPr>
            </w:pPr>
            <w:r>
              <w:rPr>
                <w:rFonts w:ascii="Arial" w:eastAsia="Arial" w:hAnsi="Arial" w:cs="Arial"/>
                <w:b/>
                <w:i/>
                <w:sz w:val="20"/>
                <w:szCs w:val="20"/>
              </w:rPr>
              <w:t>P</w:t>
            </w:r>
            <w:r>
              <w:rPr>
                <w:rFonts w:ascii="Arial" w:eastAsia="Arial" w:hAnsi="Arial" w:cs="Arial"/>
                <w:b/>
                <w:sz w:val="20"/>
                <w:szCs w:val="20"/>
              </w:rPr>
              <w:t xml:space="preserve"> value</w:t>
            </w:r>
          </w:p>
        </w:tc>
        <w:tc>
          <w:tcPr>
            <w:tcW w:w="1613" w:type="dxa"/>
            <w:vAlign w:val="center"/>
          </w:tcPr>
          <w:p w14:paraId="06CDBD98"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1.000</w:t>
            </w:r>
            <w:r>
              <w:rPr>
                <w:rFonts w:ascii="Arial" w:eastAsia="Arial" w:hAnsi="Arial" w:cs="Arial"/>
                <w:sz w:val="20"/>
                <w:szCs w:val="20"/>
                <w:vertAlign w:val="superscript"/>
              </w:rPr>
              <w:t>NS</w:t>
            </w:r>
          </w:p>
        </w:tc>
        <w:tc>
          <w:tcPr>
            <w:tcW w:w="1496" w:type="dxa"/>
            <w:vAlign w:val="center"/>
          </w:tcPr>
          <w:p w14:paraId="1DEF1503"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0.500</w:t>
            </w:r>
            <w:r>
              <w:rPr>
                <w:rFonts w:ascii="Arial" w:eastAsia="Arial" w:hAnsi="Arial" w:cs="Arial"/>
                <w:sz w:val="20"/>
                <w:szCs w:val="20"/>
                <w:vertAlign w:val="superscript"/>
              </w:rPr>
              <w:t>NS</w:t>
            </w:r>
          </w:p>
        </w:tc>
        <w:tc>
          <w:tcPr>
            <w:tcW w:w="1644" w:type="dxa"/>
            <w:vAlign w:val="center"/>
          </w:tcPr>
          <w:p w14:paraId="7805CEAE" w14:textId="77777777" w:rsidR="00841722" w:rsidRDefault="00CB299E">
            <w:pPr>
              <w:spacing w:before="120" w:after="120" w:line="480" w:lineRule="auto"/>
              <w:ind w:right="-29"/>
              <w:jc w:val="center"/>
              <w:rPr>
                <w:rFonts w:ascii="Arial" w:eastAsia="Arial" w:hAnsi="Arial" w:cs="Arial"/>
                <w:sz w:val="20"/>
                <w:szCs w:val="20"/>
              </w:rPr>
            </w:pPr>
            <w:r>
              <w:rPr>
                <w:rFonts w:ascii="Arial" w:eastAsia="Arial" w:hAnsi="Arial" w:cs="Arial"/>
                <w:sz w:val="20"/>
                <w:szCs w:val="20"/>
              </w:rPr>
              <w:t>0.300</w:t>
            </w:r>
            <w:r>
              <w:rPr>
                <w:rFonts w:ascii="Arial" w:eastAsia="Arial" w:hAnsi="Arial" w:cs="Arial"/>
                <w:sz w:val="20"/>
                <w:szCs w:val="20"/>
                <w:vertAlign w:val="superscript"/>
              </w:rPr>
              <w:t>NS</w:t>
            </w:r>
          </w:p>
        </w:tc>
        <w:tc>
          <w:tcPr>
            <w:tcW w:w="2295" w:type="dxa"/>
            <w:gridSpan w:val="2"/>
            <w:vMerge/>
            <w:vAlign w:val="center"/>
          </w:tcPr>
          <w:p w14:paraId="11D6EB11" w14:textId="77777777" w:rsidR="00841722" w:rsidRDefault="00841722">
            <w:pPr>
              <w:widowControl w:val="0"/>
              <w:pBdr>
                <w:top w:val="nil"/>
                <w:left w:val="nil"/>
                <w:bottom w:val="nil"/>
                <w:right w:val="nil"/>
                <w:between w:val="nil"/>
              </w:pBdr>
              <w:spacing w:after="0" w:line="276" w:lineRule="auto"/>
              <w:rPr>
                <w:rFonts w:ascii="Arial" w:eastAsia="Arial" w:hAnsi="Arial" w:cs="Arial"/>
                <w:sz w:val="20"/>
                <w:szCs w:val="20"/>
              </w:rPr>
            </w:pPr>
          </w:p>
        </w:tc>
      </w:tr>
    </w:tbl>
    <w:p w14:paraId="340B0C91" w14:textId="77777777" w:rsidR="00841722" w:rsidRDefault="00CB299E">
      <w:pPr>
        <w:widowControl w:val="0"/>
        <w:spacing w:after="120" w:line="480" w:lineRule="auto"/>
        <w:ind w:left="1134" w:right="-28" w:hanging="1134"/>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i/>
          <w:color w:val="000000"/>
          <w:sz w:val="20"/>
          <w:szCs w:val="20"/>
        </w:rPr>
        <w:t xml:space="preserve">Significant (P ≤ 0.05), NS- </w:t>
      </w:r>
      <w:proofErr w:type="gramStart"/>
      <w:r>
        <w:rPr>
          <w:rFonts w:ascii="Arial" w:eastAsia="Arial" w:hAnsi="Arial" w:cs="Arial"/>
          <w:i/>
          <w:color w:val="000000"/>
          <w:sz w:val="20"/>
          <w:szCs w:val="20"/>
        </w:rPr>
        <w:t>Non significant</w:t>
      </w:r>
      <w:proofErr w:type="gramEnd"/>
    </w:p>
    <w:p w14:paraId="26EDE906" w14:textId="77777777" w:rsidR="00841722" w:rsidRDefault="00CB299E">
      <w:pPr>
        <w:spacing w:after="120" w:line="480" w:lineRule="auto"/>
        <w:ind w:left="1134" w:right="-28" w:hanging="1134"/>
        <w:jc w:val="both"/>
        <w:rPr>
          <w:rFonts w:ascii="Arial" w:eastAsia="Arial" w:hAnsi="Arial" w:cs="Arial"/>
          <w:color w:val="000000"/>
          <w:sz w:val="20"/>
          <w:szCs w:val="20"/>
        </w:rPr>
      </w:pPr>
      <w:r>
        <w:rPr>
          <w:rFonts w:ascii="Arial" w:eastAsia="Arial" w:hAnsi="Arial" w:cs="Arial"/>
          <w:b/>
          <w:color w:val="000000"/>
          <w:sz w:val="20"/>
          <w:szCs w:val="20"/>
        </w:rPr>
        <w:t>Table 6:</w:t>
      </w:r>
      <w:r>
        <w:rPr>
          <w:rFonts w:ascii="Arial" w:eastAsia="Arial" w:hAnsi="Arial" w:cs="Arial"/>
          <w:b/>
          <w:color w:val="000000"/>
          <w:sz w:val="20"/>
          <w:szCs w:val="20"/>
        </w:rPr>
        <w:tab/>
        <w:t xml:space="preserve">Mean </w:t>
      </w:r>
      <w:r>
        <w:rPr>
          <w:rFonts w:ascii="Arial" w:eastAsia="Arial" w:hAnsi="Arial" w:cs="Arial"/>
          <w:b/>
          <w:sz w:val="20"/>
          <w:szCs w:val="20"/>
        </w:rPr>
        <w:t xml:space="preserve">eye irritation </w:t>
      </w:r>
      <w:r>
        <w:rPr>
          <w:rFonts w:ascii="Arial" w:eastAsia="Arial" w:hAnsi="Arial" w:cs="Arial"/>
          <w:b/>
          <w:color w:val="000000"/>
          <w:sz w:val="20"/>
          <w:szCs w:val="20"/>
        </w:rPr>
        <w:t xml:space="preserve">score in dogs of different treatment groups at different time intervals </w:t>
      </w:r>
    </w:p>
    <w:tbl>
      <w:tblPr>
        <w:tblStyle w:val="a4"/>
        <w:tblW w:w="8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1"/>
        <w:gridCol w:w="1492"/>
        <w:gridCol w:w="1568"/>
        <w:gridCol w:w="1421"/>
        <w:gridCol w:w="1275"/>
        <w:gridCol w:w="1236"/>
      </w:tblGrid>
      <w:tr w:rsidR="00841722" w14:paraId="04327B74" w14:textId="77777777">
        <w:trPr>
          <w:trHeight w:val="22"/>
          <w:jc w:val="center"/>
        </w:trPr>
        <w:tc>
          <w:tcPr>
            <w:tcW w:w="8163" w:type="dxa"/>
            <w:gridSpan w:val="6"/>
          </w:tcPr>
          <w:p w14:paraId="10115690"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Eye irritation score (</w:t>
            </w:r>
            <w:proofErr w:type="spellStart"/>
            <w:r>
              <w:rPr>
                <w:rFonts w:ascii="Arial" w:eastAsia="Arial" w:hAnsi="Arial" w:cs="Arial"/>
                <w:b/>
                <w:sz w:val="20"/>
                <w:szCs w:val="20"/>
              </w:rPr>
              <w:t>Mean±SE</w:t>
            </w:r>
            <w:proofErr w:type="spellEnd"/>
            <w:r>
              <w:rPr>
                <w:rFonts w:ascii="Arial" w:eastAsia="Arial" w:hAnsi="Arial" w:cs="Arial"/>
                <w:b/>
                <w:sz w:val="20"/>
                <w:szCs w:val="20"/>
              </w:rPr>
              <w:t>)</w:t>
            </w:r>
          </w:p>
        </w:tc>
      </w:tr>
      <w:tr w:rsidR="00841722" w14:paraId="11EB4597" w14:textId="77777777">
        <w:trPr>
          <w:trHeight w:val="22"/>
          <w:jc w:val="center"/>
        </w:trPr>
        <w:tc>
          <w:tcPr>
            <w:tcW w:w="1171" w:type="dxa"/>
          </w:tcPr>
          <w:p w14:paraId="1FB6B9E7"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Group</w:t>
            </w:r>
          </w:p>
        </w:tc>
        <w:tc>
          <w:tcPr>
            <w:tcW w:w="1492" w:type="dxa"/>
          </w:tcPr>
          <w:p w14:paraId="4006A590"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Day 0</w:t>
            </w:r>
          </w:p>
        </w:tc>
        <w:tc>
          <w:tcPr>
            <w:tcW w:w="1568" w:type="dxa"/>
          </w:tcPr>
          <w:p w14:paraId="5A0A6C90"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Day 15</w:t>
            </w:r>
          </w:p>
        </w:tc>
        <w:tc>
          <w:tcPr>
            <w:tcW w:w="1421" w:type="dxa"/>
          </w:tcPr>
          <w:p w14:paraId="5CF3B5B0"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Day 30</w:t>
            </w:r>
          </w:p>
        </w:tc>
        <w:tc>
          <w:tcPr>
            <w:tcW w:w="1275" w:type="dxa"/>
          </w:tcPr>
          <w:p w14:paraId="0C8E17ED"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K value</w:t>
            </w:r>
          </w:p>
        </w:tc>
        <w:tc>
          <w:tcPr>
            <w:tcW w:w="1236" w:type="dxa"/>
          </w:tcPr>
          <w:p w14:paraId="4238A3A8"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i/>
                <w:sz w:val="20"/>
                <w:szCs w:val="20"/>
              </w:rPr>
              <w:t>P</w:t>
            </w:r>
            <w:r>
              <w:rPr>
                <w:rFonts w:ascii="Arial" w:eastAsia="Arial" w:hAnsi="Arial" w:cs="Arial"/>
                <w:b/>
                <w:sz w:val="20"/>
                <w:szCs w:val="20"/>
              </w:rPr>
              <w:t xml:space="preserve"> value</w:t>
            </w:r>
          </w:p>
        </w:tc>
      </w:tr>
      <w:tr w:rsidR="00841722" w14:paraId="476EF4FC" w14:textId="77777777">
        <w:trPr>
          <w:trHeight w:val="22"/>
          <w:jc w:val="center"/>
        </w:trPr>
        <w:tc>
          <w:tcPr>
            <w:tcW w:w="1171" w:type="dxa"/>
          </w:tcPr>
          <w:p w14:paraId="09D9785E" w14:textId="77777777" w:rsidR="00841722" w:rsidRDefault="00CB299E">
            <w:pPr>
              <w:spacing w:before="60" w:after="60" w:line="480" w:lineRule="auto"/>
              <w:ind w:right="-29"/>
              <w:rPr>
                <w:rFonts w:ascii="Arial" w:eastAsia="Arial" w:hAnsi="Arial" w:cs="Arial"/>
                <w:sz w:val="20"/>
                <w:szCs w:val="20"/>
              </w:rPr>
            </w:pPr>
            <w:r>
              <w:rPr>
                <w:rFonts w:ascii="Arial" w:eastAsia="Arial" w:hAnsi="Arial" w:cs="Arial"/>
                <w:sz w:val="20"/>
                <w:szCs w:val="20"/>
              </w:rPr>
              <w:t>G1</w:t>
            </w:r>
          </w:p>
        </w:tc>
        <w:tc>
          <w:tcPr>
            <w:tcW w:w="1492" w:type="dxa"/>
          </w:tcPr>
          <w:p w14:paraId="76EB5EB3"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1.50 ± 0.28</w:t>
            </w:r>
          </w:p>
        </w:tc>
        <w:tc>
          <w:tcPr>
            <w:tcW w:w="1568" w:type="dxa"/>
          </w:tcPr>
          <w:p w14:paraId="3E9CEDD7"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1.00 ± 0.57</w:t>
            </w:r>
          </w:p>
        </w:tc>
        <w:tc>
          <w:tcPr>
            <w:tcW w:w="1421" w:type="dxa"/>
          </w:tcPr>
          <w:p w14:paraId="255D31D7"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0.50 ± 0.28</w:t>
            </w:r>
          </w:p>
        </w:tc>
        <w:tc>
          <w:tcPr>
            <w:tcW w:w="1275" w:type="dxa"/>
          </w:tcPr>
          <w:p w14:paraId="034DCBB1"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2.750</w:t>
            </w:r>
          </w:p>
        </w:tc>
        <w:tc>
          <w:tcPr>
            <w:tcW w:w="1236" w:type="dxa"/>
          </w:tcPr>
          <w:p w14:paraId="5A8BFCD2"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0.253</w:t>
            </w:r>
            <w:r>
              <w:rPr>
                <w:rFonts w:ascii="Arial" w:eastAsia="Arial" w:hAnsi="Arial" w:cs="Arial"/>
                <w:sz w:val="20"/>
                <w:szCs w:val="20"/>
                <w:vertAlign w:val="superscript"/>
              </w:rPr>
              <w:t>NS</w:t>
            </w:r>
          </w:p>
        </w:tc>
      </w:tr>
      <w:tr w:rsidR="00841722" w14:paraId="4DA40A27" w14:textId="77777777">
        <w:trPr>
          <w:trHeight w:val="22"/>
          <w:jc w:val="center"/>
        </w:trPr>
        <w:tc>
          <w:tcPr>
            <w:tcW w:w="1171" w:type="dxa"/>
          </w:tcPr>
          <w:p w14:paraId="06B93939" w14:textId="77777777" w:rsidR="00841722" w:rsidRDefault="00CB299E">
            <w:pPr>
              <w:spacing w:before="60" w:after="60" w:line="480" w:lineRule="auto"/>
              <w:ind w:right="-29"/>
              <w:rPr>
                <w:rFonts w:ascii="Arial" w:eastAsia="Arial" w:hAnsi="Arial" w:cs="Arial"/>
                <w:sz w:val="20"/>
                <w:szCs w:val="20"/>
              </w:rPr>
            </w:pPr>
            <w:r>
              <w:rPr>
                <w:rFonts w:ascii="Arial" w:eastAsia="Arial" w:hAnsi="Arial" w:cs="Arial"/>
                <w:sz w:val="20"/>
                <w:szCs w:val="20"/>
              </w:rPr>
              <w:lastRenderedPageBreak/>
              <w:t>G2</w:t>
            </w:r>
          </w:p>
        </w:tc>
        <w:tc>
          <w:tcPr>
            <w:tcW w:w="1492" w:type="dxa"/>
          </w:tcPr>
          <w:p w14:paraId="0AD4F2BD"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1.75 ± 0.25</w:t>
            </w:r>
          </w:p>
        </w:tc>
        <w:tc>
          <w:tcPr>
            <w:tcW w:w="1568" w:type="dxa"/>
          </w:tcPr>
          <w:p w14:paraId="2670E486"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1.25 ± 0.25</w:t>
            </w:r>
          </w:p>
        </w:tc>
        <w:tc>
          <w:tcPr>
            <w:tcW w:w="1421" w:type="dxa"/>
          </w:tcPr>
          <w:p w14:paraId="53FBB46E"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0.50 ± 0.28</w:t>
            </w:r>
          </w:p>
        </w:tc>
        <w:tc>
          <w:tcPr>
            <w:tcW w:w="1275" w:type="dxa"/>
          </w:tcPr>
          <w:p w14:paraId="7A45D24C"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6.096</w:t>
            </w:r>
          </w:p>
        </w:tc>
        <w:tc>
          <w:tcPr>
            <w:tcW w:w="1236" w:type="dxa"/>
          </w:tcPr>
          <w:p w14:paraId="63A1B4DA"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0.047*</w:t>
            </w:r>
          </w:p>
        </w:tc>
      </w:tr>
      <w:tr w:rsidR="00841722" w14:paraId="2DACDE65" w14:textId="77777777">
        <w:trPr>
          <w:cantSplit/>
          <w:trHeight w:val="22"/>
          <w:jc w:val="center"/>
        </w:trPr>
        <w:tc>
          <w:tcPr>
            <w:tcW w:w="1171" w:type="dxa"/>
          </w:tcPr>
          <w:p w14:paraId="292656C8" w14:textId="77777777" w:rsidR="00841722" w:rsidRDefault="00CB299E">
            <w:pPr>
              <w:spacing w:before="60" w:after="60" w:line="480" w:lineRule="auto"/>
              <w:ind w:right="-29"/>
              <w:rPr>
                <w:rFonts w:ascii="Arial" w:eastAsia="Arial" w:hAnsi="Arial" w:cs="Arial"/>
                <w:sz w:val="20"/>
                <w:szCs w:val="20"/>
              </w:rPr>
            </w:pPr>
            <w:r>
              <w:rPr>
                <w:rFonts w:ascii="Arial" w:eastAsia="Arial" w:hAnsi="Arial" w:cs="Arial"/>
                <w:b/>
                <w:sz w:val="20"/>
                <w:szCs w:val="20"/>
              </w:rPr>
              <w:t xml:space="preserve">K value </w:t>
            </w:r>
          </w:p>
        </w:tc>
        <w:tc>
          <w:tcPr>
            <w:tcW w:w="1492" w:type="dxa"/>
          </w:tcPr>
          <w:p w14:paraId="3EDBFD9D"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0.467</w:t>
            </w:r>
          </w:p>
        </w:tc>
        <w:tc>
          <w:tcPr>
            <w:tcW w:w="1568" w:type="dxa"/>
          </w:tcPr>
          <w:p w14:paraId="189D4A67"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0.093</w:t>
            </w:r>
          </w:p>
        </w:tc>
        <w:tc>
          <w:tcPr>
            <w:tcW w:w="1421" w:type="dxa"/>
          </w:tcPr>
          <w:p w14:paraId="653C0724"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0.000</w:t>
            </w:r>
          </w:p>
        </w:tc>
        <w:tc>
          <w:tcPr>
            <w:tcW w:w="2511" w:type="dxa"/>
            <w:gridSpan w:val="2"/>
            <w:vMerge w:val="restart"/>
          </w:tcPr>
          <w:p w14:paraId="4AEAD2FC" w14:textId="77777777" w:rsidR="00841722" w:rsidRDefault="00841722">
            <w:pPr>
              <w:spacing w:before="60" w:after="60" w:line="480" w:lineRule="auto"/>
              <w:ind w:right="-29"/>
              <w:jc w:val="center"/>
              <w:rPr>
                <w:rFonts w:ascii="Arial" w:eastAsia="Arial" w:hAnsi="Arial" w:cs="Arial"/>
                <w:sz w:val="20"/>
                <w:szCs w:val="20"/>
              </w:rPr>
            </w:pPr>
          </w:p>
        </w:tc>
      </w:tr>
      <w:tr w:rsidR="00841722" w14:paraId="066AFE62" w14:textId="77777777">
        <w:trPr>
          <w:cantSplit/>
          <w:trHeight w:val="22"/>
          <w:jc w:val="center"/>
        </w:trPr>
        <w:tc>
          <w:tcPr>
            <w:tcW w:w="1171" w:type="dxa"/>
          </w:tcPr>
          <w:p w14:paraId="5BDCA228" w14:textId="77777777" w:rsidR="00841722" w:rsidRDefault="00CB299E">
            <w:pPr>
              <w:spacing w:before="60" w:after="60" w:line="480" w:lineRule="auto"/>
              <w:ind w:right="-29"/>
              <w:rPr>
                <w:rFonts w:ascii="Arial" w:eastAsia="Arial" w:hAnsi="Arial" w:cs="Arial"/>
                <w:sz w:val="20"/>
                <w:szCs w:val="20"/>
              </w:rPr>
            </w:pPr>
            <w:r>
              <w:rPr>
                <w:rFonts w:ascii="Arial" w:eastAsia="Arial" w:hAnsi="Arial" w:cs="Arial"/>
                <w:b/>
                <w:i/>
                <w:sz w:val="20"/>
                <w:szCs w:val="20"/>
              </w:rPr>
              <w:t xml:space="preserve">P </w:t>
            </w:r>
            <w:r>
              <w:rPr>
                <w:rFonts w:ascii="Arial" w:eastAsia="Arial" w:hAnsi="Arial" w:cs="Arial"/>
                <w:b/>
                <w:sz w:val="20"/>
                <w:szCs w:val="20"/>
              </w:rPr>
              <w:t xml:space="preserve">value </w:t>
            </w:r>
          </w:p>
        </w:tc>
        <w:tc>
          <w:tcPr>
            <w:tcW w:w="1492" w:type="dxa"/>
          </w:tcPr>
          <w:p w14:paraId="3A45ADBA"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0495</w:t>
            </w:r>
            <w:r>
              <w:rPr>
                <w:rFonts w:ascii="Arial" w:eastAsia="Arial" w:hAnsi="Arial" w:cs="Arial"/>
                <w:sz w:val="20"/>
                <w:szCs w:val="20"/>
                <w:vertAlign w:val="superscript"/>
              </w:rPr>
              <w:t>NS</w:t>
            </w:r>
          </w:p>
        </w:tc>
        <w:tc>
          <w:tcPr>
            <w:tcW w:w="1568" w:type="dxa"/>
          </w:tcPr>
          <w:p w14:paraId="1E268034"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0.760</w:t>
            </w:r>
            <w:r>
              <w:rPr>
                <w:rFonts w:ascii="Arial" w:eastAsia="Arial" w:hAnsi="Arial" w:cs="Arial"/>
                <w:sz w:val="20"/>
                <w:szCs w:val="20"/>
                <w:vertAlign w:val="superscript"/>
              </w:rPr>
              <w:t>NS</w:t>
            </w:r>
          </w:p>
        </w:tc>
        <w:tc>
          <w:tcPr>
            <w:tcW w:w="1421" w:type="dxa"/>
          </w:tcPr>
          <w:p w14:paraId="4611173E"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1.000</w:t>
            </w:r>
            <w:r>
              <w:rPr>
                <w:rFonts w:ascii="Arial" w:eastAsia="Arial" w:hAnsi="Arial" w:cs="Arial"/>
                <w:sz w:val="20"/>
                <w:szCs w:val="20"/>
                <w:vertAlign w:val="superscript"/>
              </w:rPr>
              <w:t>NS</w:t>
            </w:r>
          </w:p>
        </w:tc>
        <w:tc>
          <w:tcPr>
            <w:tcW w:w="2511" w:type="dxa"/>
            <w:gridSpan w:val="2"/>
            <w:vMerge/>
          </w:tcPr>
          <w:p w14:paraId="18B582E3" w14:textId="77777777" w:rsidR="00841722" w:rsidRDefault="00841722">
            <w:pPr>
              <w:widowControl w:val="0"/>
              <w:pBdr>
                <w:top w:val="nil"/>
                <w:left w:val="nil"/>
                <w:bottom w:val="nil"/>
                <w:right w:val="nil"/>
                <w:between w:val="nil"/>
              </w:pBdr>
              <w:spacing w:after="0" w:line="276" w:lineRule="auto"/>
              <w:rPr>
                <w:rFonts w:ascii="Arial" w:eastAsia="Arial" w:hAnsi="Arial" w:cs="Arial"/>
                <w:sz w:val="20"/>
                <w:szCs w:val="20"/>
              </w:rPr>
            </w:pPr>
          </w:p>
        </w:tc>
      </w:tr>
    </w:tbl>
    <w:p w14:paraId="51ADA6C1" w14:textId="77777777" w:rsidR="00841722" w:rsidRDefault="00CB299E">
      <w:pPr>
        <w:widowControl w:val="0"/>
        <w:spacing w:after="120" w:line="480" w:lineRule="auto"/>
        <w:ind w:right="-28"/>
        <w:jc w:val="both"/>
        <w:rPr>
          <w:rFonts w:ascii="Arial" w:eastAsia="Arial" w:hAnsi="Arial" w:cs="Arial"/>
          <w:sz w:val="20"/>
          <w:szCs w:val="20"/>
        </w:rPr>
      </w:pPr>
      <w:r>
        <w:rPr>
          <w:rFonts w:ascii="Arial" w:eastAsia="Arial" w:hAnsi="Arial" w:cs="Arial"/>
          <w:i/>
          <w:sz w:val="20"/>
          <w:szCs w:val="20"/>
        </w:rPr>
        <w:t xml:space="preserve">*Significant (P ≤ 0.05), NS- </w:t>
      </w:r>
      <w:proofErr w:type="gramStart"/>
      <w:r>
        <w:rPr>
          <w:rFonts w:ascii="Arial" w:eastAsia="Arial" w:hAnsi="Arial" w:cs="Arial"/>
          <w:i/>
          <w:sz w:val="20"/>
          <w:szCs w:val="20"/>
        </w:rPr>
        <w:t xml:space="preserve">Non </w:t>
      </w:r>
      <w:r>
        <w:rPr>
          <w:rFonts w:ascii="Arial" w:eastAsia="Arial" w:hAnsi="Arial" w:cs="Arial"/>
          <w:i/>
          <w:sz w:val="20"/>
          <w:szCs w:val="20"/>
        </w:rPr>
        <w:t>significant</w:t>
      </w:r>
      <w:proofErr w:type="gramEnd"/>
    </w:p>
    <w:p w14:paraId="0DE319F3" w14:textId="77777777" w:rsidR="00841722" w:rsidRDefault="00CB299E">
      <w:pPr>
        <w:spacing w:after="120" w:line="480" w:lineRule="auto"/>
        <w:ind w:left="1134" w:right="-28" w:hanging="1134"/>
        <w:jc w:val="both"/>
        <w:rPr>
          <w:rFonts w:ascii="Arial" w:eastAsia="Arial" w:hAnsi="Arial" w:cs="Arial"/>
          <w:color w:val="000000"/>
          <w:sz w:val="20"/>
          <w:szCs w:val="20"/>
        </w:rPr>
      </w:pPr>
      <w:r>
        <w:rPr>
          <w:rFonts w:ascii="Arial" w:eastAsia="Arial" w:hAnsi="Arial" w:cs="Arial"/>
          <w:b/>
          <w:color w:val="000000"/>
          <w:sz w:val="20"/>
          <w:szCs w:val="20"/>
        </w:rPr>
        <w:t>Table 7:</w:t>
      </w:r>
      <w:r>
        <w:rPr>
          <w:rFonts w:ascii="Arial" w:eastAsia="Arial" w:hAnsi="Arial" w:cs="Arial"/>
          <w:b/>
          <w:color w:val="000000"/>
          <w:sz w:val="20"/>
          <w:szCs w:val="20"/>
        </w:rPr>
        <w:tab/>
        <w:t xml:space="preserve">Mean </w:t>
      </w:r>
      <w:r>
        <w:rPr>
          <w:rFonts w:ascii="Arial" w:eastAsia="Arial" w:hAnsi="Arial" w:cs="Arial"/>
          <w:b/>
          <w:sz w:val="20"/>
          <w:szCs w:val="20"/>
        </w:rPr>
        <w:t xml:space="preserve">corneal opacity and pigmentation </w:t>
      </w:r>
      <w:r>
        <w:rPr>
          <w:rFonts w:ascii="Arial" w:eastAsia="Arial" w:hAnsi="Arial" w:cs="Arial"/>
          <w:b/>
          <w:color w:val="000000"/>
          <w:sz w:val="20"/>
          <w:szCs w:val="20"/>
        </w:rPr>
        <w:t xml:space="preserve">score in dogs of different treatment groups at different time intervals </w:t>
      </w:r>
    </w:p>
    <w:tbl>
      <w:tblPr>
        <w:tblStyle w:val="a5"/>
        <w:tblW w:w="8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6"/>
        <w:gridCol w:w="1533"/>
        <w:gridCol w:w="1457"/>
        <w:gridCol w:w="1438"/>
        <w:gridCol w:w="1291"/>
        <w:gridCol w:w="1333"/>
      </w:tblGrid>
      <w:tr w:rsidR="00841722" w14:paraId="7FE772B4" w14:textId="77777777">
        <w:trPr>
          <w:trHeight w:val="20"/>
          <w:jc w:val="center"/>
        </w:trPr>
        <w:tc>
          <w:tcPr>
            <w:tcW w:w="8198" w:type="dxa"/>
            <w:gridSpan w:val="6"/>
            <w:vAlign w:val="center"/>
          </w:tcPr>
          <w:p w14:paraId="5C673EF7"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Corneal opacity and pigmentation score (</w:t>
            </w:r>
            <w:proofErr w:type="spellStart"/>
            <w:r>
              <w:rPr>
                <w:rFonts w:ascii="Arial" w:eastAsia="Arial" w:hAnsi="Arial" w:cs="Arial"/>
                <w:b/>
                <w:sz w:val="20"/>
                <w:szCs w:val="20"/>
              </w:rPr>
              <w:t>Mean±SE</w:t>
            </w:r>
            <w:proofErr w:type="spellEnd"/>
            <w:r>
              <w:rPr>
                <w:rFonts w:ascii="Arial" w:eastAsia="Arial" w:hAnsi="Arial" w:cs="Arial"/>
                <w:b/>
                <w:sz w:val="20"/>
                <w:szCs w:val="20"/>
              </w:rPr>
              <w:t>)</w:t>
            </w:r>
          </w:p>
        </w:tc>
      </w:tr>
      <w:tr w:rsidR="00841722" w14:paraId="2BA4B039" w14:textId="77777777">
        <w:trPr>
          <w:trHeight w:val="20"/>
          <w:jc w:val="center"/>
        </w:trPr>
        <w:tc>
          <w:tcPr>
            <w:tcW w:w="1146" w:type="dxa"/>
            <w:vAlign w:val="center"/>
          </w:tcPr>
          <w:p w14:paraId="6D284F96"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Group</w:t>
            </w:r>
          </w:p>
        </w:tc>
        <w:tc>
          <w:tcPr>
            <w:tcW w:w="1533" w:type="dxa"/>
            <w:vAlign w:val="center"/>
          </w:tcPr>
          <w:p w14:paraId="3E82126C"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Day 0</w:t>
            </w:r>
          </w:p>
        </w:tc>
        <w:tc>
          <w:tcPr>
            <w:tcW w:w="1457" w:type="dxa"/>
            <w:vAlign w:val="center"/>
          </w:tcPr>
          <w:p w14:paraId="1F09867D"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Day 15</w:t>
            </w:r>
          </w:p>
        </w:tc>
        <w:tc>
          <w:tcPr>
            <w:tcW w:w="1438" w:type="dxa"/>
            <w:vAlign w:val="center"/>
          </w:tcPr>
          <w:p w14:paraId="4B79274D"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Day 30</w:t>
            </w:r>
          </w:p>
        </w:tc>
        <w:tc>
          <w:tcPr>
            <w:tcW w:w="1291" w:type="dxa"/>
            <w:vAlign w:val="center"/>
          </w:tcPr>
          <w:p w14:paraId="01E5902A"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sz w:val="20"/>
                <w:szCs w:val="20"/>
              </w:rPr>
              <w:t>K value</w:t>
            </w:r>
          </w:p>
        </w:tc>
        <w:tc>
          <w:tcPr>
            <w:tcW w:w="1333" w:type="dxa"/>
            <w:vAlign w:val="center"/>
          </w:tcPr>
          <w:p w14:paraId="5ED850E8"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b/>
                <w:i/>
                <w:sz w:val="20"/>
                <w:szCs w:val="20"/>
              </w:rPr>
              <w:t>P</w:t>
            </w:r>
            <w:r>
              <w:rPr>
                <w:rFonts w:ascii="Arial" w:eastAsia="Arial" w:hAnsi="Arial" w:cs="Arial"/>
                <w:b/>
                <w:sz w:val="20"/>
                <w:szCs w:val="20"/>
              </w:rPr>
              <w:t xml:space="preserve"> value</w:t>
            </w:r>
          </w:p>
        </w:tc>
      </w:tr>
      <w:tr w:rsidR="00841722" w14:paraId="164A4016" w14:textId="77777777">
        <w:trPr>
          <w:trHeight w:val="20"/>
          <w:jc w:val="center"/>
        </w:trPr>
        <w:tc>
          <w:tcPr>
            <w:tcW w:w="1146" w:type="dxa"/>
            <w:vAlign w:val="center"/>
          </w:tcPr>
          <w:p w14:paraId="68094050" w14:textId="77777777" w:rsidR="00841722" w:rsidRDefault="00CB299E">
            <w:pPr>
              <w:spacing w:before="60" w:after="60" w:line="480" w:lineRule="auto"/>
              <w:ind w:right="-29"/>
              <w:rPr>
                <w:rFonts w:ascii="Arial" w:eastAsia="Arial" w:hAnsi="Arial" w:cs="Arial"/>
                <w:sz w:val="20"/>
                <w:szCs w:val="20"/>
              </w:rPr>
            </w:pPr>
            <w:r>
              <w:rPr>
                <w:rFonts w:ascii="Arial" w:eastAsia="Arial" w:hAnsi="Arial" w:cs="Arial"/>
                <w:sz w:val="20"/>
                <w:szCs w:val="20"/>
              </w:rPr>
              <w:t>G1</w:t>
            </w:r>
          </w:p>
        </w:tc>
        <w:tc>
          <w:tcPr>
            <w:tcW w:w="1533" w:type="dxa"/>
            <w:vAlign w:val="center"/>
          </w:tcPr>
          <w:p w14:paraId="45F53373" w14:textId="77777777" w:rsidR="00841722" w:rsidRDefault="00CB299E">
            <w:pPr>
              <w:spacing w:before="60" w:after="6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2.00 ± 0.00</w:t>
            </w:r>
          </w:p>
        </w:tc>
        <w:tc>
          <w:tcPr>
            <w:tcW w:w="1457" w:type="dxa"/>
            <w:vAlign w:val="center"/>
          </w:tcPr>
          <w:p w14:paraId="6AC39C50"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1.75 ± 0.25</w:t>
            </w:r>
          </w:p>
        </w:tc>
        <w:tc>
          <w:tcPr>
            <w:tcW w:w="1438" w:type="dxa"/>
            <w:vAlign w:val="center"/>
          </w:tcPr>
          <w:p w14:paraId="6D50AB96"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1.50</w:t>
            </w:r>
            <w:r>
              <w:rPr>
                <w:rFonts w:ascii="Arial" w:eastAsia="Arial" w:hAnsi="Arial" w:cs="Arial"/>
                <w:sz w:val="20"/>
                <w:szCs w:val="20"/>
                <w:vertAlign w:val="superscript"/>
              </w:rPr>
              <w:t xml:space="preserve"> </w:t>
            </w:r>
            <w:r>
              <w:rPr>
                <w:rFonts w:ascii="Arial" w:eastAsia="Arial" w:hAnsi="Arial" w:cs="Arial"/>
                <w:sz w:val="20"/>
                <w:szCs w:val="20"/>
              </w:rPr>
              <w:t>± 0.28</w:t>
            </w:r>
          </w:p>
        </w:tc>
        <w:tc>
          <w:tcPr>
            <w:tcW w:w="1291" w:type="dxa"/>
            <w:vAlign w:val="center"/>
          </w:tcPr>
          <w:p w14:paraId="4AD3835E"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1.130</w:t>
            </w:r>
          </w:p>
        </w:tc>
        <w:tc>
          <w:tcPr>
            <w:tcW w:w="1333" w:type="dxa"/>
            <w:vAlign w:val="center"/>
          </w:tcPr>
          <w:p w14:paraId="2F6379F4"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0.560</w:t>
            </w:r>
            <w:r>
              <w:rPr>
                <w:rFonts w:ascii="Arial" w:eastAsia="Arial" w:hAnsi="Arial" w:cs="Arial"/>
                <w:sz w:val="20"/>
                <w:szCs w:val="20"/>
                <w:vertAlign w:val="superscript"/>
              </w:rPr>
              <w:t>NS</w:t>
            </w:r>
          </w:p>
        </w:tc>
      </w:tr>
      <w:tr w:rsidR="00841722" w14:paraId="3758F0B7" w14:textId="77777777">
        <w:trPr>
          <w:trHeight w:val="20"/>
          <w:jc w:val="center"/>
        </w:trPr>
        <w:tc>
          <w:tcPr>
            <w:tcW w:w="1146" w:type="dxa"/>
            <w:vAlign w:val="center"/>
          </w:tcPr>
          <w:p w14:paraId="3989598B" w14:textId="77777777" w:rsidR="00841722" w:rsidRDefault="00CB299E">
            <w:pPr>
              <w:spacing w:before="60" w:after="60" w:line="480" w:lineRule="auto"/>
              <w:ind w:right="-29"/>
              <w:rPr>
                <w:rFonts w:ascii="Arial" w:eastAsia="Arial" w:hAnsi="Arial" w:cs="Arial"/>
                <w:sz w:val="20"/>
                <w:szCs w:val="20"/>
              </w:rPr>
            </w:pPr>
            <w:r>
              <w:rPr>
                <w:rFonts w:ascii="Arial" w:eastAsia="Arial" w:hAnsi="Arial" w:cs="Arial"/>
                <w:sz w:val="20"/>
                <w:szCs w:val="20"/>
              </w:rPr>
              <w:t>G2</w:t>
            </w:r>
          </w:p>
        </w:tc>
        <w:tc>
          <w:tcPr>
            <w:tcW w:w="1533" w:type="dxa"/>
            <w:vAlign w:val="center"/>
          </w:tcPr>
          <w:p w14:paraId="653D0342"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2.25 ± 0.50</w:t>
            </w:r>
          </w:p>
        </w:tc>
        <w:tc>
          <w:tcPr>
            <w:tcW w:w="1457" w:type="dxa"/>
            <w:vAlign w:val="center"/>
          </w:tcPr>
          <w:p w14:paraId="70B2EC0A"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1.75</w:t>
            </w:r>
            <w:r>
              <w:rPr>
                <w:rFonts w:ascii="Arial" w:eastAsia="Arial" w:hAnsi="Arial" w:cs="Arial"/>
                <w:sz w:val="20"/>
                <w:szCs w:val="20"/>
                <w:vertAlign w:val="superscript"/>
              </w:rPr>
              <w:t xml:space="preserve"> </w:t>
            </w:r>
            <w:r>
              <w:rPr>
                <w:rFonts w:ascii="Arial" w:eastAsia="Arial" w:hAnsi="Arial" w:cs="Arial"/>
                <w:sz w:val="20"/>
                <w:szCs w:val="20"/>
              </w:rPr>
              <w:t>± 0.25</w:t>
            </w:r>
          </w:p>
        </w:tc>
        <w:tc>
          <w:tcPr>
            <w:tcW w:w="1438" w:type="dxa"/>
            <w:vAlign w:val="center"/>
          </w:tcPr>
          <w:p w14:paraId="1B163F82"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1.25 ± 0.47</w:t>
            </w:r>
          </w:p>
        </w:tc>
        <w:tc>
          <w:tcPr>
            <w:tcW w:w="1291" w:type="dxa"/>
            <w:vAlign w:val="center"/>
          </w:tcPr>
          <w:p w14:paraId="3F8F2C14"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3.544</w:t>
            </w:r>
          </w:p>
        </w:tc>
        <w:tc>
          <w:tcPr>
            <w:tcW w:w="1333" w:type="dxa"/>
            <w:vAlign w:val="center"/>
          </w:tcPr>
          <w:p w14:paraId="729ACA89"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0.170</w:t>
            </w:r>
            <w:r>
              <w:rPr>
                <w:rFonts w:ascii="Arial" w:eastAsia="Arial" w:hAnsi="Arial" w:cs="Arial"/>
                <w:sz w:val="20"/>
                <w:szCs w:val="20"/>
                <w:vertAlign w:val="superscript"/>
              </w:rPr>
              <w:t>NS</w:t>
            </w:r>
          </w:p>
        </w:tc>
      </w:tr>
      <w:tr w:rsidR="00841722" w14:paraId="59B0C21C" w14:textId="77777777">
        <w:trPr>
          <w:cantSplit/>
          <w:trHeight w:val="20"/>
          <w:jc w:val="center"/>
        </w:trPr>
        <w:tc>
          <w:tcPr>
            <w:tcW w:w="1146" w:type="dxa"/>
            <w:vAlign w:val="center"/>
          </w:tcPr>
          <w:p w14:paraId="6A177B90" w14:textId="77777777" w:rsidR="00841722" w:rsidRDefault="00CB299E">
            <w:pPr>
              <w:spacing w:before="60" w:after="60" w:line="480" w:lineRule="auto"/>
              <w:ind w:right="-29"/>
              <w:rPr>
                <w:rFonts w:ascii="Arial" w:eastAsia="Arial" w:hAnsi="Arial" w:cs="Arial"/>
                <w:sz w:val="20"/>
                <w:szCs w:val="20"/>
              </w:rPr>
            </w:pPr>
            <w:r>
              <w:rPr>
                <w:rFonts w:ascii="Arial" w:eastAsia="Arial" w:hAnsi="Arial" w:cs="Arial"/>
                <w:b/>
                <w:sz w:val="20"/>
                <w:szCs w:val="20"/>
              </w:rPr>
              <w:t>K value</w:t>
            </w:r>
          </w:p>
        </w:tc>
        <w:tc>
          <w:tcPr>
            <w:tcW w:w="1533" w:type="dxa"/>
            <w:vAlign w:val="center"/>
          </w:tcPr>
          <w:p w14:paraId="21EC3069"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0.250</w:t>
            </w:r>
          </w:p>
        </w:tc>
        <w:tc>
          <w:tcPr>
            <w:tcW w:w="1457" w:type="dxa"/>
            <w:vAlign w:val="center"/>
          </w:tcPr>
          <w:p w14:paraId="7D09F19A"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0.000</w:t>
            </w:r>
          </w:p>
        </w:tc>
        <w:tc>
          <w:tcPr>
            <w:tcW w:w="1438" w:type="dxa"/>
            <w:vAlign w:val="center"/>
          </w:tcPr>
          <w:p w14:paraId="01868966"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1.000</w:t>
            </w:r>
          </w:p>
        </w:tc>
        <w:tc>
          <w:tcPr>
            <w:tcW w:w="2624" w:type="dxa"/>
            <w:gridSpan w:val="2"/>
            <w:vMerge w:val="restart"/>
            <w:vAlign w:val="center"/>
          </w:tcPr>
          <w:p w14:paraId="2151C9A0" w14:textId="77777777" w:rsidR="00841722" w:rsidRDefault="00841722">
            <w:pPr>
              <w:spacing w:before="60" w:after="60" w:line="480" w:lineRule="auto"/>
              <w:ind w:right="-29"/>
              <w:jc w:val="center"/>
              <w:rPr>
                <w:rFonts w:ascii="Arial" w:eastAsia="Arial" w:hAnsi="Arial" w:cs="Arial"/>
                <w:sz w:val="20"/>
                <w:szCs w:val="20"/>
              </w:rPr>
            </w:pPr>
          </w:p>
        </w:tc>
      </w:tr>
      <w:tr w:rsidR="00841722" w14:paraId="739C8314" w14:textId="77777777">
        <w:trPr>
          <w:cantSplit/>
          <w:trHeight w:val="20"/>
          <w:jc w:val="center"/>
        </w:trPr>
        <w:tc>
          <w:tcPr>
            <w:tcW w:w="1146" w:type="dxa"/>
            <w:vAlign w:val="center"/>
          </w:tcPr>
          <w:p w14:paraId="6D13A059" w14:textId="77777777" w:rsidR="00841722" w:rsidRDefault="00CB299E">
            <w:pPr>
              <w:spacing w:before="60" w:after="60" w:line="480" w:lineRule="auto"/>
              <w:ind w:right="-29"/>
              <w:rPr>
                <w:rFonts w:ascii="Arial" w:eastAsia="Arial" w:hAnsi="Arial" w:cs="Arial"/>
                <w:sz w:val="20"/>
                <w:szCs w:val="20"/>
              </w:rPr>
            </w:pPr>
            <w:r>
              <w:rPr>
                <w:rFonts w:ascii="Arial" w:eastAsia="Arial" w:hAnsi="Arial" w:cs="Arial"/>
                <w:b/>
                <w:i/>
                <w:sz w:val="20"/>
                <w:szCs w:val="20"/>
              </w:rPr>
              <w:t xml:space="preserve">P </w:t>
            </w:r>
            <w:r>
              <w:rPr>
                <w:rFonts w:ascii="Arial" w:eastAsia="Arial" w:hAnsi="Arial" w:cs="Arial"/>
                <w:b/>
                <w:sz w:val="20"/>
                <w:szCs w:val="20"/>
              </w:rPr>
              <w:t>value</w:t>
            </w:r>
          </w:p>
        </w:tc>
        <w:tc>
          <w:tcPr>
            <w:tcW w:w="1533" w:type="dxa"/>
            <w:vAlign w:val="center"/>
          </w:tcPr>
          <w:p w14:paraId="24FB5558"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0.610</w:t>
            </w:r>
            <w:r>
              <w:rPr>
                <w:rFonts w:ascii="Arial" w:eastAsia="Arial" w:hAnsi="Arial" w:cs="Arial"/>
                <w:sz w:val="20"/>
                <w:szCs w:val="20"/>
                <w:vertAlign w:val="superscript"/>
              </w:rPr>
              <w:t>NS</w:t>
            </w:r>
          </w:p>
        </w:tc>
        <w:tc>
          <w:tcPr>
            <w:tcW w:w="1457" w:type="dxa"/>
            <w:vAlign w:val="center"/>
          </w:tcPr>
          <w:p w14:paraId="5905D0BB"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1.000</w:t>
            </w:r>
            <w:r>
              <w:rPr>
                <w:rFonts w:ascii="Arial" w:eastAsia="Arial" w:hAnsi="Arial" w:cs="Arial"/>
                <w:sz w:val="20"/>
                <w:szCs w:val="20"/>
                <w:vertAlign w:val="superscript"/>
              </w:rPr>
              <w:t>NS</w:t>
            </w:r>
          </w:p>
        </w:tc>
        <w:tc>
          <w:tcPr>
            <w:tcW w:w="1438" w:type="dxa"/>
            <w:vAlign w:val="center"/>
          </w:tcPr>
          <w:p w14:paraId="4F2585E0" w14:textId="77777777" w:rsidR="00841722" w:rsidRDefault="00CB299E">
            <w:pPr>
              <w:spacing w:before="60" w:after="60" w:line="480" w:lineRule="auto"/>
              <w:ind w:right="-29"/>
              <w:jc w:val="center"/>
              <w:rPr>
                <w:rFonts w:ascii="Arial" w:eastAsia="Arial" w:hAnsi="Arial" w:cs="Arial"/>
                <w:sz w:val="20"/>
                <w:szCs w:val="20"/>
              </w:rPr>
            </w:pPr>
            <w:r>
              <w:rPr>
                <w:rFonts w:ascii="Arial" w:eastAsia="Arial" w:hAnsi="Arial" w:cs="Arial"/>
                <w:sz w:val="20"/>
                <w:szCs w:val="20"/>
              </w:rPr>
              <w:t>0.750</w:t>
            </w:r>
            <w:r>
              <w:rPr>
                <w:rFonts w:ascii="Arial" w:eastAsia="Arial" w:hAnsi="Arial" w:cs="Arial"/>
                <w:sz w:val="20"/>
                <w:szCs w:val="20"/>
                <w:vertAlign w:val="superscript"/>
              </w:rPr>
              <w:t>NS</w:t>
            </w:r>
          </w:p>
        </w:tc>
        <w:tc>
          <w:tcPr>
            <w:tcW w:w="2624" w:type="dxa"/>
            <w:gridSpan w:val="2"/>
            <w:vMerge/>
            <w:vAlign w:val="center"/>
          </w:tcPr>
          <w:p w14:paraId="6D8DCA73" w14:textId="77777777" w:rsidR="00841722" w:rsidRDefault="00841722">
            <w:pPr>
              <w:widowControl w:val="0"/>
              <w:pBdr>
                <w:top w:val="nil"/>
                <w:left w:val="nil"/>
                <w:bottom w:val="nil"/>
                <w:right w:val="nil"/>
                <w:between w:val="nil"/>
              </w:pBdr>
              <w:spacing w:after="0" w:line="276" w:lineRule="auto"/>
              <w:rPr>
                <w:rFonts w:ascii="Arial" w:eastAsia="Arial" w:hAnsi="Arial" w:cs="Arial"/>
                <w:sz w:val="20"/>
                <w:szCs w:val="20"/>
              </w:rPr>
            </w:pPr>
          </w:p>
        </w:tc>
      </w:tr>
    </w:tbl>
    <w:p w14:paraId="565D8648" w14:textId="77777777" w:rsidR="00841722" w:rsidRDefault="00CB299E">
      <w:pPr>
        <w:widowControl w:val="0"/>
        <w:spacing w:after="120" w:line="480" w:lineRule="auto"/>
        <w:ind w:right="-28"/>
        <w:jc w:val="both"/>
        <w:rPr>
          <w:rFonts w:ascii="Arial" w:eastAsia="Arial" w:hAnsi="Arial" w:cs="Arial"/>
          <w:sz w:val="20"/>
          <w:szCs w:val="20"/>
        </w:rPr>
      </w:pPr>
      <w:r>
        <w:rPr>
          <w:rFonts w:ascii="Arial" w:eastAsia="Arial" w:hAnsi="Arial" w:cs="Arial"/>
          <w:sz w:val="20"/>
          <w:szCs w:val="20"/>
        </w:rPr>
        <w:t>*</w:t>
      </w:r>
      <w:r>
        <w:rPr>
          <w:rFonts w:ascii="Arial" w:eastAsia="Arial" w:hAnsi="Arial" w:cs="Arial"/>
          <w:i/>
          <w:sz w:val="20"/>
          <w:szCs w:val="20"/>
        </w:rPr>
        <w:t xml:space="preserve">Significant (P ≤ 0.05), NS- </w:t>
      </w:r>
      <w:proofErr w:type="gramStart"/>
      <w:r>
        <w:rPr>
          <w:rFonts w:ascii="Arial" w:eastAsia="Arial" w:hAnsi="Arial" w:cs="Arial"/>
          <w:i/>
          <w:sz w:val="20"/>
          <w:szCs w:val="20"/>
        </w:rPr>
        <w:t>Non significant</w:t>
      </w:r>
      <w:proofErr w:type="gramEnd"/>
    </w:p>
    <w:p w14:paraId="5CF56746" w14:textId="31644F71" w:rsidR="00841722" w:rsidRDefault="00CB299E">
      <w:pPr>
        <w:spacing w:after="120" w:line="480" w:lineRule="auto"/>
        <w:ind w:left="1134" w:right="-28" w:hanging="1276"/>
        <w:jc w:val="both"/>
        <w:rPr>
          <w:rFonts w:ascii="Arial" w:eastAsia="Arial" w:hAnsi="Arial" w:cs="Arial"/>
          <w:color w:val="000000"/>
          <w:sz w:val="20"/>
          <w:szCs w:val="20"/>
        </w:rPr>
      </w:pPr>
      <w:bookmarkStart w:id="13" w:name="_lnxbz9" w:colFirst="0" w:colLast="0"/>
      <w:bookmarkEnd w:id="13"/>
      <w:r>
        <w:rPr>
          <w:rFonts w:ascii="Arial" w:eastAsia="Arial" w:hAnsi="Arial" w:cs="Arial"/>
          <w:b/>
          <w:color w:val="000000"/>
          <w:sz w:val="20"/>
          <w:szCs w:val="20"/>
        </w:rPr>
        <w:t xml:space="preserve">Table </w:t>
      </w:r>
      <w:r w:rsidR="00CD3F84">
        <w:rPr>
          <w:rFonts w:ascii="Arial" w:eastAsia="Arial" w:hAnsi="Arial" w:cs="Arial"/>
          <w:b/>
          <w:color w:val="000000"/>
          <w:sz w:val="20"/>
          <w:szCs w:val="20"/>
        </w:rPr>
        <w:t>8</w:t>
      </w:r>
      <w:r>
        <w:rPr>
          <w:rFonts w:ascii="Arial" w:eastAsia="Arial" w:hAnsi="Arial" w:cs="Arial"/>
          <w:b/>
          <w:color w:val="000000"/>
          <w:sz w:val="20"/>
          <w:szCs w:val="20"/>
        </w:rPr>
        <w:t>:</w:t>
      </w:r>
      <w:r>
        <w:rPr>
          <w:rFonts w:ascii="Arial" w:eastAsia="Arial" w:hAnsi="Arial" w:cs="Arial"/>
          <w:b/>
          <w:color w:val="000000"/>
          <w:sz w:val="20"/>
          <w:szCs w:val="20"/>
        </w:rPr>
        <w:tab/>
      </w:r>
      <w:r>
        <w:rPr>
          <w:rFonts w:ascii="Arial" w:eastAsia="Arial" w:hAnsi="Arial" w:cs="Arial"/>
          <w:b/>
          <w:color w:val="000000"/>
          <w:sz w:val="20"/>
          <w:szCs w:val="20"/>
        </w:rPr>
        <w:t xml:space="preserve">Mean combined clinical-ophthalmic score in the dogs of different treatment groups at different time intervals </w:t>
      </w:r>
    </w:p>
    <w:tbl>
      <w:tblPr>
        <w:tblStyle w:val="a6"/>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0"/>
        <w:gridCol w:w="1735"/>
        <w:gridCol w:w="1461"/>
        <w:gridCol w:w="1550"/>
        <w:gridCol w:w="1101"/>
        <w:gridCol w:w="1127"/>
      </w:tblGrid>
      <w:tr w:rsidR="00841722" w14:paraId="6E59AA09" w14:textId="77777777">
        <w:trPr>
          <w:trHeight w:val="18"/>
          <w:jc w:val="center"/>
        </w:trPr>
        <w:tc>
          <w:tcPr>
            <w:tcW w:w="8644" w:type="dxa"/>
            <w:gridSpan w:val="6"/>
            <w:vAlign w:val="center"/>
          </w:tcPr>
          <w:p w14:paraId="4D87D094"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b/>
                <w:color w:val="000000"/>
                <w:sz w:val="20"/>
                <w:szCs w:val="20"/>
              </w:rPr>
              <w:t>Overall clinical ophthalmic grading score (Mean ± SE)</w:t>
            </w:r>
          </w:p>
        </w:tc>
      </w:tr>
      <w:tr w:rsidR="00841722" w14:paraId="334DB5BA" w14:textId="77777777">
        <w:trPr>
          <w:cantSplit/>
          <w:trHeight w:val="18"/>
          <w:jc w:val="center"/>
        </w:trPr>
        <w:tc>
          <w:tcPr>
            <w:tcW w:w="1670" w:type="dxa"/>
            <w:vMerge w:val="restart"/>
            <w:vAlign w:val="center"/>
          </w:tcPr>
          <w:p w14:paraId="00DD072C"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b/>
                <w:color w:val="000000"/>
                <w:sz w:val="20"/>
                <w:szCs w:val="20"/>
              </w:rPr>
              <w:t>Groups</w:t>
            </w:r>
          </w:p>
        </w:tc>
        <w:tc>
          <w:tcPr>
            <w:tcW w:w="1735" w:type="dxa"/>
            <w:vAlign w:val="center"/>
          </w:tcPr>
          <w:p w14:paraId="3A68C5AD" w14:textId="77777777" w:rsidR="00841722" w:rsidRDefault="00CB299E">
            <w:pPr>
              <w:spacing w:before="120" w:after="120" w:line="480" w:lineRule="auto"/>
              <w:ind w:right="-29"/>
              <w:jc w:val="center"/>
              <w:rPr>
                <w:rFonts w:ascii="Arial" w:eastAsia="Arial" w:hAnsi="Arial" w:cs="Arial"/>
                <w:color w:val="000000"/>
                <w:sz w:val="20"/>
                <w:szCs w:val="20"/>
              </w:rPr>
            </w:pPr>
            <w:proofErr w:type="gramStart"/>
            <w:r>
              <w:rPr>
                <w:rFonts w:ascii="Arial" w:eastAsia="Arial" w:hAnsi="Arial" w:cs="Arial"/>
                <w:b/>
                <w:color w:val="000000"/>
                <w:sz w:val="20"/>
                <w:szCs w:val="20"/>
              </w:rPr>
              <w:t>Pre treatment</w:t>
            </w:r>
            <w:proofErr w:type="gramEnd"/>
          </w:p>
        </w:tc>
        <w:tc>
          <w:tcPr>
            <w:tcW w:w="3011" w:type="dxa"/>
            <w:gridSpan w:val="2"/>
            <w:vAlign w:val="center"/>
          </w:tcPr>
          <w:p w14:paraId="60745B82"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b/>
                <w:color w:val="000000"/>
                <w:sz w:val="20"/>
                <w:szCs w:val="20"/>
              </w:rPr>
              <w:t>Post treatment</w:t>
            </w:r>
          </w:p>
        </w:tc>
        <w:tc>
          <w:tcPr>
            <w:tcW w:w="1101" w:type="dxa"/>
            <w:vMerge w:val="restart"/>
            <w:vAlign w:val="center"/>
          </w:tcPr>
          <w:p w14:paraId="6AE7717A"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b/>
                <w:color w:val="000000"/>
                <w:sz w:val="20"/>
                <w:szCs w:val="20"/>
              </w:rPr>
              <w:t>K value</w:t>
            </w:r>
          </w:p>
        </w:tc>
        <w:tc>
          <w:tcPr>
            <w:tcW w:w="1127" w:type="dxa"/>
            <w:vMerge w:val="restart"/>
            <w:vAlign w:val="center"/>
          </w:tcPr>
          <w:p w14:paraId="4BF93AB3"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b/>
                <w:i/>
                <w:color w:val="000000"/>
                <w:sz w:val="20"/>
                <w:szCs w:val="20"/>
              </w:rPr>
              <w:t>P</w:t>
            </w:r>
            <w:r>
              <w:rPr>
                <w:rFonts w:ascii="Arial" w:eastAsia="Arial" w:hAnsi="Arial" w:cs="Arial"/>
                <w:b/>
                <w:color w:val="000000"/>
                <w:sz w:val="20"/>
                <w:szCs w:val="20"/>
              </w:rPr>
              <w:t xml:space="preserve"> value</w:t>
            </w:r>
          </w:p>
        </w:tc>
      </w:tr>
      <w:tr w:rsidR="00841722" w14:paraId="44BEEF00" w14:textId="77777777">
        <w:trPr>
          <w:cantSplit/>
          <w:trHeight w:val="18"/>
          <w:jc w:val="center"/>
        </w:trPr>
        <w:tc>
          <w:tcPr>
            <w:tcW w:w="1670" w:type="dxa"/>
            <w:vMerge/>
            <w:vAlign w:val="center"/>
          </w:tcPr>
          <w:p w14:paraId="47416C19" w14:textId="77777777" w:rsidR="00841722" w:rsidRDefault="008417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735" w:type="dxa"/>
            <w:vAlign w:val="center"/>
          </w:tcPr>
          <w:p w14:paraId="33DCD885"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b/>
                <w:color w:val="000000"/>
                <w:sz w:val="20"/>
                <w:szCs w:val="20"/>
              </w:rPr>
              <w:t>Day 0</w:t>
            </w:r>
          </w:p>
        </w:tc>
        <w:tc>
          <w:tcPr>
            <w:tcW w:w="1461" w:type="dxa"/>
            <w:vAlign w:val="center"/>
          </w:tcPr>
          <w:p w14:paraId="3A6B2D33"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b/>
                <w:color w:val="000000"/>
                <w:sz w:val="20"/>
                <w:szCs w:val="20"/>
              </w:rPr>
              <w:t>Day 15</w:t>
            </w:r>
          </w:p>
        </w:tc>
        <w:tc>
          <w:tcPr>
            <w:tcW w:w="1550" w:type="dxa"/>
            <w:vAlign w:val="center"/>
          </w:tcPr>
          <w:p w14:paraId="3CB1D0EC"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b/>
                <w:color w:val="000000"/>
                <w:sz w:val="20"/>
                <w:szCs w:val="20"/>
              </w:rPr>
              <w:t>Day 30</w:t>
            </w:r>
          </w:p>
        </w:tc>
        <w:tc>
          <w:tcPr>
            <w:tcW w:w="1101" w:type="dxa"/>
            <w:vMerge/>
            <w:vAlign w:val="center"/>
          </w:tcPr>
          <w:p w14:paraId="0CA8CDF2" w14:textId="77777777" w:rsidR="00841722" w:rsidRDefault="008417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127" w:type="dxa"/>
            <w:vMerge/>
            <w:vAlign w:val="center"/>
          </w:tcPr>
          <w:p w14:paraId="42F17915" w14:textId="77777777" w:rsidR="00841722" w:rsidRDefault="008417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841722" w14:paraId="7792F3DC" w14:textId="77777777">
        <w:trPr>
          <w:trHeight w:val="18"/>
          <w:jc w:val="center"/>
        </w:trPr>
        <w:tc>
          <w:tcPr>
            <w:tcW w:w="1670" w:type="dxa"/>
            <w:vAlign w:val="center"/>
          </w:tcPr>
          <w:p w14:paraId="6BE39AB4" w14:textId="77777777" w:rsidR="00841722" w:rsidRDefault="00CB299E">
            <w:pPr>
              <w:spacing w:before="120" w:after="120" w:line="480" w:lineRule="auto"/>
              <w:ind w:right="-29"/>
              <w:rPr>
                <w:rFonts w:ascii="Arial" w:eastAsia="Arial" w:hAnsi="Arial" w:cs="Arial"/>
                <w:color w:val="000000"/>
                <w:sz w:val="20"/>
                <w:szCs w:val="20"/>
              </w:rPr>
            </w:pPr>
            <w:r>
              <w:rPr>
                <w:rFonts w:ascii="Arial" w:eastAsia="Arial" w:hAnsi="Arial" w:cs="Arial"/>
                <w:color w:val="000000"/>
                <w:sz w:val="20"/>
                <w:szCs w:val="20"/>
              </w:rPr>
              <w:t>G1</w:t>
            </w:r>
          </w:p>
        </w:tc>
        <w:tc>
          <w:tcPr>
            <w:tcW w:w="1735" w:type="dxa"/>
            <w:vAlign w:val="center"/>
          </w:tcPr>
          <w:p w14:paraId="15B2E514"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 xml:space="preserve">7.25 ± </w:t>
            </w:r>
            <w:r>
              <w:rPr>
                <w:rFonts w:ascii="Arial" w:eastAsia="Arial" w:hAnsi="Arial" w:cs="Arial"/>
                <w:color w:val="000000"/>
                <w:sz w:val="20"/>
                <w:szCs w:val="20"/>
              </w:rPr>
              <w:t>0.62</w:t>
            </w:r>
          </w:p>
        </w:tc>
        <w:tc>
          <w:tcPr>
            <w:tcW w:w="1461" w:type="dxa"/>
            <w:vAlign w:val="center"/>
          </w:tcPr>
          <w:p w14:paraId="0B0AE325"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6.00 ± 0.40</w:t>
            </w:r>
          </w:p>
        </w:tc>
        <w:tc>
          <w:tcPr>
            <w:tcW w:w="1550" w:type="dxa"/>
            <w:vAlign w:val="center"/>
          </w:tcPr>
          <w:p w14:paraId="3BB8C2BB"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3.75 ± 0.47</w:t>
            </w:r>
          </w:p>
        </w:tc>
        <w:tc>
          <w:tcPr>
            <w:tcW w:w="1101" w:type="dxa"/>
            <w:vAlign w:val="center"/>
          </w:tcPr>
          <w:p w14:paraId="3A1353EE"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8.280</w:t>
            </w:r>
          </w:p>
        </w:tc>
        <w:tc>
          <w:tcPr>
            <w:tcW w:w="1127" w:type="dxa"/>
            <w:vAlign w:val="center"/>
          </w:tcPr>
          <w:p w14:paraId="12879CB1"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0.016*</w:t>
            </w:r>
          </w:p>
        </w:tc>
      </w:tr>
      <w:tr w:rsidR="00841722" w14:paraId="774D937D" w14:textId="77777777">
        <w:trPr>
          <w:trHeight w:val="18"/>
          <w:jc w:val="center"/>
        </w:trPr>
        <w:tc>
          <w:tcPr>
            <w:tcW w:w="1670" w:type="dxa"/>
            <w:vAlign w:val="center"/>
          </w:tcPr>
          <w:p w14:paraId="5BA23CA6" w14:textId="77777777" w:rsidR="00841722" w:rsidRDefault="00CB299E">
            <w:pPr>
              <w:spacing w:before="120" w:after="120" w:line="480" w:lineRule="auto"/>
              <w:ind w:right="-29"/>
              <w:rPr>
                <w:rFonts w:ascii="Arial" w:eastAsia="Arial" w:hAnsi="Arial" w:cs="Arial"/>
                <w:color w:val="000000"/>
                <w:sz w:val="20"/>
                <w:szCs w:val="20"/>
              </w:rPr>
            </w:pPr>
            <w:r>
              <w:rPr>
                <w:rFonts w:ascii="Arial" w:eastAsia="Arial" w:hAnsi="Arial" w:cs="Arial"/>
                <w:color w:val="000000"/>
                <w:sz w:val="20"/>
                <w:szCs w:val="20"/>
              </w:rPr>
              <w:t>G2</w:t>
            </w:r>
          </w:p>
        </w:tc>
        <w:tc>
          <w:tcPr>
            <w:tcW w:w="1735" w:type="dxa"/>
            <w:vAlign w:val="center"/>
          </w:tcPr>
          <w:p w14:paraId="79FDA4B6"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8.00 ± 0.40</w:t>
            </w:r>
          </w:p>
        </w:tc>
        <w:tc>
          <w:tcPr>
            <w:tcW w:w="1461" w:type="dxa"/>
            <w:vAlign w:val="center"/>
          </w:tcPr>
          <w:p w14:paraId="12A4D65A"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6.00 ± 0.70</w:t>
            </w:r>
          </w:p>
        </w:tc>
        <w:tc>
          <w:tcPr>
            <w:tcW w:w="1550" w:type="dxa"/>
            <w:vAlign w:val="center"/>
          </w:tcPr>
          <w:p w14:paraId="58BFF477"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2.75 ± 1.50</w:t>
            </w:r>
          </w:p>
        </w:tc>
        <w:tc>
          <w:tcPr>
            <w:tcW w:w="1101" w:type="dxa"/>
            <w:vAlign w:val="center"/>
          </w:tcPr>
          <w:p w14:paraId="571254CB"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8.935</w:t>
            </w:r>
          </w:p>
        </w:tc>
        <w:tc>
          <w:tcPr>
            <w:tcW w:w="1127" w:type="dxa"/>
            <w:vAlign w:val="center"/>
          </w:tcPr>
          <w:p w14:paraId="754BC83C"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0.010*</w:t>
            </w:r>
          </w:p>
        </w:tc>
      </w:tr>
      <w:tr w:rsidR="00841722" w14:paraId="7035BF68" w14:textId="77777777">
        <w:trPr>
          <w:cantSplit/>
          <w:trHeight w:val="18"/>
          <w:jc w:val="center"/>
        </w:trPr>
        <w:tc>
          <w:tcPr>
            <w:tcW w:w="1670" w:type="dxa"/>
            <w:vAlign w:val="center"/>
          </w:tcPr>
          <w:p w14:paraId="76201F9D" w14:textId="77777777" w:rsidR="00841722" w:rsidRDefault="00CB299E">
            <w:pPr>
              <w:spacing w:before="120" w:after="120" w:line="480" w:lineRule="auto"/>
              <w:ind w:right="-29"/>
              <w:rPr>
                <w:rFonts w:ascii="Arial" w:eastAsia="Arial" w:hAnsi="Arial" w:cs="Arial"/>
                <w:color w:val="000000"/>
                <w:sz w:val="20"/>
                <w:szCs w:val="20"/>
              </w:rPr>
            </w:pPr>
            <w:r>
              <w:rPr>
                <w:rFonts w:ascii="Arial" w:eastAsia="Arial" w:hAnsi="Arial" w:cs="Arial"/>
                <w:b/>
                <w:color w:val="000000"/>
                <w:sz w:val="20"/>
                <w:szCs w:val="20"/>
              </w:rPr>
              <w:t>K value</w:t>
            </w:r>
          </w:p>
        </w:tc>
        <w:tc>
          <w:tcPr>
            <w:tcW w:w="1735" w:type="dxa"/>
            <w:vAlign w:val="center"/>
          </w:tcPr>
          <w:p w14:paraId="4969B7F4"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1.099</w:t>
            </w:r>
          </w:p>
        </w:tc>
        <w:tc>
          <w:tcPr>
            <w:tcW w:w="1461" w:type="dxa"/>
            <w:vAlign w:val="center"/>
          </w:tcPr>
          <w:p w14:paraId="77C2F776"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0.092</w:t>
            </w:r>
          </w:p>
        </w:tc>
        <w:tc>
          <w:tcPr>
            <w:tcW w:w="1550" w:type="dxa"/>
            <w:vAlign w:val="center"/>
          </w:tcPr>
          <w:p w14:paraId="0D9C5252" w14:textId="77777777" w:rsidR="00841722" w:rsidRDefault="00CB299E">
            <w:pPr>
              <w:spacing w:before="120" w:after="120" w:line="480" w:lineRule="auto"/>
              <w:ind w:right="-29"/>
              <w:jc w:val="center"/>
              <w:rPr>
                <w:rFonts w:ascii="Arial" w:eastAsia="Arial" w:hAnsi="Arial" w:cs="Arial"/>
                <w:color w:val="000000"/>
                <w:sz w:val="20"/>
                <w:szCs w:val="20"/>
              </w:rPr>
            </w:pPr>
            <w:r>
              <w:rPr>
                <w:rFonts w:ascii="Arial" w:eastAsia="Arial" w:hAnsi="Arial" w:cs="Arial"/>
                <w:color w:val="000000"/>
                <w:sz w:val="20"/>
                <w:szCs w:val="20"/>
              </w:rPr>
              <w:t>0.797</w:t>
            </w:r>
          </w:p>
        </w:tc>
        <w:tc>
          <w:tcPr>
            <w:tcW w:w="2228" w:type="dxa"/>
            <w:gridSpan w:val="2"/>
            <w:vMerge w:val="restart"/>
            <w:vAlign w:val="center"/>
          </w:tcPr>
          <w:p w14:paraId="410ECF5B" w14:textId="77777777" w:rsidR="00841722" w:rsidRDefault="00841722">
            <w:pPr>
              <w:spacing w:before="120" w:after="120" w:line="480" w:lineRule="auto"/>
              <w:ind w:right="-29"/>
              <w:jc w:val="center"/>
              <w:rPr>
                <w:rFonts w:ascii="Arial" w:eastAsia="Arial" w:hAnsi="Arial" w:cs="Arial"/>
                <w:color w:val="000000"/>
                <w:sz w:val="20"/>
                <w:szCs w:val="20"/>
              </w:rPr>
            </w:pPr>
          </w:p>
        </w:tc>
      </w:tr>
      <w:tr w:rsidR="00841722" w14:paraId="76E24D0C" w14:textId="77777777">
        <w:trPr>
          <w:cantSplit/>
          <w:trHeight w:val="18"/>
          <w:jc w:val="center"/>
        </w:trPr>
        <w:tc>
          <w:tcPr>
            <w:tcW w:w="1670" w:type="dxa"/>
            <w:vAlign w:val="center"/>
          </w:tcPr>
          <w:p w14:paraId="58FCE174" w14:textId="77777777" w:rsidR="00841722" w:rsidRDefault="00CB299E">
            <w:pPr>
              <w:spacing w:before="120" w:after="120" w:line="480" w:lineRule="auto"/>
              <w:ind w:right="-29"/>
              <w:rPr>
                <w:rFonts w:ascii="Arial" w:eastAsia="Arial" w:hAnsi="Arial" w:cs="Arial"/>
                <w:color w:val="000000"/>
                <w:sz w:val="20"/>
                <w:szCs w:val="20"/>
              </w:rPr>
            </w:pPr>
            <w:r>
              <w:rPr>
                <w:rFonts w:ascii="Arial" w:eastAsia="Arial" w:hAnsi="Arial" w:cs="Arial"/>
                <w:b/>
                <w:i/>
                <w:color w:val="000000"/>
                <w:sz w:val="20"/>
                <w:szCs w:val="20"/>
              </w:rPr>
              <w:t>P</w:t>
            </w:r>
            <w:r>
              <w:rPr>
                <w:rFonts w:ascii="Arial" w:eastAsia="Arial" w:hAnsi="Arial" w:cs="Arial"/>
                <w:b/>
                <w:color w:val="000000"/>
                <w:sz w:val="20"/>
                <w:szCs w:val="20"/>
              </w:rPr>
              <w:t xml:space="preserve"> value</w:t>
            </w:r>
          </w:p>
        </w:tc>
        <w:tc>
          <w:tcPr>
            <w:tcW w:w="1735" w:type="dxa"/>
            <w:vAlign w:val="center"/>
          </w:tcPr>
          <w:p w14:paraId="786215E6" w14:textId="77777777" w:rsidR="00841722" w:rsidRDefault="00CB299E">
            <w:pPr>
              <w:spacing w:before="120" w:after="120" w:line="480" w:lineRule="auto"/>
              <w:ind w:right="-29"/>
              <w:jc w:val="center"/>
              <w:rPr>
                <w:rFonts w:ascii="Arial" w:eastAsia="Arial" w:hAnsi="Arial" w:cs="Arial"/>
                <w:color w:val="000000"/>
                <w:sz w:val="20"/>
                <w:szCs w:val="20"/>
                <w:vertAlign w:val="superscript"/>
              </w:rPr>
            </w:pPr>
            <w:r>
              <w:rPr>
                <w:rFonts w:ascii="Arial" w:eastAsia="Arial" w:hAnsi="Arial" w:cs="Arial"/>
                <w:color w:val="000000"/>
                <w:sz w:val="20"/>
                <w:szCs w:val="20"/>
              </w:rPr>
              <w:t>0.290</w:t>
            </w:r>
            <w:r>
              <w:rPr>
                <w:rFonts w:ascii="Arial" w:eastAsia="Arial" w:hAnsi="Arial" w:cs="Arial"/>
                <w:color w:val="000000"/>
                <w:sz w:val="20"/>
                <w:szCs w:val="20"/>
                <w:vertAlign w:val="superscript"/>
              </w:rPr>
              <w:t>NS</w:t>
            </w:r>
          </w:p>
        </w:tc>
        <w:tc>
          <w:tcPr>
            <w:tcW w:w="1461" w:type="dxa"/>
            <w:vAlign w:val="center"/>
          </w:tcPr>
          <w:p w14:paraId="65EF14EF" w14:textId="77777777" w:rsidR="00841722" w:rsidRDefault="00CB299E">
            <w:pPr>
              <w:spacing w:before="120" w:after="120" w:line="480" w:lineRule="auto"/>
              <w:ind w:right="-29"/>
              <w:jc w:val="center"/>
              <w:rPr>
                <w:rFonts w:ascii="Arial" w:eastAsia="Arial" w:hAnsi="Arial" w:cs="Arial"/>
                <w:color w:val="000000"/>
                <w:sz w:val="20"/>
                <w:szCs w:val="20"/>
                <w:vertAlign w:val="superscript"/>
              </w:rPr>
            </w:pPr>
            <w:r>
              <w:rPr>
                <w:rFonts w:ascii="Arial" w:eastAsia="Arial" w:hAnsi="Arial" w:cs="Arial"/>
                <w:color w:val="000000"/>
                <w:sz w:val="20"/>
                <w:szCs w:val="20"/>
              </w:rPr>
              <w:t>0.760</w:t>
            </w:r>
            <w:r>
              <w:rPr>
                <w:rFonts w:ascii="Arial" w:eastAsia="Arial" w:hAnsi="Arial" w:cs="Arial"/>
                <w:color w:val="000000"/>
                <w:sz w:val="20"/>
                <w:szCs w:val="20"/>
                <w:vertAlign w:val="superscript"/>
              </w:rPr>
              <w:t>NS</w:t>
            </w:r>
          </w:p>
        </w:tc>
        <w:tc>
          <w:tcPr>
            <w:tcW w:w="1550" w:type="dxa"/>
            <w:vAlign w:val="center"/>
          </w:tcPr>
          <w:p w14:paraId="200302BF" w14:textId="77777777" w:rsidR="00841722" w:rsidRDefault="00CB299E">
            <w:pPr>
              <w:spacing w:before="120" w:after="120" w:line="480" w:lineRule="auto"/>
              <w:ind w:right="-29"/>
              <w:jc w:val="center"/>
              <w:rPr>
                <w:rFonts w:ascii="Arial" w:eastAsia="Arial" w:hAnsi="Arial" w:cs="Arial"/>
                <w:color w:val="000000"/>
                <w:sz w:val="20"/>
                <w:szCs w:val="20"/>
                <w:vertAlign w:val="superscript"/>
              </w:rPr>
            </w:pPr>
            <w:r>
              <w:rPr>
                <w:rFonts w:ascii="Arial" w:eastAsia="Arial" w:hAnsi="Arial" w:cs="Arial"/>
                <w:color w:val="000000"/>
                <w:sz w:val="20"/>
                <w:szCs w:val="20"/>
              </w:rPr>
              <w:t>0.372</w:t>
            </w:r>
            <w:r>
              <w:rPr>
                <w:rFonts w:ascii="Arial" w:eastAsia="Arial" w:hAnsi="Arial" w:cs="Arial"/>
                <w:color w:val="000000"/>
                <w:sz w:val="20"/>
                <w:szCs w:val="20"/>
                <w:vertAlign w:val="superscript"/>
              </w:rPr>
              <w:t>NS</w:t>
            </w:r>
          </w:p>
        </w:tc>
        <w:tc>
          <w:tcPr>
            <w:tcW w:w="2228" w:type="dxa"/>
            <w:gridSpan w:val="2"/>
            <w:vMerge/>
            <w:vAlign w:val="center"/>
          </w:tcPr>
          <w:p w14:paraId="2E8D1EC6" w14:textId="77777777" w:rsidR="00841722" w:rsidRDefault="00841722">
            <w:pPr>
              <w:widowControl w:val="0"/>
              <w:pBdr>
                <w:top w:val="nil"/>
                <w:left w:val="nil"/>
                <w:bottom w:val="nil"/>
                <w:right w:val="nil"/>
                <w:between w:val="nil"/>
              </w:pBdr>
              <w:spacing w:after="0" w:line="276" w:lineRule="auto"/>
              <w:rPr>
                <w:rFonts w:ascii="Arial" w:eastAsia="Arial" w:hAnsi="Arial" w:cs="Arial"/>
                <w:color w:val="000000"/>
                <w:sz w:val="20"/>
                <w:szCs w:val="20"/>
                <w:vertAlign w:val="superscript"/>
              </w:rPr>
            </w:pPr>
          </w:p>
        </w:tc>
      </w:tr>
    </w:tbl>
    <w:p w14:paraId="62B2AB43" w14:textId="77777777" w:rsidR="00841722" w:rsidRDefault="00CB299E">
      <w:pPr>
        <w:widowControl w:val="0"/>
        <w:spacing w:after="120" w:line="480" w:lineRule="auto"/>
        <w:ind w:right="-28"/>
        <w:jc w:val="both"/>
        <w:rPr>
          <w:rFonts w:ascii="Arial" w:eastAsia="Arial" w:hAnsi="Arial" w:cs="Arial"/>
          <w:sz w:val="20"/>
          <w:szCs w:val="20"/>
        </w:rPr>
      </w:pPr>
      <w:r>
        <w:rPr>
          <w:rFonts w:ascii="Arial" w:eastAsia="Arial" w:hAnsi="Arial" w:cs="Arial"/>
          <w:sz w:val="20"/>
          <w:szCs w:val="20"/>
        </w:rPr>
        <w:t>*</w:t>
      </w:r>
      <w:r>
        <w:rPr>
          <w:rFonts w:ascii="Arial" w:eastAsia="Arial" w:hAnsi="Arial" w:cs="Arial"/>
          <w:i/>
          <w:sz w:val="20"/>
          <w:szCs w:val="20"/>
        </w:rPr>
        <w:t xml:space="preserve">Significant (P ≤ 0.05), NS- </w:t>
      </w:r>
      <w:proofErr w:type="gramStart"/>
      <w:r>
        <w:rPr>
          <w:rFonts w:ascii="Arial" w:eastAsia="Arial" w:hAnsi="Arial" w:cs="Arial"/>
          <w:i/>
          <w:sz w:val="20"/>
          <w:szCs w:val="20"/>
        </w:rPr>
        <w:t>Non significant</w:t>
      </w:r>
      <w:proofErr w:type="gramEnd"/>
    </w:p>
    <w:p w14:paraId="7B610460" w14:textId="2FB8512D" w:rsidR="00841722" w:rsidRDefault="00CB299E">
      <w:pPr>
        <w:spacing w:line="480" w:lineRule="auto"/>
        <w:ind w:right="-28"/>
        <w:jc w:val="both"/>
        <w:rPr>
          <w:rFonts w:ascii="Arial" w:eastAsia="Arial" w:hAnsi="Arial" w:cs="Arial"/>
          <w:sz w:val="20"/>
          <w:szCs w:val="20"/>
        </w:rPr>
      </w:pPr>
      <w:r>
        <w:rPr>
          <w:rFonts w:ascii="Arial" w:eastAsia="Arial" w:hAnsi="Arial" w:cs="Arial"/>
          <w:sz w:val="20"/>
          <w:szCs w:val="20"/>
        </w:rPr>
        <w:lastRenderedPageBreak/>
        <w:t xml:space="preserve">  </w:t>
      </w:r>
      <w:r w:rsidR="006A3393" w:rsidRPr="006A3393">
        <w:rPr>
          <w:rFonts w:ascii="Arial" w:eastAsia="Arial" w:hAnsi="Arial" w:cs="Arial"/>
          <w:noProof/>
          <w:sz w:val="20"/>
          <w:szCs w:val="20"/>
        </w:rPr>
        <w:drawing>
          <wp:inline distT="0" distB="0" distL="0" distR="0" wp14:anchorId="4D0F0782" wp14:editId="34CC1899">
            <wp:extent cx="4336489" cy="2081284"/>
            <wp:effectExtent l="0" t="0" r="6985" b="0"/>
            <wp:docPr id="171565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50332" name=""/>
                    <pic:cNvPicPr/>
                  </pic:nvPicPr>
                  <pic:blipFill>
                    <a:blip r:embed="rId9"/>
                    <a:stretch>
                      <a:fillRect/>
                    </a:stretch>
                  </pic:blipFill>
                  <pic:spPr>
                    <a:xfrm>
                      <a:off x="0" y="0"/>
                      <a:ext cx="4347872" cy="2086747"/>
                    </a:xfrm>
                    <a:prstGeom prst="rect">
                      <a:avLst/>
                    </a:prstGeom>
                  </pic:spPr>
                </pic:pic>
              </a:graphicData>
            </a:graphic>
          </wp:inline>
        </w:drawing>
      </w:r>
    </w:p>
    <w:p w14:paraId="53F1CB50" w14:textId="77777777" w:rsidR="00841722" w:rsidRDefault="00CB299E">
      <w:pPr>
        <w:spacing w:line="480" w:lineRule="auto"/>
        <w:ind w:left="1757" w:hanging="1973"/>
        <w:jc w:val="both"/>
        <w:rPr>
          <w:rFonts w:ascii="Arial" w:eastAsia="Arial" w:hAnsi="Arial" w:cs="Arial"/>
          <w:color w:val="000000"/>
          <w:sz w:val="20"/>
          <w:szCs w:val="20"/>
        </w:rPr>
      </w:pPr>
      <w:r>
        <w:rPr>
          <w:rFonts w:ascii="Arial" w:eastAsia="Arial" w:hAnsi="Arial" w:cs="Arial"/>
          <w:b/>
          <w:color w:val="000000"/>
          <w:sz w:val="20"/>
          <w:szCs w:val="20"/>
        </w:rPr>
        <w:t xml:space="preserve">   Fig 2: KCS in Labrador Retriever dog treated with Cyclosporine</w:t>
      </w:r>
    </w:p>
    <w:p w14:paraId="7E11A063" w14:textId="77777777" w:rsidR="00841722" w:rsidRDefault="00CB299E">
      <w:pPr>
        <w:spacing w:line="480" w:lineRule="auto"/>
        <w:ind w:left="1973" w:hanging="1973"/>
        <w:jc w:val="both"/>
        <w:rPr>
          <w:rFonts w:ascii="Arial" w:eastAsia="Arial" w:hAnsi="Arial" w:cs="Arial"/>
          <w:color w:val="000000"/>
          <w:sz w:val="20"/>
          <w:szCs w:val="20"/>
        </w:rPr>
      </w:pPr>
      <w:r>
        <w:rPr>
          <w:rFonts w:ascii="Arial" w:eastAsia="Arial" w:hAnsi="Arial" w:cs="Arial"/>
          <w:b/>
          <w:color w:val="000000"/>
          <w:sz w:val="20"/>
          <w:szCs w:val="20"/>
        </w:rPr>
        <w:t xml:space="preserve">    (a) Day 0 </w:t>
      </w:r>
      <w:proofErr w:type="spellStart"/>
      <w:proofErr w:type="gramStart"/>
      <w:r>
        <w:rPr>
          <w:rFonts w:ascii="Arial" w:eastAsia="Arial" w:hAnsi="Arial" w:cs="Arial"/>
          <w:b/>
          <w:color w:val="000000"/>
          <w:sz w:val="20"/>
          <w:szCs w:val="20"/>
        </w:rPr>
        <w:t>pre treatment</w:t>
      </w:r>
      <w:proofErr w:type="spellEnd"/>
      <w:proofErr w:type="gramEnd"/>
      <w:r>
        <w:rPr>
          <w:rFonts w:ascii="Arial" w:eastAsia="Arial" w:hAnsi="Arial" w:cs="Arial"/>
          <w:b/>
          <w:color w:val="000000"/>
          <w:sz w:val="20"/>
          <w:szCs w:val="20"/>
        </w:rPr>
        <w:t xml:space="preserve"> (b) Day 15 post treatment (c) Day 30 post treatment</w:t>
      </w:r>
    </w:p>
    <w:p w14:paraId="0542FE7D" w14:textId="4E23F1D7" w:rsidR="00841722" w:rsidRDefault="00CB299E">
      <w:pPr>
        <w:spacing w:after="120" w:line="480" w:lineRule="auto"/>
        <w:ind w:right="-28"/>
        <w:jc w:val="both"/>
        <w:rPr>
          <w:rFonts w:ascii="Arial" w:eastAsia="Arial" w:hAnsi="Arial" w:cs="Arial"/>
          <w:sz w:val="20"/>
          <w:szCs w:val="20"/>
        </w:rPr>
      </w:pPr>
      <w:r>
        <w:rPr>
          <w:rFonts w:ascii="Arial" w:eastAsia="Arial" w:hAnsi="Arial" w:cs="Arial"/>
          <w:sz w:val="20"/>
          <w:szCs w:val="20"/>
        </w:rPr>
        <w:t xml:space="preserve">  </w:t>
      </w:r>
      <w:r w:rsidR="006A3393" w:rsidRPr="006A3393">
        <w:rPr>
          <w:rFonts w:ascii="Arial" w:eastAsia="Arial" w:hAnsi="Arial" w:cs="Arial"/>
          <w:noProof/>
          <w:sz w:val="20"/>
          <w:szCs w:val="20"/>
        </w:rPr>
        <w:drawing>
          <wp:inline distT="0" distB="0" distL="0" distR="0" wp14:anchorId="5401A9A9" wp14:editId="0BDEC863">
            <wp:extent cx="5010697" cy="2265528"/>
            <wp:effectExtent l="0" t="0" r="0" b="1905"/>
            <wp:docPr id="1430790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90638" name=""/>
                    <pic:cNvPicPr/>
                  </pic:nvPicPr>
                  <pic:blipFill>
                    <a:blip r:embed="rId10"/>
                    <a:stretch>
                      <a:fillRect/>
                    </a:stretch>
                  </pic:blipFill>
                  <pic:spPr>
                    <a:xfrm>
                      <a:off x="0" y="0"/>
                      <a:ext cx="5028021" cy="2273361"/>
                    </a:xfrm>
                    <a:prstGeom prst="rect">
                      <a:avLst/>
                    </a:prstGeom>
                  </pic:spPr>
                </pic:pic>
              </a:graphicData>
            </a:graphic>
          </wp:inline>
        </w:drawing>
      </w:r>
    </w:p>
    <w:p w14:paraId="7629B316" w14:textId="77777777" w:rsidR="00841722" w:rsidRDefault="00CB299E">
      <w:pPr>
        <w:spacing w:line="480" w:lineRule="auto"/>
        <w:ind w:left="1757" w:hanging="1973"/>
        <w:jc w:val="both"/>
        <w:rPr>
          <w:rFonts w:ascii="Arial" w:eastAsia="Arial" w:hAnsi="Arial" w:cs="Arial"/>
          <w:color w:val="000000"/>
          <w:sz w:val="20"/>
          <w:szCs w:val="20"/>
        </w:rPr>
      </w:pPr>
      <w:r>
        <w:rPr>
          <w:rFonts w:ascii="Arial" w:eastAsia="Arial" w:hAnsi="Arial" w:cs="Arial"/>
          <w:b/>
          <w:color w:val="000000"/>
          <w:sz w:val="20"/>
          <w:szCs w:val="20"/>
        </w:rPr>
        <w:t xml:space="preserve">     Fig 3: KCS in Lhasa Apso dog treated with Tacrolimus</w:t>
      </w:r>
      <w:r>
        <w:rPr>
          <w:rFonts w:ascii="Arial" w:eastAsia="Arial" w:hAnsi="Arial" w:cs="Arial"/>
          <w:b/>
          <w:color w:val="000000"/>
          <w:sz w:val="20"/>
          <w:szCs w:val="20"/>
          <w:vertAlign w:val="subscript"/>
        </w:rPr>
        <w:t xml:space="preserve">      </w:t>
      </w:r>
    </w:p>
    <w:p w14:paraId="38C83D3E" w14:textId="77777777" w:rsidR="00841722" w:rsidRDefault="00CB299E">
      <w:pPr>
        <w:spacing w:line="480" w:lineRule="auto"/>
        <w:ind w:left="1757" w:hanging="1973"/>
        <w:jc w:val="both"/>
        <w:rPr>
          <w:rFonts w:ascii="Arial" w:eastAsia="Arial" w:hAnsi="Arial" w:cs="Arial"/>
          <w:color w:val="000000"/>
          <w:sz w:val="20"/>
          <w:szCs w:val="20"/>
        </w:rPr>
      </w:pPr>
      <w:r>
        <w:rPr>
          <w:rFonts w:ascii="Arial" w:eastAsia="Arial" w:hAnsi="Arial" w:cs="Arial"/>
          <w:b/>
          <w:color w:val="000000"/>
          <w:sz w:val="20"/>
          <w:szCs w:val="20"/>
        </w:rPr>
        <w:t xml:space="preserve">      (a) Day 0 </w:t>
      </w:r>
      <w:proofErr w:type="spellStart"/>
      <w:r>
        <w:rPr>
          <w:rFonts w:ascii="Arial" w:eastAsia="Arial" w:hAnsi="Arial" w:cs="Arial"/>
          <w:b/>
          <w:color w:val="000000"/>
          <w:sz w:val="20"/>
          <w:szCs w:val="20"/>
        </w:rPr>
        <w:t>pre</w:t>
      </w:r>
      <w:proofErr w:type="spellEnd"/>
      <w:r>
        <w:rPr>
          <w:rFonts w:ascii="Arial" w:eastAsia="Arial" w:hAnsi="Arial" w:cs="Arial"/>
          <w:b/>
          <w:color w:val="000000"/>
          <w:sz w:val="20"/>
          <w:szCs w:val="20"/>
        </w:rPr>
        <w:t xml:space="preserve"> </w:t>
      </w:r>
      <w:proofErr w:type="spellStart"/>
      <w:proofErr w:type="gramStart"/>
      <w:r>
        <w:rPr>
          <w:rFonts w:ascii="Arial" w:eastAsia="Arial" w:hAnsi="Arial" w:cs="Arial"/>
          <w:b/>
          <w:color w:val="000000"/>
          <w:sz w:val="20"/>
          <w:szCs w:val="20"/>
        </w:rPr>
        <w:t>treatmen</w:t>
      </w:r>
      <w:proofErr w:type="spellEnd"/>
      <w:r>
        <w:rPr>
          <w:rFonts w:ascii="Arial" w:eastAsia="Arial" w:hAnsi="Arial" w:cs="Arial"/>
          <w:b/>
          <w:color w:val="000000"/>
          <w:sz w:val="20"/>
          <w:szCs w:val="20"/>
        </w:rPr>
        <w:t xml:space="preserve">  (</w:t>
      </w:r>
      <w:proofErr w:type="gramEnd"/>
      <w:r>
        <w:rPr>
          <w:rFonts w:ascii="Arial" w:eastAsia="Arial" w:hAnsi="Arial" w:cs="Arial"/>
          <w:b/>
          <w:color w:val="000000"/>
          <w:sz w:val="20"/>
          <w:szCs w:val="20"/>
        </w:rPr>
        <w:t>b) Day 15 post treatment  (c) Day 30 post treatment</w:t>
      </w:r>
    </w:p>
    <w:p w14:paraId="74E23CE0" w14:textId="77777777" w:rsidR="00841722" w:rsidRDefault="00CB299E">
      <w:pPr>
        <w:spacing w:after="120" w:line="480" w:lineRule="auto"/>
        <w:ind w:right="-28"/>
        <w:jc w:val="both"/>
        <w:rPr>
          <w:rFonts w:ascii="Arial" w:eastAsia="Arial" w:hAnsi="Arial" w:cs="Arial"/>
        </w:rPr>
      </w:pPr>
      <w:r>
        <w:rPr>
          <w:rFonts w:ascii="Arial" w:eastAsia="Arial" w:hAnsi="Arial" w:cs="Arial"/>
          <w:b/>
        </w:rPr>
        <w:t>4. CONCLUSION</w:t>
      </w:r>
    </w:p>
    <w:p w14:paraId="264656E9" w14:textId="77777777" w:rsidR="00841722" w:rsidRDefault="00CB299E">
      <w:pPr>
        <w:spacing w:after="120" w:line="480" w:lineRule="auto"/>
        <w:ind w:right="-28"/>
        <w:jc w:val="both"/>
        <w:rPr>
          <w:rFonts w:ascii="Arial" w:eastAsia="Arial" w:hAnsi="Arial" w:cs="Arial"/>
          <w:color w:val="000000"/>
          <w:sz w:val="20"/>
          <w:szCs w:val="20"/>
        </w:rPr>
      </w:pPr>
      <w:r>
        <w:rPr>
          <w:rFonts w:ascii="Arial" w:eastAsia="Arial" w:hAnsi="Arial" w:cs="Arial"/>
          <w:color w:val="000000"/>
          <w:sz w:val="20"/>
          <w:szCs w:val="20"/>
        </w:rPr>
        <w:t>Mean Schirmer tear test (STT-I) and mean tear film breakup time (TFBUT) findings revealed a significantly lower mean value on day 0 (pre-treatment). However, t</w:t>
      </w:r>
      <w:r>
        <w:rPr>
          <w:rFonts w:ascii="Arial" w:eastAsia="Arial" w:hAnsi="Arial" w:cs="Arial"/>
          <w:color w:val="000000"/>
          <w:sz w:val="20"/>
          <w:szCs w:val="20"/>
        </w:rPr>
        <w:t>he mean value increased significantly in both groups on day 30 (post-treatment). The therapeutic response evaluation on the basis of overall clinical ophthalmic signs grading score revealed that treatment with Tacrolimus (0.03%) showed better results in co</w:t>
      </w:r>
      <w:r>
        <w:rPr>
          <w:rFonts w:ascii="Arial" w:eastAsia="Arial" w:hAnsi="Arial" w:cs="Arial"/>
          <w:color w:val="000000"/>
          <w:sz w:val="20"/>
          <w:szCs w:val="20"/>
        </w:rPr>
        <w:t xml:space="preserve">mparison to Cyclosporine (0.2%) on day 30 in Keratoconjunctivitis sicca in dogs. Future research can focus on optimizing dosing strategies, combination therapies and long-term efficacy of tacrolimus and cyclosporine in canine KCS. </w:t>
      </w:r>
    </w:p>
    <w:p w14:paraId="6FCCC42B" w14:textId="77777777" w:rsidR="00841722" w:rsidRDefault="00841722">
      <w:pPr>
        <w:keepNext/>
        <w:pBdr>
          <w:top w:val="nil"/>
          <w:left w:val="nil"/>
          <w:bottom w:val="nil"/>
          <w:right w:val="nil"/>
          <w:between w:val="nil"/>
        </w:pBdr>
        <w:spacing w:after="0" w:line="240" w:lineRule="auto"/>
        <w:jc w:val="both"/>
        <w:rPr>
          <w:rFonts w:ascii="Arial" w:eastAsia="Arial" w:hAnsi="Arial" w:cs="Arial"/>
          <w:color w:val="000000"/>
          <w:sz w:val="20"/>
          <w:szCs w:val="20"/>
        </w:rPr>
      </w:pPr>
      <w:bookmarkStart w:id="14" w:name="_GoBack"/>
      <w:bookmarkEnd w:id="14"/>
    </w:p>
    <w:p w14:paraId="1D8E9771" w14:textId="77777777" w:rsidR="00841722" w:rsidRDefault="00CB299E">
      <w:pPr>
        <w:spacing w:line="480" w:lineRule="auto"/>
        <w:rPr>
          <w:rFonts w:ascii="Arial" w:eastAsia="Arial" w:hAnsi="Arial" w:cs="Arial"/>
        </w:rPr>
      </w:pPr>
      <w:bookmarkStart w:id="15" w:name="_35nkun2" w:colFirst="0" w:colLast="0"/>
      <w:bookmarkEnd w:id="15"/>
      <w:r>
        <w:rPr>
          <w:rFonts w:ascii="Arial" w:eastAsia="Arial" w:hAnsi="Arial" w:cs="Arial"/>
          <w:b/>
        </w:rPr>
        <w:t>7. REFERENCES</w:t>
      </w:r>
    </w:p>
    <w:p w14:paraId="02547A3C" w14:textId="77777777" w:rsidR="00841722" w:rsidRDefault="00CB299E">
      <w:pPr>
        <w:shd w:val="clear" w:color="auto" w:fill="FFFFFF"/>
        <w:spacing w:before="120" w:after="120" w:line="480" w:lineRule="auto"/>
        <w:ind w:left="1440" w:right="-28" w:hanging="1440"/>
        <w:jc w:val="both"/>
        <w:rPr>
          <w:rFonts w:ascii="Arial" w:eastAsia="Arial" w:hAnsi="Arial" w:cs="Arial"/>
          <w:color w:val="000000"/>
          <w:sz w:val="20"/>
          <w:szCs w:val="20"/>
        </w:rPr>
      </w:pPr>
      <w:proofErr w:type="spellStart"/>
      <w:r>
        <w:rPr>
          <w:rFonts w:ascii="Arial" w:eastAsia="Arial" w:hAnsi="Arial" w:cs="Arial"/>
          <w:color w:val="000000"/>
          <w:sz w:val="20"/>
          <w:szCs w:val="20"/>
        </w:rPr>
        <w:t>Berdoulay</w:t>
      </w:r>
      <w:proofErr w:type="spellEnd"/>
      <w:r>
        <w:rPr>
          <w:rFonts w:ascii="Arial" w:eastAsia="Arial" w:hAnsi="Arial" w:cs="Arial"/>
          <w:color w:val="000000"/>
          <w:sz w:val="20"/>
          <w:szCs w:val="20"/>
        </w:rPr>
        <w:t xml:space="preserve">, A., English, R.V. and </w:t>
      </w:r>
      <w:proofErr w:type="spellStart"/>
      <w:r>
        <w:rPr>
          <w:rFonts w:ascii="Arial" w:eastAsia="Arial" w:hAnsi="Arial" w:cs="Arial"/>
          <w:color w:val="000000"/>
          <w:sz w:val="20"/>
          <w:szCs w:val="20"/>
        </w:rPr>
        <w:t>Nadelstein</w:t>
      </w:r>
      <w:proofErr w:type="spellEnd"/>
      <w:r>
        <w:rPr>
          <w:rFonts w:ascii="Arial" w:eastAsia="Arial" w:hAnsi="Arial" w:cs="Arial"/>
          <w:color w:val="000000"/>
          <w:sz w:val="20"/>
          <w:szCs w:val="20"/>
        </w:rPr>
        <w:t>, B. (2005). Effect of topical 0.02% tacrolimus aqueous suspension on tear production in dogs with keratoconjunctivitis sicca. </w:t>
      </w:r>
      <w:r>
        <w:rPr>
          <w:rFonts w:ascii="Arial" w:eastAsia="Arial" w:hAnsi="Arial" w:cs="Arial"/>
          <w:i/>
          <w:color w:val="000000"/>
          <w:sz w:val="20"/>
          <w:szCs w:val="20"/>
        </w:rPr>
        <w:t>Veterinary Ophthalmology</w:t>
      </w:r>
      <w:r>
        <w:rPr>
          <w:rFonts w:ascii="Arial" w:eastAsia="Arial" w:hAnsi="Arial" w:cs="Arial"/>
          <w:color w:val="000000"/>
          <w:sz w:val="20"/>
          <w:szCs w:val="20"/>
        </w:rPr>
        <w:t>, </w:t>
      </w:r>
      <w:r>
        <w:rPr>
          <w:rFonts w:ascii="Arial" w:eastAsia="Arial" w:hAnsi="Arial" w:cs="Arial"/>
          <w:b/>
          <w:color w:val="000000"/>
          <w:sz w:val="20"/>
          <w:szCs w:val="20"/>
        </w:rPr>
        <w:t>8</w:t>
      </w:r>
      <w:r>
        <w:rPr>
          <w:rFonts w:ascii="Arial" w:eastAsia="Arial" w:hAnsi="Arial" w:cs="Arial"/>
          <w:color w:val="000000"/>
          <w:sz w:val="20"/>
          <w:szCs w:val="20"/>
        </w:rPr>
        <w:t>(4): 225-232.</w:t>
      </w:r>
    </w:p>
    <w:p w14:paraId="7DE1FB67" w14:textId="77777777" w:rsidR="00841722" w:rsidRDefault="00CB299E">
      <w:pPr>
        <w:spacing w:before="120" w:after="120" w:line="480" w:lineRule="auto"/>
        <w:ind w:left="1440" w:right="-28" w:hanging="1440"/>
        <w:jc w:val="both"/>
        <w:rPr>
          <w:rFonts w:ascii="Arial" w:eastAsia="Arial" w:hAnsi="Arial" w:cs="Arial"/>
          <w:color w:val="000000"/>
          <w:sz w:val="20"/>
          <w:szCs w:val="20"/>
        </w:rPr>
      </w:pPr>
      <w:r>
        <w:rPr>
          <w:rFonts w:ascii="Arial" w:eastAsia="Arial" w:hAnsi="Arial" w:cs="Arial"/>
          <w:color w:val="000000"/>
          <w:sz w:val="20"/>
          <w:szCs w:val="20"/>
        </w:rPr>
        <w:t>Be</w:t>
      </w:r>
      <w:r>
        <w:rPr>
          <w:rFonts w:ascii="Arial" w:eastAsia="Arial" w:hAnsi="Arial" w:cs="Arial"/>
          <w:color w:val="000000"/>
          <w:sz w:val="20"/>
          <w:szCs w:val="20"/>
        </w:rPr>
        <w:t>st, L.J., Hendrix, D.V. and Ward, D.A. (2014). Diagnosis and treatment of keratoconjunctivitis sicca in dogs. </w:t>
      </w:r>
      <w:r>
        <w:rPr>
          <w:rFonts w:ascii="Arial" w:eastAsia="Arial" w:hAnsi="Arial" w:cs="Arial"/>
          <w:i/>
          <w:color w:val="000000"/>
          <w:sz w:val="20"/>
          <w:szCs w:val="20"/>
        </w:rPr>
        <w:t>Today’s Veterinary Practice</w:t>
      </w:r>
      <w:r>
        <w:rPr>
          <w:rFonts w:ascii="Arial" w:eastAsia="Arial" w:hAnsi="Arial" w:cs="Arial"/>
          <w:color w:val="000000"/>
          <w:sz w:val="20"/>
          <w:szCs w:val="20"/>
        </w:rPr>
        <w:t>, </w:t>
      </w:r>
      <w:r>
        <w:rPr>
          <w:rFonts w:ascii="Arial" w:eastAsia="Arial" w:hAnsi="Arial" w:cs="Arial"/>
          <w:b/>
          <w:color w:val="000000"/>
          <w:sz w:val="20"/>
          <w:szCs w:val="20"/>
        </w:rPr>
        <w:t>4</w:t>
      </w:r>
      <w:r>
        <w:rPr>
          <w:rFonts w:ascii="Arial" w:eastAsia="Arial" w:hAnsi="Arial" w:cs="Arial"/>
          <w:color w:val="000000"/>
          <w:sz w:val="20"/>
          <w:szCs w:val="20"/>
        </w:rPr>
        <w:t xml:space="preserve"> (4): 16-22.</w:t>
      </w:r>
    </w:p>
    <w:p w14:paraId="617693AE" w14:textId="77777777" w:rsidR="00841722" w:rsidRDefault="00CB299E">
      <w:pPr>
        <w:spacing w:before="120" w:after="120" w:line="480" w:lineRule="auto"/>
        <w:ind w:left="1440" w:right="-28" w:hanging="1440"/>
        <w:jc w:val="both"/>
        <w:rPr>
          <w:rFonts w:ascii="Arial" w:eastAsia="Arial" w:hAnsi="Arial" w:cs="Arial"/>
          <w:color w:val="000000"/>
          <w:sz w:val="20"/>
          <w:szCs w:val="20"/>
        </w:rPr>
      </w:pPr>
      <w:proofErr w:type="spellStart"/>
      <w:r>
        <w:rPr>
          <w:rFonts w:ascii="Arial" w:eastAsia="Arial" w:hAnsi="Arial" w:cs="Arial"/>
          <w:color w:val="000000"/>
          <w:sz w:val="20"/>
          <w:szCs w:val="20"/>
        </w:rPr>
        <w:t>Boboridis</w:t>
      </w:r>
      <w:proofErr w:type="spellEnd"/>
      <w:r>
        <w:rPr>
          <w:rFonts w:ascii="Arial" w:eastAsia="Arial" w:hAnsi="Arial" w:cs="Arial"/>
          <w:color w:val="000000"/>
          <w:sz w:val="20"/>
          <w:szCs w:val="20"/>
        </w:rPr>
        <w:t xml:space="preserve">, K.G. and </w:t>
      </w:r>
      <w:proofErr w:type="spellStart"/>
      <w:r>
        <w:rPr>
          <w:rFonts w:ascii="Arial" w:eastAsia="Arial" w:hAnsi="Arial" w:cs="Arial"/>
          <w:color w:val="000000"/>
          <w:sz w:val="20"/>
          <w:szCs w:val="20"/>
        </w:rPr>
        <w:t>Konstas</w:t>
      </w:r>
      <w:proofErr w:type="spellEnd"/>
      <w:r>
        <w:rPr>
          <w:rFonts w:ascii="Arial" w:eastAsia="Arial" w:hAnsi="Arial" w:cs="Arial"/>
          <w:color w:val="000000"/>
          <w:sz w:val="20"/>
          <w:szCs w:val="20"/>
        </w:rPr>
        <w:t xml:space="preserve">, A.G. (2018). Evaluating the novel application of cyclosporine 0.1% in </w:t>
      </w:r>
      <w:r>
        <w:rPr>
          <w:rFonts w:ascii="Arial" w:eastAsia="Arial" w:hAnsi="Arial" w:cs="Arial"/>
          <w:color w:val="000000"/>
          <w:sz w:val="20"/>
          <w:szCs w:val="20"/>
        </w:rPr>
        <w:t>ocular surface disease. </w:t>
      </w:r>
      <w:r>
        <w:rPr>
          <w:rFonts w:ascii="Arial" w:eastAsia="Arial" w:hAnsi="Arial" w:cs="Arial"/>
          <w:i/>
          <w:color w:val="000000"/>
          <w:sz w:val="20"/>
          <w:szCs w:val="20"/>
        </w:rPr>
        <w:t>Expert Opinion on Pharmacotherapy</w:t>
      </w:r>
      <w:r>
        <w:rPr>
          <w:rFonts w:ascii="Arial" w:eastAsia="Arial" w:hAnsi="Arial" w:cs="Arial"/>
          <w:color w:val="000000"/>
          <w:sz w:val="20"/>
          <w:szCs w:val="20"/>
        </w:rPr>
        <w:t>, </w:t>
      </w:r>
      <w:r>
        <w:rPr>
          <w:rFonts w:ascii="Arial" w:eastAsia="Arial" w:hAnsi="Arial" w:cs="Arial"/>
          <w:b/>
          <w:color w:val="000000"/>
          <w:sz w:val="20"/>
          <w:szCs w:val="20"/>
        </w:rPr>
        <w:t>19</w:t>
      </w:r>
      <w:r>
        <w:rPr>
          <w:rFonts w:ascii="Arial" w:eastAsia="Arial" w:hAnsi="Arial" w:cs="Arial"/>
          <w:color w:val="000000"/>
          <w:sz w:val="20"/>
          <w:szCs w:val="20"/>
        </w:rPr>
        <w:t>(9): 1027-1039.</w:t>
      </w:r>
    </w:p>
    <w:p w14:paraId="1D0C7552" w14:textId="77777777" w:rsidR="00841722" w:rsidRDefault="00CB299E">
      <w:pPr>
        <w:shd w:val="clear" w:color="auto" w:fill="FFFFFB"/>
        <w:spacing w:before="120" w:after="120" w:line="480" w:lineRule="auto"/>
        <w:ind w:left="1440" w:right="-28" w:hanging="1440"/>
        <w:jc w:val="both"/>
        <w:rPr>
          <w:rFonts w:ascii="Arial" w:eastAsia="Arial" w:hAnsi="Arial" w:cs="Arial"/>
          <w:color w:val="000000"/>
          <w:sz w:val="20"/>
          <w:szCs w:val="20"/>
          <w:highlight w:val="white"/>
        </w:rPr>
      </w:pPr>
      <w:proofErr w:type="spellStart"/>
      <w:r>
        <w:rPr>
          <w:rFonts w:ascii="Arial" w:eastAsia="Arial" w:hAnsi="Arial" w:cs="Arial"/>
          <w:color w:val="000000"/>
          <w:sz w:val="20"/>
          <w:szCs w:val="20"/>
          <w:highlight w:val="white"/>
        </w:rPr>
        <w:t>Estanho</w:t>
      </w:r>
      <w:proofErr w:type="spellEnd"/>
      <w:r>
        <w:rPr>
          <w:rFonts w:ascii="Arial" w:eastAsia="Arial" w:hAnsi="Arial" w:cs="Arial"/>
          <w:color w:val="000000"/>
          <w:sz w:val="20"/>
          <w:szCs w:val="20"/>
          <w:highlight w:val="white"/>
        </w:rPr>
        <w:t xml:space="preserve">, G.J.G., </w:t>
      </w:r>
      <w:proofErr w:type="spellStart"/>
      <w:r>
        <w:rPr>
          <w:rFonts w:ascii="Arial" w:eastAsia="Arial" w:hAnsi="Arial" w:cs="Arial"/>
          <w:color w:val="000000"/>
          <w:sz w:val="20"/>
          <w:szCs w:val="20"/>
          <w:highlight w:val="white"/>
        </w:rPr>
        <w:t>Passareli</w:t>
      </w:r>
      <w:proofErr w:type="spellEnd"/>
      <w:r>
        <w:rPr>
          <w:rFonts w:ascii="Arial" w:eastAsia="Arial" w:hAnsi="Arial" w:cs="Arial"/>
          <w:color w:val="000000"/>
          <w:sz w:val="20"/>
          <w:szCs w:val="20"/>
          <w:highlight w:val="white"/>
        </w:rPr>
        <w:t xml:space="preserve">, J.V.G.C., da Silva Pando, L., Vieira, D.E., </w:t>
      </w:r>
      <w:proofErr w:type="spellStart"/>
      <w:r>
        <w:rPr>
          <w:rFonts w:ascii="Arial" w:eastAsia="Arial" w:hAnsi="Arial" w:cs="Arial"/>
          <w:color w:val="000000"/>
          <w:sz w:val="20"/>
          <w:szCs w:val="20"/>
          <w:highlight w:val="white"/>
        </w:rPr>
        <w:t>Nai</w:t>
      </w:r>
      <w:proofErr w:type="spellEnd"/>
      <w:r>
        <w:rPr>
          <w:rFonts w:ascii="Arial" w:eastAsia="Arial" w:hAnsi="Arial" w:cs="Arial"/>
          <w:color w:val="000000"/>
          <w:sz w:val="20"/>
          <w:szCs w:val="20"/>
          <w:highlight w:val="white"/>
        </w:rPr>
        <w:t xml:space="preserve">, G.A., Santarem, C. L. and Andrade, S.F. (2023). Comparison of topical 0.03% tacrolimus and homologous </w:t>
      </w:r>
      <w:r>
        <w:rPr>
          <w:rFonts w:ascii="Arial" w:eastAsia="Arial" w:hAnsi="Arial" w:cs="Arial"/>
          <w:color w:val="000000"/>
          <w:sz w:val="20"/>
          <w:szCs w:val="20"/>
          <w:highlight w:val="white"/>
        </w:rPr>
        <w:t>injectable platelet-rich plasma in the treatment of keratoconjunctivitis sicca in dogs. </w:t>
      </w:r>
      <w:r>
        <w:rPr>
          <w:rFonts w:ascii="Arial" w:eastAsia="Arial" w:hAnsi="Arial" w:cs="Arial"/>
          <w:i/>
          <w:color w:val="000000"/>
          <w:sz w:val="20"/>
          <w:szCs w:val="20"/>
          <w:highlight w:val="white"/>
        </w:rPr>
        <w:t>Veterinary World</w:t>
      </w:r>
      <w:r>
        <w:rPr>
          <w:rFonts w:ascii="Arial" w:eastAsia="Arial" w:hAnsi="Arial" w:cs="Arial"/>
          <w:color w:val="000000"/>
          <w:sz w:val="20"/>
          <w:szCs w:val="20"/>
          <w:highlight w:val="white"/>
        </w:rPr>
        <w:t>, </w:t>
      </w:r>
      <w:r>
        <w:rPr>
          <w:rFonts w:ascii="Arial" w:eastAsia="Arial" w:hAnsi="Arial" w:cs="Arial"/>
          <w:b/>
          <w:color w:val="000000"/>
          <w:sz w:val="20"/>
          <w:szCs w:val="20"/>
          <w:highlight w:val="white"/>
        </w:rPr>
        <w:t>16</w:t>
      </w:r>
      <w:r>
        <w:rPr>
          <w:rFonts w:ascii="Arial" w:eastAsia="Arial" w:hAnsi="Arial" w:cs="Arial"/>
          <w:color w:val="000000"/>
          <w:sz w:val="20"/>
          <w:szCs w:val="20"/>
          <w:highlight w:val="white"/>
        </w:rPr>
        <w:t>(1): 134-143.</w:t>
      </w:r>
    </w:p>
    <w:p w14:paraId="01FD8EFA" w14:textId="77777777" w:rsidR="00841722" w:rsidRDefault="00CB299E">
      <w:pPr>
        <w:shd w:val="clear" w:color="auto" w:fill="FFFFFF"/>
        <w:spacing w:before="120" w:after="120" w:line="480" w:lineRule="auto"/>
        <w:ind w:left="1440" w:right="-28" w:hanging="1440"/>
        <w:jc w:val="both"/>
        <w:rPr>
          <w:rFonts w:ascii="Arial" w:eastAsia="Arial" w:hAnsi="Arial" w:cs="Arial"/>
          <w:color w:val="000000"/>
          <w:sz w:val="20"/>
          <w:szCs w:val="20"/>
          <w:highlight w:val="white"/>
        </w:rPr>
      </w:pPr>
      <w:proofErr w:type="spellStart"/>
      <w:r>
        <w:rPr>
          <w:rFonts w:ascii="Arial" w:eastAsia="Arial" w:hAnsi="Arial" w:cs="Arial"/>
          <w:color w:val="000000"/>
          <w:sz w:val="20"/>
          <w:szCs w:val="20"/>
          <w:highlight w:val="white"/>
        </w:rPr>
        <w:t>Gilger</w:t>
      </w:r>
      <w:proofErr w:type="spellEnd"/>
      <w:r>
        <w:rPr>
          <w:rFonts w:ascii="Arial" w:eastAsia="Arial" w:hAnsi="Arial" w:cs="Arial"/>
          <w:color w:val="000000"/>
          <w:sz w:val="20"/>
          <w:szCs w:val="20"/>
          <w:highlight w:val="white"/>
        </w:rPr>
        <w:t xml:space="preserve">, B.C., </w:t>
      </w:r>
      <w:proofErr w:type="spellStart"/>
      <w:r>
        <w:rPr>
          <w:rFonts w:ascii="Arial" w:eastAsia="Arial" w:hAnsi="Arial" w:cs="Arial"/>
          <w:color w:val="000000"/>
          <w:sz w:val="20"/>
          <w:szCs w:val="20"/>
          <w:highlight w:val="white"/>
        </w:rPr>
        <w:t>Wilkie</w:t>
      </w:r>
      <w:proofErr w:type="spellEnd"/>
      <w:r>
        <w:rPr>
          <w:rFonts w:ascii="Arial" w:eastAsia="Arial" w:hAnsi="Arial" w:cs="Arial"/>
          <w:color w:val="000000"/>
          <w:sz w:val="20"/>
          <w:szCs w:val="20"/>
          <w:highlight w:val="white"/>
        </w:rPr>
        <w:t>, D.A., Salmon, J.H. and Peel, M.R. (2012). A topical aqueous calcineurin inhibitor for the treatment of naturally</w:t>
      </w:r>
      <w:r>
        <w:rPr>
          <w:rFonts w:ascii="Arial" w:eastAsia="Arial" w:hAnsi="Arial" w:cs="Arial"/>
          <w:color w:val="000000"/>
          <w:sz w:val="20"/>
          <w:szCs w:val="20"/>
          <w:highlight w:val="white"/>
        </w:rPr>
        <w:t xml:space="preserve"> occurring keratoconjunctivitis sicca in dogs. </w:t>
      </w:r>
      <w:r>
        <w:rPr>
          <w:rFonts w:ascii="Arial" w:eastAsia="Arial" w:hAnsi="Arial" w:cs="Arial"/>
          <w:i/>
          <w:color w:val="000000"/>
          <w:sz w:val="20"/>
          <w:szCs w:val="20"/>
          <w:highlight w:val="white"/>
        </w:rPr>
        <w:t>Veterinary Ophthalmology</w:t>
      </w:r>
      <w:r>
        <w:rPr>
          <w:rFonts w:ascii="Arial" w:eastAsia="Arial" w:hAnsi="Arial" w:cs="Arial"/>
          <w:color w:val="000000"/>
          <w:sz w:val="20"/>
          <w:szCs w:val="20"/>
          <w:highlight w:val="white"/>
        </w:rPr>
        <w:t>, </w:t>
      </w:r>
      <w:r>
        <w:rPr>
          <w:rFonts w:ascii="Arial" w:eastAsia="Arial" w:hAnsi="Arial" w:cs="Arial"/>
          <w:b/>
          <w:color w:val="000000"/>
          <w:sz w:val="20"/>
          <w:szCs w:val="20"/>
          <w:highlight w:val="white"/>
        </w:rPr>
        <w:t>16</w:t>
      </w:r>
      <w:r>
        <w:rPr>
          <w:rFonts w:ascii="Arial" w:eastAsia="Arial" w:hAnsi="Arial" w:cs="Arial"/>
          <w:color w:val="000000"/>
          <w:sz w:val="20"/>
          <w:szCs w:val="20"/>
          <w:highlight w:val="white"/>
        </w:rPr>
        <w:t>(3): 192-197.</w:t>
      </w:r>
    </w:p>
    <w:p w14:paraId="7762CB88" w14:textId="77777777" w:rsidR="00841722" w:rsidRDefault="00CB299E">
      <w:pPr>
        <w:shd w:val="clear" w:color="auto" w:fill="FFFFFF"/>
        <w:spacing w:before="120" w:after="120" w:line="480" w:lineRule="auto"/>
        <w:ind w:left="1440" w:right="-28" w:hanging="1440"/>
        <w:jc w:val="both"/>
        <w:rPr>
          <w:rFonts w:ascii="Arial" w:eastAsia="Arial" w:hAnsi="Arial" w:cs="Arial"/>
          <w:color w:val="000000"/>
          <w:sz w:val="20"/>
          <w:szCs w:val="20"/>
        </w:rPr>
      </w:pPr>
      <w:bookmarkStart w:id="16" w:name="_1ksv4uv" w:colFirst="0" w:colLast="0"/>
      <w:bookmarkEnd w:id="16"/>
      <w:r>
        <w:rPr>
          <w:rFonts w:ascii="Arial" w:eastAsia="Arial" w:hAnsi="Arial" w:cs="Arial"/>
          <w:color w:val="000000"/>
          <w:sz w:val="20"/>
          <w:szCs w:val="20"/>
        </w:rPr>
        <w:t xml:space="preserve">Hendrix, D.V., Adkins, E.A., Ward, D.A., </w:t>
      </w:r>
      <w:proofErr w:type="spellStart"/>
      <w:r>
        <w:rPr>
          <w:rFonts w:ascii="Arial" w:eastAsia="Arial" w:hAnsi="Arial" w:cs="Arial"/>
          <w:color w:val="000000"/>
          <w:sz w:val="20"/>
          <w:szCs w:val="20"/>
        </w:rPr>
        <w:t>Stuffle</w:t>
      </w:r>
      <w:proofErr w:type="spellEnd"/>
      <w:r>
        <w:rPr>
          <w:rFonts w:ascii="Arial" w:eastAsia="Arial" w:hAnsi="Arial" w:cs="Arial"/>
          <w:color w:val="000000"/>
          <w:sz w:val="20"/>
          <w:szCs w:val="20"/>
        </w:rPr>
        <w:t xml:space="preserve">, J. and </w:t>
      </w:r>
      <w:proofErr w:type="spellStart"/>
      <w:r>
        <w:rPr>
          <w:rFonts w:ascii="Arial" w:eastAsia="Arial" w:hAnsi="Arial" w:cs="Arial"/>
          <w:color w:val="000000"/>
          <w:sz w:val="20"/>
          <w:szCs w:val="20"/>
        </w:rPr>
        <w:t>Skorobohach</w:t>
      </w:r>
      <w:proofErr w:type="spellEnd"/>
      <w:r>
        <w:rPr>
          <w:rFonts w:ascii="Arial" w:eastAsia="Arial" w:hAnsi="Arial" w:cs="Arial"/>
          <w:color w:val="000000"/>
          <w:sz w:val="20"/>
          <w:szCs w:val="20"/>
        </w:rPr>
        <w:t>, B. (2011). An investigation comparing the efficacy of topical ocular application of tacrolimus an</w:t>
      </w:r>
      <w:r>
        <w:rPr>
          <w:rFonts w:ascii="Arial" w:eastAsia="Arial" w:hAnsi="Arial" w:cs="Arial"/>
          <w:color w:val="000000"/>
          <w:sz w:val="20"/>
          <w:szCs w:val="20"/>
        </w:rPr>
        <w:t>d cyclosporine in dogs. </w:t>
      </w:r>
      <w:r>
        <w:rPr>
          <w:rFonts w:ascii="Arial" w:eastAsia="Arial" w:hAnsi="Arial" w:cs="Arial"/>
          <w:i/>
          <w:color w:val="000000"/>
          <w:sz w:val="20"/>
          <w:szCs w:val="20"/>
        </w:rPr>
        <w:t>Veterinary Medicine International</w:t>
      </w:r>
      <w:r>
        <w:rPr>
          <w:rFonts w:ascii="Arial" w:eastAsia="Arial" w:hAnsi="Arial" w:cs="Arial"/>
          <w:color w:val="000000"/>
          <w:sz w:val="20"/>
          <w:szCs w:val="20"/>
        </w:rPr>
        <w:t>, </w:t>
      </w:r>
      <w:r>
        <w:rPr>
          <w:rFonts w:ascii="Arial" w:eastAsia="Arial" w:hAnsi="Arial" w:cs="Arial"/>
          <w:b/>
          <w:color w:val="000000"/>
          <w:sz w:val="20"/>
          <w:szCs w:val="20"/>
        </w:rPr>
        <w:t>2011</w:t>
      </w:r>
      <w:r>
        <w:rPr>
          <w:rFonts w:ascii="Arial" w:eastAsia="Arial" w:hAnsi="Arial" w:cs="Arial"/>
          <w:color w:val="000000"/>
          <w:sz w:val="20"/>
          <w:szCs w:val="20"/>
        </w:rPr>
        <w:t>(1): 1-5.</w:t>
      </w:r>
    </w:p>
    <w:p w14:paraId="242721E3" w14:textId="77777777" w:rsidR="00841722" w:rsidRDefault="00CB299E">
      <w:pPr>
        <w:shd w:val="clear" w:color="auto" w:fill="FFFFFB"/>
        <w:spacing w:before="120" w:after="120" w:line="480" w:lineRule="auto"/>
        <w:ind w:left="1440" w:right="-28" w:hanging="1440"/>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John, C., </w:t>
      </w:r>
      <w:proofErr w:type="spellStart"/>
      <w:r>
        <w:rPr>
          <w:rFonts w:ascii="Arial" w:eastAsia="Arial" w:hAnsi="Arial" w:cs="Arial"/>
          <w:color w:val="000000"/>
          <w:sz w:val="20"/>
          <w:szCs w:val="20"/>
          <w:highlight w:val="white"/>
        </w:rPr>
        <w:t>Gopinathan</w:t>
      </w:r>
      <w:proofErr w:type="spellEnd"/>
      <w:r>
        <w:rPr>
          <w:rFonts w:ascii="Arial" w:eastAsia="Arial" w:hAnsi="Arial" w:cs="Arial"/>
          <w:color w:val="000000"/>
          <w:sz w:val="20"/>
          <w:szCs w:val="20"/>
          <w:highlight w:val="white"/>
        </w:rPr>
        <w:t xml:space="preserve">, A., Singh, K., Sharma, P., </w:t>
      </w:r>
      <w:proofErr w:type="spellStart"/>
      <w:r>
        <w:rPr>
          <w:rFonts w:ascii="Arial" w:eastAsia="Arial" w:hAnsi="Arial" w:cs="Arial"/>
          <w:color w:val="000000"/>
          <w:sz w:val="20"/>
          <w:szCs w:val="20"/>
          <w:highlight w:val="white"/>
        </w:rPr>
        <w:t>Sowbharenya</w:t>
      </w:r>
      <w:proofErr w:type="spellEnd"/>
      <w:r>
        <w:rPr>
          <w:rFonts w:ascii="Arial" w:eastAsia="Arial" w:hAnsi="Arial" w:cs="Arial"/>
          <w:color w:val="000000"/>
          <w:sz w:val="20"/>
          <w:szCs w:val="20"/>
          <w:highlight w:val="white"/>
        </w:rPr>
        <w:t xml:space="preserve">, C. and </w:t>
      </w:r>
      <w:proofErr w:type="spellStart"/>
      <w:r>
        <w:rPr>
          <w:rFonts w:ascii="Arial" w:eastAsia="Arial" w:hAnsi="Arial" w:cs="Arial"/>
          <w:color w:val="000000"/>
          <w:sz w:val="20"/>
          <w:szCs w:val="20"/>
          <w:highlight w:val="white"/>
        </w:rPr>
        <w:t>Sarangom</w:t>
      </w:r>
      <w:proofErr w:type="spellEnd"/>
      <w:r>
        <w:rPr>
          <w:rFonts w:ascii="Arial" w:eastAsia="Arial" w:hAnsi="Arial" w:cs="Arial"/>
          <w:color w:val="000000"/>
          <w:sz w:val="20"/>
          <w:szCs w:val="20"/>
          <w:highlight w:val="white"/>
        </w:rPr>
        <w:t>, S.B. (2018). Clinical evaluation of topical tacrolimus ointment usage in different stages of keratoconju</w:t>
      </w:r>
      <w:r>
        <w:rPr>
          <w:rFonts w:ascii="Arial" w:eastAsia="Arial" w:hAnsi="Arial" w:cs="Arial"/>
          <w:color w:val="000000"/>
          <w:sz w:val="20"/>
          <w:szCs w:val="20"/>
          <w:highlight w:val="white"/>
        </w:rPr>
        <w:t>nctivitis sicca in dogs. </w:t>
      </w:r>
      <w:r>
        <w:rPr>
          <w:rFonts w:ascii="Arial" w:eastAsia="Arial" w:hAnsi="Arial" w:cs="Arial"/>
          <w:i/>
          <w:color w:val="000000"/>
          <w:sz w:val="20"/>
          <w:szCs w:val="20"/>
          <w:highlight w:val="white"/>
        </w:rPr>
        <w:t>Turkish Journal of Veterinary and Animal Sciences</w:t>
      </w:r>
      <w:r>
        <w:rPr>
          <w:rFonts w:ascii="Arial" w:eastAsia="Arial" w:hAnsi="Arial" w:cs="Arial"/>
          <w:color w:val="000000"/>
          <w:sz w:val="20"/>
          <w:szCs w:val="20"/>
          <w:highlight w:val="white"/>
        </w:rPr>
        <w:t>, </w:t>
      </w:r>
      <w:r>
        <w:rPr>
          <w:rFonts w:ascii="Arial" w:eastAsia="Arial" w:hAnsi="Arial" w:cs="Arial"/>
          <w:b/>
          <w:color w:val="000000"/>
          <w:sz w:val="20"/>
          <w:szCs w:val="20"/>
          <w:highlight w:val="white"/>
        </w:rPr>
        <w:t>42</w:t>
      </w:r>
      <w:r>
        <w:rPr>
          <w:rFonts w:ascii="Arial" w:eastAsia="Arial" w:hAnsi="Arial" w:cs="Arial"/>
          <w:color w:val="000000"/>
          <w:sz w:val="20"/>
          <w:szCs w:val="20"/>
          <w:highlight w:val="white"/>
        </w:rPr>
        <w:t>(4): 259-268.</w:t>
      </w:r>
    </w:p>
    <w:p w14:paraId="0C4BC73A" w14:textId="77777777" w:rsidR="00841722" w:rsidRDefault="00CB299E">
      <w:pPr>
        <w:spacing w:before="120" w:after="120" w:line="480" w:lineRule="auto"/>
        <w:ind w:left="1440" w:right="-28" w:hanging="1440"/>
        <w:jc w:val="both"/>
        <w:rPr>
          <w:rFonts w:ascii="Arial" w:eastAsia="Arial" w:hAnsi="Arial" w:cs="Arial"/>
          <w:color w:val="000000"/>
          <w:sz w:val="20"/>
          <w:szCs w:val="20"/>
        </w:rPr>
      </w:pPr>
      <w:proofErr w:type="spellStart"/>
      <w:r>
        <w:rPr>
          <w:rFonts w:ascii="Arial" w:eastAsia="Arial" w:hAnsi="Arial" w:cs="Arial"/>
          <w:color w:val="000000"/>
          <w:sz w:val="20"/>
          <w:szCs w:val="20"/>
        </w:rPr>
        <w:t>Madruga</w:t>
      </w:r>
      <w:proofErr w:type="spellEnd"/>
      <w:r>
        <w:rPr>
          <w:rFonts w:ascii="Arial" w:eastAsia="Arial" w:hAnsi="Arial" w:cs="Arial"/>
          <w:color w:val="000000"/>
          <w:sz w:val="20"/>
          <w:szCs w:val="20"/>
        </w:rPr>
        <w:t xml:space="preserve">, G.M., Ribeiro, A.P., </w:t>
      </w:r>
      <w:proofErr w:type="spellStart"/>
      <w:r>
        <w:rPr>
          <w:rFonts w:ascii="Arial" w:eastAsia="Arial" w:hAnsi="Arial" w:cs="Arial"/>
          <w:color w:val="000000"/>
          <w:sz w:val="20"/>
          <w:szCs w:val="20"/>
        </w:rPr>
        <w:t>Magalhaes</w:t>
      </w:r>
      <w:proofErr w:type="spellEnd"/>
      <w:r>
        <w:rPr>
          <w:rFonts w:ascii="Arial" w:eastAsia="Arial" w:hAnsi="Arial" w:cs="Arial"/>
          <w:color w:val="000000"/>
          <w:sz w:val="20"/>
          <w:szCs w:val="20"/>
        </w:rPr>
        <w:t xml:space="preserve">, T.B.S., </w:t>
      </w:r>
      <w:proofErr w:type="spellStart"/>
      <w:r>
        <w:rPr>
          <w:rFonts w:ascii="Arial" w:eastAsia="Arial" w:hAnsi="Arial" w:cs="Arial"/>
          <w:color w:val="000000"/>
          <w:sz w:val="20"/>
          <w:szCs w:val="20"/>
        </w:rPr>
        <w:t>Rondelli</w:t>
      </w:r>
      <w:proofErr w:type="spellEnd"/>
      <w:r>
        <w:rPr>
          <w:rFonts w:ascii="Arial" w:eastAsia="Arial" w:hAnsi="Arial" w:cs="Arial"/>
          <w:color w:val="000000"/>
          <w:sz w:val="20"/>
          <w:szCs w:val="20"/>
        </w:rPr>
        <w:t xml:space="preserve">, L.A.S. and </w:t>
      </w:r>
      <w:proofErr w:type="spellStart"/>
      <w:r>
        <w:rPr>
          <w:rFonts w:ascii="Arial" w:eastAsia="Arial" w:hAnsi="Arial" w:cs="Arial"/>
          <w:color w:val="000000"/>
          <w:sz w:val="20"/>
          <w:szCs w:val="20"/>
        </w:rPr>
        <w:t>Furlan</w:t>
      </w:r>
      <w:proofErr w:type="spellEnd"/>
      <w:r>
        <w:rPr>
          <w:rFonts w:ascii="Arial" w:eastAsia="Arial" w:hAnsi="Arial" w:cs="Arial"/>
          <w:color w:val="000000"/>
          <w:sz w:val="20"/>
          <w:szCs w:val="20"/>
        </w:rPr>
        <w:t>, F.H. (2018). Effect of 0.15% sodium hyaluronate and 0.5% carboxymethylcellulose on tea</w:t>
      </w:r>
      <w:r>
        <w:rPr>
          <w:rFonts w:ascii="Arial" w:eastAsia="Arial" w:hAnsi="Arial" w:cs="Arial"/>
          <w:color w:val="000000"/>
          <w:sz w:val="20"/>
          <w:szCs w:val="20"/>
        </w:rPr>
        <w:t>r film breakup time in healthy dogs and in dogs with keratoconjunctivitis sicca. </w:t>
      </w:r>
      <w:r>
        <w:rPr>
          <w:rFonts w:ascii="Arial" w:eastAsia="Arial" w:hAnsi="Arial" w:cs="Arial"/>
          <w:i/>
          <w:color w:val="000000"/>
          <w:sz w:val="20"/>
          <w:szCs w:val="20"/>
        </w:rPr>
        <w:t>Brazilian Archive of Veterinary Medicine and Zootechnics</w:t>
      </w:r>
      <w:r>
        <w:rPr>
          <w:rFonts w:ascii="Arial" w:eastAsia="Arial" w:hAnsi="Arial" w:cs="Arial"/>
          <w:color w:val="000000"/>
          <w:sz w:val="20"/>
          <w:szCs w:val="20"/>
        </w:rPr>
        <w:t>,</w:t>
      </w:r>
      <w:r>
        <w:rPr>
          <w:rFonts w:ascii="Arial" w:eastAsia="Arial" w:hAnsi="Arial" w:cs="Arial"/>
          <w:color w:val="FF0000"/>
          <w:sz w:val="20"/>
          <w:szCs w:val="20"/>
        </w:rPr>
        <w:t> </w:t>
      </w:r>
      <w:r>
        <w:rPr>
          <w:rFonts w:ascii="Arial" w:eastAsia="Arial" w:hAnsi="Arial" w:cs="Arial"/>
          <w:b/>
          <w:color w:val="000000"/>
          <w:sz w:val="20"/>
          <w:szCs w:val="20"/>
        </w:rPr>
        <w:t>70</w:t>
      </w:r>
      <w:r>
        <w:rPr>
          <w:rFonts w:ascii="Arial" w:eastAsia="Arial" w:hAnsi="Arial" w:cs="Arial"/>
          <w:color w:val="000000"/>
          <w:sz w:val="20"/>
          <w:szCs w:val="20"/>
        </w:rPr>
        <w:t>(5): 1388-1396.</w:t>
      </w:r>
    </w:p>
    <w:p w14:paraId="5226B3AB" w14:textId="77777777" w:rsidR="00841722" w:rsidRDefault="00CB299E">
      <w:pPr>
        <w:spacing w:before="120" w:after="120" w:line="480" w:lineRule="auto"/>
        <w:ind w:left="1440" w:right="-28" w:hanging="1440"/>
        <w:jc w:val="both"/>
        <w:rPr>
          <w:rFonts w:ascii="Arial" w:eastAsia="Arial" w:hAnsi="Arial" w:cs="Arial"/>
          <w:color w:val="000000"/>
          <w:sz w:val="20"/>
          <w:szCs w:val="20"/>
          <w:highlight w:val="white"/>
        </w:rPr>
      </w:pPr>
      <w:proofErr w:type="spellStart"/>
      <w:r>
        <w:rPr>
          <w:rFonts w:ascii="Arial" w:eastAsia="Arial" w:hAnsi="Arial" w:cs="Arial"/>
          <w:color w:val="000000"/>
          <w:sz w:val="20"/>
          <w:szCs w:val="20"/>
          <w:highlight w:val="white"/>
        </w:rPr>
        <w:lastRenderedPageBreak/>
        <w:t>Maggs</w:t>
      </w:r>
      <w:proofErr w:type="spellEnd"/>
      <w:r>
        <w:rPr>
          <w:rFonts w:ascii="Arial" w:eastAsia="Arial" w:hAnsi="Arial" w:cs="Arial"/>
          <w:color w:val="000000"/>
          <w:sz w:val="20"/>
          <w:szCs w:val="20"/>
          <w:highlight w:val="white"/>
        </w:rPr>
        <w:t xml:space="preserve">, D.J., Miller, P.E. and </w:t>
      </w:r>
      <w:proofErr w:type="spellStart"/>
      <w:r>
        <w:rPr>
          <w:rFonts w:ascii="Arial" w:eastAsia="Arial" w:hAnsi="Arial" w:cs="Arial"/>
          <w:color w:val="000000"/>
          <w:sz w:val="20"/>
          <w:szCs w:val="20"/>
          <w:highlight w:val="white"/>
        </w:rPr>
        <w:t>Orfi</w:t>
      </w:r>
      <w:proofErr w:type="spellEnd"/>
      <w:r>
        <w:rPr>
          <w:rFonts w:ascii="Arial" w:eastAsia="Arial" w:hAnsi="Arial" w:cs="Arial"/>
          <w:color w:val="000000"/>
          <w:sz w:val="20"/>
          <w:szCs w:val="20"/>
          <w:highlight w:val="white"/>
        </w:rPr>
        <w:t xml:space="preserve">, R. (2018). </w:t>
      </w:r>
      <w:proofErr w:type="spellStart"/>
      <w:r>
        <w:rPr>
          <w:rFonts w:ascii="Arial" w:eastAsia="Arial" w:hAnsi="Arial" w:cs="Arial"/>
          <w:color w:val="000000"/>
          <w:sz w:val="20"/>
          <w:szCs w:val="20"/>
          <w:highlight w:val="white"/>
        </w:rPr>
        <w:t>Slatter's</w:t>
      </w:r>
      <w:proofErr w:type="spellEnd"/>
      <w:r>
        <w:rPr>
          <w:rFonts w:ascii="Arial" w:eastAsia="Arial" w:hAnsi="Arial" w:cs="Arial"/>
          <w:color w:val="000000"/>
          <w:sz w:val="20"/>
          <w:szCs w:val="20"/>
          <w:highlight w:val="white"/>
        </w:rPr>
        <w:t xml:space="preserve"> Fundamental of Veterinary Ophthalmology, </w:t>
      </w:r>
      <w:r>
        <w:rPr>
          <w:rFonts w:ascii="Arial" w:eastAsia="Arial" w:hAnsi="Arial" w:cs="Arial"/>
          <w:color w:val="000000"/>
          <w:sz w:val="20"/>
          <w:szCs w:val="20"/>
          <w:highlight w:val="white"/>
        </w:rPr>
        <w:t xml:space="preserve">6th </w:t>
      </w:r>
      <w:proofErr w:type="spellStart"/>
      <w:r>
        <w:rPr>
          <w:rFonts w:ascii="Arial" w:eastAsia="Arial" w:hAnsi="Arial" w:cs="Arial"/>
          <w:color w:val="000000"/>
          <w:sz w:val="20"/>
          <w:szCs w:val="20"/>
          <w:highlight w:val="white"/>
        </w:rPr>
        <w:t>Edn</w:t>
      </w:r>
      <w:proofErr w:type="spellEnd"/>
      <w:r>
        <w:rPr>
          <w:rFonts w:ascii="Arial" w:eastAsia="Arial" w:hAnsi="Arial" w:cs="Arial"/>
          <w:color w:val="000000"/>
          <w:sz w:val="20"/>
          <w:szCs w:val="20"/>
          <w:highlight w:val="white"/>
        </w:rPr>
        <w:t>., Elsevier Health Science, St. Louis, Missouri, pp 18-47.</w:t>
      </w:r>
    </w:p>
    <w:p w14:paraId="31C7786B" w14:textId="77777777" w:rsidR="00841722" w:rsidRDefault="00CB299E">
      <w:pPr>
        <w:spacing w:before="120" w:after="120" w:line="480" w:lineRule="auto"/>
        <w:ind w:left="1440" w:right="-28" w:hanging="1440"/>
        <w:jc w:val="both"/>
        <w:rPr>
          <w:rFonts w:ascii="Arial" w:eastAsia="Arial" w:hAnsi="Arial" w:cs="Arial"/>
          <w:color w:val="000000"/>
          <w:sz w:val="20"/>
          <w:szCs w:val="20"/>
          <w:highlight w:val="white"/>
        </w:rPr>
      </w:pPr>
      <w:proofErr w:type="spellStart"/>
      <w:r>
        <w:rPr>
          <w:rFonts w:ascii="Arial" w:eastAsia="Arial" w:hAnsi="Arial" w:cs="Arial"/>
          <w:color w:val="000000"/>
          <w:sz w:val="20"/>
          <w:szCs w:val="20"/>
          <w:highlight w:val="white"/>
        </w:rPr>
        <w:t>Mahmoudi</w:t>
      </w:r>
      <w:proofErr w:type="spellEnd"/>
      <w:r>
        <w:rPr>
          <w:rFonts w:ascii="Arial" w:eastAsia="Arial" w:hAnsi="Arial" w:cs="Arial"/>
          <w:color w:val="000000"/>
          <w:sz w:val="20"/>
          <w:szCs w:val="20"/>
          <w:highlight w:val="white"/>
        </w:rPr>
        <w:t xml:space="preserve">, A., </w:t>
      </w:r>
      <w:proofErr w:type="spellStart"/>
      <w:r>
        <w:rPr>
          <w:rFonts w:ascii="Arial" w:eastAsia="Arial" w:hAnsi="Arial" w:cs="Arial"/>
          <w:color w:val="000000"/>
          <w:sz w:val="20"/>
          <w:szCs w:val="20"/>
          <w:highlight w:val="white"/>
        </w:rPr>
        <w:t>Malaekeh-Nikouei</w:t>
      </w:r>
      <w:proofErr w:type="spellEnd"/>
      <w:r>
        <w:rPr>
          <w:rFonts w:ascii="Arial" w:eastAsia="Arial" w:hAnsi="Arial" w:cs="Arial"/>
          <w:color w:val="000000"/>
          <w:sz w:val="20"/>
          <w:szCs w:val="20"/>
          <w:highlight w:val="white"/>
        </w:rPr>
        <w:t>, B., Hanafi-</w:t>
      </w:r>
      <w:proofErr w:type="spellStart"/>
      <w:r>
        <w:rPr>
          <w:rFonts w:ascii="Arial" w:eastAsia="Arial" w:hAnsi="Arial" w:cs="Arial"/>
          <w:color w:val="000000"/>
          <w:sz w:val="20"/>
          <w:szCs w:val="20"/>
          <w:highlight w:val="white"/>
        </w:rPr>
        <w:t>Bojd</w:t>
      </w:r>
      <w:proofErr w:type="spellEnd"/>
      <w:r>
        <w:rPr>
          <w:rFonts w:ascii="Arial" w:eastAsia="Arial" w:hAnsi="Arial" w:cs="Arial"/>
          <w:color w:val="000000"/>
          <w:sz w:val="20"/>
          <w:szCs w:val="20"/>
          <w:highlight w:val="white"/>
        </w:rPr>
        <w:t xml:space="preserve">, M.Y., </w:t>
      </w:r>
      <w:proofErr w:type="spellStart"/>
      <w:r>
        <w:rPr>
          <w:rFonts w:ascii="Arial" w:eastAsia="Arial" w:hAnsi="Arial" w:cs="Arial"/>
          <w:color w:val="000000"/>
          <w:sz w:val="20"/>
          <w:szCs w:val="20"/>
          <w:highlight w:val="white"/>
        </w:rPr>
        <w:t>Toloei</w:t>
      </w:r>
      <w:proofErr w:type="spellEnd"/>
      <w:r>
        <w:rPr>
          <w:rFonts w:ascii="Arial" w:eastAsia="Arial" w:hAnsi="Arial" w:cs="Arial"/>
          <w:color w:val="000000"/>
          <w:sz w:val="20"/>
          <w:szCs w:val="20"/>
          <w:highlight w:val="white"/>
        </w:rPr>
        <w:t xml:space="preserve">, M., Hosseini, M. and </w:t>
      </w:r>
      <w:proofErr w:type="spellStart"/>
      <w:r>
        <w:rPr>
          <w:rFonts w:ascii="Arial" w:eastAsia="Arial" w:hAnsi="Arial" w:cs="Arial"/>
          <w:color w:val="000000"/>
          <w:sz w:val="20"/>
          <w:szCs w:val="20"/>
          <w:highlight w:val="white"/>
        </w:rPr>
        <w:t>Nikandish</w:t>
      </w:r>
      <w:proofErr w:type="spellEnd"/>
      <w:r>
        <w:rPr>
          <w:rFonts w:ascii="Arial" w:eastAsia="Arial" w:hAnsi="Arial" w:cs="Arial"/>
          <w:color w:val="000000"/>
          <w:sz w:val="20"/>
          <w:szCs w:val="20"/>
          <w:highlight w:val="white"/>
        </w:rPr>
        <w:t>, M. (2020). Preliminary in vivo safety evaluation of a tacrolimus eye drop formulation using hyd</w:t>
      </w:r>
      <w:r>
        <w:rPr>
          <w:rFonts w:ascii="Arial" w:eastAsia="Arial" w:hAnsi="Arial" w:cs="Arial"/>
          <w:color w:val="000000"/>
          <w:sz w:val="20"/>
          <w:szCs w:val="20"/>
          <w:highlight w:val="white"/>
        </w:rPr>
        <w:t>roxypropyl beta cyclodextrin after ocular administration in NZW rabbits. </w:t>
      </w:r>
      <w:r>
        <w:rPr>
          <w:rFonts w:ascii="Arial" w:eastAsia="Arial" w:hAnsi="Arial" w:cs="Arial"/>
          <w:i/>
          <w:color w:val="000000"/>
          <w:sz w:val="20"/>
          <w:szCs w:val="20"/>
          <w:highlight w:val="white"/>
        </w:rPr>
        <w:t>Clinical Ophthalmology</w:t>
      </w:r>
      <w:r>
        <w:rPr>
          <w:rFonts w:ascii="Arial" w:eastAsia="Arial" w:hAnsi="Arial" w:cs="Arial"/>
          <w:color w:val="000000"/>
          <w:sz w:val="20"/>
          <w:szCs w:val="20"/>
          <w:highlight w:val="white"/>
        </w:rPr>
        <w:t xml:space="preserve">, </w:t>
      </w:r>
      <w:r>
        <w:rPr>
          <w:rFonts w:ascii="Arial" w:eastAsia="Arial" w:hAnsi="Arial" w:cs="Arial"/>
          <w:b/>
          <w:color w:val="000000"/>
          <w:sz w:val="20"/>
          <w:szCs w:val="20"/>
          <w:highlight w:val="white"/>
        </w:rPr>
        <w:t>14</w:t>
      </w:r>
      <w:r>
        <w:rPr>
          <w:rFonts w:ascii="Arial" w:eastAsia="Arial" w:hAnsi="Arial" w:cs="Arial"/>
          <w:color w:val="000000"/>
          <w:sz w:val="20"/>
          <w:szCs w:val="20"/>
          <w:highlight w:val="white"/>
        </w:rPr>
        <w:t>: 947-953.</w:t>
      </w:r>
    </w:p>
    <w:p w14:paraId="4C637DC8" w14:textId="77777777" w:rsidR="00841722" w:rsidRDefault="00CB299E">
      <w:pPr>
        <w:spacing w:before="120" w:after="120" w:line="480" w:lineRule="auto"/>
        <w:ind w:left="1440" w:right="-28" w:hanging="1440"/>
        <w:jc w:val="both"/>
        <w:rPr>
          <w:rFonts w:ascii="Arial" w:eastAsia="Arial" w:hAnsi="Arial" w:cs="Arial"/>
          <w:color w:val="000000"/>
          <w:sz w:val="20"/>
          <w:szCs w:val="20"/>
        </w:rPr>
      </w:pPr>
      <w:r>
        <w:rPr>
          <w:rFonts w:ascii="Arial" w:eastAsia="Arial" w:hAnsi="Arial" w:cs="Arial"/>
          <w:color w:val="000000"/>
          <w:sz w:val="20"/>
          <w:szCs w:val="20"/>
        </w:rPr>
        <w:t>Morgan, R.V. and Abrams, K.L. (1991). Topical administration of cyclosporine for treatment of keratoconjunctivitis sicca in dogs. </w:t>
      </w:r>
      <w:r>
        <w:rPr>
          <w:rFonts w:ascii="Arial" w:eastAsia="Arial" w:hAnsi="Arial" w:cs="Arial"/>
          <w:i/>
          <w:color w:val="000000"/>
          <w:sz w:val="20"/>
          <w:szCs w:val="20"/>
        </w:rPr>
        <w:t>Journal of the A</w:t>
      </w:r>
      <w:r>
        <w:rPr>
          <w:rFonts w:ascii="Arial" w:eastAsia="Arial" w:hAnsi="Arial" w:cs="Arial"/>
          <w:i/>
          <w:color w:val="000000"/>
          <w:sz w:val="20"/>
          <w:szCs w:val="20"/>
        </w:rPr>
        <w:t>merican Veterinary Medical Association</w:t>
      </w:r>
      <w:r>
        <w:rPr>
          <w:rFonts w:ascii="Arial" w:eastAsia="Arial" w:hAnsi="Arial" w:cs="Arial"/>
          <w:color w:val="000000"/>
          <w:sz w:val="20"/>
          <w:szCs w:val="20"/>
        </w:rPr>
        <w:t>, </w:t>
      </w:r>
      <w:r>
        <w:rPr>
          <w:rFonts w:ascii="Arial" w:eastAsia="Arial" w:hAnsi="Arial" w:cs="Arial"/>
          <w:b/>
          <w:color w:val="000000"/>
          <w:sz w:val="20"/>
          <w:szCs w:val="20"/>
        </w:rPr>
        <w:t>199</w:t>
      </w:r>
      <w:r>
        <w:rPr>
          <w:rFonts w:ascii="Arial" w:eastAsia="Arial" w:hAnsi="Arial" w:cs="Arial"/>
          <w:color w:val="000000"/>
          <w:sz w:val="20"/>
          <w:szCs w:val="20"/>
        </w:rPr>
        <w:t>(8): 1043-1046.</w:t>
      </w:r>
    </w:p>
    <w:p w14:paraId="1FDD447D" w14:textId="77777777" w:rsidR="00841722" w:rsidRDefault="00CB299E">
      <w:pPr>
        <w:spacing w:before="120" w:after="120" w:line="480" w:lineRule="auto"/>
        <w:ind w:left="1440" w:right="-28" w:hanging="1440"/>
        <w:jc w:val="both"/>
        <w:rPr>
          <w:rFonts w:ascii="Arial" w:eastAsia="Arial" w:hAnsi="Arial" w:cs="Arial"/>
          <w:color w:val="000000"/>
          <w:sz w:val="20"/>
          <w:szCs w:val="20"/>
        </w:rPr>
      </w:pPr>
      <w:bookmarkStart w:id="17" w:name="_44sinio" w:colFirst="0" w:colLast="0"/>
      <w:bookmarkEnd w:id="17"/>
      <w:r>
        <w:rPr>
          <w:rFonts w:ascii="Arial" w:eastAsia="Arial" w:hAnsi="Arial" w:cs="Arial"/>
          <w:color w:val="000000"/>
          <w:sz w:val="20"/>
          <w:szCs w:val="20"/>
        </w:rPr>
        <w:t xml:space="preserve">Nascimento, F.F., </w:t>
      </w:r>
      <w:proofErr w:type="spellStart"/>
      <w:r>
        <w:rPr>
          <w:rFonts w:ascii="Arial" w:eastAsia="Arial" w:hAnsi="Arial" w:cs="Arial"/>
          <w:color w:val="000000"/>
          <w:sz w:val="20"/>
          <w:szCs w:val="20"/>
        </w:rPr>
        <w:t>Passareli</w:t>
      </w:r>
      <w:proofErr w:type="spellEnd"/>
      <w:r>
        <w:rPr>
          <w:rFonts w:ascii="Arial" w:eastAsia="Arial" w:hAnsi="Arial" w:cs="Arial"/>
          <w:color w:val="000000"/>
          <w:sz w:val="20"/>
          <w:szCs w:val="20"/>
        </w:rPr>
        <w:t xml:space="preserve">, J.V.G.C., </w:t>
      </w:r>
      <w:proofErr w:type="spellStart"/>
      <w:r>
        <w:rPr>
          <w:rFonts w:ascii="Arial" w:eastAsia="Arial" w:hAnsi="Arial" w:cs="Arial"/>
          <w:color w:val="000000"/>
          <w:sz w:val="20"/>
          <w:szCs w:val="20"/>
        </w:rPr>
        <w:t>Zulim</w:t>
      </w:r>
      <w:proofErr w:type="spellEnd"/>
      <w:r>
        <w:rPr>
          <w:rFonts w:ascii="Arial" w:eastAsia="Arial" w:hAnsi="Arial" w:cs="Arial"/>
          <w:color w:val="000000"/>
          <w:sz w:val="20"/>
          <w:szCs w:val="20"/>
        </w:rPr>
        <w:t xml:space="preserve">, L.F.D.C., Silva, D.A., Giuffrida, R., </w:t>
      </w:r>
      <w:proofErr w:type="spellStart"/>
      <w:r>
        <w:rPr>
          <w:rFonts w:ascii="Arial" w:eastAsia="Arial" w:hAnsi="Arial" w:cs="Arial"/>
          <w:color w:val="000000"/>
          <w:sz w:val="20"/>
          <w:szCs w:val="20"/>
        </w:rPr>
        <w:t>Estanho</w:t>
      </w:r>
      <w:proofErr w:type="spellEnd"/>
      <w:r>
        <w:rPr>
          <w:rFonts w:ascii="Arial" w:eastAsia="Arial" w:hAnsi="Arial" w:cs="Arial"/>
          <w:color w:val="000000"/>
          <w:sz w:val="20"/>
          <w:szCs w:val="20"/>
        </w:rPr>
        <w:t xml:space="preserve">, G. J.G. Villa M.C. and Andrade, S.F. (2023). Comparison between the strip meniscometry test, the </w:t>
      </w:r>
      <w:proofErr w:type="spellStart"/>
      <w:r>
        <w:rPr>
          <w:rFonts w:ascii="Arial" w:eastAsia="Arial" w:hAnsi="Arial" w:cs="Arial"/>
          <w:color w:val="000000"/>
          <w:sz w:val="20"/>
          <w:szCs w:val="20"/>
        </w:rPr>
        <w:t>schirme</w:t>
      </w:r>
      <w:r>
        <w:rPr>
          <w:rFonts w:ascii="Arial" w:eastAsia="Arial" w:hAnsi="Arial" w:cs="Arial"/>
          <w:color w:val="000000"/>
          <w:sz w:val="20"/>
          <w:szCs w:val="20"/>
        </w:rPr>
        <w:t>r</w:t>
      </w:r>
      <w:proofErr w:type="spellEnd"/>
      <w:r>
        <w:rPr>
          <w:rFonts w:ascii="Arial" w:eastAsia="Arial" w:hAnsi="Arial" w:cs="Arial"/>
          <w:color w:val="000000"/>
          <w:sz w:val="20"/>
          <w:szCs w:val="20"/>
        </w:rPr>
        <w:t xml:space="preserve"> tear test and tear film breakup time in normal dogs and dogs with dry eye. </w:t>
      </w:r>
      <w:r>
        <w:rPr>
          <w:rFonts w:ascii="Arial" w:eastAsia="Arial" w:hAnsi="Arial" w:cs="Arial"/>
          <w:i/>
          <w:color w:val="000000"/>
          <w:sz w:val="20"/>
          <w:szCs w:val="20"/>
        </w:rPr>
        <w:t>Brazilian Ophthalmology Archives</w:t>
      </w:r>
      <w:r>
        <w:rPr>
          <w:rFonts w:ascii="Arial" w:eastAsia="Arial" w:hAnsi="Arial" w:cs="Arial"/>
          <w:color w:val="000000"/>
          <w:sz w:val="20"/>
          <w:szCs w:val="20"/>
        </w:rPr>
        <w:t>,</w:t>
      </w:r>
      <w:r>
        <w:rPr>
          <w:rFonts w:ascii="Arial" w:eastAsia="Arial" w:hAnsi="Arial" w:cs="Arial"/>
          <w:b/>
          <w:color w:val="000000"/>
          <w:sz w:val="20"/>
          <w:szCs w:val="20"/>
        </w:rPr>
        <w:t>86</w:t>
      </w:r>
      <w:r>
        <w:rPr>
          <w:rFonts w:ascii="Arial" w:eastAsia="Arial" w:hAnsi="Arial" w:cs="Arial"/>
          <w:color w:val="000000"/>
          <w:sz w:val="20"/>
          <w:szCs w:val="20"/>
        </w:rPr>
        <w:t>(4): 314-321.</w:t>
      </w:r>
    </w:p>
    <w:p w14:paraId="0699394B" w14:textId="77777777" w:rsidR="00841722" w:rsidRDefault="00CB299E">
      <w:pPr>
        <w:spacing w:before="120" w:after="120" w:line="480" w:lineRule="auto"/>
        <w:ind w:left="1440" w:right="-28" w:hanging="1440"/>
        <w:jc w:val="both"/>
        <w:rPr>
          <w:rFonts w:ascii="Arial" w:eastAsia="Arial" w:hAnsi="Arial" w:cs="Arial"/>
          <w:color w:val="000000"/>
          <w:sz w:val="20"/>
          <w:szCs w:val="20"/>
        </w:rPr>
      </w:pPr>
      <w:proofErr w:type="spellStart"/>
      <w:r>
        <w:rPr>
          <w:rFonts w:ascii="Arial" w:eastAsia="Arial" w:hAnsi="Arial" w:cs="Arial"/>
          <w:color w:val="000000"/>
          <w:sz w:val="20"/>
          <w:szCs w:val="20"/>
        </w:rPr>
        <w:t>Ofri</w:t>
      </w:r>
      <w:proofErr w:type="spellEnd"/>
      <w:r>
        <w:rPr>
          <w:rFonts w:ascii="Arial" w:eastAsia="Arial" w:hAnsi="Arial" w:cs="Arial"/>
          <w:color w:val="000000"/>
          <w:sz w:val="20"/>
          <w:szCs w:val="20"/>
        </w:rPr>
        <w:t xml:space="preserve">, R., </w:t>
      </w:r>
      <w:proofErr w:type="spellStart"/>
      <w:r>
        <w:rPr>
          <w:rFonts w:ascii="Arial" w:eastAsia="Arial" w:hAnsi="Arial" w:cs="Arial"/>
          <w:color w:val="000000"/>
          <w:sz w:val="20"/>
          <w:szCs w:val="20"/>
        </w:rPr>
        <w:t>Lambrou</w:t>
      </w:r>
      <w:proofErr w:type="spellEnd"/>
      <w:r>
        <w:rPr>
          <w:rFonts w:ascii="Arial" w:eastAsia="Arial" w:hAnsi="Arial" w:cs="Arial"/>
          <w:color w:val="000000"/>
          <w:sz w:val="20"/>
          <w:szCs w:val="20"/>
        </w:rPr>
        <w:t xml:space="preserve">, G.N., </w:t>
      </w:r>
      <w:proofErr w:type="spellStart"/>
      <w:r>
        <w:rPr>
          <w:rFonts w:ascii="Arial" w:eastAsia="Arial" w:hAnsi="Arial" w:cs="Arial"/>
          <w:color w:val="000000"/>
          <w:sz w:val="20"/>
          <w:szCs w:val="20"/>
        </w:rPr>
        <w:t>Allgoewer</w:t>
      </w:r>
      <w:proofErr w:type="spellEnd"/>
      <w:r>
        <w:rPr>
          <w:rFonts w:ascii="Arial" w:eastAsia="Arial" w:hAnsi="Arial" w:cs="Arial"/>
          <w:color w:val="000000"/>
          <w:sz w:val="20"/>
          <w:szCs w:val="20"/>
        </w:rPr>
        <w:t xml:space="preserve">, I., </w:t>
      </w:r>
      <w:proofErr w:type="spellStart"/>
      <w:r>
        <w:rPr>
          <w:rFonts w:ascii="Arial" w:eastAsia="Arial" w:hAnsi="Arial" w:cs="Arial"/>
          <w:color w:val="000000"/>
          <w:sz w:val="20"/>
          <w:szCs w:val="20"/>
        </w:rPr>
        <w:t>Graenitz</w:t>
      </w:r>
      <w:proofErr w:type="spellEnd"/>
      <w:r>
        <w:rPr>
          <w:rFonts w:ascii="Arial" w:eastAsia="Arial" w:hAnsi="Arial" w:cs="Arial"/>
          <w:color w:val="000000"/>
          <w:sz w:val="20"/>
          <w:szCs w:val="20"/>
        </w:rPr>
        <w:t xml:space="preserve">, U., Pena, T.M., </w:t>
      </w:r>
      <w:proofErr w:type="spellStart"/>
      <w:r>
        <w:rPr>
          <w:rFonts w:ascii="Arial" w:eastAsia="Arial" w:hAnsi="Arial" w:cs="Arial"/>
          <w:color w:val="000000"/>
          <w:sz w:val="20"/>
          <w:szCs w:val="20"/>
        </w:rPr>
        <w:t>Spiess</w:t>
      </w:r>
      <w:proofErr w:type="spellEnd"/>
      <w:r>
        <w:rPr>
          <w:rFonts w:ascii="Arial" w:eastAsia="Arial" w:hAnsi="Arial" w:cs="Arial"/>
          <w:color w:val="000000"/>
          <w:sz w:val="20"/>
          <w:szCs w:val="20"/>
        </w:rPr>
        <w:t xml:space="preserve">, B.M. and Latour, E. (2009). Clinical evaluation of </w:t>
      </w:r>
      <w:proofErr w:type="spellStart"/>
      <w:r>
        <w:rPr>
          <w:rFonts w:ascii="Arial" w:eastAsia="Arial" w:hAnsi="Arial" w:cs="Arial"/>
          <w:color w:val="000000"/>
          <w:sz w:val="20"/>
          <w:szCs w:val="20"/>
        </w:rPr>
        <w:t>pimec</w:t>
      </w:r>
      <w:r>
        <w:rPr>
          <w:rFonts w:ascii="Arial" w:eastAsia="Arial" w:hAnsi="Arial" w:cs="Arial"/>
          <w:color w:val="000000"/>
          <w:sz w:val="20"/>
          <w:szCs w:val="20"/>
        </w:rPr>
        <w:t>rolimus</w:t>
      </w:r>
      <w:proofErr w:type="spellEnd"/>
      <w:r>
        <w:rPr>
          <w:rFonts w:ascii="Arial" w:eastAsia="Arial" w:hAnsi="Arial" w:cs="Arial"/>
          <w:color w:val="000000"/>
          <w:sz w:val="20"/>
          <w:szCs w:val="20"/>
        </w:rPr>
        <w:t xml:space="preserve"> eye drops for treatment of canine keratoconjunctivitis sicca: a comparison with cyclosporine A. </w:t>
      </w:r>
      <w:r>
        <w:rPr>
          <w:rFonts w:ascii="Arial" w:eastAsia="Arial" w:hAnsi="Arial" w:cs="Arial"/>
          <w:i/>
          <w:color w:val="000000"/>
          <w:sz w:val="20"/>
          <w:szCs w:val="20"/>
        </w:rPr>
        <w:t>The Veterinary Journal</w:t>
      </w:r>
      <w:r>
        <w:rPr>
          <w:rFonts w:ascii="Arial" w:eastAsia="Arial" w:hAnsi="Arial" w:cs="Arial"/>
          <w:color w:val="000000"/>
          <w:sz w:val="20"/>
          <w:szCs w:val="20"/>
        </w:rPr>
        <w:t>, </w:t>
      </w:r>
      <w:r>
        <w:rPr>
          <w:rFonts w:ascii="Arial" w:eastAsia="Arial" w:hAnsi="Arial" w:cs="Arial"/>
          <w:b/>
          <w:color w:val="000000"/>
          <w:sz w:val="20"/>
          <w:szCs w:val="20"/>
        </w:rPr>
        <w:t>179</w:t>
      </w:r>
      <w:r>
        <w:rPr>
          <w:rFonts w:ascii="Arial" w:eastAsia="Arial" w:hAnsi="Arial" w:cs="Arial"/>
          <w:color w:val="000000"/>
          <w:sz w:val="20"/>
          <w:szCs w:val="20"/>
        </w:rPr>
        <w:t>(1): 70-77.</w:t>
      </w:r>
    </w:p>
    <w:p w14:paraId="3F37A978" w14:textId="77777777" w:rsidR="00841722" w:rsidRDefault="00CB299E">
      <w:pPr>
        <w:shd w:val="clear" w:color="auto" w:fill="FFFFFF"/>
        <w:spacing w:before="120" w:after="120" w:line="480" w:lineRule="auto"/>
        <w:ind w:left="1440" w:right="-28" w:hanging="1440"/>
        <w:jc w:val="both"/>
        <w:rPr>
          <w:rFonts w:ascii="Arial" w:eastAsia="Arial" w:hAnsi="Arial" w:cs="Arial"/>
          <w:color w:val="000000"/>
          <w:sz w:val="20"/>
          <w:szCs w:val="20"/>
        </w:rPr>
      </w:pPr>
      <w:r>
        <w:rPr>
          <w:rFonts w:ascii="Arial" w:eastAsia="Arial" w:hAnsi="Arial" w:cs="Arial"/>
          <w:color w:val="000000"/>
          <w:sz w:val="20"/>
          <w:szCs w:val="20"/>
        </w:rPr>
        <w:t xml:space="preserve">Oliveira, J.K., Williams, D.L., Bollmann, C., </w:t>
      </w:r>
      <w:proofErr w:type="spellStart"/>
      <w:r>
        <w:rPr>
          <w:rFonts w:ascii="Arial" w:eastAsia="Arial" w:hAnsi="Arial" w:cs="Arial"/>
          <w:color w:val="000000"/>
          <w:sz w:val="20"/>
          <w:szCs w:val="20"/>
        </w:rPr>
        <w:t>Seabra</w:t>
      </w:r>
      <w:proofErr w:type="spellEnd"/>
      <w:r>
        <w:rPr>
          <w:rFonts w:ascii="Arial" w:eastAsia="Arial" w:hAnsi="Arial" w:cs="Arial"/>
          <w:color w:val="000000"/>
          <w:sz w:val="20"/>
          <w:szCs w:val="20"/>
        </w:rPr>
        <w:t xml:space="preserve">, N.M., </w:t>
      </w:r>
      <w:proofErr w:type="spellStart"/>
      <w:r>
        <w:rPr>
          <w:rFonts w:ascii="Arial" w:eastAsia="Arial" w:hAnsi="Arial" w:cs="Arial"/>
          <w:color w:val="000000"/>
          <w:sz w:val="20"/>
          <w:szCs w:val="20"/>
        </w:rPr>
        <w:t>Bortolini</w:t>
      </w:r>
      <w:proofErr w:type="spellEnd"/>
      <w:r>
        <w:rPr>
          <w:rFonts w:ascii="Arial" w:eastAsia="Arial" w:hAnsi="Arial" w:cs="Arial"/>
          <w:color w:val="000000"/>
          <w:sz w:val="20"/>
          <w:szCs w:val="20"/>
        </w:rPr>
        <w:t xml:space="preserve">, M. and </w:t>
      </w:r>
      <w:proofErr w:type="spellStart"/>
      <w:r>
        <w:rPr>
          <w:rFonts w:ascii="Arial" w:eastAsia="Arial" w:hAnsi="Arial" w:cs="Arial"/>
          <w:color w:val="000000"/>
          <w:sz w:val="20"/>
          <w:szCs w:val="20"/>
        </w:rPr>
        <w:t>Montiani</w:t>
      </w:r>
      <w:proofErr w:type="spellEnd"/>
      <w:r>
        <w:rPr>
          <w:rFonts w:ascii="Cambria Math" w:eastAsia="Cambria Math" w:hAnsi="Cambria Math" w:cs="Cambria Math"/>
          <w:color w:val="000000"/>
          <w:sz w:val="20"/>
          <w:szCs w:val="20"/>
        </w:rPr>
        <w:t>‐</w:t>
      </w:r>
      <w:r>
        <w:rPr>
          <w:rFonts w:ascii="Arial" w:eastAsia="Arial" w:hAnsi="Arial" w:cs="Arial"/>
          <w:color w:val="000000"/>
          <w:sz w:val="20"/>
          <w:szCs w:val="20"/>
        </w:rPr>
        <w:t xml:space="preserve">Ferreira, F. (2019). </w:t>
      </w:r>
      <w:r>
        <w:rPr>
          <w:rFonts w:ascii="Arial" w:eastAsia="Arial" w:hAnsi="Arial" w:cs="Arial"/>
          <w:color w:val="000000"/>
          <w:sz w:val="20"/>
          <w:szCs w:val="20"/>
        </w:rPr>
        <w:t>Comparative efficacy of topical oclacitinib 0.1% and tacrolimus 0.01% in canine keratoconjunctivitis sicca. </w:t>
      </w:r>
      <w:r>
        <w:rPr>
          <w:rFonts w:ascii="Arial" w:eastAsia="Arial" w:hAnsi="Arial" w:cs="Arial"/>
          <w:i/>
          <w:color w:val="000000"/>
          <w:sz w:val="20"/>
          <w:szCs w:val="20"/>
        </w:rPr>
        <w:t>Veterinary Ophthalmology</w:t>
      </w:r>
      <w:r>
        <w:rPr>
          <w:rFonts w:ascii="Arial" w:eastAsia="Arial" w:hAnsi="Arial" w:cs="Arial"/>
          <w:color w:val="000000"/>
          <w:sz w:val="20"/>
          <w:szCs w:val="20"/>
        </w:rPr>
        <w:t>, </w:t>
      </w:r>
      <w:r>
        <w:rPr>
          <w:rFonts w:ascii="Arial" w:eastAsia="Arial" w:hAnsi="Arial" w:cs="Arial"/>
          <w:b/>
          <w:color w:val="000000"/>
          <w:sz w:val="20"/>
          <w:szCs w:val="20"/>
        </w:rPr>
        <w:t>22</w:t>
      </w:r>
      <w:r>
        <w:rPr>
          <w:rFonts w:ascii="Arial" w:eastAsia="Arial" w:hAnsi="Arial" w:cs="Arial"/>
          <w:color w:val="000000"/>
          <w:sz w:val="20"/>
          <w:szCs w:val="20"/>
        </w:rPr>
        <w:t>(5): 633-643.</w:t>
      </w:r>
    </w:p>
    <w:p w14:paraId="556D3569" w14:textId="77777777" w:rsidR="00841722" w:rsidRDefault="00CB299E">
      <w:pPr>
        <w:spacing w:before="120" w:after="120" w:line="480" w:lineRule="auto"/>
        <w:ind w:left="1440" w:right="-28" w:hanging="1440"/>
        <w:jc w:val="both"/>
        <w:rPr>
          <w:rFonts w:ascii="Arial" w:eastAsia="Arial" w:hAnsi="Arial" w:cs="Arial"/>
          <w:color w:val="000000"/>
          <w:sz w:val="20"/>
          <w:szCs w:val="20"/>
        </w:rPr>
      </w:pPr>
      <w:r>
        <w:rPr>
          <w:rFonts w:ascii="Arial" w:eastAsia="Arial" w:hAnsi="Arial" w:cs="Arial"/>
          <w:color w:val="000000"/>
          <w:sz w:val="20"/>
          <w:szCs w:val="20"/>
        </w:rPr>
        <w:t xml:space="preserve">Olivero, D.K., Davidson, M.G., English, R.V., </w:t>
      </w:r>
      <w:proofErr w:type="spellStart"/>
      <w:r>
        <w:rPr>
          <w:rFonts w:ascii="Arial" w:eastAsia="Arial" w:hAnsi="Arial" w:cs="Arial"/>
          <w:color w:val="000000"/>
          <w:sz w:val="20"/>
          <w:szCs w:val="20"/>
        </w:rPr>
        <w:t>Nasisse</w:t>
      </w:r>
      <w:proofErr w:type="spellEnd"/>
      <w:r>
        <w:rPr>
          <w:rFonts w:ascii="Arial" w:eastAsia="Arial" w:hAnsi="Arial" w:cs="Arial"/>
          <w:color w:val="000000"/>
          <w:sz w:val="20"/>
          <w:szCs w:val="20"/>
        </w:rPr>
        <w:t xml:space="preserve">, M.P., Jamieson, V.E. and </w:t>
      </w:r>
      <w:proofErr w:type="spellStart"/>
      <w:r>
        <w:rPr>
          <w:rFonts w:ascii="Arial" w:eastAsia="Arial" w:hAnsi="Arial" w:cs="Arial"/>
          <w:color w:val="000000"/>
          <w:sz w:val="20"/>
          <w:szCs w:val="20"/>
        </w:rPr>
        <w:t>Gerig</w:t>
      </w:r>
      <w:proofErr w:type="spellEnd"/>
      <w:r>
        <w:rPr>
          <w:rFonts w:ascii="Arial" w:eastAsia="Arial" w:hAnsi="Arial" w:cs="Arial"/>
          <w:color w:val="000000"/>
          <w:sz w:val="20"/>
          <w:szCs w:val="20"/>
        </w:rPr>
        <w:t>, T.M. (1991). Clinic</w:t>
      </w:r>
      <w:r>
        <w:rPr>
          <w:rFonts w:ascii="Arial" w:eastAsia="Arial" w:hAnsi="Arial" w:cs="Arial"/>
          <w:color w:val="000000"/>
          <w:sz w:val="20"/>
          <w:szCs w:val="20"/>
        </w:rPr>
        <w:t>al evaluation of 1% cyclosporine for topical treatment of keratoconjunctivitis sicca in dogs. </w:t>
      </w:r>
      <w:r>
        <w:rPr>
          <w:rFonts w:ascii="Arial" w:eastAsia="Arial" w:hAnsi="Arial" w:cs="Arial"/>
          <w:i/>
          <w:color w:val="000000"/>
          <w:sz w:val="20"/>
          <w:szCs w:val="20"/>
        </w:rPr>
        <w:t>Journal of the American Veterinary Medical Association</w:t>
      </w:r>
      <w:r>
        <w:rPr>
          <w:rFonts w:ascii="Arial" w:eastAsia="Arial" w:hAnsi="Arial" w:cs="Arial"/>
          <w:color w:val="000000"/>
          <w:sz w:val="20"/>
          <w:szCs w:val="20"/>
        </w:rPr>
        <w:t>, </w:t>
      </w:r>
      <w:r>
        <w:rPr>
          <w:rFonts w:ascii="Arial" w:eastAsia="Arial" w:hAnsi="Arial" w:cs="Arial"/>
          <w:b/>
          <w:color w:val="000000"/>
          <w:sz w:val="20"/>
          <w:szCs w:val="20"/>
        </w:rPr>
        <w:t>199</w:t>
      </w:r>
      <w:r>
        <w:rPr>
          <w:rFonts w:ascii="Arial" w:eastAsia="Arial" w:hAnsi="Arial" w:cs="Arial"/>
          <w:color w:val="000000"/>
          <w:sz w:val="20"/>
          <w:szCs w:val="20"/>
        </w:rPr>
        <w:t>(8): 1039-1042.</w:t>
      </w:r>
    </w:p>
    <w:p w14:paraId="59A6EEA9" w14:textId="77777777" w:rsidR="00841722" w:rsidRDefault="00CB299E">
      <w:pPr>
        <w:spacing w:before="120" w:after="120" w:line="480" w:lineRule="auto"/>
        <w:ind w:left="1440" w:right="-28" w:hanging="1440"/>
        <w:jc w:val="both"/>
        <w:rPr>
          <w:rFonts w:ascii="Arial" w:eastAsia="Arial" w:hAnsi="Arial" w:cs="Arial"/>
          <w:color w:val="000000"/>
          <w:sz w:val="20"/>
          <w:szCs w:val="20"/>
        </w:rPr>
      </w:pPr>
      <w:proofErr w:type="spellStart"/>
      <w:r>
        <w:rPr>
          <w:rFonts w:ascii="Arial" w:eastAsia="Arial" w:hAnsi="Arial" w:cs="Arial"/>
          <w:color w:val="000000"/>
          <w:sz w:val="20"/>
          <w:szCs w:val="20"/>
        </w:rPr>
        <w:t>Radziejewski</w:t>
      </w:r>
      <w:proofErr w:type="spellEnd"/>
      <w:r>
        <w:rPr>
          <w:rFonts w:ascii="Arial" w:eastAsia="Arial" w:hAnsi="Arial" w:cs="Arial"/>
          <w:color w:val="000000"/>
          <w:sz w:val="20"/>
          <w:szCs w:val="20"/>
        </w:rPr>
        <w:t xml:space="preserve">, K. and </w:t>
      </w:r>
      <w:proofErr w:type="spellStart"/>
      <w:r>
        <w:rPr>
          <w:rFonts w:ascii="Arial" w:eastAsia="Arial" w:hAnsi="Arial" w:cs="Arial"/>
          <w:color w:val="000000"/>
          <w:sz w:val="20"/>
          <w:szCs w:val="20"/>
        </w:rPr>
        <w:t>Balicki</w:t>
      </w:r>
      <w:proofErr w:type="spellEnd"/>
      <w:r>
        <w:rPr>
          <w:rFonts w:ascii="Arial" w:eastAsia="Arial" w:hAnsi="Arial" w:cs="Arial"/>
          <w:color w:val="000000"/>
          <w:sz w:val="20"/>
          <w:szCs w:val="20"/>
        </w:rPr>
        <w:t xml:space="preserve">, I. (2016). Comparative clinical evaluation of tacrolimus </w:t>
      </w:r>
      <w:r>
        <w:rPr>
          <w:rFonts w:ascii="Arial" w:eastAsia="Arial" w:hAnsi="Arial" w:cs="Arial"/>
          <w:color w:val="000000"/>
          <w:sz w:val="20"/>
          <w:szCs w:val="20"/>
        </w:rPr>
        <w:t>and cyclosporine eye drops for the treatment of canine keratoconjunctivitis sicca. </w:t>
      </w:r>
      <w:r>
        <w:rPr>
          <w:rFonts w:ascii="Arial" w:eastAsia="Arial" w:hAnsi="Arial" w:cs="Arial"/>
          <w:i/>
          <w:color w:val="000000"/>
          <w:sz w:val="20"/>
          <w:szCs w:val="20"/>
        </w:rPr>
        <w:t xml:space="preserve">Acta </w:t>
      </w:r>
      <w:proofErr w:type="spellStart"/>
      <w:r>
        <w:rPr>
          <w:rFonts w:ascii="Arial" w:eastAsia="Arial" w:hAnsi="Arial" w:cs="Arial"/>
          <w:i/>
          <w:color w:val="000000"/>
          <w:sz w:val="20"/>
          <w:szCs w:val="20"/>
        </w:rPr>
        <w:t>Veterinaria</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Hungarica</w:t>
      </w:r>
      <w:proofErr w:type="spellEnd"/>
      <w:r>
        <w:rPr>
          <w:rFonts w:ascii="Arial" w:eastAsia="Arial" w:hAnsi="Arial" w:cs="Arial"/>
          <w:color w:val="000000"/>
          <w:sz w:val="20"/>
          <w:szCs w:val="20"/>
        </w:rPr>
        <w:t>, </w:t>
      </w:r>
      <w:r>
        <w:rPr>
          <w:rFonts w:ascii="Arial" w:eastAsia="Arial" w:hAnsi="Arial" w:cs="Arial"/>
          <w:b/>
          <w:color w:val="000000"/>
          <w:sz w:val="20"/>
          <w:szCs w:val="20"/>
        </w:rPr>
        <w:t>64</w:t>
      </w:r>
      <w:r>
        <w:rPr>
          <w:rFonts w:ascii="Arial" w:eastAsia="Arial" w:hAnsi="Arial" w:cs="Arial"/>
          <w:color w:val="000000"/>
          <w:sz w:val="20"/>
          <w:szCs w:val="20"/>
        </w:rPr>
        <w:t>(3): 313-329.</w:t>
      </w:r>
    </w:p>
    <w:p w14:paraId="741EAA59" w14:textId="77777777" w:rsidR="00841722" w:rsidRDefault="00CB299E">
      <w:pPr>
        <w:spacing w:before="120" w:after="120" w:line="480" w:lineRule="auto"/>
        <w:ind w:left="1440" w:right="-28" w:hanging="1440"/>
        <w:jc w:val="both"/>
        <w:rPr>
          <w:rFonts w:ascii="Arial" w:eastAsia="Arial" w:hAnsi="Arial" w:cs="Arial"/>
          <w:color w:val="000000"/>
          <w:sz w:val="20"/>
          <w:szCs w:val="20"/>
        </w:rPr>
      </w:pPr>
      <w:r>
        <w:rPr>
          <w:rFonts w:ascii="Arial" w:eastAsia="Arial" w:hAnsi="Arial" w:cs="Arial"/>
          <w:color w:val="000000"/>
          <w:sz w:val="20"/>
          <w:szCs w:val="20"/>
        </w:rPr>
        <w:t xml:space="preserve">Ribeiro, A.P., Brito, F.L.D.C., Martins, B.D.C., </w:t>
      </w:r>
      <w:proofErr w:type="spellStart"/>
      <w:r>
        <w:rPr>
          <w:rFonts w:ascii="Arial" w:eastAsia="Arial" w:hAnsi="Arial" w:cs="Arial"/>
          <w:color w:val="000000"/>
          <w:sz w:val="20"/>
          <w:szCs w:val="20"/>
        </w:rPr>
        <w:t>Mamede</w:t>
      </w:r>
      <w:proofErr w:type="spellEnd"/>
      <w:r>
        <w:rPr>
          <w:rFonts w:ascii="Arial" w:eastAsia="Arial" w:hAnsi="Arial" w:cs="Arial"/>
          <w:color w:val="000000"/>
          <w:sz w:val="20"/>
          <w:szCs w:val="20"/>
        </w:rPr>
        <w:t xml:space="preserve">, F. and </w:t>
      </w:r>
      <w:proofErr w:type="spellStart"/>
      <w:r>
        <w:rPr>
          <w:rFonts w:ascii="Arial" w:eastAsia="Arial" w:hAnsi="Arial" w:cs="Arial"/>
          <w:color w:val="000000"/>
          <w:sz w:val="20"/>
          <w:szCs w:val="20"/>
        </w:rPr>
        <w:t>Laus</w:t>
      </w:r>
      <w:proofErr w:type="spellEnd"/>
      <w:r>
        <w:rPr>
          <w:rFonts w:ascii="Arial" w:eastAsia="Arial" w:hAnsi="Arial" w:cs="Arial"/>
          <w:color w:val="000000"/>
          <w:sz w:val="20"/>
          <w:szCs w:val="20"/>
        </w:rPr>
        <w:t>, J.L. (2008). Qualitative and quantitative tear film abnorma</w:t>
      </w:r>
      <w:r>
        <w:rPr>
          <w:rFonts w:ascii="Arial" w:eastAsia="Arial" w:hAnsi="Arial" w:cs="Arial"/>
          <w:color w:val="000000"/>
          <w:sz w:val="20"/>
          <w:szCs w:val="20"/>
        </w:rPr>
        <w:t>lities in dogs. </w:t>
      </w:r>
      <w:proofErr w:type="spellStart"/>
      <w:r>
        <w:rPr>
          <w:rFonts w:ascii="Arial" w:eastAsia="Arial" w:hAnsi="Arial" w:cs="Arial"/>
          <w:i/>
          <w:color w:val="000000"/>
          <w:sz w:val="20"/>
          <w:szCs w:val="20"/>
        </w:rPr>
        <w:t>Ciencia</w:t>
      </w:r>
      <w:proofErr w:type="spellEnd"/>
      <w:r>
        <w:rPr>
          <w:rFonts w:ascii="Arial" w:eastAsia="Arial" w:hAnsi="Arial" w:cs="Arial"/>
          <w:i/>
          <w:color w:val="000000"/>
          <w:sz w:val="20"/>
          <w:szCs w:val="20"/>
        </w:rPr>
        <w:t xml:space="preserve"> Rural</w:t>
      </w:r>
      <w:r>
        <w:rPr>
          <w:rFonts w:ascii="Arial" w:eastAsia="Arial" w:hAnsi="Arial" w:cs="Arial"/>
          <w:color w:val="000000"/>
          <w:sz w:val="20"/>
          <w:szCs w:val="20"/>
        </w:rPr>
        <w:t>, </w:t>
      </w:r>
      <w:r>
        <w:rPr>
          <w:rFonts w:ascii="Arial" w:eastAsia="Arial" w:hAnsi="Arial" w:cs="Arial"/>
          <w:b/>
          <w:color w:val="000000"/>
          <w:sz w:val="20"/>
          <w:szCs w:val="20"/>
        </w:rPr>
        <w:t>38</w:t>
      </w:r>
      <w:r>
        <w:rPr>
          <w:rFonts w:ascii="Arial" w:eastAsia="Arial" w:hAnsi="Arial" w:cs="Arial"/>
          <w:color w:val="000000"/>
          <w:sz w:val="20"/>
          <w:szCs w:val="20"/>
        </w:rPr>
        <w:t>(2), 568-575.</w:t>
      </w:r>
    </w:p>
    <w:p w14:paraId="577A1A2F" w14:textId="77777777" w:rsidR="00841722" w:rsidRDefault="00CB299E">
      <w:pPr>
        <w:spacing w:before="120" w:after="120" w:line="480" w:lineRule="auto"/>
        <w:ind w:left="1440" w:right="-28" w:hanging="144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Silva, D.A., </w:t>
      </w:r>
      <w:proofErr w:type="spellStart"/>
      <w:r>
        <w:rPr>
          <w:rFonts w:ascii="Arial" w:eastAsia="Arial" w:hAnsi="Arial" w:cs="Arial"/>
          <w:color w:val="000000"/>
          <w:sz w:val="20"/>
          <w:szCs w:val="20"/>
        </w:rPr>
        <w:t>Nai</w:t>
      </w:r>
      <w:proofErr w:type="spellEnd"/>
      <w:r>
        <w:rPr>
          <w:rFonts w:ascii="Arial" w:eastAsia="Arial" w:hAnsi="Arial" w:cs="Arial"/>
          <w:color w:val="000000"/>
          <w:sz w:val="20"/>
          <w:szCs w:val="20"/>
        </w:rPr>
        <w:t xml:space="preserve">, G.A., Giuffrida, R., </w:t>
      </w:r>
      <w:proofErr w:type="spellStart"/>
      <w:r>
        <w:rPr>
          <w:rFonts w:ascii="Arial" w:eastAsia="Arial" w:hAnsi="Arial" w:cs="Arial"/>
          <w:color w:val="000000"/>
          <w:sz w:val="20"/>
          <w:szCs w:val="20"/>
        </w:rPr>
        <w:t>Sgrignoli</w:t>
      </w:r>
      <w:proofErr w:type="spellEnd"/>
      <w:r>
        <w:rPr>
          <w:rFonts w:ascii="Arial" w:eastAsia="Arial" w:hAnsi="Arial" w:cs="Arial"/>
          <w:color w:val="000000"/>
          <w:sz w:val="20"/>
          <w:szCs w:val="20"/>
        </w:rPr>
        <w:t xml:space="preserve">, M.R., Santos, D.R.D., </w:t>
      </w:r>
      <w:proofErr w:type="spellStart"/>
      <w:r>
        <w:rPr>
          <w:rFonts w:ascii="Arial" w:eastAsia="Arial" w:hAnsi="Arial" w:cs="Arial"/>
          <w:color w:val="000000"/>
          <w:sz w:val="20"/>
          <w:szCs w:val="20"/>
        </w:rPr>
        <w:t>Donadao</w:t>
      </w:r>
      <w:proofErr w:type="spellEnd"/>
      <w:r>
        <w:rPr>
          <w:rFonts w:ascii="Arial" w:eastAsia="Arial" w:hAnsi="Arial" w:cs="Arial"/>
          <w:color w:val="000000"/>
          <w:sz w:val="20"/>
          <w:szCs w:val="20"/>
        </w:rPr>
        <w:t>, I.V. and Andrade, S.F. (2018). Oral omega 3 in different proportions of EPA, DHA, and antioxidants as adjuvant in treatment of k</w:t>
      </w:r>
      <w:r>
        <w:rPr>
          <w:rFonts w:ascii="Arial" w:eastAsia="Arial" w:hAnsi="Arial" w:cs="Arial"/>
          <w:color w:val="000000"/>
          <w:sz w:val="20"/>
          <w:szCs w:val="20"/>
        </w:rPr>
        <w:t>eratoconjunctivitis sicca in dogs</w:t>
      </w:r>
      <w:r>
        <w:rPr>
          <w:rFonts w:ascii="Arial" w:eastAsia="Arial" w:hAnsi="Arial" w:cs="Arial"/>
          <w:i/>
          <w:color w:val="000000"/>
          <w:sz w:val="20"/>
          <w:szCs w:val="20"/>
        </w:rPr>
        <w:t>. Brazilian Archives of Ophthalmology</w:t>
      </w:r>
      <w:r>
        <w:rPr>
          <w:rFonts w:ascii="Arial" w:eastAsia="Arial" w:hAnsi="Arial" w:cs="Arial"/>
          <w:color w:val="000000"/>
          <w:sz w:val="20"/>
          <w:szCs w:val="20"/>
        </w:rPr>
        <w:t xml:space="preserve">, </w:t>
      </w:r>
      <w:r>
        <w:rPr>
          <w:rFonts w:ascii="Arial" w:eastAsia="Arial" w:hAnsi="Arial" w:cs="Arial"/>
          <w:b/>
          <w:color w:val="000000"/>
          <w:sz w:val="20"/>
          <w:szCs w:val="20"/>
        </w:rPr>
        <w:t>81</w:t>
      </w:r>
      <w:r>
        <w:rPr>
          <w:rFonts w:ascii="Arial" w:eastAsia="Arial" w:hAnsi="Arial" w:cs="Arial"/>
          <w:color w:val="000000"/>
          <w:sz w:val="20"/>
          <w:szCs w:val="20"/>
        </w:rPr>
        <w:t>(5): 421-428.</w:t>
      </w:r>
    </w:p>
    <w:p w14:paraId="024B4EAD" w14:textId="77777777" w:rsidR="00841722" w:rsidRDefault="00CB299E">
      <w:pPr>
        <w:spacing w:before="120" w:after="120" w:line="480" w:lineRule="auto"/>
        <w:ind w:left="1440" w:right="-28" w:hanging="1440"/>
        <w:jc w:val="both"/>
        <w:rPr>
          <w:rFonts w:ascii="Arial" w:eastAsia="Arial" w:hAnsi="Arial" w:cs="Arial"/>
          <w:color w:val="000000"/>
          <w:sz w:val="20"/>
          <w:szCs w:val="20"/>
        </w:rPr>
      </w:pPr>
      <w:proofErr w:type="spellStart"/>
      <w:r>
        <w:rPr>
          <w:rFonts w:ascii="Arial" w:eastAsia="Arial" w:hAnsi="Arial" w:cs="Arial"/>
          <w:color w:val="000000"/>
          <w:sz w:val="20"/>
          <w:szCs w:val="20"/>
        </w:rPr>
        <w:t>Snedecor</w:t>
      </w:r>
      <w:proofErr w:type="spellEnd"/>
      <w:r>
        <w:rPr>
          <w:rFonts w:ascii="Arial" w:eastAsia="Arial" w:hAnsi="Arial" w:cs="Arial"/>
          <w:color w:val="000000"/>
          <w:sz w:val="20"/>
          <w:szCs w:val="20"/>
        </w:rPr>
        <w:t xml:space="preserve"> GW, Cochran WG. Statistical Methods. 8th </w:t>
      </w:r>
      <w:proofErr w:type="spellStart"/>
      <w:r>
        <w:rPr>
          <w:rFonts w:ascii="Arial" w:eastAsia="Arial" w:hAnsi="Arial" w:cs="Arial"/>
          <w:color w:val="000000"/>
          <w:sz w:val="20"/>
          <w:szCs w:val="20"/>
        </w:rPr>
        <w:t>Edn</w:t>
      </w:r>
      <w:proofErr w:type="spellEnd"/>
      <w:r>
        <w:rPr>
          <w:rFonts w:ascii="Arial" w:eastAsia="Arial" w:hAnsi="Arial" w:cs="Arial"/>
          <w:color w:val="000000"/>
          <w:sz w:val="20"/>
          <w:szCs w:val="20"/>
        </w:rPr>
        <w:t xml:space="preserve"> IOWA State University Press.  Ames, Iowa, USA. 1994.</w:t>
      </w:r>
    </w:p>
    <w:p w14:paraId="1E15EEE8" w14:textId="77777777" w:rsidR="00841722" w:rsidRDefault="00CB299E">
      <w:pPr>
        <w:spacing w:before="120" w:after="120" w:line="480" w:lineRule="auto"/>
        <w:ind w:left="1440" w:right="-28" w:hanging="1440"/>
        <w:jc w:val="both"/>
        <w:rPr>
          <w:rFonts w:ascii="Arial" w:eastAsia="Arial" w:hAnsi="Arial" w:cs="Arial"/>
          <w:color w:val="000000"/>
          <w:sz w:val="20"/>
          <w:szCs w:val="20"/>
          <w:highlight w:val="white"/>
        </w:rPr>
      </w:pPr>
      <w:proofErr w:type="spellStart"/>
      <w:r>
        <w:rPr>
          <w:rFonts w:ascii="Arial" w:eastAsia="Arial" w:hAnsi="Arial" w:cs="Arial"/>
          <w:color w:val="000000"/>
          <w:sz w:val="20"/>
          <w:szCs w:val="20"/>
          <w:highlight w:val="white"/>
        </w:rPr>
        <w:t>Voitena</w:t>
      </w:r>
      <w:proofErr w:type="spellEnd"/>
      <w:r>
        <w:rPr>
          <w:rFonts w:ascii="Arial" w:eastAsia="Arial" w:hAnsi="Arial" w:cs="Arial"/>
          <w:color w:val="000000"/>
          <w:sz w:val="20"/>
          <w:szCs w:val="20"/>
          <w:highlight w:val="white"/>
        </w:rPr>
        <w:t>, J.N., Cunha, O., Fukushima, F.B., Carvalho, G.F., Ra</w:t>
      </w:r>
      <w:r>
        <w:rPr>
          <w:rFonts w:ascii="Arial" w:eastAsia="Arial" w:hAnsi="Arial" w:cs="Arial"/>
          <w:color w:val="000000"/>
          <w:sz w:val="20"/>
          <w:szCs w:val="20"/>
          <w:highlight w:val="white"/>
        </w:rPr>
        <w:t xml:space="preserve">mos, L.C.S., Henriques, V.C. and Costa, D.M.B. (2018). </w:t>
      </w:r>
      <w:r>
        <w:rPr>
          <w:rFonts w:ascii="Arial" w:eastAsia="Arial" w:hAnsi="Arial" w:cs="Arial"/>
          <w:color w:val="000000"/>
          <w:sz w:val="20"/>
          <w:szCs w:val="20"/>
        </w:rPr>
        <w:t>Efficacy of cyclosporine and tacrolimus drops in the treatment of keratoconjunctivitis sicca in dogs.</w:t>
      </w:r>
      <w:r>
        <w:rPr>
          <w:rFonts w:ascii="Arial" w:eastAsia="Arial" w:hAnsi="Arial" w:cs="Arial"/>
          <w:color w:val="000000"/>
          <w:sz w:val="20"/>
          <w:szCs w:val="20"/>
          <w:highlight w:val="white"/>
        </w:rPr>
        <w:t> </w:t>
      </w:r>
      <w:r>
        <w:rPr>
          <w:rFonts w:ascii="Arial" w:eastAsia="Arial" w:hAnsi="Arial" w:cs="Arial"/>
          <w:i/>
          <w:color w:val="000000"/>
          <w:sz w:val="20"/>
          <w:szCs w:val="20"/>
          <w:highlight w:val="white"/>
        </w:rPr>
        <w:t>Brazilian Archive of Veterinary Medicine and Zootechnics</w:t>
      </w:r>
      <w:r>
        <w:rPr>
          <w:rFonts w:ascii="Arial" w:eastAsia="Arial" w:hAnsi="Arial" w:cs="Arial"/>
          <w:color w:val="000000"/>
          <w:sz w:val="20"/>
          <w:szCs w:val="20"/>
          <w:highlight w:val="white"/>
        </w:rPr>
        <w:t xml:space="preserve">, </w:t>
      </w:r>
      <w:r>
        <w:rPr>
          <w:rFonts w:ascii="Arial" w:eastAsia="Arial" w:hAnsi="Arial" w:cs="Arial"/>
          <w:b/>
          <w:color w:val="000000"/>
          <w:sz w:val="20"/>
          <w:szCs w:val="20"/>
          <w:highlight w:val="white"/>
        </w:rPr>
        <w:t>70</w:t>
      </w:r>
      <w:r>
        <w:rPr>
          <w:rFonts w:ascii="Arial" w:eastAsia="Arial" w:hAnsi="Arial" w:cs="Arial"/>
          <w:color w:val="000000"/>
          <w:sz w:val="20"/>
          <w:szCs w:val="20"/>
          <w:highlight w:val="white"/>
        </w:rPr>
        <w:t>(3): 699-703.</w:t>
      </w:r>
    </w:p>
    <w:sectPr w:rsidR="0084172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84B47" w14:textId="77777777" w:rsidR="00CB299E" w:rsidRDefault="00CB299E">
      <w:pPr>
        <w:spacing w:after="0" w:line="240" w:lineRule="auto"/>
      </w:pPr>
      <w:r>
        <w:separator/>
      </w:r>
    </w:p>
  </w:endnote>
  <w:endnote w:type="continuationSeparator" w:id="0">
    <w:p w14:paraId="3A62255B" w14:textId="77777777" w:rsidR="00CB299E" w:rsidRDefault="00CB2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DB21" w14:textId="77777777" w:rsidR="001B23BE" w:rsidRDefault="001B2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8B89" w14:textId="77777777" w:rsidR="00841722" w:rsidRDefault="00CB299E">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D3F84">
      <w:rPr>
        <w:noProof/>
        <w:color w:val="000000"/>
      </w:rPr>
      <w:t>1</w:t>
    </w:r>
    <w:r>
      <w:rPr>
        <w:color w:val="000000"/>
      </w:rPr>
      <w:fldChar w:fldCharType="end"/>
    </w:r>
  </w:p>
  <w:p w14:paraId="41F5E122" w14:textId="77777777" w:rsidR="00841722" w:rsidRDefault="00841722">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67514" w14:textId="77777777" w:rsidR="001B23BE" w:rsidRDefault="001B2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04089" w14:textId="77777777" w:rsidR="00CB299E" w:rsidRDefault="00CB299E">
      <w:pPr>
        <w:spacing w:after="0" w:line="240" w:lineRule="auto"/>
      </w:pPr>
      <w:r>
        <w:separator/>
      </w:r>
    </w:p>
  </w:footnote>
  <w:footnote w:type="continuationSeparator" w:id="0">
    <w:p w14:paraId="6CD6D4A5" w14:textId="77777777" w:rsidR="00CB299E" w:rsidRDefault="00CB2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CB09" w14:textId="0518D58F" w:rsidR="001B23BE" w:rsidRDefault="001B23BE">
    <w:pPr>
      <w:pStyle w:val="Header"/>
    </w:pPr>
    <w:r>
      <w:rPr>
        <w:noProof/>
      </w:rPr>
      <w:pict w14:anchorId="2E1C0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87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6164E" w14:textId="6E9A9FA8" w:rsidR="001B23BE" w:rsidRDefault="001B23BE">
    <w:pPr>
      <w:pStyle w:val="Header"/>
    </w:pPr>
    <w:r>
      <w:rPr>
        <w:noProof/>
      </w:rPr>
      <w:pict w14:anchorId="6FECE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87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0A3CB" w14:textId="35B538D0" w:rsidR="001B23BE" w:rsidRDefault="001B23BE">
    <w:pPr>
      <w:pStyle w:val="Header"/>
    </w:pPr>
    <w:r>
      <w:rPr>
        <w:noProof/>
      </w:rPr>
      <w:pict w14:anchorId="49615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87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1760C"/>
    <w:multiLevelType w:val="multilevel"/>
    <w:tmpl w:val="E8360AF8"/>
    <w:lvl w:ilvl="0">
      <w:start w:val="1"/>
      <w:numFmt w:val="decimal"/>
      <w:lvlText w:val="%1."/>
      <w:lvlJc w:val="left"/>
      <w:pPr>
        <w:ind w:left="720" w:hanging="360"/>
      </w:pPr>
      <w:rPr>
        <w:b/>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722"/>
    <w:rsid w:val="001B23BE"/>
    <w:rsid w:val="00353F5B"/>
    <w:rsid w:val="005A0273"/>
    <w:rsid w:val="006A1E43"/>
    <w:rsid w:val="006A3393"/>
    <w:rsid w:val="00701223"/>
    <w:rsid w:val="007068C1"/>
    <w:rsid w:val="00841722"/>
    <w:rsid w:val="00CB299E"/>
    <w:rsid w:val="00CD3F84"/>
    <w:rsid w:val="00D56CE3"/>
    <w:rsid w:val="00FE1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13524E"/>
  <w15:docId w15:val="{4B638740-3FB3-4C95-87CA-AAECFFED0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Header">
    <w:name w:val="header"/>
    <w:basedOn w:val="Normal"/>
    <w:link w:val="HeaderChar"/>
    <w:uiPriority w:val="99"/>
    <w:unhideWhenUsed/>
    <w:rsid w:val="001B2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3BE"/>
  </w:style>
  <w:style w:type="paragraph" w:styleId="Footer">
    <w:name w:val="footer"/>
    <w:basedOn w:val="Normal"/>
    <w:link w:val="FooterChar"/>
    <w:uiPriority w:val="99"/>
    <w:unhideWhenUsed/>
    <w:rsid w:val="001B2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3265</Words>
  <Characters>18614</Characters>
  <Application>Microsoft Office Word</Application>
  <DocSecurity>0</DocSecurity>
  <Lines>155</Lines>
  <Paragraphs>43</Paragraphs>
  <ScaleCrop>false</ScaleCrop>
  <Company/>
  <LinksUpToDate>false</LinksUpToDate>
  <CharactersWithSpaces>21836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2025-02-17T06:37:00Z</dcterms:created>
  <dcterms:modified xsi:type="dcterms:W3CDTF">2025-02-17T08:47:00Z</dcterms:modified>
</cp:coreProperties>
</file>