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F15F" w14:textId="74EE802A" w:rsidR="002D250C" w:rsidRPr="003305A8" w:rsidRDefault="002D250C" w:rsidP="003305A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305A8">
        <w:rPr>
          <w:rFonts w:ascii="Arial" w:hAnsi="Arial" w:cs="Arial"/>
          <w:b/>
          <w:bCs/>
          <w:sz w:val="32"/>
          <w:szCs w:val="32"/>
        </w:rPr>
        <w:t>Effect of new generation herbici</w:t>
      </w:r>
      <w:r w:rsidR="002C2115" w:rsidRPr="003305A8">
        <w:rPr>
          <w:rFonts w:ascii="Arial" w:hAnsi="Arial" w:cs="Arial"/>
          <w:b/>
          <w:bCs/>
          <w:sz w:val="32"/>
          <w:szCs w:val="32"/>
        </w:rPr>
        <w:t xml:space="preserve">des on weed dynamics </w:t>
      </w:r>
      <w:r w:rsidRPr="003305A8">
        <w:rPr>
          <w:rFonts w:ascii="Arial" w:hAnsi="Arial" w:cs="Arial"/>
          <w:b/>
          <w:bCs/>
          <w:sz w:val="32"/>
          <w:szCs w:val="32"/>
        </w:rPr>
        <w:t>and yield of chickpea (</w:t>
      </w:r>
      <w:proofErr w:type="spellStart"/>
      <w:r w:rsidRPr="003305A8">
        <w:rPr>
          <w:rFonts w:ascii="Arial" w:hAnsi="Arial" w:cs="Arial"/>
          <w:b/>
          <w:bCs/>
          <w:i/>
          <w:iCs/>
          <w:sz w:val="32"/>
          <w:szCs w:val="32"/>
        </w:rPr>
        <w:t>Cicer</w:t>
      </w:r>
      <w:proofErr w:type="spellEnd"/>
      <w:r w:rsidRPr="003305A8">
        <w:rPr>
          <w:rFonts w:ascii="Arial" w:hAnsi="Arial" w:cs="Arial"/>
          <w:b/>
          <w:bCs/>
          <w:i/>
          <w:iCs/>
          <w:sz w:val="32"/>
          <w:szCs w:val="32"/>
        </w:rPr>
        <w:t xml:space="preserve"> arieti</w:t>
      </w:r>
      <w:r w:rsidRPr="003305A8">
        <w:rPr>
          <w:rFonts w:ascii="Arial" w:hAnsi="Arial" w:cs="Arial"/>
          <w:b/>
          <w:bCs/>
          <w:sz w:val="32"/>
          <w:szCs w:val="32"/>
        </w:rPr>
        <w:t>num L.)</w:t>
      </w:r>
    </w:p>
    <w:p w14:paraId="2176682C" w14:textId="77777777" w:rsidR="00EF38F5" w:rsidRDefault="00EF38F5" w:rsidP="003305A8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C4D9890" w14:textId="341840B0" w:rsidR="002D250C" w:rsidRPr="003305A8" w:rsidRDefault="008064F0" w:rsidP="003305A8">
      <w:pPr>
        <w:spacing w:line="240" w:lineRule="auto"/>
        <w:jc w:val="center"/>
        <w:rPr>
          <w:rFonts w:ascii="Arial" w:hAnsi="Arial" w:cs="Arial"/>
          <w:b/>
          <w:bCs/>
        </w:rPr>
      </w:pPr>
      <w:r w:rsidRPr="003305A8">
        <w:rPr>
          <w:rFonts w:ascii="Arial" w:hAnsi="Arial" w:cs="Arial"/>
          <w:b/>
          <w:bCs/>
        </w:rPr>
        <w:t>ABSTRACT</w:t>
      </w:r>
    </w:p>
    <w:p w14:paraId="57E2AE64" w14:textId="4E48DDD1" w:rsidR="002D250C" w:rsidRPr="003305A8" w:rsidRDefault="002D250C" w:rsidP="00330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Aims:</w:t>
      </w:r>
      <w:r w:rsidRPr="003305A8">
        <w:rPr>
          <w:rFonts w:ascii="Arial" w:hAnsi="Arial" w:cs="Arial"/>
          <w:sz w:val="20"/>
          <w:szCs w:val="20"/>
        </w:rPr>
        <w:t xml:space="preserve">  To study the differential doses and time applica</w:t>
      </w:r>
      <w:r w:rsidR="00106C0A" w:rsidRPr="003305A8">
        <w:rPr>
          <w:rFonts w:ascii="Arial" w:hAnsi="Arial" w:cs="Arial"/>
          <w:sz w:val="20"/>
          <w:szCs w:val="20"/>
        </w:rPr>
        <w:t>tions of topramezone on weed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106C0A" w:rsidRPr="003305A8">
        <w:rPr>
          <w:rFonts w:ascii="Arial" w:hAnsi="Arial" w:cs="Arial"/>
          <w:sz w:val="20"/>
          <w:szCs w:val="20"/>
        </w:rPr>
        <w:t xml:space="preserve">dynamics </w:t>
      </w:r>
      <w:r w:rsidRPr="003305A8">
        <w:rPr>
          <w:rFonts w:ascii="Arial" w:hAnsi="Arial" w:cs="Arial"/>
          <w:sz w:val="20"/>
          <w:szCs w:val="20"/>
        </w:rPr>
        <w:t>and yield of chickpea (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Cicer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arietinum </w:t>
      </w:r>
      <w:r w:rsidRPr="003305A8">
        <w:rPr>
          <w:rFonts w:ascii="Arial" w:hAnsi="Arial" w:cs="Arial"/>
          <w:sz w:val="20"/>
          <w:szCs w:val="20"/>
        </w:rPr>
        <w:t>L.) in north-east plain zone of India (Bihar).</w:t>
      </w:r>
    </w:p>
    <w:p w14:paraId="2E49299E" w14:textId="6036A592" w:rsidR="002D250C" w:rsidRPr="003305A8" w:rsidRDefault="002D250C" w:rsidP="00330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Place and Duration of Study:</w:t>
      </w:r>
      <w:r w:rsidRPr="003305A8">
        <w:rPr>
          <w:rFonts w:ascii="Arial" w:hAnsi="Arial" w:cs="Arial"/>
          <w:sz w:val="20"/>
          <w:szCs w:val="20"/>
        </w:rPr>
        <w:t xml:space="preserve"> Agronomy research farm of </w:t>
      </w:r>
      <w:proofErr w:type="spellStart"/>
      <w:r w:rsidRPr="003305A8">
        <w:rPr>
          <w:rFonts w:ascii="Arial" w:hAnsi="Arial" w:cs="Arial"/>
          <w:sz w:val="20"/>
          <w:szCs w:val="20"/>
        </w:rPr>
        <w:t>Trihut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College of Agriculture research, </w:t>
      </w:r>
      <w:proofErr w:type="spellStart"/>
      <w:r w:rsidRPr="003305A8">
        <w:rPr>
          <w:rFonts w:ascii="Arial" w:hAnsi="Arial" w:cs="Arial"/>
          <w:sz w:val="20"/>
          <w:szCs w:val="20"/>
        </w:rPr>
        <w:t>Dholi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, Muzaffarpur (Bihar), during the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rabi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</w:t>
      </w:r>
      <w:r w:rsidR="0039251A" w:rsidRPr="003305A8">
        <w:rPr>
          <w:rFonts w:ascii="Arial" w:hAnsi="Arial" w:cs="Arial"/>
          <w:sz w:val="20"/>
          <w:szCs w:val="20"/>
        </w:rPr>
        <w:t>2022-23</w:t>
      </w:r>
      <w:r w:rsidRPr="003305A8">
        <w:rPr>
          <w:rFonts w:ascii="Arial" w:hAnsi="Arial" w:cs="Arial"/>
          <w:sz w:val="20"/>
          <w:szCs w:val="20"/>
        </w:rPr>
        <w:t>.</w:t>
      </w:r>
    </w:p>
    <w:p w14:paraId="47CE4C78" w14:textId="13F8BABA" w:rsidR="002D250C" w:rsidRPr="003305A8" w:rsidRDefault="002D250C" w:rsidP="00330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Methodology:</w:t>
      </w:r>
      <w:r w:rsidRPr="003305A8">
        <w:rPr>
          <w:rFonts w:ascii="Arial" w:hAnsi="Arial" w:cs="Arial"/>
          <w:sz w:val="20"/>
          <w:szCs w:val="20"/>
        </w:rPr>
        <w:t xml:space="preserve">  The experiment was carried out in an RBD design</w:t>
      </w:r>
      <w:r w:rsidR="0039251A" w:rsidRPr="003305A8">
        <w:rPr>
          <w:rFonts w:ascii="Arial" w:hAnsi="Arial" w:cs="Arial"/>
          <w:sz w:val="20"/>
          <w:szCs w:val="20"/>
        </w:rPr>
        <w:t xml:space="preserve"> with three replications and twelve</w:t>
      </w:r>
      <w:r w:rsidRPr="003305A8">
        <w:rPr>
          <w:rFonts w:ascii="Arial" w:hAnsi="Arial" w:cs="Arial"/>
          <w:sz w:val="20"/>
          <w:szCs w:val="20"/>
        </w:rPr>
        <w:t xml:space="preserve"> treatments: </w:t>
      </w:r>
      <w:r w:rsidR="0039251A" w:rsidRPr="003305A8">
        <w:rPr>
          <w:rFonts w:ascii="Arial" w:hAnsi="Arial" w:cs="Arial"/>
          <w:sz w:val="20"/>
          <w:szCs w:val="20"/>
        </w:rPr>
        <w:t xml:space="preserve">PE application of </w:t>
      </w:r>
      <w:proofErr w:type="spellStart"/>
      <w:r w:rsidR="0039251A" w:rsidRPr="003305A8">
        <w:rPr>
          <w:rFonts w:ascii="Arial" w:hAnsi="Arial" w:cs="Arial"/>
          <w:sz w:val="20"/>
          <w:szCs w:val="20"/>
        </w:rPr>
        <w:t>oxyluorfen</w:t>
      </w:r>
      <w:proofErr w:type="spellEnd"/>
      <w:r w:rsidR="0039251A" w:rsidRPr="003305A8">
        <w:rPr>
          <w:rFonts w:ascii="Arial" w:hAnsi="Arial" w:cs="Arial"/>
          <w:sz w:val="20"/>
          <w:szCs w:val="20"/>
        </w:rPr>
        <w:t xml:space="preserve"> (150 &amp; 250 g/ha), PoE application </w:t>
      </w:r>
      <w:proofErr w:type="spellStart"/>
      <w:r w:rsidR="0039251A" w:rsidRPr="003305A8">
        <w:rPr>
          <w:rFonts w:ascii="Arial" w:hAnsi="Arial" w:cs="Arial"/>
          <w:spacing w:val="-1"/>
          <w:sz w:val="20"/>
          <w:szCs w:val="20"/>
        </w:rPr>
        <w:t>quizalofop</w:t>
      </w:r>
      <w:proofErr w:type="spellEnd"/>
      <w:r w:rsidR="0039251A" w:rsidRPr="003305A8">
        <w:rPr>
          <w:rFonts w:ascii="Arial" w:hAnsi="Arial" w:cs="Arial"/>
          <w:spacing w:val="-1"/>
          <w:sz w:val="20"/>
          <w:szCs w:val="20"/>
        </w:rPr>
        <w:t xml:space="preserve">-p-ethyl, </w:t>
      </w:r>
      <w:proofErr w:type="spellStart"/>
      <w:r w:rsidR="0039251A" w:rsidRPr="003305A8">
        <w:rPr>
          <w:rFonts w:ascii="Arial" w:hAnsi="Arial" w:cs="Arial"/>
          <w:spacing w:val="-1"/>
          <w:sz w:val="20"/>
          <w:szCs w:val="20"/>
        </w:rPr>
        <w:t>propaquizafop</w:t>
      </w:r>
      <w:proofErr w:type="spellEnd"/>
      <w:r w:rsidR="0039251A" w:rsidRPr="003305A8">
        <w:rPr>
          <w:rFonts w:ascii="Arial" w:hAnsi="Arial" w:cs="Arial"/>
          <w:spacing w:val="-1"/>
          <w:sz w:val="20"/>
          <w:szCs w:val="20"/>
        </w:rPr>
        <w:t xml:space="preserve"> (20 DAS), </w:t>
      </w:r>
      <w:r w:rsidR="0039251A" w:rsidRPr="003305A8">
        <w:rPr>
          <w:rFonts w:ascii="Arial" w:hAnsi="Arial" w:cs="Arial"/>
          <w:sz w:val="20"/>
          <w:szCs w:val="20"/>
        </w:rPr>
        <w:t xml:space="preserve">topramezone </w:t>
      </w:r>
      <w:r w:rsidRPr="003305A8">
        <w:rPr>
          <w:rFonts w:ascii="Arial" w:hAnsi="Arial" w:cs="Arial"/>
          <w:sz w:val="20"/>
          <w:szCs w:val="20"/>
        </w:rPr>
        <w:t>20.6</w:t>
      </w:r>
      <w:r w:rsidR="0039251A" w:rsidRPr="003305A8">
        <w:rPr>
          <w:rFonts w:ascii="Arial" w:hAnsi="Arial" w:cs="Arial"/>
          <w:sz w:val="20"/>
          <w:szCs w:val="20"/>
        </w:rPr>
        <w:t xml:space="preserve"> g/ha (14 &amp; 21 DAS) and 25.7 g/ha (21 DAS)</w:t>
      </w:r>
      <w:r w:rsidRPr="003305A8">
        <w:rPr>
          <w:rFonts w:ascii="Arial" w:hAnsi="Arial" w:cs="Arial"/>
          <w:sz w:val="20"/>
          <w:szCs w:val="20"/>
        </w:rPr>
        <w:t xml:space="preserve"> applied</w:t>
      </w:r>
      <w:r w:rsidR="0039251A" w:rsidRPr="003305A8"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39251A" w:rsidRPr="003305A8">
        <w:rPr>
          <w:rFonts w:ascii="Arial" w:hAnsi="Arial" w:cs="Arial"/>
          <w:sz w:val="20"/>
          <w:szCs w:val="20"/>
        </w:rPr>
        <w:t xml:space="preserve">Among pre + post emergence applications </w:t>
      </w:r>
      <w:r w:rsidR="0039251A" w:rsidRPr="003305A8">
        <w:rPr>
          <w:rFonts w:ascii="Arial" w:hAnsi="Arial" w:cs="Arial"/>
          <w:spacing w:val="-1"/>
          <w:sz w:val="20"/>
          <w:szCs w:val="20"/>
          <w:lang w:val="nb-NO"/>
        </w:rPr>
        <w:t>oxyfluorfen (</w:t>
      </w:r>
      <w:r w:rsidR="0039251A" w:rsidRPr="003305A8">
        <w:rPr>
          <w:rFonts w:ascii="Arial" w:hAnsi="Arial" w:cs="Arial"/>
          <w:sz w:val="20"/>
          <w:szCs w:val="20"/>
          <w:lang w:val="nb-NO"/>
        </w:rPr>
        <w:t>150 g/ha)</w:t>
      </w:r>
      <w:r w:rsidR="00214E39" w:rsidRPr="003305A8">
        <w:rPr>
          <w:rFonts w:ascii="Arial" w:hAnsi="Arial" w:cs="Arial"/>
          <w:i/>
          <w:iCs/>
          <w:sz w:val="20"/>
          <w:szCs w:val="20"/>
          <w:lang w:val="nb-NO"/>
        </w:rPr>
        <w:t xml:space="preserve"> fb </w:t>
      </w:r>
      <w:r w:rsidR="0039251A" w:rsidRPr="003305A8">
        <w:rPr>
          <w:rFonts w:ascii="Arial" w:hAnsi="Arial" w:cs="Arial"/>
          <w:spacing w:val="-1"/>
          <w:sz w:val="20"/>
          <w:szCs w:val="20"/>
          <w:lang w:val="nb-NO"/>
        </w:rPr>
        <w:t>quizalofop-p-ethyl (</w:t>
      </w:r>
      <w:r w:rsidR="0039251A" w:rsidRPr="003305A8">
        <w:rPr>
          <w:rFonts w:ascii="Arial" w:hAnsi="Arial" w:cs="Arial"/>
          <w:sz w:val="20"/>
          <w:szCs w:val="20"/>
          <w:lang w:val="nb-NO"/>
        </w:rPr>
        <w:t>100 g/</w:t>
      </w:r>
      <w:r w:rsidR="0039251A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ha at 15-20 DAS), 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>oxyfluorfen</w:t>
      </w:r>
      <w:r w:rsidR="00214E39" w:rsidRPr="003305A8">
        <w:rPr>
          <w:rFonts w:ascii="Arial" w:hAnsi="Arial" w:cs="Arial"/>
          <w:i/>
          <w:iCs/>
          <w:spacing w:val="-1"/>
          <w:sz w:val="20"/>
          <w:szCs w:val="20"/>
          <w:lang w:val="nb-NO"/>
        </w:rPr>
        <w:t xml:space="preserve"> fb 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>propaquizafop (</w:t>
      </w:r>
      <w:r w:rsidR="00214E39" w:rsidRPr="003305A8">
        <w:rPr>
          <w:rFonts w:ascii="Arial" w:hAnsi="Arial" w:cs="Arial"/>
          <w:sz w:val="20"/>
          <w:szCs w:val="20"/>
          <w:lang w:val="nb-NO"/>
        </w:rPr>
        <w:t>100 g/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>ha at 20 DAS) and oxyfluorfen</w:t>
      </w:r>
      <w:r w:rsidR="00214E39" w:rsidRPr="003305A8">
        <w:rPr>
          <w:rFonts w:ascii="Arial" w:hAnsi="Arial" w:cs="Arial"/>
          <w:i/>
          <w:iCs/>
          <w:spacing w:val="-1"/>
          <w:sz w:val="20"/>
          <w:szCs w:val="20"/>
          <w:lang w:val="nb-NO"/>
        </w:rPr>
        <w:t xml:space="preserve"> fb 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>topramezone (</w:t>
      </w:r>
      <w:r w:rsidR="00214E39" w:rsidRPr="003305A8">
        <w:rPr>
          <w:rFonts w:ascii="Arial" w:hAnsi="Arial" w:cs="Arial"/>
          <w:sz w:val="20"/>
          <w:szCs w:val="20"/>
          <w:lang w:val="nb-NO"/>
        </w:rPr>
        <w:t>20.6 g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/ha at </w:t>
      </w:r>
      <w:r w:rsidR="00214E39" w:rsidRPr="003305A8">
        <w:rPr>
          <w:rFonts w:ascii="Arial" w:hAnsi="Arial" w:cs="Arial"/>
          <w:sz w:val="20"/>
          <w:szCs w:val="20"/>
          <w:lang w:val="nb-NO"/>
        </w:rPr>
        <w:t xml:space="preserve">21 </w:t>
      </w:r>
      <w:r w:rsidR="00214E39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DAS) applied, </w:t>
      </w:r>
      <w:r w:rsidR="00214E39" w:rsidRPr="003305A8">
        <w:rPr>
          <w:rFonts w:ascii="Arial" w:hAnsi="Arial" w:cs="Arial"/>
          <w:sz w:val="20"/>
          <w:szCs w:val="20"/>
        </w:rPr>
        <w:t>along with the weed-free control (WFC) and weedy check</w:t>
      </w:r>
      <w:r w:rsidR="00214E39" w:rsidRPr="003305A8">
        <w:rPr>
          <w:rFonts w:ascii="Arial" w:hAnsi="Arial" w:cs="Arial"/>
          <w:color w:val="FF0000"/>
          <w:sz w:val="20"/>
          <w:szCs w:val="20"/>
        </w:rPr>
        <w:t>.</w:t>
      </w:r>
    </w:p>
    <w:p w14:paraId="3B2B49F9" w14:textId="7DD3631A" w:rsidR="00214E39" w:rsidRPr="003305A8" w:rsidRDefault="002D250C" w:rsidP="003305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Results:</w:t>
      </w:r>
      <w:r w:rsidRPr="003305A8">
        <w:rPr>
          <w:rFonts w:ascii="Arial" w:hAnsi="Arial" w:cs="Arial"/>
          <w:sz w:val="20"/>
          <w:szCs w:val="20"/>
        </w:rPr>
        <w:t xml:space="preserve">  </w:t>
      </w:r>
      <w:r w:rsidR="00214E39" w:rsidRPr="003305A8">
        <w:rPr>
          <w:rFonts w:ascii="Arial" w:hAnsi="Arial" w:cs="Arial"/>
          <w:sz w:val="20"/>
          <w:szCs w:val="20"/>
        </w:rPr>
        <w:t>Among all the herbicidal treatments, the combination of oxyfluorfen at 150 g/ha followed by topramezone at 20.6 g/ha at 21 DAS (pre + post-emergence) recorded lowest weed dry matter and highest weed control efficiency (WCE) and crop yield.</w:t>
      </w:r>
    </w:p>
    <w:p w14:paraId="4C36693F" w14:textId="4A11DCE2" w:rsidR="00214E39" w:rsidRPr="003305A8" w:rsidRDefault="00214E39" w:rsidP="003305A8">
      <w:pPr>
        <w:spacing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 xml:space="preserve">Keywords: </w:t>
      </w:r>
      <w:r w:rsidRPr="003305A8">
        <w:rPr>
          <w:rFonts w:ascii="Arial" w:hAnsi="Arial" w:cs="Arial"/>
          <w:i/>
          <w:iCs/>
          <w:sz w:val="20"/>
          <w:szCs w:val="20"/>
        </w:rPr>
        <w:t xml:space="preserve">Topramezone,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quizalofop-p-ethyl, </w:t>
      </w:r>
      <w:proofErr w:type="spellStart"/>
      <w:r w:rsidRPr="003305A8">
        <w:rPr>
          <w:rFonts w:ascii="Arial" w:hAnsi="Arial" w:cs="Arial"/>
          <w:spacing w:val="-1"/>
          <w:sz w:val="20"/>
          <w:szCs w:val="20"/>
        </w:rPr>
        <w:t>propaquizafop</w:t>
      </w:r>
      <w:proofErr w:type="spellEnd"/>
      <w:r w:rsidRPr="003305A8">
        <w:rPr>
          <w:rFonts w:ascii="Arial" w:hAnsi="Arial" w:cs="Arial"/>
          <w:spacing w:val="-1"/>
          <w:sz w:val="20"/>
          <w:szCs w:val="20"/>
        </w:rPr>
        <w:t xml:space="preserve"> and </w:t>
      </w:r>
      <w:proofErr w:type="spellStart"/>
      <w:r w:rsidRPr="003305A8">
        <w:rPr>
          <w:rFonts w:ascii="Arial" w:hAnsi="Arial" w:cs="Arial"/>
          <w:sz w:val="20"/>
          <w:szCs w:val="20"/>
        </w:rPr>
        <w:t>oxyluorfen</w:t>
      </w:r>
      <w:proofErr w:type="spellEnd"/>
    </w:p>
    <w:p w14:paraId="492895F5" w14:textId="06C1A123" w:rsidR="003F02CF" w:rsidRPr="003305A8" w:rsidRDefault="003F02CF" w:rsidP="003305A8">
      <w:pPr>
        <w:spacing w:after="0" w:line="240" w:lineRule="auto"/>
        <w:jc w:val="both"/>
        <w:rPr>
          <w:rFonts w:ascii="Arial" w:hAnsi="Arial" w:cs="Arial"/>
        </w:rPr>
      </w:pPr>
      <w:r w:rsidRPr="003305A8">
        <w:rPr>
          <w:rFonts w:ascii="Arial" w:hAnsi="Arial" w:cs="Arial"/>
          <w:b/>
          <w:bCs/>
        </w:rPr>
        <w:t>Introduction</w:t>
      </w:r>
    </w:p>
    <w:p w14:paraId="5BC66E6F" w14:textId="0FC06EA7" w:rsidR="003F02CF" w:rsidRPr="003305A8" w:rsidRDefault="003F02CF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Chickpea (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Cicer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arietinum</w:t>
      </w:r>
      <w:r w:rsidRPr="003305A8">
        <w:rPr>
          <w:rFonts w:ascii="Arial" w:hAnsi="Arial" w:cs="Arial"/>
          <w:sz w:val="20"/>
          <w:szCs w:val="20"/>
        </w:rPr>
        <w:t xml:space="preserve"> L.) is a crucial pulse crop globally, with India being the leading producer, contributing to 75% of the world's total output. Within India, the states of Madhya Pradesh, Rajasthan, Maharashtra, Bihar, Uttar Pradesh, and Gujarat are the primary producers of chickpea. This crop can thrive in a variety of soil types, ranging from light sandy loams to heavier clay soils, and it also has the ability to fix</w:t>
      </w:r>
      <w:r w:rsidR="00AA5021" w:rsidRPr="003305A8">
        <w:rPr>
          <w:rFonts w:ascii="Arial" w:hAnsi="Arial" w:cs="Arial"/>
          <w:sz w:val="20"/>
          <w:szCs w:val="20"/>
        </w:rPr>
        <w:t xml:space="preserve"> biological nitrogen. However, </w:t>
      </w:r>
      <w:r w:rsidRPr="003305A8">
        <w:rPr>
          <w:rFonts w:ascii="Arial" w:hAnsi="Arial" w:cs="Arial"/>
          <w:sz w:val="20"/>
          <w:szCs w:val="20"/>
        </w:rPr>
        <w:t>slow initial growth and limited leaf cover in the early stages</w:t>
      </w:r>
      <w:r w:rsidR="00AA5021" w:rsidRPr="003305A8">
        <w:rPr>
          <w:rFonts w:ascii="Arial" w:hAnsi="Arial" w:cs="Arial"/>
          <w:sz w:val="20"/>
          <w:szCs w:val="20"/>
        </w:rPr>
        <w:t xml:space="preserve"> of gram</w:t>
      </w:r>
      <w:r w:rsidRPr="003305A8">
        <w:rPr>
          <w:rFonts w:ascii="Arial" w:hAnsi="Arial" w:cs="Arial"/>
          <w:sz w:val="20"/>
          <w:szCs w:val="20"/>
        </w:rPr>
        <w:t>, making them highly susceptible to weed competition, which can lead to significant yield losses. The fi</w:t>
      </w:r>
      <w:r w:rsidR="00AA5021" w:rsidRPr="003305A8">
        <w:rPr>
          <w:rFonts w:ascii="Arial" w:hAnsi="Arial" w:cs="Arial"/>
          <w:sz w:val="20"/>
          <w:szCs w:val="20"/>
        </w:rPr>
        <w:t>rst 30 to 60 days after sowing</w:t>
      </w:r>
      <w:r w:rsidRPr="003305A8">
        <w:rPr>
          <w:rFonts w:ascii="Arial" w:hAnsi="Arial" w:cs="Arial"/>
          <w:sz w:val="20"/>
          <w:szCs w:val="20"/>
        </w:rPr>
        <w:t xml:space="preserve"> are particularly critical for weed competition in c</w:t>
      </w:r>
      <w:r w:rsidR="00AA5021" w:rsidRPr="003305A8">
        <w:rPr>
          <w:rFonts w:ascii="Arial" w:hAnsi="Arial" w:cs="Arial"/>
          <w:sz w:val="20"/>
          <w:szCs w:val="20"/>
        </w:rPr>
        <w:t>hickpea</w:t>
      </w:r>
      <w:r w:rsidRPr="003305A8">
        <w:rPr>
          <w:rFonts w:ascii="Arial" w:hAnsi="Arial" w:cs="Arial"/>
          <w:sz w:val="20"/>
          <w:szCs w:val="20"/>
        </w:rPr>
        <w:t>. Effective weed control is essential for the succes</w:t>
      </w:r>
      <w:r w:rsidR="00AA5021" w:rsidRPr="003305A8">
        <w:rPr>
          <w:rFonts w:ascii="Arial" w:hAnsi="Arial" w:cs="Arial"/>
          <w:sz w:val="20"/>
          <w:szCs w:val="20"/>
        </w:rPr>
        <w:t>sful cultivation of chickpea</w:t>
      </w:r>
      <w:r w:rsidRPr="003305A8">
        <w:rPr>
          <w:rFonts w:ascii="Arial" w:hAnsi="Arial" w:cs="Arial"/>
          <w:sz w:val="20"/>
          <w:szCs w:val="20"/>
        </w:rPr>
        <w:t xml:space="preserve">, as poor weed management is one of the main factors that limit yield. Manual weeding is </w:t>
      </w:r>
      <w:proofErr w:type="spellStart"/>
      <w:r w:rsidRPr="003305A8">
        <w:rPr>
          <w:rFonts w:ascii="Arial" w:hAnsi="Arial" w:cs="Arial"/>
          <w:sz w:val="20"/>
          <w:szCs w:val="20"/>
        </w:rPr>
        <w:t>labor-intensive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and restricts the area that can be cultivated. A suitable herbicide for controlling mixed weed populations in chickpea is pendimethalin, applied as a pre-emergence treatment, which offers effective control during the early stages of crop growth. However, subsequent weed flushes can only be managed using post-emergence herbicides. Therefore, there is a need to identify more efficient herbicides with a broader spectrum of weed control for c</w:t>
      </w:r>
      <w:r w:rsidR="00AA5021" w:rsidRPr="003305A8">
        <w:rPr>
          <w:rFonts w:ascii="Arial" w:hAnsi="Arial" w:cs="Arial"/>
          <w:sz w:val="20"/>
          <w:szCs w:val="20"/>
        </w:rPr>
        <w:t>hickpea</w:t>
      </w:r>
      <w:r w:rsidRPr="003305A8">
        <w:rPr>
          <w:rFonts w:ascii="Arial" w:hAnsi="Arial" w:cs="Arial"/>
          <w:sz w:val="20"/>
          <w:szCs w:val="20"/>
        </w:rPr>
        <w:t xml:space="preserve">. Topramezone, a recently developed selective herbicide with a </w:t>
      </w:r>
      <w:proofErr w:type="spellStart"/>
      <w:r w:rsidRPr="003305A8">
        <w:rPr>
          <w:rFonts w:ascii="Arial" w:hAnsi="Arial" w:cs="Arial"/>
          <w:sz w:val="20"/>
          <w:szCs w:val="20"/>
        </w:rPr>
        <w:t>pyrazole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structure, is effective against both broadleaf and narrow-leaf weeds after emergence and is commonly used in maize. The herbicide strongly inhibits the 4-HPPD enzyme, resulting in bleached broadleaf weeds and grasses, eventually causing their death. Given these challenges, this study aims to evaluate the effectiveness of various herbicides for broad-spectrum weed management and their impact on the growth and yield of chickpea.</w:t>
      </w:r>
    </w:p>
    <w:p w14:paraId="54D33101" w14:textId="50ADC579" w:rsidR="000C3287" w:rsidRPr="003305A8" w:rsidRDefault="000C3287" w:rsidP="003305A8">
      <w:pPr>
        <w:spacing w:after="0" w:line="240" w:lineRule="auto"/>
        <w:jc w:val="both"/>
        <w:rPr>
          <w:rFonts w:ascii="Arial" w:hAnsi="Arial" w:cs="Arial"/>
        </w:rPr>
      </w:pPr>
      <w:r w:rsidRPr="003305A8">
        <w:rPr>
          <w:rFonts w:ascii="Arial" w:hAnsi="Arial" w:cs="Arial"/>
          <w:b/>
          <w:bCs/>
        </w:rPr>
        <w:t>Material and methods</w:t>
      </w:r>
    </w:p>
    <w:p w14:paraId="357D8A06" w14:textId="0E7C4F39" w:rsidR="000C3287" w:rsidRPr="003305A8" w:rsidRDefault="000C3287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 xml:space="preserve">The study was carried out at the agronomical research farm of </w:t>
      </w:r>
      <w:proofErr w:type="spellStart"/>
      <w:r w:rsidRPr="003305A8">
        <w:rPr>
          <w:rFonts w:ascii="Arial" w:hAnsi="Arial" w:cs="Arial"/>
          <w:sz w:val="20"/>
          <w:szCs w:val="20"/>
        </w:rPr>
        <w:t>Trihut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College of Agriculture, located in </w:t>
      </w:r>
      <w:proofErr w:type="spellStart"/>
      <w:r w:rsidRPr="003305A8">
        <w:rPr>
          <w:rFonts w:ascii="Arial" w:hAnsi="Arial" w:cs="Arial"/>
          <w:sz w:val="20"/>
          <w:szCs w:val="20"/>
        </w:rPr>
        <w:t>Dholi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, Muzaffarpur, Bihar. This farm is situated in the central Indo-Gangetic region, with coordinates at 25° 99' N latitude, 85° 60" E longitude, and an elevation of 52.18 meters above sea level. For </w:t>
      </w:r>
      <w:proofErr w:type="spellStart"/>
      <w:r w:rsidRPr="003305A8">
        <w:rPr>
          <w:rFonts w:ascii="Arial" w:hAnsi="Arial" w:cs="Arial"/>
          <w:sz w:val="20"/>
          <w:szCs w:val="20"/>
        </w:rPr>
        <w:t>analyzing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different soil physio-chemical properties, soil samples were randomly collected from farm before sowing. Different doses of herbicides were applied according to the pre-planned schedule.</w:t>
      </w:r>
    </w:p>
    <w:p w14:paraId="6C058695" w14:textId="085F5668" w:rsidR="002C221F" w:rsidRPr="003305A8" w:rsidRDefault="002C221F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The Oxyfluorfen 150 and 250 g/ha was sprayed as PE (T</w:t>
      </w:r>
      <w:r w:rsidRPr="003305A8">
        <w:rPr>
          <w:rFonts w:ascii="Arial" w:hAnsi="Arial" w:cs="Arial"/>
          <w:sz w:val="20"/>
          <w:szCs w:val="20"/>
          <w:vertAlign w:val="subscript"/>
        </w:rPr>
        <w:t>1</w:t>
      </w:r>
      <w:r w:rsidRPr="003305A8">
        <w:rPr>
          <w:rFonts w:ascii="Arial" w:hAnsi="Arial" w:cs="Arial"/>
          <w:sz w:val="20"/>
          <w:szCs w:val="20"/>
        </w:rPr>
        <w:t xml:space="preserve"> and T</w:t>
      </w:r>
      <w:r w:rsidRPr="003305A8">
        <w:rPr>
          <w:rFonts w:ascii="Arial" w:hAnsi="Arial" w:cs="Arial"/>
          <w:sz w:val="20"/>
          <w:szCs w:val="20"/>
          <w:vertAlign w:val="subscript"/>
        </w:rPr>
        <w:t>2</w:t>
      </w:r>
      <w:r w:rsidRPr="003305A8">
        <w:rPr>
          <w:rFonts w:ascii="Arial" w:hAnsi="Arial" w:cs="Arial"/>
          <w:sz w:val="20"/>
          <w:szCs w:val="20"/>
        </w:rPr>
        <w:t xml:space="preserve">, respectively), among PoE applications </w:t>
      </w:r>
      <w:proofErr w:type="spellStart"/>
      <w:r w:rsidRPr="003305A8">
        <w:rPr>
          <w:rFonts w:ascii="Arial" w:hAnsi="Arial" w:cs="Arial"/>
          <w:sz w:val="20"/>
          <w:szCs w:val="20"/>
        </w:rPr>
        <w:t>Quizalofop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-p-ethyl 100 g/ha and </w:t>
      </w:r>
      <w:proofErr w:type="spellStart"/>
      <w:r w:rsidRPr="003305A8">
        <w:rPr>
          <w:rFonts w:ascii="Arial" w:hAnsi="Arial" w:cs="Arial"/>
          <w:sz w:val="20"/>
          <w:szCs w:val="20"/>
        </w:rPr>
        <w:t>Propaquizafop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100 g/ha (20 DAS), Topramezone 20.6 g/ha (14 and 28 DAS) and Topramezone 25.7 g/ha (21 DAS) was applied. Whereas, pre + post emergence combinations Oxyfluorfen 150 g/ha (PE)</w:t>
      </w:r>
      <w:r w:rsidR="00214E39" w:rsidRPr="003305A8">
        <w:rPr>
          <w:rFonts w:ascii="Arial" w:hAnsi="Arial" w:cs="Arial"/>
          <w:i/>
          <w:iCs/>
          <w:sz w:val="20"/>
          <w:szCs w:val="20"/>
        </w:rPr>
        <w:t xml:space="preserve"> fb </w:t>
      </w:r>
      <w:proofErr w:type="spellStart"/>
      <w:r w:rsidRPr="003305A8">
        <w:rPr>
          <w:rFonts w:ascii="Arial" w:hAnsi="Arial" w:cs="Arial"/>
          <w:sz w:val="20"/>
          <w:szCs w:val="20"/>
        </w:rPr>
        <w:t>quizalofop</w:t>
      </w:r>
      <w:proofErr w:type="spellEnd"/>
      <w:r w:rsidRPr="003305A8">
        <w:rPr>
          <w:rFonts w:ascii="Arial" w:hAnsi="Arial" w:cs="Arial"/>
          <w:sz w:val="20"/>
          <w:szCs w:val="20"/>
        </w:rPr>
        <w:t>-p-ethyl 100 g/ha (15-20 DAS), Oxyfluorfen 150 g/ha</w:t>
      </w:r>
      <w:r w:rsidR="00214E39" w:rsidRPr="003305A8">
        <w:rPr>
          <w:rFonts w:ascii="Arial" w:hAnsi="Arial" w:cs="Arial"/>
          <w:i/>
          <w:iCs/>
          <w:sz w:val="20"/>
          <w:szCs w:val="20"/>
        </w:rPr>
        <w:t xml:space="preserve"> fb </w:t>
      </w:r>
      <w:proofErr w:type="spellStart"/>
      <w:r w:rsidRPr="003305A8">
        <w:rPr>
          <w:rFonts w:ascii="Arial" w:hAnsi="Arial" w:cs="Arial"/>
          <w:sz w:val="20"/>
          <w:szCs w:val="20"/>
        </w:rPr>
        <w:t>propaquizafop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100 g/ha (20 DAS) and Oxyfluorfen 150 g/ha</w:t>
      </w:r>
      <w:r w:rsidR="00214E39" w:rsidRPr="003305A8">
        <w:rPr>
          <w:rFonts w:ascii="Arial" w:hAnsi="Arial" w:cs="Arial"/>
          <w:i/>
          <w:iCs/>
          <w:sz w:val="20"/>
          <w:szCs w:val="20"/>
        </w:rPr>
        <w:t xml:space="preserve"> fb </w:t>
      </w:r>
      <w:r w:rsidRPr="003305A8">
        <w:rPr>
          <w:rFonts w:ascii="Arial" w:hAnsi="Arial" w:cs="Arial"/>
          <w:sz w:val="20"/>
          <w:szCs w:val="20"/>
        </w:rPr>
        <w:t>topramezone 20.6 g/ha (21 DAS) were applied.</w:t>
      </w:r>
    </w:p>
    <w:p w14:paraId="69418D65" w14:textId="594CE82E" w:rsidR="0051455B" w:rsidRPr="003305A8" w:rsidRDefault="0051455B" w:rsidP="003305A8">
      <w:pPr>
        <w:spacing w:line="240" w:lineRule="auto"/>
        <w:jc w:val="both"/>
        <w:rPr>
          <w:rFonts w:ascii="Arial" w:hAnsi="Arial" w:cs="Arial"/>
          <w:b/>
          <w:bCs/>
        </w:rPr>
      </w:pPr>
      <w:r w:rsidRPr="003305A8">
        <w:rPr>
          <w:rFonts w:ascii="Arial" w:hAnsi="Arial" w:cs="Arial"/>
          <w:b/>
          <w:bCs/>
        </w:rPr>
        <w:t>RESULTS AND DISCUSSION</w:t>
      </w:r>
    </w:p>
    <w:p w14:paraId="1B09602F" w14:textId="56A07A7F" w:rsidR="0051455B" w:rsidRPr="003305A8" w:rsidRDefault="0051455B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lastRenderedPageBreak/>
        <w:t xml:space="preserve">Weed dry matter: </w:t>
      </w:r>
      <w:r w:rsidRPr="003305A8">
        <w:rPr>
          <w:rFonts w:ascii="Arial" w:hAnsi="Arial" w:cs="Arial"/>
          <w:sz w:val="20"/>
          <w:szCs w:val="20"/>
        </w:rPr>
        <w:t>All types of weeds were observed in the research field, including narrow-leaf weeds (NLWs), broad-leaf weeds (BLWs) and sedges (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Mellilotus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indica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, Chenopodium album, Cannabis sativa, Physalis minima, Alternanthera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sessilis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Cynodon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dactylon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Cyperus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rotundus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). Weed dry matter production was significantly reduced by all the weed control treatments. Among them, weed free </w:t>
      </w:r>
      <w:r w:rsidR="008460E7" w:rsidRPr="003305A8">
        <w:rPr>
          <w:rFonts w:ascii="Arial" w:hAnsi="Arial" w:cs="Arial"/>
          <w:sz w:val="20"/>
          <w:szCs w:val="20"/>
        </w:rPr>
        <w:t>treatment recorded the lowest weeds</w:t>
      </w:r>
      <w:r w:rsidRPr="003305A8">
        <w:rPr>
          <w:rFonts w:ascii="Arial" w:hAnsi="Arial" w:cs="Arial"/>
          <w:sz w:val="20"/>
          <w:szCs w:val="20"/>
        </w:rPr>
        <w:t xml:space="preserve"> dry biomass (g/m²) compared to all other treatments. In contrast, the highest weed dry matter was observed in the </w:t>
      </w:r>
      <w:proofErr w:type="spellStart"/>
      <w:r w:rsidRPr="003305A8">
        <w:rPr>
          <w:rFonts w:ascii="Arial" w:hAnsi="Arial" w:cs="Arial"/>
          <w:sz w:val="20"/>
          <w:szCs w:val="20"/>
        </w:rPr>
        <w:t>unweeded</w:t>
      </w:r>
      <w:proofErr w:type="spellEnd"/>
      <w:r w:rsidRPr="003305A8">
        <w:rPr>
          <w:rFonts w:ascii="Arial" w:hAnsi="Arial" w:cs="Arial"/>
          <w:sz w:val="20"/>
          <w:szCs w:val="20"/>
        </w:rPr>
        <w:t xml:space="preserve"> plots. This highlights the effectiveness of the weed control measures in minimizing weed biomass</w:t>
      </w:r>
      <w:r w:rsidR="002102D6" w:rsidRPr="003305A8">
        <w:rPr>
          <w:rFonts w:ascii="Arial" w:hAnsi="Arial" w:cs="Arial"/>
          <w:sz w:val="20"/>
          <w:szCs w:val="20"/>
        </w:rPr>
        <w:t>.</w:t>
      </w:r>
    </w:p>
    <w:p w14:paraId="655568B7" w14:textId="5F97B6E0" w:rsidR="00EA4523" w:rsidRDefault="002102D6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 xml:space="preserve">Among all herbicidal treatments, </w:t>
      </w:r>
      <w:r w:rsidR="008460E7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Oxyfluorfen </w:t>
      </w:r>
      <w:r w:rsidR="008460E7" w:rsidRPr="003305A8">
        <w:rPr>
          <w:rFonts w:ascii="Arial" w:hAnsi="Arial" w:cs="Arial"/>
          <w:sz w:val="20"/>
          <w:szCs w:val="20"/>
          <w:lang w:val="nb-NO"/>
        </w:rPr>
        <w:t>150 g/ha</w:t>
      </w:r>
      <w:r w:rsidR="00214E39" w:rsidRPr="003305A8">
        <w:rPr>
          <w:rFonts w:ascii="Arial" w:hAnsi="Arial" w:cs="Arial"/>
          <w:i/>
          <w:iCs/>
          <w:sz w:val="20"/>
          <w:szCs w:val="20"/>
          <w:lang w:val="nb-NO"/>
        </w:rPr>
        <w:t xml:space="preserve"> fb </w:t>
      </w:r>
      <w:r w:rsidR="008460E7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topramezone </w:t>
      </w:r>
      <w:r w:rsidR="008460E7" w:rsidRPr="003305A8">
        <w:rPr>
          <w:rFonts w:ascii="Arial" w:hAnsi="Arial" w:cs="Arial"/>
          <w:sz w:val="20"/>
          <w:szCs w:val="20"/>
          <w:lang w:val="nb-NO"/>
        </w:rPr>
        <w:t>20.6 g</w:t>
      </w:r>
      <w:r w:rsidR="008460E7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/ha at </w:t>
      </w:r>
      <w:r w:rsidR="008460E7" w:rsidRPr="003305A8">
        <w:rPr>
          <w:rFonts w:ascii="Arial" w:hAnsi="Arial" w:cs="Arial"/>
          <w:sz w:val="20"/>
          <w:szCs w:val="20"/>
          <w:lang w:val="nb-NO"/>
        </w:rPr>
        <w:t xml:space="preserve">21 </w:t>
      </w:r>
      <w:r w:rsidR="008460E7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DAS </w:t>
      </w:r>
      <w:r w:rsidR="008460E7" w:rsidRPr="003305A8">
        <w:rPr>
          <w:rFonts w:ascii="Arial" w:hAnsi="Arial" w:cs="Arial"/>
          <w:sz w:val="20"/>
          <w:szCs w:val="20"/>
          <w:lang w:val="nb-NO"/>
        </w:rPr>
        <w:t>(pre + post)</w:t>
      </w:r>
      <w:r w:rsidR="008460E7" w:rsidRPr="003305A8">
        <w:rPr>
          <w:rFonts w:ascii="Arial" w:hAnsi="Arial" w:cs="Arial"/>
          <w:sz w:val="20"/>
          <w:szCs w:val="20"/>
        </w:rPr>
        <w:t xml:space="preserve"> </w:t>
      </w:r>
      <w:r w:rsidRPr="003305A8">
        <w:rPr>
          <w:rFonts w:ascii="Arial" w:hAnsi="Arial" w:cs="Arial"/>
          <w:sz w:val="20"/>
          <w:szCs w:val="20"/>
        </w:rPr>
        <w:t>sowing reduced overall weed dry biomass</w:t>
      </w:r>
      <w:r w:rsidR="008460E7" w:rsidRPr="003305A8">
        <w:rPr>
          <w:rFonts w:ascii="Arial" w:hAnsi="Arial" w:cs="Arial"/>
          <w:sz w:val="20"/>
          <w:szCs w:val="20"/>
        </w:rPr>
        <w:t xml:space="preserve"> followed by </w:t>
      </w:r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topramezone </w:t>
      </w:r>
      <w:r w:rsidR="008460E7" w:rsidRPr="003305A8">
        <w:rPr>
          <w:rFonts w:ascii="Arial" w:hAnsi="Arial" w:cs="Arial"/>
          <w:sz w:val="20"/>
          <w:szCs w:val="20"/>
        </w:rPr>
        <w:t>2</w:t>
      </w:r>
      <w:r w:rsidR="003B0AF3" w:rsidRPr="003305A8">
        <w:rPr>
          <w:rFonts w:ascii="Arial" w:hAnsi="Arial" w:cs="Arial"/>
          <w:sz w:val="20"/>
          <w:szCs w:val="20"/>
        </w:rPr>
        <w:t>0.6</w:t>
      </w:r>
      <w:r w:rsidR="008460E7" w:rsidRPr="003305A8">
        <w:rPr>
          <w:rFonts w:ascii="Arial" w:hAnsi="Arial" w:cs="Arial"/>
          <w:sz w:val="20"/>
          <w:szCs w:val="20"/>
        </w:rPr>
        <w:t xml:space="preserve"> g/ha</w:t>
      </w:r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 (</w:t>
      </w:r>
      <w:r w:rsidR="008460E7" w:rsidRPr="003305A8">
        <w:rPr>
          <w:rFonts w:ascii="Arial" w:hAnsi="Arial" w:cs="Arial"/>
          <w:sz w:val="20"/>
          <w:szCs w:val="20"/>
        </w:rPr>
        <w:t xml:space="preserve">21 </w:t>
      </w:r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DAS). However, the application of herbicides had minimal impact on sedges, particularly </w:t>
      </w:r>
      <w:proofErr w:type="spellStart"/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>Cyperus</w:t>
      </w:r>
      <w:proofErr w:type="spellEnd"/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proofErr w:type="spellStart"/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>rotundus</w:t>
      </w:r>
      <w:proofErr w:type="spellEnd"/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, as it is a perennial weed and notoriously difficult to control. This suggests that while herbicides may effectively manage annual weeds, their efficacy in controlling persistent perennials like </w:t>
      </w:r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>C</w:t>
      </w:r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. </w:t>
      </w:r>
      <w:proofErr w:type="spellStart"/>
      <w:r w:rsidR="008460E7" w:rsidRPr="003305A8">
        <w:rPr>
          <w:rFonts w:ascii="Arial" w:hAnsi="Arial" w:cs="Arial"/>
          <w:i/>
          <w:iCs/>
          <w:spacing w:val="-1"/>
          <w:sz w:val="20"/>
          <w:szCs w:val="20"/>
        </w:rPr>
        <w:t>rotundus</w:t>
      </w:r>
      <w:proofErr w:type="spellEnd"/>
      <w:r w:rsidR="008460E7" w:rsidRPr="003305A8">
        <w:rPr>
          <w:rFonts w:ascii="Arial" w:hAnsi="Arial" w:cs="Arial"/>
          <w:spacing w:val="-1"/>
          <w:sz w:val="20"/>
          <w:szCs w:val="20"/>
        </w:rPr>
        <w:t xml:space="preserve"> is limited, highlighting the challenges in managing such species.</w:t>
      </w:r>
      <w:r w:rsidR="00EA4523" w:rsidRPr="003305A8">
        <w:rPr>
          <w:rFonts w:ascii="Arial" w:hAnsi="Arial" w:cs="Arial"/>
          <w:spacing w:val="-1"/>
          <w:sz w:val="20"/>
          <w:szCs w:val="20"/>
        </w:rPr>
        <w:t xml:space="preserve"> </w:t>
      </w:r>
      <w:r w:rsidR="00EA4523"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PE application of oxyfluorfen </w:t>
      </w:r>
      <w:r w:rsidR="00EA4523" w:rsidRPr="003305A8">
        <w:rPr>
          <w:rFonts w:ascii="Arial" w:hAnsi="Arial" w:cs="Arial"/>
          <w:sz w:val="20"/>
          <w:szCs w:val="20"/>
          <w:lang w:val="nb-NO"/>
        </w:rPr>
        <w:t>150 g/ha reduced initial weed germination and later growth stages PoE application of t</w:t>
      </w:r>
      <w:proofErr w:type="spellStart"/>
      <w:r w:rsidR="00EA4523" w:rsidRPr="003305A8">
        <w:rPr>
          <w:rFonts w:ascii="Arial" w:hAnsi="Arial" w:cs="Arial"/>
          <w:sz w:val="20"/>
          <w:szCs w:val="20"/>
        </w:rPr>
        <w:t>opramezone</w:t>
      </w:r>
      <w:proofErr w:type="spellEnd"/>
      <w:r w:rsidR="00EA4523" w:rsidRPr="003305A8">
        <w:rPr>
          <w:rFonts w:ascii="Arial" w:hAnsi="Arial" w:cs="Arial"/>
          <w:sz w:val="20"/>
          <w:szCs w:val="20"/>
        </w:rPr>
        <w:t xml:space="preserve"> 20.6 g/ha (21 DAS) suppressed NLWs and BLWs and recorded lower weed dry matter than other. Similarly, Gajanand </w:t>
      </w:r>
      <w:r w:rsidR="00EA4523" w:rsidRPr="003305A8">
        <w:rPr>
          <w:rFonts w:ascii="Arial" w:hAnsi="Arial" w:cs="Arial"/>
          <w:i/>
          <w:iCs/>
          <w:sz w:val="20"/>
          <w:szCs w:val="20"/>
        </w:rPr>
        <w:t>et al.</w:t>
      </w:r>
      <w:r w:rsidR="00EA4523" w:rsidRPr="003305A8">
        <w:rPr>
          <w:rFonts w:ascii="Arial" w:hAnsi="Arial" w:cs="Arial"/>
          <w:sz w:val="20"/>
          <w:szCs w:val="20"/>
        </w:rPr>
        <w:t xml:space="preserve"> (</w:t>
      </w:r>
      <w:r w:rsidR="00AE0ABE" w:rsidRPr="003305A8">
        <w:rPr>
          <w:rFonts w:ascii="Arial" w:hAnsi="Arial" w:cs="Arial"/>
          <w:sz w:val="20"/>
          <w:szCs w:val="20"/>
        </w:rPr>
        <w:t>2023</w:t>
      </w:r>
      <w:r w:rsidR="00EA4523" w:rsidRPr="003305A8">
        <w:rPr>
          <w:rFonts w:ascii="Arial" w:hAnsi="Arial" w:cs="Arial"/>
          <w:sz w:val="20"/>
          <w:szCs w:val="20"/>
        </w:rPr>
        <w:t>)</w:t>
      </w:r>
      <w:r w:rsidR="00740839" w:rsidRPr="003305A8">
        <w:rPr>
          <w:rFonts w:ascii="Arial" w:hAnsi="Arial" w:cs="Arial"/>
          <w:sz w:val="20"/>
          <w:szCs w:val="20"/>
        </w:rPr>
        <w:t xml:space="preserve"> and Kumar </w:t>
      </w:r>
      <w:r w:rsidR="00740839" w:rsidRPr="003305A8">
        <w:rPr>
          <w:rFonts w:ascii="Arial" w:hAnsi="Arial" w:cs="Arial"/>
          <w:i/>
          <w:iCs/>
          <w:sz w:val="20"/>
          <w:szCs w:val="20"/>
        </w:rPr>
        <w:t>et al</w:t>
      </w:r>
      <w:r w:rsidR="00740839" w:rsidRPr="003305A8">
        <w:rPr>
          <w:rFonts w:ascii="Arial" w:hAnsi="Arial" w:cs="Arial"/>
          <w:sz w:val="20"/>
          <w:szCs w:val="20"/>
        </w:rPr>
        <w:t>. (2023)</w:t>
      </w:r>
      <w:r w:rsidR="00EA4523" w:rsidRPr="003305A8">
        <w:rPr>
          <w:rFonts w:ascii="Arial" w:hAnsi="Arial" w:cs="Arial"/>
          <w:sz w:val="20"/>
          <w:szCs w:val="20"/>
        </w:rPr>
        <w:t xml:space="preserve"> reported topramezone efficiency.</w:t>
      </w:r>
    </w:p>
    <w:p w14:paraId="496AC510" w14:textId="77777777" w:rsidR="00390428" w:rsidRPr="00390428" w:rsidRDefault="00390428" w:rsidP="00390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90428">
        <w:rPr>
          <w:rFonts w:ascii="Arial" w:hAnsi="Arial" w:cs="Arial"/>
          <w:b/>
          <w:bCs/>
          <w:sz w:val="20"/>
          <w:szCs w:val="20"/>
        </w:rPr>
        <w:t xml:space="preserve">Table 1. Effect of different weed control treatments on weed dry matter, WCE and crop yield </w:t>
      </w:r>
    </w:p>
    <w:tbl>
      <w:tblPr>
        <w:tblStyle w:val="TableGrid"/>
        <w:tblW w:w="89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18"/>
        <w:gridCol w:w="992"/>
        <w:gridCol w:w="1560"/>
        <w:gridCol w:w="992"/>
      </w:tblGrid>
      <w:tr w:rsidR="00390428" w:rsidRPr="00390428" w14:paraId="23131B37" w14:textId="77777777" w:rsidTr="00390428">
        <w:trPr>
          <w:trHeight w:val="905"/>
        </w:trPr>
        <w:tc>
          <w:tcPr>
            <w:tcW w:w="5385" w:type="dxa"/>
            <w:gridSpan w:val="2"/>
            <w:vAlign w:val="center"/>
          </w:tcPr>
          <w:p w14:paraId="2016D467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Treatments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DF38E1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Seed yield</w:t>
            </w:r>
          </w:p>
          <w:p w14:paraId="5C95D1D3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(kg/ha)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A9F6D6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Weed dry wt. (g/m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13616B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WCE (%)</w:t>
            </w:r>
          </w:p>
        </w:tc>
      </w:tr>
      <w:tr w:rsidR="00390428" w:rsidRPr="00390428" w14:paraId="2B310F3D" w14:textId="77777777" w:rsidTr="00390428">
        <w:trPr>
          <w:trHeight w:val="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F07DC8E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5BA509AD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150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(pre-emergence)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26B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1560" w:type="dxa"/>
            <w:vAlign w:val="center"/>
          </w:tcPr>
          <w:p w14:paraId="40E7E1E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11.85 </w:t>
            </w:r>
            <w:r w:rsidRPr="00390428">
              <w:rPr>
                <w:rFonts w:ascii="Arial" w:hAnsi="Arial" w:cs="Arial"/>
                <w:sz w:val="20"/>
                <w:szCs w:val="20"/>
              </w:rPr>
              <w:t>(140.1)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2FC98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28.7</w:t>
            </w:r>
          </w:p>
        </w:tc>
      </w:tr>
      <w:tr w:rsidR="00390428" w:rsidRPr="00390428" w14:paraId="5AC4E13C" w14:textId="77777777" w:rsidTr="00390428">
        <w:trPr>
          <w:trHeight w:val="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4225D99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056D602C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250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(pre-emergence)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2431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1560" w:type="dxa"/>
            <w:vAlign w:val="center"/>
          </w:tcPr>
          <w:p w14:paraId="6FEC4C15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12.11 </w:t>
            </w:r>
            <w:r w:rsidRPr="00390428">
              <w:rPr>
                <w:rFonts w:ascii="Arial" w:hAnsi="Arial" w:cs="Arial"/>
                <w:sz w:val="20"/>
                <w:szCs w:val="20"/>
              </w:rPr>
              <w:t>(146.4)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FAB20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25.7</w:t>
            </w:r>
          </w:p>
        </w:tc>
      </w:tr>
      <w:tr w:rsidR="00390428" w:rsidRPr="00390428" w14:paraId="6D9E232D" w14:textId="77777777" w:rsidTr="00390428">
        <w:trPr>
          <w:trHeight w:val="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E01A93E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30C67F53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Quizalofop</w:t>
            </w:r>
            <w:proofErr w:type="spellEnd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-p-ethyl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100 g </w:t>
            </w:r>
            <w:proofErr w:type="spellStart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/ha 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57C9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560" w:type="dxa"/>
            <w:vAlign w:val="center"/>
          </w:tcPr>
          <w:p w14:paraId="49A7A28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12.42 </w:t>
            </w:r>
            <w:r w:rsidRPr="00390428">
              <w:rPr>
                <w:rFonts w:ascii="Arial" w:hAnsi="Arial" w:cs="Arial"/>
                <w:sz w:val="20"/>
                <w:szCs w:val="20"/>
              </w:rPr>
              <w:t>(154.4)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973F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22.4</w:t>
            </w:r>
          </w:p>
        </w:tc>
      </w:tr>
      <w:tr w:rsidR="00390428" w:rsidRPr="00390428" w14:paraId="57CC5228" w14:textId="77777777" w:rsidTr="00390428">
        <w:trPr>
          <w:trHeight w:val="68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6B866A3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4B466DA1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Propaquizafop</w:t>
            </w:r>
            <w:proofErr w:type="spellEnd"/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 100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8A156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1560" w:type="dxa"/>
            <w:vAlign w:val="center"/>
          </w:tcPr>
          <w:p w14:paraId="62825700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12.07 </w:t>
            </w:r>
            <w:r w:rsidRPr="00390428">
              <w:rPr>
                <w:rFonts w:ascii="Arial" w:hAnsi="Arial" w:cs="Arial"/>
                <w:sz w:val="20"/>
                <w:szCs w:val="20"/>
              </w:rPr>
              <w:t>(145.9)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509762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26.8</w:t>
            </w:r>
          </w:p>
        </w:tc>
      </w:tr>
      <w:tr w:rsidR="00390428" w:rsidRPr="00390428" w14:paraId="3B528198" w14:textId="77777777" w:rsidTr="00390428">
        <w:trPr>
          <w:trHeight w:val="44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478B447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35A8E947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Topramezone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20.6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0855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1560" w:type="dxa"/>
            <w:vAlign w:val="center"/>
          </w:tcPr>
          <w:p w14:paraId="17EE7FE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11.45 </w:t>
            </w:r>
            <w:r w:rsidRPr="00390428">
              <w:rPr>
                <w:rFonts w:ascii="Arial" w:hAnsi="Arial" w:cs="Arial"/>
                <w:sz w:val="20"/>
                <w:szCs w:val="20"/>
              </w:rPr>
              <w:t>(130.7)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2873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</w:tr>
      <w:tr w:rsidR="00390428" w:rsidRPr="00390428" w14:paraId="6E46E6D6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7427870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7C1340D1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Topramezone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20.6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93D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1479</w:t>
            </w:r>
          </w:p>
        </w:tc>
        <w:tc>
          <w:tcPr>
            <w:tcW w:w="1560" w:type="dxa"/>
            <w:vAlign w:val="center"/>
          </w:tcPr>
          <w:p w14:paraId="6FF6EAD5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7.47 </w:t>
            </w:r>
            <w:r w:rsidRPr="00390428">
              <w:rPr>
                <w:rFonts w:ascii="Arial" w:hAnsi="Arial" w:cs="Arial"/>
                <w:sz w:val="20"/>
                <w:szCs w:val="20"/>
              </w:rPr>
              <w:t>(55.4)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BE902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71.1</w:t>
            </w:r>
          </w:p>
        </w:tc>
      </w:tr>
      <w:tr w:rsidR="00390428" w:rsidRPr="00390428" w14:paraId="1502EBC7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1129C59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3204DEDF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Topramezone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25.7 g </w:t>
            </w: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</w:rPr>
              <w:t xml:space="preserve">/ha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at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21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DAS (post-emergence)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D0FF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1418</w:t>
            </w:r>
          </w:p>
        </w:tc>
        <w:tc>
          <w:tcPr>
            <w:tcW w:w="1560" w:type="dxa"/>
            <w:vAlign w:val="center"/>
          </w:tcPr>
          <w:p w14:paraId="54ECCB7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7.62 </w:t>
            </w:r>
            <w:r w:rsidRPr="00390428">
              <w:rPr>
                <w:rFonts w:ascii="Arial" w:hAnsi="Arial" w:cs="Arial"/>
                <w:sz w:val="20"/>
                <w:szCs w:val="20"/>
              </w:rPr>
              <w:t>(57.7)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72FD6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69.8</w:t>
            </w:r>
          </w:p>
        </w:tc>
      </w:tr>
      <w:tr w:rsidR="00390428" w:rsidRPr="00390428" w14:paraId="7A078E06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2C1BEC43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46439E4E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150 g a.i./ha</w:t>
            </w:r>
            <w:r w:rsidRPr="00390428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 xml:space="preserve"> fb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quizalofop-p-ethyl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100 g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>a.i./ha at 15-20 DAS (pre + post)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F99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1560" w:type="dxa"/>
            <w:vAlign w:val="center"/>
          </w:tcPr>
          <w:p w14:paraId="11A0EFBA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10.26 </w:t>
            </w:r>
            <w:r w:rsidRPr="00390428">
              <w:rPr>
                <w:rFonts w:ascii="Arial" w:hAnsi="Arial" w:cs="Arial"/>
                <w:sz w:val="20"/>
                <w:szCs w:val="20"/>
              </w:rPr>
              <w:t>(105.1)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9776D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45.6</w:t>
            </w:r>
          </w:p>
        </w:tc>
      </w:tr>
      <w:tr w:rsidR="00390428" w:rsidRPr="00390428" w14:paraId="0F58CE13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E07EEF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557248F3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150 g a.i./ha</w:t>
            </w:r>
            <w:r w:rsidRPr="00390428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 xml:space="preserve"> fb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propaquizafop 100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g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a.i./ha at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20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DAS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(pre + post)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7FFA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1560" w:type="dxa"/>
            <w:vAlign w:val="center"/>
          </w:tcPr>
          <w:p w14:paraId="7CEB4A4C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9.50 </w:t>
            </w:r>
            <w:r w:rsidRPr="00390428">
              <w:rPr>
                <w:rFonts w:ascii="Arial" w:hAnsi="Arial" w:cs="Arial"/>
                <w:sz w:val="20"/>
                <w:szCs w:val="20"/>
              </w:rPr>
              <w:t>(90.0)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E3374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53.1</w:t>
            </w:r>
          </w:p>
        </w:tc>
      </w:tr>
      <w:tr w:rsidR="00390428" w:rsidRPr="00390428" w14:paraId="4250199E" w14:textId="77777777" w:rsidTr="00390428">
        <w:trPr>
          <w:trHeight w:val="263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CE655B7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0B732AC5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Oxyfluorfen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150 g a.i./ha</w:t>
            </w:r>
            <w:r w:rsidRPr="00390428">
              <w:rPr>
                <w:rFonts w:ascii="Arial" w:hAnsi="Arial" w:cs="Arial"/>
                <w:i/>
                <w:iCs/>
                <w:sz w:val="20"/>
                <w:szCs w:val="20"/>
                <w:lang w:val="nb-NO"/>
              </w:rPr>
              <w:t xml:space="preserve"> fb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topramezone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20.6 g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a.i./ha at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 xml:space="preserve">21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  <w:lang w:val="nb-NO"/>
              </w:rPr>
              <w:t xml:space="preserve">DAS </w:t>
            </w:r>
            <w:r w:rsidRPr="00390428">
              <w:rPr>
                <w:rFonts w:ascii="Arial" w:hAnsi="Arial" w:cs="Arial"/>
                <w:sz w:val="20"/>
                <w:szCs w:val="20"/>
                <w:lang w:val="nb-NO"/>
              </w:rPr>
              <w:t>(pre + post)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8083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1574</w:t>
            </w:r>
          </w:p>
        </w:tc>
        <w:tc>
          <w:tcPr>
            <w:tcW w:w="1560" w:type="dxa"/>
            <w:vAlign w:val="center"/>
          </w:tcPr>
          <w:p w14:paraId="181AFD3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3.15 </w:t>
            </w:r>
            <w:r w:rsidRPr="00390428">
              <w:rPr>
                <w:rFonts w:ascii="Arial" w:hAnsi="Arial" w:cs="Arial"/>
                <w:sz w:val="20"/>
                <w:szCs w:val="20"/>
              </w:rPr>
              <w:t>(9.4)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17987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  <w:lang w:val="nb-NO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95.1</w:t>
            </w:r>
          </w:p>
        </w:tc>
      </w:tr>
      <w:tr w:rsidR="00390428" w:rsidRPr="00390428" w14:paraId="5F1B3FC0" w14:textId="77777777" w:rsidTr="00390428">
        <w:trPr>
          <w:trHeight w:val="329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5F3999E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11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3D59065C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Weedy check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C799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560" w:type="dxa"/>
            <w:vAlign w:val="center"/>
          </w:tcPr>
          <w:p w14:paraId="44D6F9B2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14.14 </w:t>
            </w:r>
            <w:r w:rsidRPr="00390428">
              <w:rPr>
                <w:rFonts w:ascii="Arial" w:hAnsi="Arial" w:cs="Arial"/>
                <w:sz w:val="20"/>
                <w:szCs w:val="20"/>
              </w:rPr>
              <w:t>(201.0)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5F596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  <w:tr w:rsidR="00390428" w:rsidRPr="00390428" w14:paraId="44A44110" w14:textId="77777777" w:rsidTr="00390428">
        <w:trPr>
          <w:trHeight w:val="351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36994CC" w14:textId="77777777" w:rsidR="00390428" w:rsidRPr="00390428" w:rsidRDefault="00390428" w:rsidP="00BF5F2E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90428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4818" w:type="dxa"/>
            <w:tcBorders>
              <w:right w:val="single" w:sz="4" w:space="0" w:color="auto"/>
            </w:tcBorders>
            <w:vAlign w:val="center"/>
          </w:tcPr>
          <w:p w14:paraId="747E2D19" w14:textId="77777777" w:rsidR="00390428" w:rsidRPr="00390428" w:rsidRDefault="00390428" w:rsidP="00BF5F2E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 xml:space="preserve">Weed </w:t>
            </w:r>
            <w:r w:rsidRPr="00390428">
              <w:rPr>
                <w:rFonts w:ascii="Arial" w:hAnsi="Arial" w:cs="Arial"/>
                <w:sz w:val="20"/>
                <w:szCs w:val="20"/>
              </w:rPr>
              <w:t xml:space="preserve">free </w:t>
            </w:r>
            <w:r w:rsidRPr="00390428">
              <w:rPr>
                <w:rFonts w:ascii="Arial" w:hAnsi="Arial" w:cs="Arial"/>
                <w:spacing w:val="-1"/>
                <w:sz w:val="20"/>
                <w:szCs w:val="20"/>
              </w:rPr>
              <w:t>check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13D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1579</w:t>
            </w:r>
          </w:p>
        </w:tc>
        <w:tc>
          <w:tcPr>
            <w:tcW w:w="1560" w:type="dxa"/>
            <w:vAlign w:val="center"/>
          </w:tcPr>
          <w:p w14:paraId="1D27E1D3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 xml:space="preserve">0.71 </w:t>
            </w:r>
            <w:r w:rsidRPr="00390428">
              <w:rPr>
                <w:rFonts w:ascii="Arial" w:hAnsi="Arial" w:cs="Arial"/>
                <w:sz w:val="20"/>
                <w:szCs w:val="20"/>
              </w:rPr>
              <w:t>(0.0)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F1BA5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100.0</w:t>
            </w:r>
          </w:p>
        </w:tc>
      </w:tr>
      <w:tr w:rsidR="00390428" w:rsidRPr="00390428" w14:paraId="388B1627" w14:textId="77777777" w:rsidTr="00390428">
        <w:trPr>
          <w:trHeight w:val="263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6C60DE86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90428">
              <w:rPr>
                <w:rFonts w:ascii="Arial" w:hAnsi="Arial" w:cs="Arial"/>
                <w:sz w:val="20"/>
                <w:szCs w:val="20"/>
              </w:rPr>
              <w:t>SEm</w:t>
            </w:r>
            <w:proofErr w:type="spellEnd"/>
            <w:r w:rsidRPr="00390428">
              <w:rPr>
                <w:rFonts w:ascii="Arial" w:hAnsi="Arial" w:cs="Arial"/>
                <w:sz w:val="20"/>
                <w:szCs w:val="20"/>
                <w:u w:val="single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A11B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62.21</w:t>
            </w:r>
          </w:p>
        </w:tc>
        <w:tc>
          <w:tcPr>
            <w:tcW w:w="1560" w:type="dxa"/>
            <w:vAlign w:val="center"/>
          </w:tcPr>
          <w:p w14:paraId="19426E57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0.39</w:t>
            </w:r>
          </w:p>
        </w:tc>
        <w:tc>
          <w:tcPr>
            <w:tcW w:w="992" w:type="dxa"/>
            <w:vAlign w:val="center"/>
          </w:tcPr>
          <w:p w14:paraId="248FB7C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390428" w:rsidRPr="00390428" w14:paraId="0F60DF08" w14:textId="77777777" w:rsidTr="00390428">
        <w:trPr>
          <w:trHeight w:val="263"/>
        </w:trPr>
        <w:tc>
          <w:tcPr>
            <w:tcW w:w="5385" w:type="dxa"/>
            <w:gridSpan w:val="2"/>
            <w:tcBorders>
              <w:right w:val="single" w:sz="4" w:space="0" w:color="auto"/>
            </w:tcBorders>
            <w:vAlign w:val="center"/>
          </w:tcPr>
          <w:p w14:paraId="4ADDB879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CD at 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DFC9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182.43</w:t>
            </w:r>
          </w:p>
        </w:tc>
        <w:tc>
          <w:tcPr>
            <w:tcW w:w="1560" w:type="dxa"/>
            <w:vAlign w:val="center"/>
          </w:tcPr>
          <w:p w14:paraId="5167F617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992" w:type="dxa"/>
            <w:vAlign w:val="center"/>
          </w:tcPr>
          <w:p w14:paraId="1C58A28E" w14:textId="77777777" w:rsidR="00390428" w:rsidRPr="00390428" w:rsidRDefault="00390428" w:rsidP="00BF5F2E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0428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</w:tbl>
    <w:p w14:paraId="0317F6FC" w14:textId="77777777" w:rsidR="00390428" w:rsidRPr="003305A8" w:rsidRDefault="00390428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5C25B76" w14:textId="0AE652B0" w:rsidR="00497EB4" w:rsidRPr="003305A8" w:rsidRDefault="00EA4523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>Weed control efficiency (WCE):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497EB4" w:rsidRPr="003305A8">
        <w:rPr>
          <w:rFonts w:ascii="Arial" w:hAnsi="Arial" w:cs="Arial"/>
          <w:sz w:val="20"/>
          <w:szCs w:val="20"/>
        </w:rPr>
        <w:t>Among all the herbicidal treatments, the combination of oxyfluorfen at 150 g/ha followed by topramezone at 20.6 g/ha at 21 DAS (pre + post-emergence) achieved the highest weed control efficiency (WCE). Additionally, the treatment with t</w:t>
      </w:r>
      <w:r w:rsidR="00082678" w:rsidRPr="003305A8">
        <w:rPr>
          <w:rFonts w:ascii="Arial" w:hAnsi="Arial" w:cs="Arial"/>
          <w:sz w:val="20"/>
          <w:szCs w:val="20"/>
        </w:rPr>
        <w:t>opramezone at 20.6</w:t>
      </w:r>
      <w:r w:rsidR="00497EB4" w:rsidRPr="003305A8">
        <w:rPr>
          <w:rFonts w:ascii="Arial" w:hAnsi="Arial" w:cs="Arial"/>
          <w:sz w:val="20"/>
          <w:szCs w:val="20"/>
        </w:rPr>
        <w:t xml:space="preserve"> g/ha at 21 DAS also showed a significant level of weed control efficiency</w:t>
      </w:r>
      <w:r w:rsidR="003B0AF3" w:rsidRPr="003305A8">
        <w:rPr>
          <w:rFonts w:ascii="Arial" w:hAnsi="Arial" w:cs="Arial"/>
          <w:sz w:val="20"/>
          <w:szCs w:val="20"/>
        </w:rPr>
        <w:t xml:space="preserve"> (Table 1)</w:t>
      </w:r>
      <w:r w:rsidR="00497EB4" w:rsidRPr="003305A8">
        <w:rPr>
          <w:rFonts w:ascii="Arial" w:hAnsi="Arial" w:cs="Arial"/>
          <w:sz w:val="20"/>
          <w:szCs w:val="20"/>
        </w:rPr>
        <w:t>. These results indicate that this specific combination of herbicides was highly effective in managing weed growth. This can be attributed to the fact that the pre-emergence (PE) application of oxyfluorfen alone did not significantly affect the later stages of weed growth. Among the post-emergence (PoE) treatments, the application of t</w:t>
      </w:r>
      <w:r w:rsidR="003B0AF3" w:rsidRPr="003305A8">
        <w:rPr>
          <w:rFonts w:ascii="Arial" w:hAnsi="Arial" w:cs="Arial"/>
          <w:sz w:val="20"/>
          <w:szCs w:val="20"/>
        </w:rPr>
        <w:t>opramezone at 20.6</w:t>
      </w:r>
      <w:r w:rsidR="00497EB4" w:rsidRPr="003305A8">
        <w:rPr>
          <w:rFonts w:ascii="Arial" w:hAnsi="Arial" w:cs="Arial"/>
          <w:sz w:val="20"/>
          <w:szCs w:val="20"/>
        </w:rPr>
        <w:t xml:space="preserve"> g/ha at 21 DAS showed the highest weed control efficiency (WCE) compared </w:t>
      </w:r>
      <w:r w:rsidR="00497EB4" w:rsidRPr="003305A8">
        <w:rPr>
          <w:rFonts w:ascii="Arial" w:hAnsi="Arial" w:cs="Arial"/>
          <w:sz w:val="20"/>
          <w:szCs w:val="20"/>
        </w:rPr>
        <w:lastRenderedPageBreak/>
        <w:t>to all other treatments. This suggests that the post-emergence application of topramezone was more effective in controlling weeds at later growth stages.</w:t>
      </w:r>
    </w:p>
    <w:p w14:paraId="7CB7BC79" w14:textId="15285204" w:rsidR="002C2115" w:rsidRPr="003305A8" w:rsidRDefault="002C2115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b/>
          <w:bCs/>
          <w:sz w:val="20"/>
          <w:szCs w:val="20"/>
        </w:rPr>
        <w:t xml:space="preserve">Crop Yield: </w:t>
      </w:r>
      <w:r w:rsidRPr="003305A8">
        <w:rPr>
          <w:rFonts w:ascii="Arial" w:hAnsi="Arial" w:cs="Arial"/>
          <w:sz w:val="20"/>
          <w:szCs w:val="20"/>
        </w:rPr>
        <w:t>All weed control methods had a significant effect on chickpea seed yield. The highest yield was recorded in the weed free</w:t>
      </w:r>
      <w:r w:rsidR="00082678" w:rsidRPr="003305A8">
        <w:rPr>
          <w:rFonts w:ascii="Arial" w:hAnsi="Arial" w:cs="Arial"/>
          <w:sz w:val="20"/>
          <w:szCs w:val="20"/>
        </w:rPr>
        <w:t xml:space="preserve"> treatment, which produced 99</w:t>
      </w:r>
      <w:r w:rsidRPr="003305A8">
        <w:rPr>
          <w:rFonts w:ascii="Arial" w:hAnsi="Arial" w:cs="Arial"/>
          <w:sz w:val="20"/>
          <w:szCs w:val="20"/>
        </w:rPr>
        <w:t>% more yield than the weedy check treatment. In contrast, th</w:t>
      </w:r>
      <w:r w:rsidR="00082678" w:rsidRPr="003305A8">
        <w:rPr>
          <w:rFonts w:ascii="Arial" w:hAnsi="Arial" w:cs="Arial"/>
          <w:sz w:val="20"/>
          <w:szCs w:val="20"/>
        </w:rPr>
        <w:t>e weedy check resulted in a 50</w:t>
      </w:r>
      <w:r w:rsidRPr="003305A8">
        <w:rPr>
          <w:rFonts w:ascii="Arial" w:hAnsi="Arial" w:cs="Arial"/>
          <w:sz w:val="20"/>
          <w:szCs w:val="20"/>
        </w:rPr>
        <w:t>% decrease in crop yield</w:t>
      </w:r>
      <w:r w:rsidR="003B0AF3" w:rsidRPr="003305A8">
        <w:rPr>
          <w:rFonts w:ascii="Arial" w:hAnsi="Arial" w:cs="Arial"/>
          <w:sz w:val="20"/>
          <w:szCs w:val="20"/>
        </w:rPr>
        <w:t xml:space="preserve"> (Table 1)</w:t>
      </w:r>
      <w:r w:rsidRPr="003305A8">
        <w:rPr>
          <w:rFonts w:ascii="Arial" w:hAnsi="Arial" w:cs="Arial"/>
          <w:sz w:val="20"/>
          <w:szCs w:val="20"/>
        </w:rPr>
        <w:t xml:space="preserve">. These findings are consistent with the studies of Singh </w:t>
      </w:r>
      <w:r w:rsidRPr="003305A8">
        <w:rPr>
          <w:rFonts w:ascii="Arial" w:hAnsi="Arial" w:cs="Arial"/>
          <w:i/>
          <w:iCs/>
          <w:sz w:val="20"/>
          <w:szCs w:val="20"/>
        </w:rPr>
        <w:t>et al</w:t>
      </w:r>
      <w:r w:rsidRPr="003305A8">
        <w:rPr>
          <w:rFonts w:ascii="Arial" w:hAnsi="Arial" w:cs="Arial"/>
          <w:sz w:val="20"/>
          <w:szCs w:val="20"/>
        </w:rPr>
        <w:t>. (2020), who reported that weeds reduced chickpea y</w:t>
      </w:r>
      <w:r w:rsidR="00811C23" w:rsidRPr="003305A8">
        <w:rPr>
          <w:rFonts w:ascii="Arial" w:hAnsi="Arial" w:cs="Arial"/>
          <w:sz w:val="20"/>
          <w:szCs w:val="20"/>
        </w:rPr>
        <w:t xml:space="preserve">ield by 40-87% on average </w:t>
      </w:r>
      <w:r w:rsidRPr="003305A8">
        <w:rPr>
          <w:rFonts w:ascii="Arial" w:hAnsi="Arial" w:cs="Arial"/>
          <w:sz w:val="20"/>
          <w:szCs w:val="20"/>
        </w:rPr>
        <w:t xml:space="preserve">and Yadav </w:t>
      </w:r>
      <w:r w:rsidRPr="003305A8">
        <w:rPr>
          <w:rFonts w:ascii="Arial" w:hAnsi="Arial" w:cs="Arial"/>
          <w:i/>
          <w:iCs/>
          <w:sz w:val="20"/>
          <w:szCs w:val="20"/>
        </w:rPr>
        <w:t>et al</w:t>
      </w:r>
      <w:r w:rsidRPr="003305A8">
        <w:rPr>
          <w:rFonts w:ascii="Arial" w:hAnsi="Arial" w:cs="Arial"/>
          <w:sz w:val="20"/>
          <w:szCs w:val="20"/>
        </w:rPr>
        <w:t>. (2019), who observed a 69% reduction in chickpea yield due to weed infestatio</w:t>
      </w:r>
      <w:r w:rsidR="00811C23" w:rsidRPr="003305A8">
        <w:rPr>
          <w:rFonts w:ascii="Arial" w:hAnsi="Arial" w:cs="Arial"/>
          <w:sz w:val="20"/>
          <w:szCs w:val="20"/>
        </w:rPr>
        <w:t>n</w:t>
      </w:r>
      <w:r w:rsidRPr="003305A8">
        <w:rPr>
          <w:rFonts w:ascii="Arial" w:hAnsi="Arial" w:cs="Arial"/>
          <w:sz w:val="20"/>
          <w:szCs w:val="20"/>
        </w:rPr>
        <w:t>.</w:t>
      </w:r>
    </w:p>
    <w:p w14:paraId="5A8D3584" w14:textId="02BFB89A" w:rsidR="00DB4C24" w:rsidRPr="003305A8" w:rsidRDefault="00DB4C24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 xml:space="preserve">Among all herbicidal treatments,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Oxyfluorfen </w:t>
      </w:r>
      <w:r w:rsidRPr="003305A8">
        <w:rPr>
          <w:rFonts w:ascii="Arial" w:hAnsi="Arial" w:cs="Arial"/>
          <w:sz w:val="20"/>
          <w:szCs w:val="20"/>
          <w:lang w:val="nb-NO"/>
        </w:rPr>
        <w:t>150 g/ha</w:t>
      </w:r>
      <w:r w:rsidR="00214E39" w:rsidRPr="003305A8">
        <w:rPr>
          <w:rFonts w:ascii="Arial" w:hAnsi="Arial" w:cs="Arial"/>
          <w:i/>
          <w:iCs/>
          <w:sz w:val="20"/>
          <w:szCs w:val="20"/>
          <w:lang w:val="nb-NO"/>
        </w:rPr>
        <w:t xml:space="preserve"> fb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topramezone </w:t>
      </w:r>
      <w:r w:rsidRPr="003305A8">
        <w:rPr>
          <w:rFonts w:ascii="Arial" w:hAnsi="Arial" w:cs="Arial"/>
          <w:sz w:val="20"/>
          <w:szCs w:val="20"/>
          <w:lang w:val="nb-NO"/>
        </w:rPr>
        <w:t>20.6 g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/ha at </w:t>
      </w:r>
      <w:r w:rsidRPr="003305A8">
        <w:rPr>
          <w:rFonts w:ascii="Arial" w:hAnsi="Arial" w:cs="Arial"/>
          <w:sz w:val="20"/>
          <w:szCs w:val="20"/>
          <w:lang w:val="nb-NO"/>
        </w:rPr>
        <w:t xml:space="preserve">21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DAS </w:t>
      </w:r>
      <w:r w:rsidRPr="003305A8">
        <w:rPr>
          <w:rFonts w:ascii="Arial" w:hAnsi="Arial" w:cs="Arial"/>
          <w:sz w:val="20"/>
          <w:szCs w:val="20"/>
          <w:lang w:val="nb-NO"/>
        </w:rPr>
        <w:t>(pre + post)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082678" w:rsidRPr="003305A8">
        <w:rPr>
          <w:rFonts w:ascii="Arial" w:hAnsi="Arial" w:cs="Arial"/>
          <w:sz w:val="20"/>
          <w:szCs w:val="20"/>
        </w:rPr>
        <w:t>yielded 99</w:t>
      </w:r>
      <w:r w:rsidRPr="003305A8">
        <w:rPr>
          <w:rFonts w:ascii="Arial" w:hAnsi="Arial" w:cs="Arial"/>
          <w:sz w:val="20"/>
          <w:szCs w:val="20"/>
        </w:rPr>
        <w:t xml:space="preserve">% more seed yield than weedy check, </w:t>
      </w:r>
      <w:r w:rsidR="00082678" w:rsidRPr="003305A8">
        <w:rPr>
          <w:rFonts w:ascii="Arial" w:hAnsi="Arial" w:cs="Arial"/>
          <w:sz w:val="20"/>
          <w:szCs w:val="20"/>
        </w:rPr>
        <w:t>43-52</w:t>
      </w:r>
      <w:r w:rsidRPr="003305A8">
        <w:rPr>
          <w:rFonts w:ascii="Arial" w:hAnsi="Arial" w:cs="Arial"/>
          <w:sz w:val="20"/>
          <w:szCs w:val="20"/>
        </w:rPr>
        <w:t xml:space="preserve">% higher than </w:t>
      </w:r>
      <w:r w:rsidR="00082678" w:rsidRPr="003305A8">
        <w:rPr>
          <w:rFonts w:ascii="Arial" w:hAnsi="Arial" w:cs="Arial"/>
          <w:sz w:val="20"/>
          <w:szCs w:val="20"/>
        </w:rPr>
        <w:t>PE of oxyfluorfen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="00082678" w:rsidRPr="003305A8">
        <w:rPr>
          <w:rFonts w:ascii="Arial" w:hAnsi="Arial" w:cs="Arial"/>
          <w:sz w:val="20"/>
          <w:szCs w:val="20"/>
        </w:rPr>
        <w:t>(T</w:t>
      </w:r>
      <w:r w:rsidR="00082678" w:rsidRPr="003305A8">
        <w:rPr>
          <w:rFonts w:ascii="Arial" w:hAnsi="Arial" w:cs="Arial"/>
          <w:sz w:val="20"/>
          <w:szCs w:val="20"/>
          <w:vertAlign w:val="subscript"/>
        </w:rPr>
        <w:t>1</w:t>
      </w:r>
      <w:r w:rsidR="00082678" w:rsidRPr="003305A8">
        <w:rPr>
          <w:rFonts w:ascii="Arial" w:hAnsi="Arial" w:cs="Arial"/>
          <w:sz w:val="20"/>
          <w:szCs w:val="20"/>
        </w:rPr>
        <w:t xml:space="preserve"> &amp; T</w:t>
      </w:r>
      <w:r w:rsidR="00082678" w:rsidRPr="003305A8">
        <w:rPr>
          <w:rFonts w:ascii="Arial" w:hAnsi="Arial" w:cs="Arial"/>
          <w:sz w:val="20"/>
          <w:szCs w:val="20"/>
          <w:vertAlign w:val="subscript"/>
        </w:rPr>
        <w:t>2</w:t>
      </w:r>
      <w:r w:rsidR="00082678" w:rsidRPr="003305A8">
        <w:rPr>
          <w:rFonts w:ascii="Arial" w:hAnsi="Arial" w:cs="Arial"/>
          <w:sz w:val="20"/>
          <w:szCs w:val="20"/>
        </w:rPr>
        <w:t>) and 6-80</w:t>
      </w:r>
      <w:r w:rsidRPr="003305A8">
        <w:rPr>
          <w:rFonts w:ascii="Arial" w:hAnsi="Arial" w:cs="Arial"/>
          <w:sz w:val="20"/>
          <w:szCs w:val="20"/>
        </w:rPr>
        <w:t xml:space="preserve">% more than </w:t>
      </w:r>
      <w:r w:rsidR="00082678" w:rsidRPr="003305A8">
        <w:rPr>
          <w:rFonts w:ascii="Arial" w:hAnsi="Arial" w:cs="Arial"/>
          <w:sz w:val="20"/>
          <w:szCs w:val="20"/>
        </w:rPr>
        <w:t xml:space="preserve">all PoE applied </w:t>
      </w:r>
      <w:r w:rsidRPr="003305A8">
        <w:rPr>
          <w:rFonts w:ascii="Arial" w:hAnsi="Arial" w:cs="Arial"/>
          <w:sz w:val="20"/>
          <w:szCs w:val="20"/>
        </w:rPr>
        <w:t>treatment</w:t>
      </w:r>
      <w:r w:rsidR="00082678" w:rsidRPr="003305A8">
        <w:rPr>
          <w:rFonts w:ascii="Arial" w:hAnsi="Arial" w:cs="Arial"/>
          <w:sz w:val="20"/>
          <w:szCs w:val="20"/>
        </w:rPr>
        <w:t xml:space="preserve"> (T</w:t>
      </w:r>
      <w:r w:rsidR="00082678" w:rsidRPr="003305A8">
        <w:rPr>
          <w:rFonts w:ascii="Arial" w:hAnsi="Arial" w:cs="Arial"/>
          <w:sz w:val="20"/>
          <w:szCs w:val="20"/>
          <w:vertAlign w:val="subscript"/>
        </w:rPr>
        <w:t>3</w:t>
      </w:r>
      <w:r w:rsidR="00082678" w:rsidRPr="003305A8">
        <w:rPr>
          <w:rFonts w:ascii="Arial" w:hAnsi="Arial" w:cs="Arial"/>
          <w:sz w:val="20"/>
          <w:szCs w:val="20"/>
        </w:rPr>
        <w:t xml:space="preserve"> to T</w:t>
      </w:r>
      <w:r w:rsidR="00082678" w:rsidRPr="003305A8">
        <w:rPr>
          <w:rFonts w:ascii="Arial" w:hAnsi="Arial" w:cs="Arial"/>
          <w:sz w:val="20"/>
          <w:szCs w:val="20"/>
          <w:vertAlign w:val="subscript"/>
        </w:rPr>
        <w:t>7</w:t>
      </w:r>
      <w:r w:rsidR="00082678" w:rsidRPr="003305A8"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 xml:space="preserve">. </w:t>
      </w:r>
    </w:p>
    <w:p w14:paraId="493E7F81" w14:textId="77777777" w:rsidR="00811C23" w:rsidRPr="003305A8" w:rsidRDefault="00082678" w:rsidP="003305A8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Among all PoE applied herbicides</w:t>
      </w:r>
      <w:r w:rsidR="003B0AF3" w:rsidRPr="003305A8">
        <w:rPr>
          <w:rFonts w:ascii="Arial" w:hAnsi="Arial" w:cs="Arial"/>
          <w:sz w:val="20"/>
          <w:szCs w:val="20"/>
        </w:rPr>
        <w:t xml:space="preserve"> topramezone 20.6 g/ha (21 DAS) increased crop yield 11-69% as compared to other PoE applications. </w:t>
      </w:r>
      <w:r w:rsidR="00DB4C24" w:rsidRPr="003305A8">
        <w:rPr>
          <w:rFonts w:ascii="Arial" w:hAnsi="Arial" w:cs="Arial"/>
          <w:sz w:val="20"/>
          <w:szCs w:val="20"/>
        </w:rPr>
        <w:t xml:space="preserve">Tiwari </w:t>
      </w:r>
      <w:r w:rsidR="00DB4C24" w:rsidRPr="003305A8">
        <w:rPr>
          <w:rFonts w:ascii="Arial" w:hAnsi="Arial" w:cs="Arial"/>
          <w:i/>
          <w:iCs/>
          <w:sz w:val="20"/>
          <w:szCs w:val="20"/>
        </w:rPr>
        <w:t>et al</w:t>
      </w:r>
      <w:r w:rsidR="00DB4C24" w:rsidRPr="003305A8">
        <w:rPr>
          <w:rFonts w:ascii="Arial" w:hAnsi="Arial" w:cs="Arial"/>
          <w:sz w:val="20"/>
          <w:szCs w:val="20"/>
        </w:rPr>
        <w:t>. (2018) reported that PoE application topramezone at 25.2 g/ha decreased weed growth and enhanced crop yield compared to topramezone at 13.8 g/ha at a lower dose and resulted in a 40.5% greater seed product</w:t>
      </w:r>
      <w:r w:rsidR="00811C23" w:rsidRPr="003305A8">
        <w:rPr>
          <w:rFonts w:ascii="Arial" w:hAnsi="Arial" w:cs="Arial"/>
          <w:sz w:val="20"/>
          <w:szCs w:val="20"/>
        </w:rPr>
        <w:t>ion than the weedy treatment</w:t>
      </w:r>
      <w:r w:rsidR="00DB4C24" w:rsidRPr="003305A8">
        <w:rPr>
          <w:rFonts w:ascii="Arial" w:hAnsi="Arial" w:cs="Arial"/>
          <w:sz w:val="20"/>
          <w:szCs w:val="20"/>
        </w:rPr>
        <w:t>.</w:t>
      </w:r>
    </w:p>
    <w:p w14:paraId="5CD106B2" w14:textId="3FA61D51" w:rsidR="00431348" w:rsidRPr="003305A8" w:rsidRDefault="00431348" w:rsidP="003305A8">
      <w:pPr>
        <w:pStyle w:val="ConcHead"/>
        <w:spacing w:after="0"/>
        <w:jc w:val="both"/>
        <w:rPr>
          <w:rFonts w:ascii="Arial" w:hAnsi="Arial" w:cs="Arial"/>
          <w:szCs w:val="22"/>
        </w:rPr>
      </w:pPr>
      <w:r w:rsidRPr="003305A8">
        <w:rPr>
          <w:rFonts w:ascii="Arial" w:hAnsi="Arial" w:cs="Arial"/>
          <w:szCs w:val="22"/>
        </w:rPr>
        <w:t>Conclusion</w:t>
      </w:r>
    </w:p>
    <w:p w14:paraId="59FAB2DA" w14:textId="4704101A" w:rsidR="00431348" w:rsidRPr="003305A8" w:rsidRDefault="00431348" w:rsidP="003305A8">
      <w:pPr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 xml:space="preserve">In the realm of herbicide treatments, Among all herbicidal treatments,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Oxyfluorfen </w:t>
      </w:r>
      <w:r w:rsidRPr="003305A8">
        <w:rPr>
          <w:rFonts w:ascii="Arial" w:hAnsi="Arial" w:cs="Arial"/>
          <w:sz w:val="20"/>
          <w:szCs w:val="20"/>
          <w:lang w:val="nb-NO"/>
        </w:rPr>
        <w:t>150 g/ha</w:t>
      </w:r>
      <w:r w:rsidRPr="003305A8">
        <w:rPr>
          <w:rFonts w:ascii="Arial" w:hAnsi="Arial" w:cs="Arial"/>
          <w:i/>
          <w:iCs/>
          <w:sz w:val="20"/>
          <w:szCs w:val="20"/>
          <w:lang w:val="nb-NO"/>
        </w:rPr>
        <w:t xml:space="preserve"> fb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topramezone </w:t>
      </w:r>
      <w:r w:rsidRPr="003305A8">
        <w:rPr>
          <w:rFonts w:ascii="Arial" w:hAnsi="Arial" w:cs="Arial"/>
          <w:sz w:val="20"/>
          <w:szCs w:val="20"/>
          <w:lang w:val="nb-NO"/>
        </w:rPr>
        <w:t>20.6 g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/ha at </w:t>
      </w:r>
      <w:r w:rsidRPr="003305A8">
        <w:rPr>
          <w:rFonts w:ascii="Arial" w:hAnsi="Arial" w:cs="Arial"/>
          <w:sz w:val="20"/>
          <w:szCs w:val="20"/>
          <w:lang w:val="nb-NO"/>
        </w:rPr>
        <w:t xml:space="preserve">21 </w:t>
      </w:r>
      <w:r w:rsidRPr="003305A8">
        <w:rPr>
          <w:rFonts w:ascii="Arial" w:hAnsi="Arial" w:cs="Arial"/>
          <w:spacing w:val="-1"/>
          <w:sz w:val="20"/>
          <w:szCs w:val="20"/>
          <w:lang w:val="nb-NO"/>
        </w:rPr>
        <w:t xml:space="preserve">DAS </w:t>
      </w:r>
      <w:r w:rsidRPr="003305A8">
        <w:rPr>
          <w:rFonts w:ascii="Arial" w:hAnsi="Arial" w:cs="Arial"/>
          <w:sz w:val="20"/>
          <w:szCs w:val="20"/>
          <w:lang w:val="nb-NO"/>
        </w:rPr>
        <w:t xml:space="preserve">(pre + </w:t>
      </w:r>
      <w:proofErr w:type="gramStart"/>
      <w:r w:rsidRPr="003305A8">
        <w:rPr>
          <w:rFonts w:ascii="Arial" w:hAnsi="Arial" w:cs="Arial"/>
          <w:sz w:val="20"/>
          <w:szCs w:val="20"/>
          <w:lang w:val="nb-NO"/>
        </w:rPr>
        <w:t>post)</w:t>
      </w:r>
      <w:r w:rsidRPr="003305A8">
        <w:rPr>
          <w:rFonts w:ascii="Arial" w:hAnsi="Arial" w:cs="Arial"/>
          <w:sz w:val="20"/>
          <w:szCs w:val="20"/>
        </w:rPr>
        <w:t>was</w:t>
      </w:r>
      <w:proofErr w:type="gramEnd"/>
      <w:r w:rsidRPr="003305A8">
        <w:rPr>
          <w:rFonts w:ascii="Arial" w:hAnsi="Arial" w:cs="Arial"/>
          <w:sz w:val="20"/>
          <w:szCs w:val="20"/>
        </w:rPr>
        <w:t xml:space="preserve"> found to be the best treatment for effectively curbing weed growth and bolstering the yield of chickpeas. Furthermore, remarkable results with topramezone (20.6 g/ha) applied at 21 DAS post-emergence for efficiently controlling weed and increase in yield of chickpea.</w:t>
      </w:r>
    </w:p>
    <w:p w14:paraId="67870A7F" w14:textId="5687175B" w:rsidR="00811C23" w:rsidRDefault="00811C23" w:rsidP="003305A8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1797E0D1" w14:textId="77777777" w:rsidR="00EF38F5" w:rsidRPr="003305A8" w:rsidRDefault="00EF38F5" w:rsidP="003305A8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bookmarkStart w:id="0" w:name="_GoBack"/>
      <w:bookmarkEnd w:id="0"/>
    </w:p>
    <w:p w14:paraId="5814D08E" w14:textId="1A3FD8D3" w:rsidR="00811C23" w:rsidRPr="003305A8" w:rsidRDefault="00811C23" w:rsidP="003305A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305A8">
        <w:rPr>
          <w:rFonts w:ascii="Arial" w:hAnsi="Arial" w:cs="Arial"/>
          <w:b/>
          <w:bCs/>
        </w:rPr>
        <w:t>REFERENCES:</w:t>
      </w:r>
    </w:p>
    <w:p w14:paraId="787B1067" w14:textId="77777777" w:rsidR="00390428" w:rsidRPr="003305A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Gajanand, Kumar, S., Kumar, M</w:t>
      </w:r>
      <w:r>
        <w:rPr>
          <w:rFonts w:ascii="Arial" w:hAnsi="Arial" w:cs="Arial"/>
          <w:sz w:val="20"/>
          <w:szCs w:val="20"/>
        </w:rPr>
        <w:t>., Birla, D., Choudhary, S. &amp; Singh, D. (</w:t>
      </w:r>
      <w:r w:rsidRPr="003305A8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>. Evaluation of dose and application time of topramezone for weed management in chickpea. Indian Journal of Weed Science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55(3): 324–327.</w:t>
      </w:r>
    </w:p>
    <w:p w14:paraId="243146D1" w14:textId="77777777" w:rsidR="00390428" w:rsidRPr="003305A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Kumar, S., Gajanand, Birla, D., Singh, M., Kum</w:t>
      </w:r>
      <w:r>
        <w:rPr>
          <w:rFonts w:ascii="Arial" w:hAnsi="Arial" w:cs="Arial"/>
          <w:sz w:val="20"/>
          <w:szCs w:val="20"/>
        </w:rPr>
        <w:t>ar, P., Kumar, A. &amp;</w:t>
      </w:r>
      <w:r w:rsidRPr="003305A8">
        <w:rPr>
          <w:rFonts w:ascii="Arial" w:hAnsi="Arial" w:cs="Arial"/>
          <w:sz w:val="20"/>
          <w:szCs w:val="20"/>
        </w:rPr>
        <w:t xml:space="preserve"> Singh, D. </w:t>
      </w:r>
      <w:r>
        <w:rPr>
          <w:rFonts w:ascii="Arial" w:hAnsi="Arial" w:cs="Arial"/>
          <w:sz w:val="20"/>
          <w:szCs w:val="20"/>
        </w:rPr>
        <w:t>(</w:t>
      </w:r>
      <w:r w:rsidRPr="003305A8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>. Effect of different Doses and Time of Applications of Topramezone on Weed Dynamics, Growth and Yield of Chickpea (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Cicer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arietinum</w:t>
      </w:r>
      <w:r w:rsidRPr="003305A8">
        <w:rPr>
          <w:rFonts w:ascii="Arial" w:hAnsi="Arial" w:cs="Arial"/>
          <w:sz w:val="20"/>
          <w:szCs w:val="20"/>
        </w:rPr>
        <w:t xml:space="preserve"> L.) in Bihar (India</w:t>
      </w:r>
      <w:r w:rsidRPr="00390428">
        <w:rPr>
          <w:rFonts w:ascii="Arial" w:hAnsi="Arial" w:cs="Arial"/>
          <w:sz w:val="20"/>
          <w:szCs w:val="20"/>
        </w:rPr>
        <w:t>). International Journal of Plant &amp; Soil Science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35(14): 371-376.</w:t>
      </w:r>
    </w:p>
    <w:p w14:paraId="11767C19" w14:textId="77777777" w:rsidR="00390428" w:rsidRPr="003305A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Singh, A., Rana, S.S. &amp; </w:t>
      </w:r>
      <w:proofErr w:type="spellStart"/>
      <w:r w:rsidRPr="003305A8">
        <w:rPr>
          <w:rFonts w:ascii="Arial" w:hAnsi="Arial" w:cs="Arial"/>
          <w:sz w:val="20"/>
          <w:szCs w:val="20"/>
        </w:rPr>
        <w:t>Bala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A. </w:t>
      </w:r>
      <w:r>
        <w:rPr>
          <w:rFonts w:ascii="Arial" w:hAnsi="Arial" w:cs="Arial"/>
          <w:sz w:val="20"/>
          <w:szCs w:val="20"/>
        </w:rPr>
        <w:t>(</w:t>
      </w:r>
      <w:r w:rsidRPr="003305A8">
        <w:rPr>
          <w:rFonts w:ascii="Arial" w:hAnsi="Arial" w:cs="Arial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>. Weed management strategies in chickpea (</w:t>
      </w:r>
      <w:proofErr w:type="spellStart"/>
      <w:r w:rsidRPr="003305A8">
        <w:rPr>
          <w:rFonts w:ascii="Arial" w:hAnsi="Arial" w:cs="Arial"/>
          <w:i/>
          <w:iCs/>
          <w:sz w:val="20"/>
          <w:szCs w:val="20"/>
        </w:rPr>
        <w:t>Cicer</w:t>
      </w:r>
      <w:proofErr w:type="spellEnd"/>
      <w:r w:rsidRPr="003305A8">
        <w:rPr>
          <w:rFonts w:ascii="Arial" w:hAnsi="Arial" w:cs="Arial"/>
          <w:i/>
          <w:iCs/>
          <w:sz w:val="20"/>
          <w:szCs w:val="20"/>
        </w:rPr>
        <w:t xml:space="preserve"> arietinum</w:t>
      </w:r>
      <w:r w:rsidRPr="003305A8">
        <w:rPr>
          <w:rFonts w:ascii="Arial" w:hAnsi="Arial" w:cs="Arial"/>
          <w:sz w:val="20"/>
          <w:szCs w:val="20"/>
        </w:rPr>
        <w:t xml:space="preserve"> L.)</w:t>
      </w:r>
      <w:r>
        <w:rPr>
          <w:rFonts w:ascii="Arial" w:hAnsi="Arial" w:cs="Arial"/>
          <w:sz w:val="20"/>
          <w:szCs w:val="20"/>
        </w:rPr>
        <w:t xml:space="preserve"> A review. Agricultural reviews,</w:t>
      </w:r>
      <w:r w:rsidRPr="003305A8">
        <w:rPr>
          <w:rFonts w:ascii="Arial" w:hAnsi="Arial" w:cs="Arial"/>
          <w:sz w:val="20"/>
          <w:szCs w:val="20"/>
        </w:rPr>
        <w:t xml:space="preserve"> </w:t>
      </w:r>
      <w:r w:rsidRPr="00390428">
        <w:rPr>
          <w:rFonts w:ascii="Arial" w:hAnsi="Arial" w:cs="Arial"/>
          <w:sz w:val="20"/>
          <w:szCs w:val="20"/>
        </w:rPr>
        <w:t>41</w:t>
      </w:r>
      <w:r w:rsidRPr="003305A8">
        <w:rPr>
          <w:rFonts w:ascii="Arial" w:hAnsi="Arial" w:cs="Arial"/>
          <w:sz w:val="20"/>
          <w:szCs w:val="20"/>
        </w:rPr>
        <w:t>(2):153-159.</w:t>
      </w:r>
    </w:p>
    <w:p w14:paraId="09837917" w14:textId="77777777" w:rsidR="00390428" w:rsidRPr="003305A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iwari, D.K., </w:t>
      </w:r>
      <w:proofErr w:type="spellStart"/>
      <w:r>
        <w:rPr>
          <w:rFonts w:ascii="Arial" w:hAnsi="Arial" w:cs="Arial"/>
          <w:sz w:val="20"/>
          <w:szCs w:val="20"/>
        </w:rPr>
        <w:t>Paradkar</w:t>
      </w:r>
      <w:proofErr w:type="spellEnd"/>
      <w:r>
        <w:rPr>
          <w:rFonts w:ascii="Arial" w:hAnsi="Arial" w:cs="Arial"/>
          <w:sz w:val="20"/>
          <w:szCs w:val="20"/>
        </w:rPr>
        <w:t xml:space="preserve"> V.K., Dubey, R. &amp; </w:t>
      </w:r>
      <w:r w:rsidRPr="003305A8">
        <w:rPr>
          <w:rFonts w:ascii="Arial" w:hAnsi="Arial" w:cs="Arial"/>
          <w:sz w:val="20"/>
          <w:szCs w:val="20"/>
        </w:rPr>
        <w:t>Dwivedi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K.</w:t>
      </w:r>
      <w:r>
        <w:rPr>
          <w:rFonts w:ascii="Arial" w:hAnsi="Arial" w:cs="Arial"/>
          <w:sz w:val="20"/>
          <w:szCs w:val="20"/>
        </w:rPr>
        <w:t xml:space="preserve"> (2018).</w:t>
      </w:r>
      <w:r w:rsidRPr="003305A8">
        <w:rPr>
          <w:rFonts w:ascii="Arial" w:hAnsi="Arial" w:cs="Arial"/>
          <w:sz w:val="20"/>
          <w:szCs w:val="20"/>
        </w:rPr>
        <w:t xml:space="preserve"> Bio-efficacy of postemergence herbicide topramezone against weed control of maize (</w:t>
      </w:r>
      <w:proofErr w:type="spellStart"/>
      <w:r w:rsidRPr="00390428">
        <w:rPr>
          <w:rFonts w:ascii="Arial" w:hAnsi="Arial" w:cs="Arial"/>
          <w:i/>
          <w:iCs/>
          <w:sz w:val="20"/>
          <w:szCs w:val="20"/>
        </w:rPr>
        <w:t>Zea</w:t>
      </w:r>
      <w:proofErr w:type="spellEnd"/>
      <w:r w:rsidRPr="00390428">
        <w:rPr>
          <w:rFonts w:ascii="Arial" w:hAnsi="Arial" w:cs="Arial"/>
          <w:i/>
          <w:iCs/>
          <w:sz w:val="20"/>
          <w:szCs w:val="20"/>
        </w:rPr>
        <w:t xml:space="preserve"> mays</w:t>
      </w:r>
      <w:r w:rsidRPr="003305A8">
        <w:rPr>
          <w:rFonts w:ascii="Arial" w:hAnsi="Arial" w:cs="Arial"/>
          <w:sz w:val="20"/>
          <w:szCs w:val="20"/>
        </w:rPr>
        <w:t xml:space="preserve"> L.). International journal of ag</w:t>
      </w:r>
      <w:r>
        <w:rPr>
          <w:rFonts w:ascii="Arial" w:hAnsi="Arial" w:cs="Arial"/>
          <w:sz w:val="20"/>
          <w:szCs w:val="20"/>
        </w:rPr>
        <w:t xml:space="preserve">riculture sciences volume, </w:t>
      </w:r>
      <w:r w:rsidRPr="003305A8">
        <w:rPr>
          <w:rFonts w:ascii="Arial" w:hAnsi="Arial" w:cs="Arial"/>
          <w:sz w:val="20"/>
          <w:szCs w:val="20"/>
        </w:rPr>
        <w:t>10(2):5079-5081</w:t>
      </w:r>
    </w:p>
    <w:p w14:paraId="5D048110" w14:textId="2A65165F" w:rsidR="002C2115" w:rsidRPr="00390428" w:rsidRDefault="00390428" w:rsidP="00390428">
      <w:pPr>
        <w:spacing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3305A8">
        <w:rPr>
          <w:rFonts w:ascii="Arial" w:hAnsi="Arial" w:cs="Arial"/>
          <w:sz w:val="20"/>
          <w:szCs w:val="20"/>
        </w:rPr>
        <w:t>Yadav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, Shukla</w:t>
      </w:r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U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305A8">
        <w:rPr>
          <w:rFonts w:ascii="Arial" w:hAnsi="Arial" w:cs="Arial"/>
          <w:sz w:val="20"/>
          <w:szCs w:val="20"/>
        </w:rPr>
        <w:t>Raiger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P</w:t>
      </w:r>
      <w:r>
        <w:rPr>
          <w:rFonts w:ascii="Arial" w:hAnsi="Arial" w:cs="Arial"/>
          <w:sz w:val="20"/>
          <w:szCs w:val="20"/>
        </w:rPr>
        <w:t>.</w:t>
      </w:r>
      <w:r w:rsidRPr="003305A8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 &amp;</w:t>
      </w:r>
      <w:r w:rsidRPr="003305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05A8">
        <w:rPr>
          <w:rFonts w:ascii="Arial" w:hAnsi="Arial" w:cs="Arial"/>
          <w:sz w:val="20"/>
          <w:szCs w:val="20"/>
        </w:rPr>
        <w:t>Mandiwal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305A8">
        <w:rPr>
          <w:rFonts w:ascii="Arial" w:hAnsi="Arial" w:cs="Arial"/>
          <w:sz w:val="20"/>
          <w:szCs w:val="20"/>
        </w:rPr>
        <w:t xml:space="preserve"> M. </w:t>
      </w:r>
      <w:r>
        <w:rPr>
          <w:rFonts w:ascii="Arial" w:hAnsi="Arial" w:cs="Arial"/>
          <w:sz w:val="20"/>
          <w:szCs w:val="20"/>
        </w:rPr>
        <w:t>(</w:t>
      </w:r>
      <w:r w:rsidRPr="003305A8"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>)</w:t>
      </w:r>
      <w:r w:rsidRPr="003305A8">
        <w:rPr>
          <w:rFonts w:ascii="Arial" w:hAnsi="Arial" w:cs="Arial"/>
          <w:sz w:val="20"/>
          <w:szCs w:val="20"/>
        </w:rPr>
        <w:t>. Efficacy of pre and post-emergence herbicides on weed control in chickpea (</w:t>
      </w:r>
      <w:proofErr w:type="spellStart"/>
      <w:r w:rsidRPr="00390428">
        <w:rPr>
          <w:rFonts w:ascii="Arial" w:hAnsi="Arial" w:cs="Arial"/>
          <w:i/>
          <w:iCs/>
          <w:sz w:val="20"/>
          <w:szCs w:val="20"/>
        </w:rPr>
        <w:t>Cicer</w:t>
      </w:r>
      <w:proofErr w:type="spellEnd"/>
      <w:r w:rsidRPr="00390428">
        <w:rPr>
          <w:rFonts w:ascii="Arial" w:hAnsi="Arial" w:cs="Arial"/>
          <w:i/>
          <w:iCs/>
          <w:sz w:val="20"/>
          <w:szCs w:val="20"/>
        </w:rPr>
        <w:t xml:space="preserve"> arietinum</w:t>
      </w:r>
      <w:r w:rsidRPr="003305A8">
        <w:rPr>
          <w:rFonts w:ascii="Arial" w:hAnsi="Arial" w:cs="Arial"/>
          <w:sz w:val="20"/>
          <w:szCs w:val="20"/>
        </w:rPr>
        <w:t xml:space="preserve"> L.). Indian Journal of Agricultural Research. 53(1):112-115.</w:t>
      </w:r>
    </w:p>
    <w:p w14:paraId="5FD05074" w14:textId="77777777" w:rsidR="00AE0ABE" w:rsidRPr="003305A8" w:rsidRDefault="00AE0ABE" w:rsidP="002C21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E0ABE" w:rsidRPr="003305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0E0DA" w14:textId="77777777" w:rsidR="0056515F" w:rsidRDefault="0056515F" w:rsidP="00EF38F5">
      <w:pPr>
        <w:spacing w:after="0" w:line="240" w:lineRule="auto"/>
      </w:pPr>
      <w:r>
        <w:separator/>
      </w:r>
    </w:p>
  </w:endnote>
  <w:endnote w:type="continuationSeparator" w:id="0">
    <w:p w14:paraId="29F6D73B" w14:textId="77777777" w:rsidR="0056515F" w:rsidRDefault="0056515F" w:rsidP="00EF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324F1" w14:textId="77777777" w:rsidR="00EF38F5" w:rsidRDefault="00EF3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28ED0" w14:textId="77777777" w:rsidR="00EF38F5" w:rsidRDefault="00EF38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307A2" w14:textId="77777777" w:rsidR="00EF38F5" w:rsidRDefault="00EF3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A4379" w14:textId="77777777" w:rsidR="0056515F" w:rsidRDefault="0056515F" w:rsidP="00EF38F5">
      <w:pPr>
        <w:spacing w:after="0" w:line="240" w:lineRule="auto"/>
      </w:pPr>
      <w:r>
        <w:separator/>
      </w:r>
    </w:p>
  </w:footnote>
  <w:footnote w:type="continuationSeparator" w:id="0">
    <w:p w14:paraId="4AEB374C" w14:textId="77777777" w:rsidR="0056515F" w:rsidRDefault="0056515F" w:rsidP="00EF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208F" w14:textId="6993BE3D" w:rsidR="00EF38F5" w:rsidRDefault="00EF38F5">
    <w:pPr>
      <w:pStyle w:val="Header"/>
    </w:pPr>
    <w:r>
      <w:rPr>
        <w:noProof/>
      </w:rPr>
      <w:pict w14:anchorId="0F8482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0657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47629" w14:textId="45002C14" w:rsidR="00EF38F5" w:rsidRDefault="00EF38F5">
    <w:pPr>
      <w:pStyle w:val="Header"/>
    </w:pPr>
    <w:r>
      <w:rPr>
        <w:noProof/>
      </w:rPr>
      <w:pict w14:anchorId="33043F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0658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31B7" w14:textId="16C740DB" w:rsidR="00EF38F5" w:rsidRDefault="00EF38F5">
    <w:pPr>
      <w:pStyle w:val="Header"/>
    </w:pPr>
    <w:r>
      <w:rPr>
        <w:noProof/>
      </w:rPr>
      <w:pict w14:anchorId="597C75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3340656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ACB"/>
    <w:rsid w:val="00082678"/>
    <w:rsid w:val="000C1C2D"/>
    <w:rsid w:val="000C3287"/>
    <w:rsid w:val="00106C0A"/>
    <w:rsid w:val="00176EE1"/>
    <w:rsid w:val="002102D6"/>
    <w:rsid w:val="00214E39"/>
    <w:rsid w:val="002C2115"/>
    <w:rsid w:val="002C221F"/>
    <w:rsid w:val="002D250C"/>
    <w:rsid w:val="003305A8"/>
    <w:rsid w:val="00383ACB"/>
    <w:rsid w:val="0038651C"/>
    <w:rsid w:val="00390428"/>
    <w:rsid w:val="0039251A"/>
    <w:rsid w:val="003B0AF3"/>
    <w:rsid w:val="003F02CF"/>
    <w:rsid w:val="00431348"/>
    <w:rsid w:val="00484E16"/>
    <w:rsid w:val="00497EB4"/>
    <w:rsid w:val="0051455B"/>
    <w:rsid w:val="0056515F"/>
    <w:rsid w:val="0057480C"/>
    <w:rsid w:val="005A0E3D"/>
    <w:rsid w:val="006040EA"/>
    <w:rsid w:val="006C4A40"/>
    <w:rsid w:val="00740839"/>
    <w:rsid w:val="00774988"/>
    <w:rsid w:val="00793B43"/>
    <w:rsid w:val="007C2AC2"/>
    <w:rsid w:val="008064F0"/>
    <w:rsid w:val="00811C23"/>
    <w:rsid w:val="008460E7"/>
    <w:rsid w:val="009B169C"/>
    <w:rsid w:val="00A97029"/>
    <w:rsid w:val="00AA5021"/>
    <w:rsid w:val="00AE0ABE"/>
    <w:rsid w:val="00B65D9E"/>
    <w:rsid w:val="00BC1D4F"/>
    <w:rsid w:val="00CD313D"/>
    <w:rsid w:val="00DB07D7"/>
    <w:rsid w:val="00DB4C24"/>
    <w:rsid w:val="00E00E8C"/>
    <w:rsid w:val="00E14FA6"/>
    <w:rsid w:val="00E60191"/>
    <w:rsid w:val="00EA4523"/>
    <w:rsid w:val="00EF38F5"/>
    <w:rsid w:val="00F14D6C"/>
    <w:rsid w:val="00F52D9D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A27E7B1"/>
  <w15:docId w15:val="{34B5F5F9-2F6A-4F37-AFD9-657D74E9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D9D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AC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AC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AC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AC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AC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AC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AC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AC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AC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A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A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A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A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A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A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A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A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A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A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83A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AC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83A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ACB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83A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ACB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83A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A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A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AC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F52D9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F52D9D"/>
    <w:pPr>
      <w:spacing w:after="0" w:line="240" w:lineRule="auto"/>
    </w:pPr>
    <w:rPr>
      <w:kern w:val="0"/>
      <w14:ligatures w14:val="none"/>
    </w:rPr>
  </w:style>
  <w:style w:type="paragraph" w:customStyle="1" w:styleId="ReferHead">
    <w:name w:val="Refer Head"/>
    <w:basedOn w:val="Normal"/>
    <w:rsid w:val="00811C23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  <w:lang w:val="en-US"/>
    </w:rPr>
  </w:style>
  <w:style w:type="paragraph" w:customStyle="1" w:styleId="ConcHead">
    <w:name w:val="Conc Head"/>
    <w:basedOn w:val="Normal"/>
    <w:rsid w:val="00431348"/>
    <w:pPr>
      <w:keepNext/>
      <w:spacing w:after="240" w:line="240" w:lineRule="auto"/>
    </w:pPr>
    <w:rPr>
      <w:rFonts w:ascii="Helvetica" w:eastAsia="Times New Roman" w:hAnsi="Helvetica" w:cs="Times New Roman"/>
      <w:b/>
      <w:caps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330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E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3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8F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F3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</dc:creator>
  <cp:keywords/>
  <dc:description/>
  <cp:lastModifiedBy>SDI 1084</cp:lastModifiedBy>
  <cp:revision>33</cp:revision>
  <dcterms:created xsi:type="dcterms:W3CDTF">2025-01-21T02:46:00Z</dcterms:created>
  <dcterms:modified xsi:type="dcterms:W3CDTF">2025-02-08T11:56:00Z</dcterms:modified>
</cp:coreProperties>
</file>