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0022" w14:textId="563FD50E" w:rsidR="00754C9A" w:rsidRDefault="009C0635" w:rsidP="00441B6F">
      <w:pPr>
        <w:pStyle w:val="Title"/>
        <w:spacing w:after="0"/>
        <w:jc w:val="both"/>
        <w:rPr>
          <w:rFonts w:ascii="Arial" w:hAnsi="Arial" w:cs="Arial"/>
        </w:rPr>
      </w:pPr>
      <w:r w:rsidRPr="009C0635">
        <w:rPr>
          <w:rFonts w:ascii="Arial" w:hAnsi="Arial" w:cs="Arial"/>
        </w:rPr>
        <w:t>Original Research Article</w:t>
      </w:r>
    </w:p>
    <w:p w14:paraId="5A1F0A62" w14:textId="77777777" w:rsidR="009C0635" w:rsidRDefault="009C0635" w:rsidP="00441B6F">
      <w:pPr>
        <w:pStyle w:val="Title"/>
        <w:spacing w:after="0"/>
        <w:jc w:val="both"/>
        <w:rPr>
          <w:rFonts w:ascii="Arial" w:hAnsi="Arial" w:cs="Arial"/>
        </w:rPr>
      </w:pPr>
    </w:p>
    <w:p w14:paraId="7439F1AA" w14:textId="77777777" w:rsidR="00163BC4" w:rsidRPr="00163BC4" w:rsidRDefault="001E1EF3" w:rsidP="00441B6F">
      <w:pPr>
        <w:pStyle w:val="Author"/>
        <w:spacing w:line="240" w:lineRule="auto"/>
        <w:rPr>
          <w:rFonts w:ascii="Arial" w:hAnsi="Arial" w:cs="Arial"/>
          <w:bCs/>
          <w:iCs/>
          <w:kern w:val="28"/>
          <w:sz w:val="36"/>
        </w:rPr>
      </w:pPr>
      <w:r w:rsidRPr="001E1EF3">
        <w:rPr>
          <w:rFonts w:ascii="Arial" w:hAnsi="Arial" w:cs="Arial"/>
          <w:bCs/>
          <w:iCs/>
          <w:kern w:val="28"/>
          <w:sz w:val="36"/>
        </w:rPr>
        <w:t xml:space="preserve">Effects of </w:t>
      </w:r>
      <w:r w:rsidR="00BC72F2">
        <w:rPr>
          <w:rFonts w:ascii="Arial" w:hAnsi="Arial" w:cs="Arial"/>
          <w:bCs/>
          <w:iCs/>
          <w:kern w:val="28"/>
          <w:sz w:val="36"/>
        </w:rPr>
        <w:t>S</w:t>
      </w:r>
      <w:r w:rsidRPr="001E1EF3">
        <w:rPr>
          <w:rFonts w:ascii="Arial" w:hAnsi="Arial" w:cs="Arial"/>
          <w:bCs/>
          <w:iCs/>
          <w:kern w:val="28"/>
          <w:sz w:val="36"/>
        </w:rPr>
        <w:t xml:space="preserve">hade and </w:t>
      </w:r>
      <w:r w:rsidR="00BC72F2">
        <w:rPr>
          <w:rFonts w:ascii="Arial" w:hAnsi="Arial" w:cs="Arial"/>
          <w:bCs/>
          <w:iCs/>
          <w:kern w:val="28"/>
          <w:sz w:val="36"/>
        </w:rPr>
        <w:t>D</w:t>
      </w:r>
      <w:r w:rsidRPr="001E1EF3">
        <w:rPr>
          <w:rFonts w:ascii="Arial" w:hAnsi="Arial" w:cs="Arial"/>
          <w:bCs/>
          <w:iCs/>
          <w:kern w:val="28"/>
          <w:sz w:val="36"/>
        </w:rPr>
        <w:t xml:space="preserve">eficit </w:t>
      </w:r>
      <w:r w:rsidR="00BC72F2">
        <w:rPr>
          <w:rFonts w:ascii="Arial" w:hAnsi="Arial" w:cs="Arial"/>
          <w:bCs/>
          <w:iCs/>
          <w:kern w:val="28"/>
          <w:sz w:val="36"/>
        </w:rPr>
        <w:t>I</w:t>
      </w:r>
      <w:r w:rsidRPr="001E1EF3">
        <w:rPr>
          <w:rFonts w:ascii="Arial" w:hAnsi="Arial" w:cs="Arial"/>
          <w:bCs/>
          <w:iCs/>
          <w:kern w:val="28"/>
          <w:sz w:val="36"/>
        </w:rPr>
        <w:t xml:space="preserve">rrigation on Chinese </w:t>
      </w:r>
      <w:r w:rsidR="00BC72F2">
        <w:rPr>
          <w:rFonts w:ascii="Arial" w:hAnsi="Arial" w:cs="Arial"/>
          <w:bCs/>
          <w:iCs/>
          <w:kern w:val="28"/>
          <w:sz w:val="36"/>
        </w:rPr>
        <w:t>P</w:t>
      </w:r>
      <w:r w:rsidRPr="001E1EF3">
        <w:rPr>
          <w:rFonts w:ascii="Arial" w:hAnsi="Arial" w:cs="Arial"/>
          <w:bCs/>
          <w:iCs/>
          <w:kern w:val="28"/>
          <w:sz w:val="36"/>
        </w:rPr>
        <w:t>otato (</w:t>
      </w:r>
      <w:r w:rsidRPr="00BC72F2">
        <w:rPr>
          <w:rFonts w:ascii="Arial" w:hAnsi="Arial" w:cs="Arial"/>
          <w:bCs/>
          <w:i/>
          <w:iCs/>
          <w:kern w:val="28"/>
          <w:sz w:val="36"/>
        </w:rPr>
        <w:t>Colocasia esculenta</w:t>
      </w:r>
      <w:r w:rsidRPr="001E1EF3">
        <w:rPr>
          <w:rFonts w:ascii="Arial" w:hAnsi="Arial" w:cs="Arial"/>
          <w:bCs/>
          <w:iCs/>
          <w:kern w:val="28"/>
          <w:sz w:val="36"/>
        </w:rPr>
        <w:t xml:space="preserve"> (L.) Schott) </w:t>
      </w:r>
      <w:r w:rsidR="00BC72F2">
        <w:rPr>
          <w:rFonts w:ascii="Arial" w:hAnsi="Arial" w:cs="Arial"/>
          <w:bCs/>
          <w:iCs/>
          <w:kern w:val="28"/>
          <w:sz w:val="36"/>
        </w:rPr>
        <w:t>G</w:t>
      </w:r>
      <w:r w:rsidRPr="001E1EF3">
        <w:rPr>
          <w:rFonts w:ascii="Arial" w:hAnsi="Arial" w:cs="Arial"/>
          <w:bCs/>
          <w:iCs/>
          <w:kern w:val="28"/>
          <w:sz w:val="36"/>
        </w:rPr>
        <w:t xml:space="preserve">rowth and </w:t>
      </w:r>
      <w:r w:rsidR="00BC72F2">
        <w:rPr>
          <w:rFonts w:ascii="Arial" w:hAnsi="Arial" w:cs="Arial"/>
          <w:bCs/>
          <w:iCs/>
          <w:kern w:val="28"/>
          <w:sz w:val="36"/>
        </w:rPr>
        <w:t>D</w:t>
      </w:r>
      <w:r w:rsidRPr="001E1EF3">
        <w:rPr>
          <w:rFonts w:ascii="Arial" w:hAnsi="Arial" w:cs="Arial"/>
          <w:bCs/>
          <w:iCs/>
          <w:kern w:val="28"/>
          <w:sz w:val="36"/>
        </w:rPr>
        <w:t xml:space="preserve">evelopment </w:t>
      </w:r>
    </w:p>
    <w:p w14:paraId="6DF8F460" w14:textId="77777777" w:rsidR="00A258C3" w:rsidRPr="00790ADA" w:rsidRDefault="00A258C3" w:rsidP="00441B6F">
      <w:pPr>
        <w:pStyle w:val="Author"/>
        <w:spacing w:line="240" w:lineRule="auto"/>
        <w:jc w:val="both"/>
        <w:rPr>
          <w:rFonts w:ascii="Arial" w:hAnsi="Arial" w:cs="Arial"/>
          <w:sz w:val="36"/>
        </w:rPr>
      </w:pPr>
    </w:p>
    <w:p w14:paraId="2986DDD2" w14:textId="77777777" w:rsidR="002C57D2" w:rsidRPr="003E4504" w:rsidRDefault="002C57D2" w:rsidP="00441B6F">
      <w:pPr>
        <w:pStyle w:val="Affiliation"/>
        <w:spacing w:after="0" w:line="240" w:lineRule="auto"/>
        <w:jc w:val="both"/>
        <w:rPr>
          <w:rFonts w:ascii="Arial" w:hAnsi="Arial" w:cs="Arial"/>
          <w:lang w:val="es-CO"/>
        </w:rPr>
      </w:pPr>
    </w:p>
    <w:p w14:paraId="35F886AC" w14:textId="77777777" w:rsidR="00B01FCD" w:rsidRPr="00FB3A86" w:rsidRDefault="00BC72F2" w:rsidP="00441B6F">
      <w:pPr>
        <w:pStyle w:val="Copyright"/>
        <w:spacing w:after="0" w:line="240" w:lineRule="auto"/>
        <w:jc w:val="both"/>
        <w:rPr>
          <w:rFonts w:ascii="Arial" w:hAnsi="Arial" w:cs="Arial"/>
        </w:rPr>
        <w:sectPr w:rsidR="00B01FCD" w:rsidRPr="00FB3A86" w:rsidSect="002353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403AC4" wp14:editId="301B6C29">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932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A5355F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A15CA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94E335" w14:textId="77777777" w:rsidTr="001E44FE">
        <w:tc>
          <w:tcPr>
            <w:tcW w:w="9576" w:type="dxa"/>
            <w:shd w:val="clear" w:color="auto" w:fill="F2F2F2"/>
          </w:tcPr>
          <w:p w14:paraId="010B83E5" w14:textId="77777777" w:rsidR="00BA1B01" w:rsidRPr="00667BB5"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667BB5">
              <w:rPr>
                <w:rFonts w:ascii="Arial" w:eastAsia="Calibri" w:hAnsi="Arial" w:cs="Arial"/>
                <w:b/>
                <w:szCs w:val="22"/>
              </w:rPr>
              <w:t>:</w:t>
            </w:r>
            <w:r w:rsidR="00667BB5" w:rsidRPr="00667BB5">
              <w:rPr>
                <w:rFonts w:ascii="Arial" w:eastAsia="Calibri" w:hAnsi="Arial" w:cs="Arial"/>
                <w:b/>
                <w:szCs w:val="22"/>
              </w:rPr>
              <w:t xml:space="preserve"> </w:t>
            </w:r>
            <w:r w:rsidR="00667BB5" w:rsidRPr="00667BB5">
              <w:rPr>
                <w:rFonts w:ascii="Arial" w:eastAsia="Calibri" w:hAnsi="Arial" w:cs="Arial"/>
                <w:szCs w:val="22"/>
              </w:rPr>
              <w:t>This study aimed to evaluate the effects of shade levels and deficit irrigation on the growth and physiological responses of Chinese potato (</w:t>
            </w:r>
            <w:r w:rsidR="00667BB5" w:rsidRPr="00667BB5">
              <w:rPr>
                <w:rFonts w:ascii="Arial" w:eastAsia="Calibri" w:hAnsi="Arial" w:cs="Arial"/>
                <w:i/>
                <w:szCs w:val="22"/>
              </w:rPr>
              <w:t>Colocasia esculenta</w:t>
            </w:r>
            <w:r w:rsidR="00667BB5" w:rsidRPr="00667BB5">
              <w:rPr>
                <w:rFonts w:ascii="Arial" w:eastAsia="Calibri" w:hAnsi="Arial" w:cs="Arial"/>
                <w:szCs w:val="22"/>
              </w:rPr>
              <w:t>), providing insights into optimal agronomic practices for improving crop performance under abiotic stress</w:t>
            </w:r>
            <w:r w:rsidRPr="00667BB5">
              <w:rPr>
                <w:rFonts w:ascii="Arial" w:eastAsia="Calibri" w:hAnsi="Arial" w:cs="Arial"/>
                <w:szCs w:val="22"/>
              </w:rPr>
              <w:t>.</w:t>
            </w:r>
          </w:p>
          <w:p w14:paraId="31CF8FE8" w14:textId="77777777" w:rsidR="00BA1B01" w:rsidRPr="00BA1B01" w:rsidRDefault="00BA1B01" w:rsidP="00441B6F">
            <w:pPr>
              <w:pStyle w:val="Body"/>
              <w:spacing w:after="0"/>
              <w:rPr>
                <w:rFonts w:ascii="Arial" w:eastAsia="Calibri" w:hAnsi="Arial" w:cs="Arial"/>
                <w:szCs w:val="22"/>
              </w:rPr>
            </w:pPr>
            <w:bookmarkStart w:id="1" w:name="_Hlk189576936"/>
            <w:r w:rsidRPr="00BA1B01">
              <w:rPr>
                <w:rFonts w:ascii="Arial" w:eastAsia="Calibri" w:hAnsi="Arial" w:cs="Arial"/>
                <w:b/>
                <w:szCs w:val="22"/>
              </w:rPr>
              <w:t>Study design</w:t>
            </w:r>
            <w:bookmarkEnd w:id="1"/>
            <w:r w:rsidRPr="00BA1B01">
              <w:rPr>
                <w:rFonts w:ascii="Arial" w:eastAsia="Calibri" w:hAnsi="Arial" w:cs="Arial"/>
                <w:b/>
                <w:szCs w:val="22"/>
              </w:rPr>
              <w:t>:</w:t>
            </w:r>
            <w:r w:rsidRPr="00BA1B01">
              <w:rPr>
                <w:rFonts w:ascii="Arial" w:eastAsia="Calibri" w:hAnsi="Arial" w:cs="Arial"/>
                <w:szCs w:val="22"/>
              </w:rPr>
              <w:t xml:space="preserve">  </w:t>
            </w:r>
            <w:r w:rsidR="00667BB5" w:rsidRPr="00667BB5">
              <w:rPr>
                <w:rFonts w:ascii="Arial" w:eastAsia="Calibri" w:hAnsi="Arial" w:cs="Arial"/>
                <w:szCs w:val="22"/>
              </w:rPr>
              <w:t>A factorial experiment was conducted in a randomized complete block design with two factors: shade levels (35%, 65%, and 100% daylight) and irrigation regimes (100% and 50% of field capacity)</w:t>
            </w:r>
            <w:r w:rsidR="00A90D24">
              <w:rPr>
                <w:rFonts w:ascii="Arial" w:eastAsia="Calibri" w:hAnsi="Arial" w:cs="Arial"/>
                <w:szCs w:val="22"/>
              </w:rPr>
              <w:t>.</w:t>
            </w:r>
            <w:r w:rsidR="00A90D24" w:rsidRPr="00DB5911">
              <w:rPr>
                <w:rFonts w:ascii="Times New Roman" w:hAnsi="Times New Roman"/>
                <w:sz w:val="24"/>
                <w:szCs w:val="24"/>
              </w:rPr>
              <w:t xml:space="preserve"> </w:t>
            </w:r>
            <w:r w:rsidR="00A90D24">
              <w:rPr>
                <w:rFonts w:ascii="Arial" w:eastAsia="Calibri" w:hAnsi="Arial" w:cs="Arial"/>
                <w:szCs w:val="22"/>
              </w:rPr>
              <w:t>E</w:t>
            </w:r>
            <w:r w:rsidR="00A90D24" w:rsidRPr="00A90D24">
              <w:rPr>
                <w:rFonts w:ascii="Arial" w:eastAsia="Calibri" w:hAnsi="Arial" w:cs="Arial"/>
                <w:szCs w:val="22"/>
              </w:rPr>
              <w:t>ight replicates were used for each treatment for a total of 48 plants</w:t>
            </w:r>
            <w:r w:rsidRPr="00BA1B01">
              <w:rPr>
                <w:rFonts w:ascii="Arial" w:eastAsia="Calibri" w:hAnsi="Arial" w:cs="Arial"/>
                <w:szCs w:val="22"/>
              </w:rPr>
              <w:t>.</w:t>
            </w:r>
          </w:p>
          <w:p w14:paraId="02D0751A" w14:textId="77777777" w:rsidR="00BA1B01" w:rsidRPr="00BA1B01" w:rsidRDefault="00BA1B01" w:rsidP="00441B6F">
            <w:pPr>
              <w:pStyle w:val="Body"/>
              <w:spacing w:after="0"/>
              <w:rPr>
                <w:rFonts w:ascii="Arial" w:eastAsia="Calibri" w:hAnsi="Arial" w:cs="Arial"/>
                <w:szCs w:val="22"/>
              </w:rPr>
            </w:pPr>
            <w:bookmarkStart w:id="2" w:name="_Hlk189576950"/>
            <w:r w:rsidRPr="00BA1B01">
              <w:rPr>
                <w:rFonts w:ascii="Arial" w:eastAsia="Calibri" w:hAnsi="Arial" w:cs="Arial"/>
                <w:b/>
                <w:szCs w:val="22"/>
              </w:rPr>
              <w:t>Place and Duration of Study</w:t>
            </w:r>
            <w:bookmarkEnd w:id="2"/>
            <w:r w:rsidRPr="00BA1B01">
              <w:rPr>
                <w:rFonts w:ascii="Arial" w:eastAsia="Calibri" w:hAnsi="Arial" w:cs="Arial"/>
                <w:b/>
                <w:szCs w:val="22"/>
              </w:rPr>
              <w:t>:</w:t>
            </w:r>
            <w:r w:rsidRPr="00BA1B01">
              <w:rPr>
                <w:rFonts w:ascii="Arial" w:eastAsia="Calibri" w:hAnsi="Arial" w:cs="Arial"/>
                <w:szCs w:val="22"/>
              </w:rPr>
              <w:t xml:space="preserve"> </w:t>
            </w:r>
            <w:r w:rsidR="00667BB5" w:rsidRPr="00667BB5">
              <w:rPr>
                <w:rFonts w:ascii="Arial" w:eastAsia="Calibri" w:hAnsi="Arial" w:cs="Arial"/>
                <w:szCs w:val="22"/>
              </w:rPr>
              <w:t>The study was carried out at the Experimental Plot of the University of the Pacific, located in Buenaventura D.E., Valle del Cauca, Colombia</w:t>
            </w:r>
            <w:r w:rsidRPr="00BA1B01">
              <w:rPr>
                <w:rFonts w:ascii="Arial" w:eastAsia="Calibri" w:hAnsi="Arial" w:cs="Arial"/>
                <w:szCs w:val="22"/>
              </w:rPr>
              <w:t xml:space="preserve">, between </w:t>
            </w:r>
            <w:r w:rsidR="00667BB5">
              <w:rPr>
                <w:rFonts w:ascii="Arial" w:eastAsia="Calibri" w:hAnsi="Arial" w:cs="Arial"/>
                <w:szCs w:val="22"/>
              </w:rPr>
              <w:t>July</w:t>
            </w:r>
            <w:r w:rsidRPr="00BA1B01">
              <w:rPr>
                <w:rFonts w:ascii="Arial" w:eastAsia="Calibri" w:hAnsi="Arial" w:cs="Arial"/>
                <w:szCs w:val="22"/>
              </w:rPr>
              <w:t xml:space="preserve"> 20</w:t>
            </w:r>
            <w:r w:rsidR="00667BB5">
              <w:rPr>
                <w:rFonts w:ascii="Arial" w:eastAsia="Calibri" w:hAnsi="Arial" w:cs="Arial"/>
                <w:szCs w:val="22"/>
              </w:rPr>
              <w:t>23</w:t>
            </w:r>
            <w:r w:rsidRPr="00BA1B01">
              <w:rPr>
                <w:rFonts w:ascii="Arial" w:eastAsia="Calibri" w:hAnsi="Arial" w:cs="Arial"/>
                <w:szCs w:val="22"/>
              </w:rPr>
              <w:t xml:space="preserve"> and </w:t>
            </w:r>
            <w:r w:rsidR="00667BB5">
              <w:rPr>
                <w:rFonts w:ascii="Arial" w:eastAsia="Calibri" w:hAnsi="Arial" w:cs="Arial"/>
                <w:szCs w:val="22"/>
              </w:rPr>
              <w:t>September</w:t>
            </w:r>
            <w:r w:rsidRPr="00BA1B01">
              <w:rPr>
                <w:rFonts w:ascii="Arial" w:eastAsia="Calibri" w:hAnsi="Arial" w:cs="Arial"/>
                <w:szCs w:val="22"/>
              </w:rPr>
              <w:t xml:space="preserve"> 20</w:t>
            </w:r>
            <w:r w:rsidR="00667BB5">
              <w:rPr>
                <w:rFonts w:ascii="Arial" w:eastAsia="Calibri" w:hAnsi="Arial" w:cs="Arial"/>
                <w:szCs w:val="22"/>
              </w:rPr>
              <w:t>23</w:t>
            </w:r>
            <w:r w:rsidRPr="00BA1B01">
              <w:rPr>
                <w:rFonts w:ascii="Arial" w:eastAsia="Calibri" w:hAnsi="Arial" w:cs="Arial"/>
                <w:szCs w:val="22"/>
              </w:rPr>
              <w:t>.</w:t>
            </w:r>
          </w:p>
          <w:p w14:paraId="12291FCE" w14:textId="77777777" w:rsidR="00BA1B01" w:rsidRPr="00BA1B01" w:rsidRDefault="00BA1B01" w:rsidP="00441B6F">
            <w:pPr>
              <w:pStyle w:val="Body"/>
              <w:spacing w:after="0"/>
              <w:rPr>
                <w:rFonts w:ascii="Arial" w:eastAsia="Calibri" w:hAnsi="Arial" w:cs="Arial"/>
                <w:szCs w:val="22"/>
              </w:rPr>
            </w:pPr>
            <w:bookmarkStart w:id="3" w:name="_Hlk189576963"/>
            <w:r w:rsidRPr="00BA1B01">
              <w:rPr>
                <w:rFonts w:ascii="Arial" w:eastAsia="Calibri" w:hAnsi="Arial" w:cs="Arial"/>
                <w:b/>
                <w:bCs/>
                <w:szCs w:val="22"/>
              </w:rPr>
              <w:t>Methodology</w:t>
            </w:r>
            <w:bookmarkEnd w:id="3"/>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Morphological and physiological parameters, including plant height, leaf area (LA), specific leaf area (SLA), dry mass accumulation, and relative water content (RWC), were measured. Data were analyzed using ANOVA to assess the main and interaction effects of shade and irrigation.</w:t>
            </w:r>
          </w:p>
          <w:p w14:paraId="4EB5EA42" w14:textId="77777777" w:rsidR="00BA1B01" w:rsidRPr="00BA1B01" w:rsidRDefault="00BA1B01" w:rsidP="00441B6F">
            <w:pPr>
              <w:pStyle w:val="Body"/>
              <w:spacing w:after="0"/>
              <w:rPr>
                <w:rFonts w:ascii="Arial" w:eastAsia="Calibri" w:hAnsi="Arial" w:cs="Arial"/>
                <w:b/>
                <w:bCs/>
                <w:szCs w:val="22"/>
              </w:rPr>
            </w:pPr>
            <w:bookmarkStart w:id="4" w:name="_Hlk189576978"/>
            <w:r w:rsidRPr="00BA1B01">
              <w:rPr>
                <w:rFonts w:ascii="Arial" w:eastAsia="Calibri" w:hAnsi="Arial" w:cs="Arial"/>
                <w:b/>
                <w:bCs/>
                <w:szCs w:val="22"/>
              </w:rPr>
              <w:t>Results</w:t>
            </w:r>
            <w:bookmarkEnd w:id="4"/>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Plants grown under 35% daylight exhibited greater height, LA, and SLA compared to those under higher light intensities, reflecting adaptive responses to low-light conditions. Fully irrigated plants accumulated higher dry mass and LA than deficit-irrigated plants, highlighting the importance of water availability for maintaining productivity. However, no significant interaction effects were observed between shading and irrigation, suggesting that these factors independently influence growth</w:t>
            </w:r>
            <w:r w:rsidRPr="00BA1B01">
              <w:rPr>
                <w:rFonts w:ascii="Arial" w:eastAsia="Calibri" w:hAnsi="Arial" w:cs="Arial"/>
                <w:szCs w:val="22"/>
              </w:rPr>
              <w:t>.</w:t>
            </w:r>
          </w:p>
          <w:p w14:paraId="33E8B298" w14:textId="77777777" w:rsidR="00636EB2" w:rsidRDefault="00BA1B01" w:rsidP="00441B6F">
            <w:pPr>
              <w:pStyle w:val="Body"/>
              <w:spacing w:after="0"/>
              <w:rPr>
                <w:rFonts w:ascii="Arial" w:eastAsia="Calibri" w:hAnsi="Arial" w:cs="Arial"/>
                <w:szCs w:val="22"/>
              </w:rPr>
            </w:pPr>
            <w:bookmarkStart w:id="5" w:name="_Hlk189576989"/>
            <w:r w:rsidRPr="00BA1B01">
              <w:rPr>
                <w:rFonts w:ascii="Arial" w:eastAsia="Calibri" w:hAnsi="Arial" w:cs="Arial"/>
                <w:b/>
                <w:bCs/>
                <w:szCs w:val="22"/>
              </w:rPr>
              <w:t>Conclusion</w:t>
            </w:r>
            <w:bookmarkEnd w:id="5"/>
            <w:r w:rsidRPr="00BA1B01">
              <w:rPr>
                <w:rFonts w:ascii="Arial" w:eastAsia="Calibri" w:hAnsi="Arial" w:cs="Arial"/>
                <w:b/>
                <w:bCs/>
                <w:szCs w:val="22"/>
              </w:rPr>
              <w:t>:</w:t>
            </w:r>
            <w:r w:rsidRPr="00BA1B01">
              <w:rPr>
                <w:rFonts w:ascii="Arial" w:eastAsia="Calibri" w:hAnsi="Arial" w:cs="Arial"/>
                <w:szCs w:val="22"/>
              </w:rPr>
              <w:t xml:space="preserve"> </w:t>
            </w:r>
            <w:r w:rsidR="00A90D24" w:rsidRPr="00A90D24">
              <w:rPr>
                <w:rFonts w:ascii="Arial" w:eastAsia="Calibri" w:hAnsi="Arial" w:cs="Arial"/>
                <w:szCs w:val="22"/>
              </w:rPr>
              <w:t>These findings underscore the adaptability of Chinese potato to varying environmental conditions and provide insights for optimizing its cultivation under abiotic stress, particularly in resource-limited settings</w:t>
            </w:r>
            <w:r w:rsidRPr="00BA1B01">
              <w:rPr>
                <w:rFonts w:ascii="Arial" w:eastAsia="Calibri" w:hAnsi="Arial" w:cs="Arial"/>
                <w:szCs w:val="22"/>
              </w:rPr>
              <w:t>.</w:t>
            </w:r>
          </w:p>
          <w:p w14:paraId="01182D77" w14:textId="77777777" w:rsidR="00505F06" w:rsidRPr="00BA1B01" w:rsidRDefault="00505F06" w:rsidP="00441B6F">
            <w:pPr>
              <w:pStyle w:val="Body"/>
              <w:spacing w:after="0"/>
              <w:rPr>
                <w:rFonts w:ascii="Arial" w:eastAsia="Calibri" w:hAnsi="Arial" w:cs="Arial"/>
                <w:szCs w:val="22"/>
              </w:rPr>
            </w:pPr>
          </w:p>
        </w:tc>
      </w:tr>
    </w:tbl>
    <w:p w14:paraId="45DD2BD7" w14:textId="77777777" w:rsidR="00636EB2" w:rsidRDefault="00636EB2" w:rsidP="00441B6F">
      <w:pPr>
        <w:pStyle w:val="Body"/>
        <w:spacing w:after="0"/>
        <w:rPr>
          <w:rFonts w:ascii="Arial" w:hAnsi="Arial" w:cs="Arial"/>
          <w:i/>
        </w:rPr>
      </w:pPr>
    </w:p>
    <w:p w14:paraId="50E7B64D" w14:textId="77777777" w:rsidR="00A24E7E" w:rsidRDefault="00A24E7E" w:rsidP="00441B6F">
      <w:pPr>
        <w:pStyle w:val="Body"/>
        <w:spacing w:after="0"/>
        <w:rPr>
          <w:rFonts w:ascii="Arial" w:hAnsi="Arial" w:cs="Arial"/>
          <w:i/>
        </w:rPr>
      </w:pPr>
      <w:r>
        <w:rPr>
          <w:rFonts w:ascii="Arial" w:hAnsi="Arial" w:cs="Arial"/>
          <w:i/>
        </w:rPr>
        <w:t xml:space="preserve">Keywords: </w:t>
      </w:r>
      <w:r w:rsidR="00C548EB" w:rsidRPr="00C548EB">
        <w:rPr>
          <w:rFonts w:ascii="Arial" w:hAnsi="Arial" w:cs="Arial"/>
          <w:i/>
        </w:rPr>
        <w:t>Light intensity, soil moisture, tuber crop, plant growth, abiotic stress, physiological adaptation</w:t>
      </w:r>
      <w:r w:rsidR="00C548EB">
        <w:rPr>
          <w:rFonts w:ascii="Arial" w:hAnsi="Arial" w:cs="Arial"/>
          <w:i/>
        </w:rPr>
        <w:t>.</w:t>
      </w:r>
    </w:p>
    <w:p w14:paraId="64498C60" w14:textId="77777777" w:rsidR="00790ADA" w:rsidRDefault="00790ADA" w:rsidP="00441B6F">
      <w:pPr>
        <w:pStyle w:val="Body"/>
        <w:spacing w:after="0"/>
        <w:rPr>
          <w:rFonts w:ascii="Arial" w:hAnsi="Arial" w:cs="Arial"/>
          <w:i/>
        </w:rPr>
      </w:pPr>
    </w:p>
    <w:p w14:paraId="749B27FF" w14:textId="77777777" w:rsidR="00505F06" w:rsidRPr="00A24E7E" w:rsidRDefault="00505F06" w:rsidP="00441B6F">
      <w:pPr>
        <w:pStyle w:val="Body"/>
        <w:spacing w:after="0"/>
        <w:rPr>
          <w:rFonts w:ascii="Arial" w:hAnsi="Arial" w:cs="Arial"/>
          <w:i/>
        </w:rPr>
      </w:pPr>
    </w:p>
    <w:p w14:paraId="7F5A5B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7F7167" w14:textId="77777777" w:rsidR="00790ADA" w:rsidRPr="00FB3A86" w:rsidRDefault="00790ADA" w:rsidP="00441B6F">
      <w:pPr>
        <w:pStyle w:val="AbstHead"/>
        <w:spacing w:after="0"/>
        <w:jc w:val="both"/>
        <w:rPr>
          <w:rFonts w:ascii="Arial" w:hAnsi="Arial" w:cs="Arial"/>
        </w:rPr>
      </w:pPr>
    </w:p>
    <w:p w14:paraId="5C2E585B" w14:textId="77777777" w:rsidR="007D669B" w:rsidRPr="007D669B" w:rsidRDefault="007D669B" w:rsidP="007D669B">
      <w:pPr>
        <w:pStyle w:val="Body"/>
        <w:rPr>
          <w:rFonts w:ascii="Arial" w:hAnsi="Arial" w:cs="Arial"/>
        </w:rPr>
      </w:pPr>
      <w:r w:rsidRPr="007D669B">
        <w:rPr>
          <w:rFonts w:ascii="Arial" w:hAnsi="Arial" w:cs="Arial"/>
        </w:rPr>
        <w:t>The Chinese potato (</w:t>
      </w:r>
      <w:r w:rsidRPr="008D42C0">
        <w:rPr>
          <w:rFonts w:ascii="Arial" w:hAnsi="Arial" w:cs="Arial"/>
          <w:i/>
        </w:rPr>
        <w:t>Colocasia esculenta</w:t>
      </w:r>
      <w:r w:rsidRPr="007D669B">
        <w:rPr>
          <w:rFonts w:ascii="Arial" w:hAnsi="Arial" w:cs="Arial"/>
        </w:rPr>
        <w:t xml:space="preserve"> (L.) Schott) is a staple crop with significant cultural and nutritional importance in many tropical and subtropical regions, particularly in the Pacific region of Colombia where has been used as a primary source of carbohydrates (</w:t>
      </w:r>
      <w:r w:rsidRPr="00D81EA8">
        <w:rPr>
          <w:rFonts w:ascii="Arial" w:hAnsi="Arial" w:cs="Arial"/>
        </w:rPr>
        <w:t>Ararat</w:t>
      </w:r>
      <w:r w:rsidRPr="007D669B">
        <w:rPr>
          <w:rFonts w:ascii="Arial" w:hAnsi="Arial" w:cs="Arial"/>
        </w:rPr>
        <w:t>, 2014). Chinese potato contributes to the food security of rural communities in these areas, where its cultivation is deeply rooted in traditional agricultural practices (</w:t>
      </w:r>
      <w:r w:rsidRPr="00D81EA8">
        <w:rPr>
          <w:rFonts w:ascii="Arial" w:hAnsi="Arial" w:cs="Arial"/>
        </w:rPr>
        <w:t>Lozada, 2005</w:t>
      </w:r>
      <w:r w:rsidRPr="007D669B">
        <w:rPr>
          <w:rFonts w:ascii="Arial" w:hAnsi="Arial" w:cs="Arial"/>
        </w:rPr>
        <w:t xml:space="preserve">). Despite its </w:t>
      </w:r>
      <w:r w:rsidRPr="007D669B">
        <w:rPr>
          <w:rFonts w:ascii="Arial" w:hAnsi="Arial" w:cs="Arial"/>
        </w:rPr>
        <w:lastRenderedPageBreak/>
        <w:t>importance, Chinese potato has received very limited research attention from agricultural, academic, and development institutions, as a consequence, farming in this region remains largely non-technical, relying on low-input, small-scale methods. As a result, yields are consistently below the global average, and production has fluctuated dramatically over the last two decades, posing challenges to both local food security and agricultural sustainability (</w:t>
      </w:r>
      <w:r w:rsidRPr="00D81EA8">
        <w:rPr>
          <w:rFonts w:ascii="Arial" w:hAnsi="Arial" w:cs="Arial"/>
        </w:rPr>
        <w:t>Lasso</w:t>
      </w:r>
      <w:r w:rsidR="00381EEE" w:rsidRPr="00D81EA8">
        <w:rPr>
          <w:rFonts w:ascii="Arial" w:hAnsi="Arial" w:cs="Arial"/>
        </w:rPr>
        <w:t>-Rivas</w:t>
      </w:r>
      <w:r w:rsidRPr="00D81EA8">
        <w:rPr>
          <w:rFonts w:ascii="Arial" w:hAnsi="Arial" w:cs="Arial"/>
        </w:rPr>
        <w:t xml:space="preserve"> &amp; Cundumí</w:t>
      </w:r>
      <w:r w:rsidR="00115ED8" w:rsidRPr="00D81EA8">
        <w:rPr>
          <w:rFonts w:ascii="Arial" w:hAnsi="Arial" w:cs="Arial"/>
        </w:rPr>
        <w:t>-Jori</w:t>
      </w:r>
      <w:r w:rsidRPr="00D81EA8">
        <w:rPr>
          <w:rFonts w:ascii="Arial" w:hAnsi="Arial" w:cs="Arial"/>
        </w:rPr>
        <w:t>, 2016</w:t>
      </w:r>
      <w:r w:rsidRPr="007D669B">
        <w:rPr>
          <w:rFonts w:ascii="Arial" w:hAnsi="Arial" w:cs="Arial"/>
        </w:rPr>
        <w:t xml:space="preserve">). </w:t>
      </w:r>
    </w:p>
    <w:p w14:paraId="79007006" w14:textId="77777777" w:rsidR="007D669B" w:rsidRPr="007D669B" w:rsidRDefault="007D669B" w:rsidP="007D669B">
      <w:pPr>
        <w:pStyle w:val="Body"/>
        <w:rPr>
          <w:rFonts w:ascii="Arial" w:hAnsi="Arial" w:cs="Arial"/>
        </w:rPr>
      </w:pPr>
      <w:r w:rsidRPr="007D669B">
        <w:rPr>
          <w:rFonts w:ascii="Arial" w:hAnsi="Arial" w:cs="Arial"/>
        </w:rPr>
        <w:t xml:space="preserve">Chinese potato, like many other crops, is highly sensitive to environmental factors such as Shading and soil moisture, which play critical roles in determining its growth, yield, and overall physiological performance. Studies on the effects of these factors on </w:t>
      </w:r>
      <w:r w:rsidRPr="004F0CC6">
        <w:rPr>
          <w:rFonts w:ascii="Arial" w:hAnsi="Arial" w:cs="Arial"/>
          <w:i/>
        </w:rPr>
        <w:t>C. esculenta</w:t>
      </w:r>
      <w:r w:rsidRPr="007D669B">
        <w:rPr>
          <w:rFonts w:ascii="Arial" w:hAnsi="Arial" w:cs="Arial"/>
        </w:rPr>
        <w:t xml:space="preserve"> have shown that the crop's growth is significantly influenced by its environmental conditions. Light intensity is a crucial factor influencing the growth and development of taro. Optimal light conditions enhance photosynthetic efficiency and overall plant health. However, excessive light can lead to photoinhibition, particularly under high-temperature conditions. Research has indicated that controlled light exposure can improve the growth rate and biomass accumulation in </w:t>
      </w:r>
      <w:r w:rsidR="00AE4E82" w:rsidRPr="007D669B">
        <w:rPr>
          <w:rFonts w:ascii="Arial" w:hAnsi="Arial" w:cs="Arial"/>
        </w:rPr>
        <w:t>Chinese potato</w:t>
      </w:r>
      <w:r w:rsidR="00AE4E82">
        <w:rPr>
          <w:rFonts w:ascii="Arial" w:hAnsi="Arial" w:cs="Arial"/>
        </w:rPr>
        <w:t>,</w:t>
      </w:r>
      <w:r w:rsidRPr="007D669B">
        <w:rPr>
          <w:rFonts w:ascii="Arial" w:hAnsi="Arial" w:cs="Arial"/>
        </w:rPr>
        <w:t xml:space="preserve"> </w:t>
      </w:r>
      <w:r w:rsidR="00AE4E82">
        <w:rPr>
          <w:rFonts w:ascii="Arial" w:hAnsi="Arial" w:cs="Arial"/>
        </w:rPr>
        <w:t>f</w:t>
      </w:r>
      <w:r w:rsidRPr="007D669B">
        <w:rPr>
          <w:rFonts w:ascii="Arial" w:hAnsi="Arial" w:cs="Arial"/>
        </w:rPr>
        <w:t>or instance, (</w:t>
      </w:r>
      <w:r w:rsidRPr="00D81EA8">
        <w:rPr>
          <w:rFonts w:ascii="Arial" w:hAnsi="Arial" w:cs="Arial"/>
        </w:rPr>
        <w:t>Sanou et al., 2012</w:t>
      </w:r>
      <w:r w:rsidRPr="007D669B">
        <w:rPr>
          <w:rFonts w:ascii="Arial" w:hAnsi="Arial" w:cs="Arial"/>
        </w:rPr>
        <w:t xml:space="preserve">) found that Chinese potato plants grown under shade exhibited increased leaf area and dry matter accumulation, shade also enhance </w:t>
      </w:r>
      <w:r w:rsidR="004F0CC6" w:rsidRPr="007D669B">
        <w:rPr>
          <w:rFonts w:ascii="Arial" w:hAnsi="Arial" w:cs="Arial"/>
        </w:rPr>
        <w:t>Chinese potato</w:t>
      </w:r>
      <w:r w:rsidRPr="007D669B">
        <w:rPr>
          <w:rFonts w:ascii="Arial" w:hAnsi="Arial" w:cs="Arial"/>
        </w:rPr>
        <w:t xml:space="preserve"> germination (</w:t>
      </w:r>
      <w:proofErr w:type="spellStart"/>
      <w:r w:rsidRPr="00D81EA8">
        <w:rPr>
          <w:rFonts w:ascii="Arial" w:hAnsi="Arial" w:cs="Arial"/>
        </w:rPr>
        <w:t>Mabhaudhi</w:t>
      </w:r>
      <w:proofErr w:type="spellEnd"/>
      <w:r w:rsidRPr="00D81EA8">
        <w:rPr>
          <w:rFonts w:ascii="Arial" w:hAnsi="Arial" w:cs="Arial"/>
        </w:rPr>
        <w:t>, 2011</w:t>
      </w:r>
      <w:r w:rsidRPr="007D669B">
        <w:rPr>
          <w:rFonts w:ascii="Arial" w:hAnsi="Arial" w:cs="Arial"/>
        </w:rPr>
        <w:t>). Similarly, soil humidity plays a vital role in growth and the physiological responses of taro to abiotic stresses. Adequate moisture levels are essential for maintaining turgor pressure and nutrient uptake. The results of different investigation shown that drought stress affect root development resulting in loss of total plant biomass and decreased yields (</w:t>
      </w:r>
      <w:proofErr w:type="spellStart"/>
      <w:r w:rsidRPr="00D81EA8">
        <w:rPr>
          <w:rFonts w:ascii="Arial" w:hAnsi="Arial" w:cs="Arial"/>
        </w:rPr>
        <w:t>Lebot</w:t>
      </w:r>
      <w:proofErr w:type="spellEnd"/>
      <w:r w:rsidRPr="00D81EA8">
        <w:rPr>
          <w:rFonts w:ascii="Arial" w:hAnsi="Arial" w:cs="Arial"/>
        </w:rPr>
        <w:t>, 2009; Gouveia, 2020</w:t>
      </w:r>
      <w:r w:rsidRPr="007D669B">
        <w:rPr>
          <w:rFonts w:ascii="Arial" w:hAnsi="Arial" w:cs="Arial"/>
        </w:rPr>
        <w:t xml:space="preserve">). </w:t>
      </w:r>
    </w:p>
    <w:p w14:paraId="20D695A3" w14:textId="77777777" w:rsidR="007D669B" w:rsidRDefault="007D669B" w:rsidP="007D669B">
      <w:pPr>
        <w:pStyle w:val="Body"/>
        <w:spacing w:after="0"/>
        <w:rPr>
          <w:rFonts w:ascii="Arial" w:hAnsi="Arial" w:cs="Arial"/>
        </w:rPr>
      </w:pPr>
      <w:r w:rsidRPr="007D669B">
        <w:rPr>
          <w:rFonts w:ascii="Arial" w:hAnsi="Arial" w:cs="Arial"/>
        </w:rPr>
        <w:t xml:space="preserve">Despite these existing studies, there remains a significant gap in the understanding of how </w:t>
      </w:r>
      <w:r w:rsidR="00AE4E82" w:rsidRPr="007D669B">
        <w:rPr>
          <w:rFonts w:ascii="Arial" w:hAnsi="Arial" w:cs="Arial"/>
        </w:rPr>
        <w:t>Chinese potato</w:t>
      </w:r>
      <w:r w:rsidRPr="007D669B">
        <w:rPr>
          <w:rFonts w:ascii="Arial" w:hAnsi="Arial" w:cs="Arial"/>
        </w:rPr>
        <w:t xml:space="preserve"> responds to the combined effects of light intensity and soil humidity. Most previous research has focused on the individual effects of these stressors, neglecting their potential interactions. Furthermore, there is little data on how Colombian Chinese potato landraces react to abiotic stressors, which emphasizes the need for research that is customized to the region's unique environmental circumstances and farming methods (</w:t>
      </w:r>
      <w:r w:rsidRPr="00D81EA8">
        <w:rPr>
          <w:rFonts w:ascii="Arial" w:hAnsi="Arial" w:cs="Arial"/>
        </w:rPr>
        <w:t xml:space="preserve">Lasso &amp; </w:t>
      </w:r>
      <w:proofErr w:type="spellStart"/>
      <w:r w:rsidRPr="00D81EA8">
        <w:rPr>
          <w:rFonts w:ascii="Arial" w:hAnsi="Arial" w:cs="Arial"/>
        </w:rPr>
        <w:t>Cundumí</w:t>
      </w:r>
      <w:proofErr w:type="spellEnd"/>
      <w:r w:rsidRPr="00D81EA8">
        <w:rPr>
          <w:rFonts w:ascii="Arial" w:hAnsi="Arial" w:cs="Arial"/>
        </w:rPr>
        <w:t>, 2016</w:t>
      </w:r>
      <w:r w:rsidRPr="007D669B">
        <w:rPr>
          <w:rFonts w:ascii="Arial" w:hAnsi="Arial" w:cs="Arial"/>
        </w:rPr>
        <w:t xml:space="preserve">). This study aims to investigate the interactive effects of shade and deficit irrigation on the growth, physiology, and yield of </w:t>
      </w:r>
      <w:r w:rsidRPr="004F0CC6">
        <w:rPr>
          <w:rFonts w:ascii="Arial" w:hAnsi="Arial" w:cs="Arial"/>
          <w:i/>
        </w:rPr>
        <w:t>C. esculenta</w:t>
      </w:r>
      <w:r w:rsidRPr="007D669B">
        <w:rPr>
          <w:rFonts w:ascii="Arial" w:hAnsi="Arial" w:cs="Arial"/>
        </w:rPr>
        <w:t>. Examining the combined effects of these stressors provides a more comprehensive understanding of the Chinese potato's tolerance and adaptability to environmental challenges. The findings of this study will help develop more effective agricultural practices and strategies to boost taro production in this region.</w:t>
      </w:r>
    </w:p>
    <w:p w14:paraId="633740A4" w14:textId="77777777" w:rsidR="00790ADA" w:rsidRPr="00FB3A86" w:rsidRDefault="00790ADA" w:rsidP="00441B6F">
      <w:pPr>
        <w:pStyle w:val="Body"/>
        <w:spacing w:after="0"/>
        <w:rPr>
          <w:rFonts w:ascii="Arial" w:hAnsi="Arial" w:cs="Arial"/>
        </w:rPr>
      </w:pPr>
    </w:p>
    <w:p w14:paraId="59B7B6C8" w14:textId="60D53F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EC0360" w14:textId="77777777" w:rsidR="00790ADA" w:rsidRPr="00FB3A86" w:rsidRDefault="00790ADA" w:rsidP="00441B6F">
      <w:pPr>
        <w:pStyle w:val="AbstHead"/>
        <w:spacing w:after="0"/>
        <w:jc w:val="both"/>
        <w:rPr>
          <w:rFonts w:ascii="Arial" w:hAnsi="Arial" w:cs="Arial"/>
        </w:rPr>
      </w:pPr>
    </w:p>
    <w:p w14:paraId="344A6938" w14:textId="77777777" w:rsidR="00BC33C8" w:rsidRDefault="008D42C0" w:rsidP="008D42C0">
      <w:pPr>
        <w:pStyle w:val="Body"/>
        <w:rPr>
          <w:rFonts w:ascii="Arial" w:hAnsi="Arial" w:cs="Arial"/>
        </w:rPr>
      </w:pPr>
      <w:r w:rsidRPr="008D42C0">
        <w:rPr>
          <w:rFonts w:ascii="Arial" w:hAnsi="Arial" w:cs="Arial"/>
        </w:rPr>
        <w:t>A greenhouse study was carried out at the Experimental Plot of the University of the Pacific, located in Buenaventura D.E., Valle del Cauca, Colombia. Chinese potato plantlets, consisting of the top 1 cm of the corm along with 20 cm of the petiole, were planted in 10-liter pots filled with a soil and sand mixture at a 2:1 volume ratio. Plantlets were distributed equally among three spectrally neutral shading treatments: 35%, 65%, and 100% of full daylight. Three structures with their tops and sides partially covered by Polyethylene film were constructed. For the 35% (</w:t>
      </w:r>
      <w:proofErr w:type="spellStart"/>
      <w:r w:rsidRPr="008D42C0">
        <w:rPr>
          <w:rFonts w:ascii="Arial" w:hAnsi="Arial" w:cs="Arial"/>
        </w:rPr>
        <w:t>maximun</w:t>
      </w:r>
      <w:proofErr w:type="spellEnd"/>
      <w:r w:rsidRPr="008D42C0">
        <w:rPr>
          <w:rFonts w:ascii="Arial" w:hAnsi="Arial" w:cs="Arial"/>
        </w:rPr>
        <w:t xml:space="preserve"> </w:t>
      </w:r>
      <w:proofErr w:type="spellStart"/>
      <w:r w:rsidRPr="008D42C0">
        <w:rPr>
          <w:rFonts w:ascii="Arial" w:hAnsi="Arial" w:cs="Arial"/>
        </w:rPr>
        <w:t>photosybthetic</w:t>
      </w:r>
      <w:proofErr w:type="spellEnd"/>
      <w:r w:rsidRPr="008D42C0">
        <w:rPr>
          <w:rFonts w:ascii="Arial" w:hAnsi="Arial" w:cs="Arial"/>
        </w:rPr>
        <w:t xml:space="preserve"> photo flux density (PPFD) = 233 µmol m-2s-1) and 65% (</w:t>
      </w:r>
      <w:proofErr w:type="spellStart"/>
      <w:r w:rsidRPr="008D42C0">
        <w:rPr>
          <w:rFonts w:ascii="Arial" w:hAnsi="Arial" w:cs="Arial"/>
        </w:rPr>
        <w:t>maximun</w:t>
      </w:r>
      <w:proofErr w:type="spellEnd"/>
      <w:r w:rsidRPr="008D42C0">
        <w:rPr>
          <w:rFonts w:ascii="Arial" w:hAnsi="Arial" w:cs="Arial"/>
        </w:rPr>
        <w:t xml:space="preserve"> PPFD = 507 µmol m-2s-1) daylight treatments, the structures were covered with 65% and 35% black shade cloths respectively; for the 100% daylight treatment the structure was left uncovered (</w:t>
      </w:r>
      <w:proofErr w:type="spellStart"/>
      <w:r w:rsidRPr="008D42C0">
        <w:rPr>
          <w:rFonts w:ascii="Arial" w:hAnsi="Arial" w:cs="Arial"/>
        </w:rPr>
        <w:t>maximun</w:t>
      </w:r>
      <w:proofErr w:type="spellEnd"/>
      <w:r w:rsidRPr="008D42C0">
        <w:rPr>
          <w:rFonts w:ascii="Arial" w:hAnsi="Arial" w:cs="Arial"/>
        </w:rPr>
        <w:t xml:space="preserve"> PPFD = 907 µmol m-2s-1). In addition to altering light availability, the shading cloths used in this study have also been shown to affect microclimate: 3 ֠C and 5 ֠C cooler temperatures during the day. 7% higher relative air humidity were registered in 35% and 65% daylight treatments compared with 100% daylight.</w:t>
      </w:r>
    </w:p>
    <w:p w14:paraId="25B36030" w14:textId="77777777" w:rsidR="008D42C0" w:rsidRPr="008D42C0" w:rsidRDefault="008D42C0" w:rsidP="008D42C0">
      <w:pPr>
        <w:pStyle w:val="Body"/>
        <w:rPr>
          <w:rFonts w:ascii="Arial" w:hAnsi="Arial" w:cs="Arial"/>
        </w:rPr>
      </w:pPr>
      <w:r w:rsidRPr="008D42C0">
        <w:rPr>
          <w:rFonts w:ascii="Arial" w:hAnsi="Arial" w:cs="Arial"/>
        </w:rPr>
        <w:lastRenderedPageBreak/>
        <w:t xml:space="preserve">Before planting, the field capacity of the pots was determined by saturating the soil with water. The pots were covered with plastic sheets and left to drain for 3 d. Pot weights were recorded after 3 d of drainage. The weight of soil moisture at field capacity was calculated as the difference between the soil weight after drainage and soil weight after oven drying for 105 °C for 24 h. Once planted, the plantlets were watered every two days and allowed to grow for 20 days. The plantlets were then separated into two groups: </w:t>
      </w:r>
      <w:r>
        <w:rPr>
          <w:rFonts w:ascii="Arial" w:hAnsi="Arial" w:cs="Arial"/>
        </w:rPr>
        <w:t>f</w:t>
      </w:r>
      <w:r w:rsidRPr="008D42C0">
        <w:rPr>
          <w:rFonts w:ascii="Arial" w:hAnsi="Arial" w:cs="Arial"/>
        </w:rPr>
        <w:t xml:space="preserve">ully </w:t>
      </w:r>
      <w:r>
        <w:rPr>
          <w:rFonts w:ascii="Arial" w:hAnsi="Arial" w:cs="Arial"/>
        </w:rPr>
        <w:t>i</w:t>
      </w:r>
      <w:r w:rsidRPr="008D42C0">
        <w:rPr>
          <w:rFonts w:ascii="Arial" w:hAnsi="Arial" w:cs="Arial"/>
        </w:rPr>
        <w:t xml:space="preserve">rrigated </w:t>
      </w:r>
      <w:r>
        <w:rPr>
          <w:rFonts w:ascii="Arial" w:hAnsi="Arial" w:cs="Arial"/>
        </w:rPr>
        <w:t>t</w:t>
      </w:r>
      <w:r w:rsidRPr="008D42C0">
        <w:rPr>
          <w:rFonts w:ascii="Arial" w:hAnsi="Arial" w:cs="Arial"/>
        </w:rPr>
        <w:t xml:space="preserve">reatment (100% field capacity) and </w:t>
      </w:r>
      <w:r>
        <w:rPr>
          <w:rFonts w:ascii="Arial" w:hAnsi="Arial" w:cs="Arial"/>
        </w:rPr>
        <w:t>d</w:t>
      </w:r>
      <w:r w:rsidRPr="008D42C0">
        <w:rPr>
          <w:rFonts w:ascii="Arial" w:hAnsi="Arial" w:cs="Arial"/>
        </w:rPr>
        <w:t xml:space="preserve">eficit </w:t>
      </w:r>
      <w:r>
        <w:rPr>
          <w:rFonts w:ascii="Arial" w:hAnsi="Arial" w:cs="Arial"/>
        </w:rPr>
        <w:t>i</w:t>
      </w:r>
      <w:r w:rsidRPr="008D42C0">
        <w:rPr>
          <w:rFonts w:ascii="Arial" w:hAnsi="Arial" w:cs="Arial"/>
        </w:rPr>
        <w:t xml:space="preserve">rrigated </w:t>
      </w:r>
      <w:r>
        <w:rPr>
          <w:rFonts w:ascii="Arial" w:hAnsi="Arial" w:cs="Arial"/>
        </w:rPr>
        <w:t>t</w:t>
      </w:r>
      <w:r w:rsidRPr="008D42C0">
        <w:rPr>
          <w:rFonts w:ascii="Arial" w:hAnsi="Arial" w:cs="Arial"/>
        </w:rPr>
        <w:t xml:space="preserve">reatment (50% field capacity) for six treatments, eight replicates were used for each treatment for a total of 48 plants. </w:t>
      </w:r>
    </w:p>
    <w:p w14:paraId="6D7DD8EB" w14:textId="77777777" w:rsidR="00B95236" w:rsidRDefault="008D42C0" w:rsidP="008D42C0">
      <w:pPr>
        <w:pStyle w:val="Body"/>
        <w:rPr>
          <w:rFonts w:ascii="Arial" w:hAnsi="Arial" w:cs="Arial"/>
        </w:rPr>
      </w:pPr>
      <w:r w:rsidRPr="008D42C0">
        <w:rPr>
          <w:rFonts w:ascii="Arial" w:hAnsi="Arial" w:cs="Arial"/>
        </w:rPr>
        <w:t xml:space="preserve">Sixty days after the irrigation treatments started, plants were harvested. </w:t>
      </w:r>
      <w:r w:rsidR="008F767B" w:rsidRPr="008F767B">
        <w:rPr>
          <w:rFonts w:ascii="Arial" w:hAnsi="Arial" w:cs="Arial"/>
        </w:rPr>
        <w:t>All leaf blades were digitalized using a table scanner, and the open-source ImageJ® program was used to calculate the leaf area.</w:t>
      </w:r>
      <w:r w:rsidR="008F767B">
        <w:rPr>
          <w:rFonts w:ascii="Arial" w:hAnsi="Arial" w:cs="Arial"/>
        </w:rPr>
        <w:t xml:space="preserve"> </w:t>
      </w:r>
      <w:r w:rsidRPr="008D42C0">
        <w:rPr>
          <w:rFonts w:ascii="Arial" w:hAnsi="Arial" w:cs="Arial"/>
        </w:rPr>
        <w:t>The harvested samples were washed in distilled water to remove soil remains from the surface tissues. Sampled plants were separated into leaves, petioles, roots, and corms, and oven-dried at 70 ˚C. Dried plant samples were weighed for the estimation of plant growth. plant height, leaf number, specific leaf area (SLA) were determined. Plant height was measured from the base of the plant up to the base of the 2nd youngest fully unfolded leaf. Leaf number was counted only for fully unfolded leaves with at least 50% green leaf area. The average chlorophyll content (SPAD reading) was measured on the adaxial surface of the second youngest fully formed, fully unfolded leaf using a SPAD 502 chlorophyll content meter (Minolta Camera Co., Osaka, Japan). The SPAD values were the average of the values at six points of measurement on each selected leaf. Fresh samples of leaves were used for the determination of relative water content (</w:t>
      </w:r>
      <w:r w:rsidRPr="00D81EA8">
        <w:rPr>
          <w:rFonts w:ascii="Arial" w:hAnsi="Arial" w:cs="Arial"/>
        </w:rPr>
        <w:t>Turner, 1981</w:t>
      </w:r>
      <w:r w:rsidRPr="008D42C0">
        <w:rPr>
          <w:rFonts w:ascii="Arial" w:hAnsi="Arial" w:cs="Arial"/>
        </w:rPr>
        <w:t xml:space="preserve">). About 0.1 g leaf sample was cut into smaller pieces and weighed to determine fresh weight. The leaf sample was floated in freshly de-ionized water for 12 hours and weighted thereafter to determine fully turgid weight. The leaf sample was oven -dried at 80 C for 3 days and the dry weight was obtained. The relative water content (RWC) was determined using the formula: RWC = (fresh weight – dry weight)/ turgid weight -dry weight) x 100. Pots were arranged in completely randomized design. An analysis of variance (ANOVA) was performed followed by Tukey´s range test (p ˂ 0.05) using R 4.4.1 statistical software. </w:t>
      </w:r>
    </w:p>
    <w:p w14:paraId="0FF79427" w14:textId="77777777" w:rsidR="00790ADA" w:rsidRPr="00FB3A86" w:rsidRDefault="00790ADA" w:rsidP="00441B6F">
      <w:pPr>
        <w:pStyle w:val="Body"/>
        <w:spacing w:after="0"/>
        <w:rPr>
          <w:rFonts w:ascii="Arial" w:hAnsi="Arial" w:cs="Arial"/>
        </w:rPr>
      </w:pPr>
    </w:p>
    <w:p w14:paraId="27FB5B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F16A2D" w14:textId="77777777" w:rsidR="00790ADA" w:rsidRPr="00FB3A86" w:rsidRDefault="00790ADA" w:rsidP="00441B6F">
      <w:pPr>
        <w:pStyle w:val="Head1"/>
        <w:spacing w:after="0"/>
        <w:jc w:val="both"/>
        <w:rPr>
          <w:rFonts w:ascii="Arial" w:hAnsi="Arial" w:cs="Arial"/>
        </w:rPr>
      </w:pPr>
    </w:p>
    <w:p w14:paraId="78834125" w14:textId="77777777" w:rsidR="003E4504" w:rsidRDefault="003E4504" w:rsidP="00441B6F">
      <w:pPr>
        <w:pStyle w:val="Body"/>
        <w:spacing w:after="0"/>
        <w:rPr>
          <w:rFonts w:ascii="Arial" w:hAnsi="Arial" w:cs="Arial"/>
        </w:rPr>
      </w:pPr>
      <w:r w:rsidRPr="003E4504">
        <w:rPr>
          <w:rFonts w:ascii="Arial" w:hAnsi="Arial" w:cs="Arial"/>
        </w:rPr>
        <w:t>Although the results of the study demonstrated significant effects of both light intensity and soil moisture on the growth and physiological parameters of the Chinese potato plant, no significant interaction effects were observed between shade and irrigation on the evaluated variables (Table 1).</w:t>
      </w:r>
    </w:p>
    <w:p w14:paraId="5E6731EF" w14:textId="77777777" w:rsidR="003E4504" w:rsidRDefault="003E4504" w:rsidP="00441B6F">
      <w:pPr>
        <w:pStyle w:val="Body"/>
        <w:spacing w:after="0"/>
        <w:rPr>
          <w:rFonts w:ascii="Arial" w:hAnsi="Arial" w:cs="Arial"/>
        </w:rPr>
      </w:pPr>
    </w:p>
    <w:p w14:paraId="37F383A7" w14:textId="77777777" w:rsidR="00BC33C8" w:rsidRDefault="00BC33C8" w:rsidP="00441B6F">
      <w:pPr>
        <w:pStyle w:val="Body"/>
        <w:spacing w:after="0"/>
        <w:rPr>
          <w:rFonts w:ascii="Arial" w:hAnsi="Arial" w:cs="Arial"/>
        </w:rPr>
      </w:pPr>
    </w:p>
    <w:p w14:paraId="140E71BE" w14:textId="77777777" w:rsidR="00BC33C8" w:rsidRDefault="00BC33C8" w:rsidP="00441B6F">
      <w:pPr>
        <w:pStyle w:val="Body"/>
        <w:spacing w:after="0"/>
        <w:rPr>
          <w:rFonts w:ascii="Arial" w:hAnsi="Arial" w:cs="Arial"/>
        </w:rPr>
      </w:pPr>
    </w:p>
    <w:p w14:paraId="092E31DC" w14:textId="77777777" w:rsidR="00BC33C8" w:rsidRDefault="00BC33C8" w:rsidP="00441B6F">
      <w:pPr>
        <w:pStyle w:val="Body"/>
        <w:spacing w:after="0"/>
        <w:rPr>
          <w:rFonts w:ascii="Arial" w:hAnsi="Arial" w:cs="Arial"/>
        </w:rPr>
      </w:pPr>
    </w:p>
    <w:p w14:paraId="4C3B825D" w14:textId="77777777" w:rsidR="00BC33C8" w:rsidRDefault="00BC33C8" w:rsidP="00441B6F">
      <w:pPr>
        <w:pStyle w:val="Body"/>
        <w:spacing w:after="0"/>
        <w:rPr>
          <w:rFonts w:ascii="Arial" w:hAnsi="Arial" w:cs="Arial"/>
        </w:rPr>
      </w:pPr>
    </w:p>
    <w:p w14:paraId="22050187" w14:textId="77777777" w:rsidR="00BC33C8" w:rsidRDefault="00BC33C8" w:rsidP="00441B6F">
      <w:pPr>
        <w:pStyle w:val="Body"/>
        <w:spacing w:after="0"/>
        <w:rPr>
          <w:rFonts w:ascii="Arial" w:hAnsi="Arial" w:cs="Arial"/>
        </w:rPr>
      </w:pPr>
    </w:p>
    <w:p w14:paraId="3518666B" w14:textId="77777777" w:rsidR="00BC33C8" w:rsidRDefault="00BC33C8" w:rsidP="00441B6F">
      <w:pPr>
        <w:pStyle w:val="Body"/>
        <w:spacing w:after="0"/>
        <w:rPr>
          <w:rFonts w:ascii="Arial" w:hAnsi="Arial" w:cs="Arial"/>
        </w:rPr>
      </w:pPr>
    </w:p>
    <w:p w14:paraId="041DF090" w14:textId="77777777" w:rsidR="00BC33C8" w:rsidRDefault="00BC33C8" w:rsidP="00441B6F">
      <w:pPr>
        <w:pStyle w:val="Body"/>
        <w:spacing w:after="0"/>
        <w:rPr>
          <w:rFonts w:ascii="Arial" w:hAnsi="Arial" w:cs="Arial"/>
        </w:rPr>
      </w:pPr>
    </w:p>
    <w:p w14:paraId="0BA2880D" w14:textId="77777777" w:rsidR="00BF63BE" w:rsidRDefault="00E6065F" w:rsidP="00E6065F">
      <w:pPr>
        <w:tabs>
          <w:tab w:val="left" w:pos="1080"/>
        </w:tabs>
        <w:jc w:val="both"/>
        <w:rPr>
          <w:rFonts w:ascii="Arial" w:hAnsi="Arial"/>
          <w:b/>
        </w:rPr>
      </w:pPr>
      <w:r>
        <w:rPr>
          <w:rFonts w:ascii="Arial" w:hAnsi="Arial"/>
          <w:b/>
        </w:rPr>
        <w:t>Table 1.</w:t>
      </w:r>
      <w:r w:rsidRPr="00DC3180">
        <w:rPr>
          <w:rFonts w:ascii="Arial" w:hAnsi="Arial"/>
          <w:b/>
        </w:rPr>
        <w:tab/>
      </w:r>
      <w:r w:rsidRPr="00E6065F">
        <w:rPr>
          <w:rFonts w:ascii="Arial" w:hAnsi="Arial"/>
          <w:b/>
        </w:rPr>
        <w:t xml:space="preserve">Summary of the ANOVA results for morphological and physiological variables in </w:t>
      </w:r>
      <w:r w:rsidR="004F0CC6">
        <w:rPr>
          <w:rFonts w:ascii="Arial" w:hAnsi="Arial"/>
          <w:b/>
        </w:rPr>
        <w:t>Chines potato</w:t>
      </w:r>
      <w:r w:rsidRPr="00E6065F">
        <w:rPr>
          <w:rFonts w:ascii="Arial" w:hAnsi="Arial"/>
          <w:b/>
        </w:rPr>
        <w:t xml:space="preserve"> plants grown with three shading conditions (0, 35%, and 65%) and two irrigation levels (full and deficit) for 12 weeks</w:t>
      </w:r>
      <w:r w:rsidR="00DD4044">
        <w:rPr>
          <w:rFonts w:ascii="Arial" w:hAnsi="Arial"/>
          <w:b/>
        </w:rPr>
        <w:t xml:space="preserve">. </w:t>
      </w:r>
    </w:p>
    <w:p w14:paraId="754A15FD" w14:textId="77777777" w:rsidR="00E6065F" w:rsidRDefault="00E6065F" w:rsidP="00E6065F">
      <w:pPr>
        <w:tabs>
          <w:tab w:val="left" w:pos="1080"/>
        </w:tabs>
        <w:jc w:val="both"/>
        <w:rPr>
          <w:rFonts w:ascii="Arial" w:hAnsi="Arial"/>
          <w:b/>
        </w:rPr>
      </w:pPr>
    </w:p>
    <w:tbl>
      <w:tblPr>
        <w:tblpPr w:leftFromText="141" w:rightFromText="141" w:vertAnchor="page" w:horzAnchor="margin" w:tblpY="2371"/>
        <w:tblW w:w="8475" w:type="dxa"/>
        <w:tblCellMar>
          <w:left w:w="70" w:type="dxa"/>
          <w:right w:w="70" w:type="dxa"/>
        </w:tblCellMar>
        <w:tblLook w:val="04A0" w:firstRow="1" w:lastRow="0" w:firstColumn="1" w:lastColumn="0" w:noHBand="0" w:noVBand="1"/>
      </w:tblPr>
      <w:tblGrid>
        <w:gridCol w:w="1724"/>
        <w:gridCol w:w="428"/>
        <w:gridCol w:w="685"/>
        <w:gridCol w:w="1086"/>
        <w:gridCol w:w="297"/>
        <w:gridCol w:w="352"/>
        <w:gridCol w:w="675"/>
        <w:gridCol w:w="1006"/>
        <w:gridCol w:w="421"/>
        <w:gridCol w:w="352"/>
        <w:gridCol w:w="586"/>
        <w:gridCol w:w="863"/>
      </w:tblGrid>
      <w:tr w:rsidR="00BF63BE" w:rsidRPr="00236E07" w14:paraId="5F2C1CB6" w14:textId="77777777" w:rsidTr="00BF63BE">
        <w:trPr>
          <w:trHeight w:val="279"/>
        </w:trPr>
        <w:tc>
          <w:tcPr>
            <w:tcW w:w="1724" w:type="dxa"/>
            <w:tcBorders>
              <w:top w:val="single" w:sz="8" w:space="0" w:color="auto"/>
              <w:left w:val="nil"/>
              <w:bottom w:val="nil"/>
              <w:right w:val="nil"/>
            </w:tcBorders>
            <w:shd w:val="clear" w:color="auto" w:fill="auto"/>
            <w:noWrap/>
            <w:hideMark/>
          </w:tcPr>
          <w:p w14:paraId="363A7EC0" w14:textId="77777777" w:rsidR="00BF63BE" w:rsidRPr="00236E07" w:rsidRDefault="00BF63BE" w:rsidP="00BF63BE">
            <w:pPr>
              <w:contextualSpacing/>
              <w:jc w:val="both"/>
              <w:rPr>
                <w:rFonts w:ascii="Arial" w:hAnsi="Arial" w:cs="Arial"/>
                <w:b/>
                <w:bCs/>
                <w:color w:val="000000"/>
                <w:lang w:eastAsia="es-CO"/>
              </w:rPr>
            </w:pPr>
            <w:r w:rsidRPr="00236E07">
              <w:rPr>
                <w:rFonts w:ascii="Arial" w:hAnsi="Arial" w:cs="Arial"/>
                <w:b/>
                <w:bCs/>
                <w:color w:val="000000"/>
                <w:lang w:eastAsia="es-CO"/>
              </w:rPr>
              <w:lastRenderedPageBreak/>
              <w:t>Parameter</w:t>
            </w:r>
          </w:p>
        </w:tc>
        <w:tc>
          <w:tcPr>
            <w:tcW w:w="2199" w:type="dxa"/>
            <w:gridSpan w:val="3"/>
            <w:tcBorders>
              <w:top w:val="single" w:sz="8" w:space="0" w:color="auto"/>
              <w:left w:val="nil"/>
              <w:bottom w:val="nil"/>
              <w:right w:val="nil"/>
            </w:tcBorders>
            <w:shd w:val="clear" w:color="auto" w:fill="auto"/>
            <w:noWrap/>
            <w:vAlign w:val="bottom"/>
            <w:hideMark/>
          </w:tcPr>
          <w:p w14:paraId="7D1D5EB1" w14:textId="77777777" w:rsidR="00BF63BE" w:rsidRPr="00236E07" w:rsidRDefault="00BF63BE" w:rsidP="00BF63BE">
            <w:pPr>
              <w:contextualSpacing/>
              <w:jc w:val="center"/>
              <w:rPr>
                <w:rFonts w:ascii="Arial" w:hAnsi="Arial" w:cs="Arial"/>
                <w:b/>
                <w:bCs/>
                <w:color w:val="000000"/>
                <w:lang w:eastAsia="es-CO"/>
              </w:rPr>
            </w:pPr>
            <w:r w:rsidRPr="00236E07">
              <w:rPr>
                <w:rFonts w:ascii="Arial" w:hAnsi="Arial" w:cs="Arial"/>
                <w:b/>
                <w:bCs/>
                <w:color w:val="000000"/>
                <w:lang w:eastAsia="es-CO"/>
              </w:rPr>
              <w:t>Shading treatment</w:t>
            </w:r>
          </w:p>
        </w:tc>
        <w:tc>
          <w:tcPr>
            <w:tcW w:w="2330" w:type="dxa"/>
            <w:gridSpan w:val="4"/>
            <w:tcBorders>
              <w:top w:val="single" w:sz="8" w:space="0" w:color="auto"/>
              <w:left w:val="nil"/>
              <w:bottom w:val="nil"/>
            </w:tcBorders>
            <w:shd w:val="clear" w:color="auto" w:fill="auto"/>
            <w:noWrap/>
            <w:vAlign w:val="bottom"/>
            <w:hideMark/>
          </w:tcPr>
          <w:p w14:paraId="6AC6AF6C" w14:textId="77777777" w:rsidR="00BF63BE" w:rsidRPr="00236E07" w:rsidRDefault="00BF63BE" w:rsidP="00BF63BE">
            <w:pPr>
              <w:contextualSpacing/>
              <w:jc w:val="center"/>
              <w:rPr>
                <w:rFonts w:ascii="Arial" w:hAnsi="Arial" w:cs="Arial"/>
                <w:b/>
                <w:bCs/>
                <w:color w:val="000000"/>
                <w:lang w:eastAsia="es-CO"/>
              </w:rPr>
            </w:pPr>
            <w:r w:rsidRPr="00236E07">
              <w:rPr>
                <w:rFonts w:ascii="Arial" w:hAnsi="Arial" w:cs="Arial"/>
                <w:b/>
                <w:bCs/>
                <w:color w:val="000000"/>
                <w:lang w:eastAsia="es-CO"/>
              </w:rPr>
              <w:t>Irrigation</w:t>
            </w:r>
          </w:p>
        </w:tc>
        <w:tc>
          <w:tcPr>
            <w:tcW w:w="2222" w:type="dxa"/>
            <w:gridSpan w:val="4"/>
            <w:tcBorders>
              <w:top w:val="single" w:sz="4" w:space="0" w:color="auto"/>
              <w:bottom w:val="nil"/>
              <w:right w:val="nil"/>
            </w:tcBorders>
            <w:shd w:val="clear" w:color="auto" w:fill="auto"/>
            <w:noWrap/>
            <w:vAlign w:val="bottom"/>
            <w:hideMark/>
          </w:tcPr>
          <w:p w14:paraId="6344BDA4" w14:textId="77777777" w:rsidR="00BF63BE" w:rsidRPr="00236E07" w:rsidRDefault="00BF63BE" w:rsidP="00BF63BE">
            <w:pPr>
              <w:contextualSpacing/>
              <w:jc w:val="both"/>
              <w:rPr>
                <w:rFonts w:ascii="Arial" w:hAnsi="Arial" w:cs="Arial"/>
                <w:b/>
                <w:bCs/>
                <w:color w:val="000000"/>
                <w:lang w:eastAsia="es-CO"/>
              </w:rPr>
            </w:pPr>
            <w:proofErr w:type="spellStart"/>
            <w:proofErr w:type="gramStart"/>
            <w:r w:rsidRPr="00236E07">
              <w:rPr>
                <w:rFonts w:ascii="Arial" w:hAnsi="Arial" w:cs="Arial"/>
                <w:b/>
                <w:bCs/>
                <w:color w:val="000000"/>
                <w:lang w:eastAsia="es-CO"/>
              </w:rPr>
              <w:t>Shading:Irrigation</w:t>
            </w:r>
            <w:proofErr w:type="spellEnd"/>
            <w:proofErr w:type="gramEnd"/>
          </w:p>
        </w:tc>
      </w:tr>
      <w:tr w:rsidR="00BF63BE" w:rsidRPr="005C3CAB" w14:paraId="6ABB2EB7" w14:textId="77777777" w:rsidTr="00BF63BE">
        <w:trPr>
          <w:trHeight w:val="279"/>
        </w:trPr>
        <w:tc>
          <w:tcPr>
            <w:tcW w:w="1724" w:type="dxa"/>
            <w:tcBorders>
              <w:top w:val="single" w:sz="4" w:space="0" w:color="auto"/>
              <w:left w:val="nil"/>
              <w:bottom w:val="nil"/>
              <w:right w:val="nil"/>
            </w:tcBorders>
            <w:shd w:val="clear" w:color="auto" w:fill="auto"/>
            <w:noWrap/>
            <w:hideMark/>
          </w:tcPr>
          <w:p w14:paraId="3A564DA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 </w:t>
            </w:r>
          </w:p>
        </w:tc>
        <w:tc>
          <w:tcPr>
            <w:tcW w:w="428" w:type="dxa"/>
            <w:tcBorders>
              <w:top w:val="single" w:sz="4" w:space="0" w:color="auto"/>
              <w:left w:val="nil"/>
              <w:bottom w:val="nil"/>
              <w:right w:val="nil"/>
            </w:tcBorders>
            <w:shd w:val="clear" w:color="auto" w:fill="auto"/>
            <w:noWrap/>
            <w:vAlign w:val="center"/>
            <w:hideMark/>
          </w:tcPr>
          <w:p w14:paraId="1BEEE4B4"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685" w:type="dxa"/>
            <w:tcBorders>
              <w:top w:val="single" w:sz="4" w:space="0" w:color="auto"/>
              <w:left w:val="nil"/>
              <w:bottom w:val="nil"/>
              <w:right w:val="nil"/>
            </w:tcBorders>
            <w:shd w:val="clear" w:color="auto" w:fill="auto"/>
            <w:noWrap/>
            <w:vAlign w:val="bottom"/>
            <w:hideMark/>
          </w:tcPr>
          <w:p w14:paraId="36C894B9"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1383" w:type="dxa"/>
            <w:gridSpan w:val="2"/>
            <w:tcBorders>
              <w:top w:val="single" w:sz="4" w:space="0" w:color="auto"/>
              <w:left w:val="nil"/>
              <w:bottom w:val="nil"/>
              <w:right w:val="nil"/>
            </w:tcBorders>
            <w:shd w:val="clear" w:color="auto" w:fill="auto"/>
            <w:noWrap/>
            <w:vAlign w:val="bottom"/>
            <w:hideMark/>
          </w:tcPr>
          <w:p w14:paraId="47FE540C" w14:textId="77777777" w:rsidR="00BF63BE" w:rsidRPr="00236E07" w:rsidRDefault="00BF63BE" w:rsidP="00BF63BE">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c>
          <w:tcPr>
            <w:tcW w:w="352" w:type="dxa"/>
            <w:tcBorders>
              <w:top w:val="single" w:sz="4" w:space="0" w:color="auto"/>
              <w:left w:val="nil"/>
              <w:bottom w:val="nil"/>
              <w:right w:val="nil"/>
            </w:tcBorders>
            <w:shd w:val="clear" w:color="auto" w:fill="auto"/>
            <w:noWrap/>
            <w:vAlign w:val="bottom"/>
            <w:hideMark/>
          </w:tcPr>
          <w:p w14:paraId="02EB3E35"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675" w:type="dxa"/>
            <w:tcBorders>
              <w:top w:val="single" w:sz="4" w:space="0" w:color="auto"/>
              <w:left w:val="nil"/>
              <w:bottom w:val="nil"/>
              <w:right w:val="nil"/>
            </w:tcBorders>
            <w:shd w:val="clear" w:color="auto" w:fill="auto"/>
            <w:noWrap/>
            <w:vAlign w:val="bottom"/>
            <w:hideMark/>
          </w:tcPr>
          <w:p w14:paraId="15BE35AC"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1427" w:type="dxa"/>
            <w:gridSpan w:val="2"/>
            <w:tcBorders>
              <w:top w:val="single" w:sz="4" w:space="0" w:color="auto"/>
              <w:left w:val="nil"/>
              <w:bottom w:val="nil"/>
              <w:right w:val="nil"/>
            </w:tcBorders>
            <w:shd w:val="clear" w:color="auto" w:fill="auto"/>
            <w:noWrap/>
            <w:vAlign w:val="bottom"/>
            <w:hideMark/>
          </w:tcPr>
          <w:p w14:paraId="3D1DC6BA" w14:textId="77777777" w:rsidR="00BF63BE" w:rsidRPr="00236E07" w:rsidRDefault="00BF63BE" w:rsidP="00BF63BE">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c>
          <w:tcPr>
            <w:tcW w:w="352" w:type="dxa"/>
            <w:tcBorders>
              <w:top w:val="single" w:sz="4" w:space="0" w:color="auto"/>
              <w:left w:val="nil"/>
              <w:bottom w:val="nil"/>
              <w:right w:val="nil"/>
            </w:tcBorders>
            <w:shd w:val="clear" w:color="auto" w:fill="auto"/>
            <w:noWrap/>
            <w:vAlign w:val="bottom"/>
            <w:hideMark/>
          </w:tcPr>
          <w:p w14:paraId="3A5DA3BD"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Df</w:t>
            </w:r>
          </w:p>
        </w:tc>
        <w:tc>
          <w:tcPr>
            <w:tcW w:w="586" w:type="dxa"/>
            <w:tcBorders>
              <w:top w:val="single" w:sz="4" w:space="0" w:color="auto"/>
              <w:left w:val="nil"/>
              <w:bottom w:val="nil"/>
              <w:right w:val="nil"/>
            </w:tcBorders>
            <w:shd w:val="clear" w:color="auto" w:fill="auto"/>
            <w:noWrap/>
            <w:vAlign w:val="bottom"/>
            <w:hideMark/>
          </w:tcPr>
          <w:p w14:paraId="355F5F28" w14:textId="77777777" w:rsidR="00BF63BE" w:rsidRPr="00236E07" w:rsidRDefault="00BF63BE" w:rsidP="00BF63BE">
            <w:pPr>
              <w:contextualSpacing/>
              <w:jc w:val="both"/>
              <w:rPr>
                <w:rFonts w:ascii="Arial" w:hAnsi="Arial" w:cs="Arial"/>
                <w:b/>
                <w:color w:val="000000"/>
                <w:lang w:eastAsia="es-CO"/>
              </w:rPr>
            </w:pPr>
            <w:r w:rsidRPr="00236E07">
              <w:rPr>
                <w:rFonts w:ascii="Arial" w:hAnsi="Arial" w:cs="Arial"/>
                <w:b/>
                <w:color w:val="000000"/>
                <w:lang w:eastAsia="es-CO"/>
              </w:rPr>
              <w:t>F</w:t>
            </w:r>
          </w:p>
        </w:tc>
        <w:tc>
          <w:tcPr>
            <w:tcW w:w="863" w:type="dxa"/>
            <w:tcBorders>
              <w:top w:val="single" w:sz="4" w:space="0" w:color="auto"/>
              <w:left w:val="nil"/>
              <w:bottom w:val="nil"/>
              <w:right w:val="nil"/>
            </w:tcBorders>
            <w:shd w:val="clear" w:color="auto" w:fill="auto"/>
            <w:noWrap/>
            <w:vAlign w:val="bottom"/>
            <w:hideMark/>
          </w:tcPr>
          <w:p w14:paraId="26D23EAD" w14:textId="77777777" w:rsidR="00BF63BE" w:rsidRPr="00236E07" w:rsidRDefault="00BF63BE" w:rsidP="00BF63BE">
            <w:pPr>
              <w:contextualSpacing/>
              <w:jc w:val="both"/>
              <w:rPr>
                <w:rFonts w:ascii="Arial" w:hAnsi="Arial" w:cs="Arial"/>
                <w:b/>
                <w:color w:val="000000"/>
                <w:lang w:eastAsia="es-CO"/>
              </w:rPr>
            </w:pPr>
            <w:proofErr w:type="spellStart"/>
            <w:r w:rsidRPr="00236E07">
              <w:rPr>
                <w:rFonts w:ascii="Arial" w:hAnsi="Arial" w:cs="Arial"/>
                <w:b/>
                <w:color w:val="000000"/>
                <w:lang w:eastAsia="es-CO"/>
              </w:rPr>
              <w:t>Pr</w:t>
            </w:r>
            <w:proofErr w:type="spellEnd"/>
            <w:r w:rsidRPr="00236E07">
              <w:rPr>
                <w:rFonts w:ascii="Arial" w:hAnsi="Arial" w:cs="Arial"/>
                <w:b/>
                <w:color w:val="000000"/>
                <w:lang w:eastAsia="es-CO"/>
              </w:rPr>
              <w:t>(&gt;F)</w:t>
            </w:r>
          </w:p>
        </w:tc>
      </w:tr>
      <w:tr w:rsidR="00BF63BE" w:rsidRPr="006B7666" w14:paraId="76A5A9B2" w14:textId="77777777" w:rsidTr="00BF63BE">
        <w:trPr>
          <w:trHeight w:val="279"/>
        </w:trPr>
        <w:tc>
          <w:tcPr>
            <w:tcW w:w="1724" w:type="dxa"/>
            <w:tcBorders>
              <w:top w:val="nil"/>
              <w:left w:val="nil"/>
              <w:bottom w:val="nil"/>
              <w:right w:val="nil"/>
            </w:tcBorders>
            <w:shd w:val="clear" w:color="auto" w:fill="auto"/>
            <w:noWrap/>
            <w:vAlign w:val="bottom"/>
            <w:hideMark/>
          </w:tcPr>
          <w:p w14:paraId="29FC015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Number of leaves</w:t>
            </w:r>
          </w:p>
        </w:tc>
        <w:tc>
          <w:tcPr>
            <w:tcW w:w="428" w:type="dxa"/>
            <w:tcBorders>
              <w:top w:val="nil"/>
              <w:left w:val="nil"/>
              <w:bottom w:val="nil"/>
              <w:right w:val="nil"/>
            </w:tcBorders>
            <w:shd w:val="clear" w:color="auto" w:fill="auto"/>
            <w:noWrap/>
            <w:vAlign w:val="bottom"/>
            <w:hideMark/>
          </w:tcPr>
          <w:p w14:paraId="43CC3EC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0D91E9EF"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1.17</w:t>
            </w:r>
          </w:p>
        </w:tc>
        <w:tc>
          <w:tcPr>
            <w:tcW w:w="1383" w:type="dxa"/>
            <w:gridSpan w:val="2"/>
            <w:tcBorders>
              <w:top w:val="nil"/>
              <w:left w:val="nil"/>
              <w:bottom w:val="nil"/>
              <w:right w:val="nil"/>
            </w:tcBorders>
            <w:shd w:val="clear" w:color="auto" w:fill="auto"/>
            <w:noWrap/>
            <w:vAlign w:val="center"/>
            <w:hideMark/>
          </w:tcPr>
          <w:p w14:paraId="31C836C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0.321</w:t>
            </w:r>
          </w:p>
        </w:tc>
        <w:tc>
          <w:tcPr>
            <w:tcW w:w="352" w:type="dxa"/>
            <w:tcBorders>
              <w:top w:val="nil"/>
              <w:left w:val="nil"/>
              <w:bottom w:val="nil"/>
              <w:right w:val="nil"/>
            </w:tcBorders>
            <w:shd w:val="clear" w:color="auto" w:fill="auto"/>
            <w:noWrap/>
            <w:vAlign w:val="bottom"/>
            <w:hideMark/>
          </w:tcPr>
          <w:p w14:paraId="68EAA95D"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0D7047A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4.01</w:t>
            </w:r>
          </w:p>
        </w:tc>
        <w:tc>
          <w:tcPr>
            <w:tcW w:w="1427" w:type="dxa"/>
            <w:gridSpan w:val="2"/>
            <w:tcBorders>
              <w:top w:val="nil"/>
              <w:left w:val="nil"/>
              <w:bottom w:val="nil"/>
              <w:right w:val="nil"/>
            </w:tcBorders>
            <w:shd w:val="clear" w:color="auto" w:fill="auto"/>
            <w:noWrap/>
            <w:vAlign w:val="center"/>
            <w:hideMark/>
          </w:tcPr>
          <w:p w14:paraId="2779969B"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0.052</w:t>
            </w:r>
          </w:p>
        </w:tc>
        <w:tc>
          <w:tcPr>
            <w:tcW w:w="352" w:type="dxa"/>
            <w:tcBorders>
              <w:top w:val="nil"/>
              <w:left w:val="nil"/>
              <w:bottom w:val="nil"/>
              <w:right w:val="nil"/>
            </w:tcBorders>
            <w:shd w:val="clear" w:color="auto" w:fill="auto"/>
            <w:noWrap/>
            <w:vAlign w:val="bottom"/>
            <w:hideMark/>
          </w:tcPr>
          <w:p w14:paraId="7E936FF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793BC87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0.39</w:t>
            </w:r>
          </w:p>
        </w:tc>
        <w:tc>
          <w:tcPr>
            <w:tcW w:w="863" w:type="dxa"/>
            <w:tcBorders>
              <w:top w:val="nil"/>
              <w:left w:val="nil"/>
              <w:bottom w:val="nil"/>
              <w:right w:val="nil"/>
            </w:tcBorders>
            <w:shd w:val="clear" w:color="auto" w:fill="auto"/>
            <w:noWrap/>
            <w:vAlign w:val="center"/>
            <w:hideMark/>
          </w:tcPr>
          <w:p w14:paraId="0585BCB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0.68</w:t>
            </w:r>
          </w:p>
        </w:tc>
      </w:tr>
      <w:tr w:rsidR="00BF63BE" w:rsidRPr="006B7666" w14:paraId="4C863713" w14:textId="77777777" w:rsidTr="00BF63BE">
        <w:trPr>
          <w:trHeight w:val="279"/>
        </w:trPr>
        <w:tc>
          <w:tcPr>
            <w:tcW w:w="1724" w:type="dxa"/>
            <w:tcBorders>
              <w:top w:val="nil"/>
              <w:left w:val="nil"/>
              <w:bottom w:val="nil"/>
              <w:right w:val="nil"/>
            </w:tcBorders>
            <w:shd w:val="clear" w:color="auto" w:fill="auto"/>
            <w:noWrap/>
            <w:vAlign w:val="bottom"/>
            <w:hideMark/>
          </w:tcPr>
          <w:p w14:paraId="4C6BFD1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Height</w:t>
            </w:r>
          </w:p>
        </w:tc>
        <w:tc>
          <w:tcPr>
            <w:tcW w:w="428" w:type="dxa"/>
            <w:tcBorders>
              <w:top w:val="nil"/>
              <w:left w:val="nil"/>
              <w:bottom w:val="nil"/>
              <w:right w:val="nil"/>
            </w:tcBorders>
            <w:shd w:val="clear" w:color="auto" w:fill="auto"/>
            <w:noWrap/>
            <w:vAlign w:val="bottom"/>
            <w:hideMark/>
          </w:tcPr>
          <w:p w14:paraId="65DA074B"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7856A63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16.77</w:t>
            </w:r>
          </w:p>
        </w:tc>
        <w:tc>
          <w:tcPr>
            <w:tcW w:w="1383" w:type="dxa"/>
            <w:gridSpan w:val="2"/>
            <w:tcBorders>
              <w:top w:val="nil"/>
              <w:left w:val="nil"/>
              <w:bottom w:val="nil"/>
              <w:right w:val="nil"/>
            </w:tcBorders>
            <w:shd w:val="clear" w:color="auto" w:fill="auto"/>
            <w:noWrap/>
            <w:vAlign w:val="center"/>
            <w:hideMark/>
          </w:tcPr>
          <w:p w14:paraId="2F33108D"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4,4e-06***</w:t>
            </w:r>
          </w:p>
        </w:tc>
        <w:tc>
          <w:tcPr>
            <w:tcW w:w="352" w:type="dxa"/>
            <w:tcBorders>
              <w:top w:val="nil"/>
              <w:left w:val="nil"/>
              <w:bottom w:val="nil"/>
              <w:right w:val="nil"/>
            </w:tcBorders>
            <w:shd w:val="clear" w:color="auto" w:fill="auto"/>
            <w:noWrap/>
            <w:vAlign w:val="bottom"/>
            <w:hideMark/>
          </w:tcPr>
          <w:p w14:paraId="550ECE3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3409B10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0.94</w:t>
            </w:r>
          </w:p>
        </w:tc>
        <w:tc>
          <w:tcPr>
            <w:tcW w:w="1427" w:type="dxa"/>
            <w:gridSpan w:val="2"/>
            <w:tcBorders>
              <w:top w:val="nil"/>
              <w:left w:val="nil"/>
              <w:bottom w:val="nil"/>
              <w:right w:val="nil"/>
            </w:tcBorders>
            <w:shd w:val="clear" w:color="auto" w:fill="auto"/>
            <w:noWrap/>
            <w:vAlign w:val="center"/>
            <w:hideMark/>
          </w:tcPr>
          <w:p w14:paraId="72DA2BD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0.34</w:t>
            </w:r>
          </w:p>
        </w:tc>
        <w:tc>
          <w:tcPr>
            <w:tcW w:w="352" w:type="dxa"/>
            <w:tcBorders>
              <w:top w:val="nil"/>
              <w:left w:val="nil"/>
              <w:bottom w:val="nil"/>
              <w:right w:val="nil"/>
            </w:tcBorders>
            <w:shd w:val="clear" w:color="auto" w:fill="auto"/>
            <w:noWrap/>
            <w:vAlign w:val="bottom"/>
            <w:hideMark/>
          </w:tcPr>
          <w:p w14:paraId="36D0DB6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057EDC6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0.73</w:t>
            </w:r>
          </w:p>
        </w:tc>
        <w:tc>
          <w:tcPr>
            <w:tcW w:w="863" w:type="dxa"/>
            <w:tcBorders>
              <w:top w:val="nil"/>
              <w:left w:val="nil"/>
              <w:bottom w:val="nil"/>
              <w:right w:val="nil"/>
            </w:tcBorders>
            <w:shd w:val="clear" w:color="auto" w:fill="auto"/>
            <w:noWrap/>
            <w:vAlign w:val="center"/>
            <w:hideMark/>
          </w:tcPr>
          <w:p w14:paraId="6EDA6CA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0.49</w:t>
            </w:r>
          </w:p>
        </w:tc>
      </w:tr>
      <w:tr w:rsidR="00BF63BE" w:rsidRPr="006B7666" w14:paraId="6DEB1CBF" w14:textId="77777777" w:rsidTr="00BF63BE">
        <w:trPr>
          <w:trHeight w:val="279"/>
        </w:trPr>
        <w:tc>
          <w:tcPr>
            <w:tcW w:w="1724" w:type="dxa"/>
            <w:tcBorders>
              <w:top w:val="nil"/>
              <w:left w:val="nil"/>
              <w:bottom w:val="nil"/>
              <w:right w:val="nil"/>
            </w:tcBorders>
            <w:shd w:val="clear" w:color="auto" w:fill="auto"/>
            <w:noWrap/>
            <w:vAlign w:val="bottom"/>
            <w:hideMark/>
          </w:tcPr>
          <w:p w14:paraId="53FBC4F8" w14:textId="77777777" w:rsidR="00BF63BE" w:rsidRPr="00236E07" w:rsidRDefault="00BF63BE" w:rsidP="00BF63BE">
            <w:pPr>
              <w:contextualSpacing/>
              <w:rPr>
                <w:rFonts w:ascii="Arial" w:hAnsi="Arial" w:cs="Arial"/>
                <w:color w:val="000000"/>
                <w:lang w:eastAsia="es-CO"/>
              </w:rPr>
            </w:pPr>
            <w:r w:rsidRPr="00236E07">
              <w:rPr>
                <w:rFonts w:ascii="Arial" w:hAnsi="Arial" w:cs="Arial"/>
                <w:color w:val="000000"/>
              </w:rPr>
              <w:t>Leaf dry mass</w:t>
            </w:r>
          </w:p>
        </w:tc>
        <w:tc>
          <w:tcPr>
            <w:tcW w:w="428" w:type="dxa"/>
            <w:tcBorders>
              <w:top w:val="nil"/>
              <w:left w:val="nil"/>
              <w:bottom w:val="nil"/>
              <w:right w:val="nil"/>
            </w:tcBorders>
            <w:shd w:val="clear" w:color="auto" w:fill="auto"/>
            <w:noWrap/>
            <w:vAlign w:val="bottom"/>
            <w:hideMark/>
          </w:tcPr>
          <w:p w14:paraId="7CC03B9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75BB7728"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0.13</w:t>
            </w:r>
          </w:p>
        </w:tc>
        <w:tc>
          <w:tcPr>
            <w:tcW w:w="1383" w:type="dxa"/>
            <w:gridSpan w:val="2"/>
            <w:tcBorders>
              <w:top w:val="nil"/>
              <w:left w:val="nil"/>
              <w:bottom w:val="nil"/>
              <w:right w:val="nil"/>
            </w:tcBorders>
            <w:shd w:val="clear" w:color="auto" w:fill="auto"/>
            <w:noWrap/>
            <w:vAlign w:val="center"/>
            <w:hideMark/>
          </w:tcPr>
          <w:p w14:paraId="33D72F3F"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0.879</w:t>
            </w:r>
          </w:p>
        </w:tc>
        <w:tc>
          <w:tcPr>
            <w:tcW w:w="352" w:type="dxa"/>
            <w:tcBorders>
              <w:top w:val="nil"/>
              <w:left w:val="nil"/>
              <w:bottom w:val="nil"/>
              <w:right w:val="nil"/>
            </w:tcBorders>
            <w:shd w:val="clear" w:color="auto" w:fill="auto"/>
            <w:noWrap/>
            <w:vAlign w:val="bottom"/>
            <w:hideMark/>
          </w:tcPr>
          <w:p w14:paraId="613C452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6035A4A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14.58</w:t>
            </w:r>
          </w:p>
        </w:tc>
        <w:tc>
          <w:tcPr>
            <w:tcW w:w="1427" w:type="dxa"/>
            <w:gridSpan w:val="2"/>
            <w:tcBorders>
              <w:top w:val="nil"/>
              <w:left w:val="nil"/>
              <w:bottom w:val="nil"/>
              <w:right w:val="nil"/>
            </w:tcBorders>
            <w:shd w:val="clear" w:color="auto" w:fill="auto"/>
            <w:noWrap/>
            <w:vAlign w:val="center"/>
            <w:hideMark/>
          </w:tcPr>
          <w:p w14:paraId="04FAC9C8"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0.0004***</w:t>
            </w:r>
          </w:p>
        </w:tc>
        <w:tc>
          <w:tcPr>
            <w:tcW w:w="352" w:type="dxa"/>
            <w:tcBorders>
              <w:top w:val="nil"/>
              <w:left w:val="nil"/>
              <w:bottom w:val="nil"/>
              <w:right w:val="nil"/>
            </w:tcBorders>
            <w:shd w:val="clear" w:color="auto" w:fill="auto"/>
            <w:noWrap/>
            <w:vAlign w:val="bottom"/>
            <w:hideMark/>
          </w:tcPr>
          <w:p w14:paraId="241B9DB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527EB88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1.18</w:t>
            </w:r>
          </w:p>
        </w:tc>
        <w:tc>
          <w:tcPr>
            <w:tcW w:w="863" w:type="dxa"/>
            <w:tcBorders>
              <w:top w:val="nil"/>
              <w:left w:val="nil"/>
              <w:bottom w:val="nil"/>
              <w:right w:val="nil"/>
            </w:tcBorders>
            <w:shd w:val="clear" w:color="auto" w:fill="auto"/>
            <w:noWrap/>
            <w:vAlign w:val="center"/>
            <w:hideMark/>
          </w:tcPr>
          <w:p w14:paraId="627998E3"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0.316</w:t>
            </w:r>
          </w:p>
        </w:tc>
      </w:tr>
      <w:tr w:rsidR="00BF63BE" w:rsidRPr="006B7666" w14:paraId="53C6DF0F" w14:textId="77777777" w:rsidTr="00BF63BE">
        <w:trPr>
          <w:trHeight w:val="279"/>
        </w:trPr>
        <w:tc>
          <w:tcPr>
            <w:tcW w:w="1724" w:type="dxa"/>
            <w:tcBorders>
              <w:top w:val="nil"/>
              <w:left w:val="nil"/>
              <w:bottom w:val="nil"/>
              <w:right w:val="nil"/>
            </w:tcBorders>
            <w:shd w:val="clear" w:color="auto" w:fill="auto"/>
            <w:noWrap/>
            <w:vAlign w:val="bottom"/>
            <w:hideMark/>
          </w:tcPr>
          <w:p w14:paraId="6FBAB4E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Shoot dry mass</w:t>
            </w:r>
          </w:p>
        </w:tc>
        <w:tc>
          <w:tcPr>
            <w:tcW w:w="428" w:type="dxa"/>
            <w:tcBorders>
              <w:top w:val="nil"/>
              <w:left w:val="nil"/>
              <w:bottom w:val="nil"/>
              <w:right w:val="nil"/>
            </w:tcBorders>
            <w:shd w:val="clear" w:color="auto" w:fill="auto"/>
            <w:noWrap/>
            <w:vAlign w:val="bottom"/>
            <w:hideMark/>
          </w:tcPr>
          <w:p w14:paraId="68BA38B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center"/>
            <w:hideMark/>
          </w:tcPr>
          <w:p w14:paraId="4B1E8CA3"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0.01    </w:t>
            </w:r>
          </w:p>
        </w:tc>
        <w:tc>
          <w:tcPr>
            <w:tcW w:w="1383" w:type="dxa"/>
            <w:gridSpan w:val="2"/>
            <w:tcBorders>
              <w:top w:val="nil"/>
              <w:left w:val="nil"/>
              <w:bottom w:val="nil"/>
              <w:right w:val="nil"/>
            </w:tcBorders>
            <w:shd w:val="clear" w:color="auto" w:fill="auto"/>
            <w:noWrap/>
            <w:vAlign w:val="center"/>
            <w:hideMark/>
          </w:tcPr>
          <w:p w14:paraId="6E061FFB"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0.99  </w:t>
            </w:r>
          </w:p>
        </w:tc>
        <w:tc>
          <w:tcPr>
            <w:tcW w:w="352" w:type="dxa"/>
            <w:tcBorders>
              <w:top w:val="nil"/>
              <w:left w:val="nil"/>
              <w:bottom w:val="nil"/>
              <w:right w:val="nil"/>
            </w:tcBorders>
            <w:shd w:val="clear" w:color="auto" w:fill="auto"/>
            <w:noWrap/>
            <w:vAlign w:val="bottom"/>
            <w:hideMark/>
          </w:tcPr>
          <w:p w14:paraId="7C05C70F"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center"/>
            <w:hideMark/>
          </w:tcPr>
          <w:p w14:paraId="04B2736D"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20.56 </w:t>
            </w:r>
          </w:p>
        </w:tc>
        <w:tc>
          <w:tcPr>
            <w:tcW w:w="1427" w:type="dxa"/>
            <w:gridSpan w:val="2"/>
            <w:tcBorders>
              <w:top w:val="nil"/>
              <w:left w:val="nil"/>
              <w:bottom w:val="nil"/>
              <w:right w:val="nil"/>
            </w:tcBorders>
            <w:shd w:val="clear" w:color="auto" w:fill="auto"/>
            <w:noWrap/>
            <w:vAlign w:val="center"/>
            <w:hideMark/>
          </w:tcPr>
          <w:p w14:paraId="4D02E281"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4.8e-05***</w:t>
            </w:r>
          </w:p>
        </w:tc>
        <w:tc>
          <w:tcPr>
            <w:tcW w:w="352" w:type="dxa"/>
            <w:tcBorders>
              <w:top w:val="nil"/>
              <w:left w:val="nil"/>
              <w:bottom w:val="nil"/>
              <w:right w:val="nil"/>
            </w:tcBorders>
            <w:shd w:val="clear" w:color="auto" w:fill="auto"/>
            <w:noWrap/>
            <w:vAlign w:val="bottom"/>
            <w:hideMark/>
          </w:tcPr>
          <w:p w14:paraId="02B85AC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center"/>
            <w:hideMark/>
          </w:tcPr>
          <w:p w14:paraId="757EB3E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 0.56   </w:t>
            </w:r>
          </w:p>
        </w:tc>
        <w:tc>
          <w:tcPr>
            <w:tcW w:w="863" w:type="dxa"/>
            <w:tcBorders>
              <w:top w:val="nil"/>
              <w:left w:val="nil"/>
              <w:bottom w:val="nil"/>
              <w:right w:val="nil"/>
            </w:tcBorders>
            <w:shd w:val="clear" w:color="auto" w:fill="auto"/>
            <w:noWrap/>
            <w:vAlign w:val="center"/>
            <w:hideMark/>
          </w:tcPr>
          <w:p w14:paraId="18C835DB"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0.57</w:t>
            </w:r>
          </w:p>
        </w:tc>
      </w:tr>
      <w:tr w:rsidR="00BF63BE" w:rsidRPr="006B7666" w14:paraId="55BC3010" w14:textId="77777777" w:rsidTr="00BF63BE">
        <w:trPr>
          <w:trHeight w:val="279"/>
        </w:trPr>
        <w:tc>
          <w:tcPr>
            <w:tcW w:w="1724" w:type="dxa"/>
            <w:tcBorders>
              <w:top w:val="nil"/>
              <w:left w:val="nil"/>
              <w:bottom w:val="nil"/>
              <w:right w:val="nil"/>
            </w:tcBorders>
            <w:shd w:val="clear" w:color="auto" w:fill="auto"/>
            <w:noWrap/>
            <w:vAlign w:val="bottom"/>
            <w:hideMark/>
          </w:tcPr>
          <w:p w14:paraId="0F682DC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Root dry mass</w:t>
            </w:r>
          </w:p>
        </w:tc>
        <w:tc>
          <w:tcPr>
            <w:tcW w:w="428" w:type="dxa"/>
            <w:tcBorders>
              <w:top w:val="nil"/>
              <w:left w:val="nil"/>
              <w:bottom w:val="nil"/>
              <w:right w:val="nil"/>
            </w:tcBorders>
            <w:shd w:val="clear" w:color="auto" w:fill="auto"/>
            <w:noWrap/>
            <w:vAlign w:val="bottom"/>
            <w:hideMark/>
          </w:tcPr>
          <w:p w14:paraId="2AAFD66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36C1C58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w:t>
            </w:r>
          </w:p>
        </w:tc>
        <w:tc>
          <w:tcPr>
            <w:tcW w:w="1383" w:type="dxa"/>
            <w:gridSpan w:val="2"/>
            <w:tcBorders>
              <w:top w:val="nil"/>
              <w:left w:val="nil"/>
              <w:bottom w:val="nil"/>
              <w:right w:val="nil"/>
            </w:tcBorders>
            <w:shd w:val="clear" w:color="auto" w:fill="auto"/>
            <w:noWrap/>
            <w:vAlign w:val="bottom"/>
            <w:hideMark/>
          </w:tcPr>
          <w:p w14:paraId="42C2984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0.91</w:t>
            </w:r>
          </w:p>
        </w:tc>
        <w:tc>
          <w:tcPr>
            <w:tcW w:w="352" w:type="dxa"/>
            <w:tcBorders>
              <w:top w:val="nil"/>
              <w:left w:val="nil"/>
              <w:bottom w:val="nil"/>
              <w:right w:val="nil"/>
            </w:tcBorders>
            <w:shd w:val="clear" w:color="auto" w:fill="auto"/>
            <w:noWrap/>
            <w:vAlign w:val="bottom"/>
            <w:hideMark/>
          </w:tcPr>
          <w:p w14:paraId="3E59321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7EE362B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2.57</w:t>
            </w:r>
          </w:p>
        </w:tc>
        <w:tc>
          <w:tcPr>
            <w:tcW w:w="1427" w:type="dxa"/>
            <w:gridSpan w:val="2"/>
            <w:tcBorders>
              <w:top w:val="nil"/>
              <w:left w:val="nil"/>
              <w:bottom w:val="nil"/>
              <w:right w:val="nil"/>
            </w:tcBorders>
            <w:shd w:val="clear" w:color="auto" w:fill="auto"/>
            <w:noWrap/>
            <w:vAlign w:val="bottom"/>
            <w:hideMark/>
          </w:tcPr>
          <w:p w14:paraId="744ECF7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0.12</w:t>
            </w:r>
          </w:p>
        </w:tc>
        <w:tc>
          <w:tcPr>
            <w:tcW w:w="352" w:type="dxa"/>
            <w:tcBorders>
              <w:top w:val="nil"/>
              <w:left w:val="nil"/>
              <w:bottom w:val="nil"/>
              <w:right w:val="nil"/>
            </w:tcBorders>
            <w:shd w:val="clear" w:color="auto" w:fill="auto"/>
            <w:noWrap/>
            <w:vAlign w:val="bottom"/>
            <w:hideMark/>
          </w:tcPr>
          <w:p w14:paraId="0E79B8B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6EAFE5A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0.19</w:t>
            </w:r>
          </w:p>
        </w:tc>
        <w:tc>
          <w:tcPr>
            <w:tcW w:w="863" w:type="dxa"/>
            <w:tcBorders>
              <w:top w:val="nil"/>
              <w:left w:val="nil"/>
              <w:bottom w:val="nil"/>
              <w:right w:val="nil"/>
            </w:tcBorders>
            <w:shd w:val="clear" w:color="auto" w:fill="auto"/>
            <w:noWrap/>
            <w:vAlign w:val="bottom"/>
            <w:hideMark/>
          </w:tcPr>
          <w:p w14:paraId="6D0AE33B"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0.83</w:t>
            </w:r>
          </w:p>
        </w:tc>
      </w:tr>
      <w:tr w:rsidR="00BF63BE" w:rsidRPr="006B7666" w14:paraId="6B498835" w14:textId="77777777" w:rsidTr="00BF63BE">
        <w:trPr>
          <w:trHeight w:val="279"/>
        </w:trPr>
        <w:tc>
          <w:tcPr>
            <w:tcW w:w="1724" w:type="dxa"/>
            <w:tcBorders>
              <w:top w:val="nil"/>
              <w:left w:val="nil"/>
              <w:bottom w:val="nil"/>
              <w:right w:val="nil"/>
            </w:tcBorders>
            <w:shd w:val="clear" w:color="auto" w:fill="auto"/>
            <w:noWrap/>
            <w:vAlign w:val="bottom"/>
            <w:hideMark/>
          </w:tcPr>
          <w:p w14:paraId="2F8CC9B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Total dry mass</w:t>
            </w:r>
          </w:p>
        </w:tc>
        <w:tc>
          <w:tcPr>
            <w:tcW w:w="428" w:type="dxa"/>
            <w:tcBorders>
              <w:top w:val="nil"/>
              <w:left w:val="nil"/>
              <w:bottom w:val="nil"/>
              <w:right w:val="nil"/>
            </w:tcBorders>
            <w:shd w:val="clear" w:color="auto" w:fill="auto"/>
            <w:noWrap/>
            <w:vAlign w:val="bottom"/>
            <w:hideMark/>
          </w:tcPr>
          <w:p w14:paraId="4723BE5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4149B3F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0.02</w:t>
            </w:r>
          </w:p>
        </w:tc>
        <w:tc>
          <w:tcPr>
            <w:tcW w:w="1383" w:type="dxa"/>
            <w:gridSpan w:val="2"/>
            <w:tcBorders>
              <w:top w:val="nil"/>
              <w:left w:val="nil"/>
              <w:bottom w:val="nil"/>
              <w:right w:val="nil"/>
            </w:tcBorders>
            <w:shd w:val="clear" w:color="auto" w:fill="auto"/>
            <w:noWrap/>
            <w:vAlign w:val="bottom"/>
            <w:hideMark/>
          </w:tcPr>
          <w:p w14:paraId="4389286D"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0.982</w:t>
            </w:r>
          </w:p>
        </w:tc>
        <w:tc>
          <w:tcPr>
            <w:tcW w:w="352" w:type="dxa"/>
            <w:tcBorders>
              <w:top w:val="nil"/>
              <w:left w:val="nil"/>
              <w:bottom w:val="nil"/>
              <w:right w:val="nil"/>
            </w:tcBorders>
            <w:shd w:val="clear" w:color="auto" w:fill="auto"/>
            <w:noWrap/>
            <w:vAlign w:val="bottom"/>
            <w:hideMark/>
          </w:tcPr>
          <w:p w14:paraId="7FE0AB7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691E2A0D"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15.41 </w:t>
            </w:r>
          </w:p>
        </w:tc>
        <w:tc>
          <w:tcPr>
            <w:tcW w:w="1427" w:type="dxa"/>
            <w:gridSpan w:val="2"/>
            <w:tcBorders>
              <w:top w:val="nil"/>
              <w:left w:val="nil"/>
              <w:bottom w:val="nil"/>
              <w:right w:val="nil"/>
            </w:tcBorders>
            <w:shd w:val="clear" w:color="auto" w:fill="auto"/>
            <w:noWrap/>
            <w:vAlign w:val="bottom"/>
            <w:hideMark/>
          </w:tcPr>
          <w:p w14:paraId="4540157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0.0003***</w:t>
            </w:r>
          </w:p>
        </w:tc>
        <w:tc>
          <w:tcPr>
            <w:tcW w:w="352" w:type="dxa"/>
            <w:tcBorders>
              <w:top w:val="nil"/>
              <w:left w:val="nil"/>
              <w:bottom w:val="nil"/>
              <w:right w:val="nil"/>
            </w:tcBorders>
            <w:shd w:val="clear" w:color="auto" w:fill="auto"/>
            <w:noWrap/>
            <w:vAlign w:val="bottom"/>
            <w:hideMark/>
          </w:tcPr>
          <w:p w14:paraId="4683F01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4E9E59E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0.49  </w:t>
            </w:r>
          </w:p>
        </w:tc>
        <w:tc>
          <w:tcPr>
            <w:tcW w:w="863" w:type="dxa"/>
            <w:tcBorders>
              <w:top w:val="nil"/>
              <w:left w:val="nil"/>
              <w:bottom w:val="nil"/>
              <w:right w:val="nil"/>
            </w:tcBorders>
            <w:shd w:val="clear" w:color="auto" w:fill="auto"/>
            <w:noWrap/>
            <w:vAlign w:val="bottom"/>
            <w:hideMark/>
          </w:tcPr>
          <w:p w14:paraId="2BEAD71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0.61872</w:t>
            </w:r>
          </w:p>
        </w:tc>
      </w:tr>
      <w:tr w:rsidR="00BF63BE" w:rsidRPr="006B7666" w14:paraId="5D908222" w14:textId="77777777" w:rsidTr="00BF63BE">
        <w:trPr>
          <w:trHeight w:val="279"/>
        </w:trPr>
        <w:tc>
          <w:tcPr>
            <w:tcW w:w="1724" w:type="dxa"/>
            <w:tcBorders>
              <w:top w:val="nil"/>
              <w:left w:val="nil"/>
              <w:bottom w:val="nil"/>
              <w:right w:val="nil"/>
            </w:tcBorders>
            <w:shd w:val="clear" w:color="auto" w:fill="auto"/>
            <w:noWrap/>
            <w:vAlign w:val="bottom"/>
            <w:hideMark/>
          </w:tcPr>
          <w:p w14:paraId="7EFB3BB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Corm mass</w:t>
            </w:r>
          </w:p>
        </w:tc>
        <w:tc>
          <w:tcPr>
            <w:tcW w:w="428" w:type="dxa"/>
            <w:tcBorders>
              <w:top w:val="nil"/>
              <w:left w:val="nil"/>
              <w:bottom w:val="nil"/>
              <w:right w:val="nil"/>
            </w:tcBorders>
            <w:shd w:val="clear" w:color="auto" w:fill="auto"/>
            <w:noWrap/>
            <w:vAlign w:val="bottom"/>
            <w:hideMark/>
          </w:tcPr>
          <w:p w14:paraId="072E82A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1E57B3F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0.38</w:t>
            </w:r>
          </w:p>
        </w:tc>
        <w:tc>
          <w:tcPr>
            <w:tcW w:w="1383" w:type="dxa"/>
            <w:gridSpan w:val="2"/>
            <w:tcBorders>
              <w:top w:val="nil"/>
              <w:left w:val="nil"/>
              <w:bottom w:val="nil"/>
              <w:right w:val="nil"/>
            </w:tcBorders>
            <w:shd w:val="clear" w:color="auto" w:fill="auto"/>
            <w:noWrap/>
            <w:vAlign w:val="bottom"/>
            <w:hideMark/>
          </w:tcPr>
          <w:p w14:paraId="259FB60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0.69</w:t>
            </w:r>
          </w:p>
        </w:tc>
        <w:tc>
          <w:tcPr>
            <w:tcW w:w="352" w:type="dxa"/>
            <w:tcBorders>
              <w:top w:val="nil"/>
              <w:left w:val="nil"/>
              <w:bottom w:val="nil"/>
              <w:right w:val="nil"/>
            </w:tcBorders>
            <w:shd w:val="clear" w:color="auto" w:fill="auto"/>
            <w:noWrap/>
            <w:vAlign w:val="bottom"/>
            <w:hideMark/>
          </w:tcPr>
          <w:p w14:paraId="7B17770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4E3DEF6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2.56</w:t>
            </w:r>
          </w:p>
        </w:tc>
        <w:tc>
          <w:tcPr>
            <w:tcW w:w="1427" w:type="dxa"/>
            <w:gridSpan w:val="2"/>
            <w:tcBorders>
              <w:top w:val="nil"/>
              <w:left w:val="nil"/>
              <w:bottom w:val="nil"/>
              <w:right w:val="nil"/>
            </w:tcBorders>
            <w:shd w:val="clear" w:color="auto" w:fill="auto"/>
            <w:noWrap/>
            <w:vAlign w:val="bottom"/>
            <w:hideMark/>
          </w:tcPr>
          <w:p w14:paraId="3916348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0.12</w:t>
            </w:r>
          </w:p>
        </w:tc>
        <w:tc>
          <w:tcPr>
            <w:tcW w:w="352" w:type="dxa"/>
            <w:tcBorders>
              <w:top w:val="nil"/>
              <w:left w:val="nil"/>
              <w:bottom w:val="nil"/>
              <w:right w:val="nil"/>
            </w:tcBorders>
            <w:shd w:val="clear" w:color="auto" w:fill="auto"/>
            <w:noWrap/>
            <w:vAlign w:val="bottom"/>
            <w:hideMark/>
          </w:tcPr>
          <w:p w14:paraId="23EA37C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6B697B4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0.57</w:t>
            </w:r>
          </w:p>
        </w:tc>
        <w:tc>
          <w:tcPr>
            <w:tcW w:w="863" w:type="dxa"/>
            <w:tcBorders>
              <w:top w:val="nil"/>
              <w:left w:val="nil"/>
              <w:bottom w:val="nil"/>
              <w:right w:val="nil"/>
            </w:tcBorders>
            <w:shd w:val="clear" w:color="auto" w:fill="auto"/>
            <w:noWrap/>
            <w:vAlign w:val="bottom"/>
            <w:hideMark/>
          </w:tcPr>
          <w:p w14:paraId="48AADA96"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0.57</w:t>
            </w:r>
          </w:p>
        </w:tc>
      </w:tr>
      <w:tr w:rsidR="00BF63BE" w:rsidRPr="006B7666" w14:paraId="19D9DCC3" w14:textId="77777777" w:rsidTr="00BF63BE">
        <w:trPr>
          <w:trHeight w:val="279"/>
        </w:trPr>
        <w:tc>
          <w:tcPr>
            <w:tcW w:w="1724" w:type="dxa"/>
            <w:tcBorders>
              <w:top w:val="nil"/>
              <w:left w:val="nil"/>
              <w:bottom w:val="nil"/>
              <w:right w:val="nil"/>
            </w:tcBorders>
            <w:shd w:val="clear" w:color="auto" w:fill="auto"/>
            <w:noWrap/>
            <w:vAlign w:val="bottom"/>
            <w:hideMark/>
          </w:tcPr>
          <w:p w14:paraId="0BDD43C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LA</w:t>
            </w:r>
          </w:p>
        </w:tc>
        <w:tc>
          <w:tcPr>
            <w:tcW w:w="428" w:type="dxa"/>
            <w:tcBorders>
              <w:top w:val="nil"/>
              <w:left w:val="nil"/>
              <w:bottom w:val="nil"/>
              <w:right w:val="nil"/>
            </w:tcBorders>
            <w:shd w:val="clear" w:color="auto" w:fill="auto"/>
            <w:noWrap/>
            <w:vAlign w:val="bottom"/>
            <w:hideMark/>
          </w:tcPr>
          <w:p w14:paraId="427E9CB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nil"/>
              <w:right w:val="nil"/>
            </w:tcBorders>
            <w:shd w:val="clear" w:color="auto" w:fill="auto"/>
            <w:noWrap/>
            <w:vAlign w:val="bottom"/>
            <w:hideMark/>
          </w:tcPr>
          <w:p w14:paraId="0E4FB7E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20.57 </w:t>
            </w:r>
          </w:p>
        </w:tc>
        <w:tc>
          <w:tcPr>
            <w:tcW w:w="1383" w:type="dxa"/>
            <w:gridSpan w:val="2"/>
            <w:tcBorders>
              <w:top w:val="nil"/>
              <w:left w:val="nil"/>
              <w:bottom w:val="nil"/>
              <w:right w:val="nil"/>
            </w:tcBorders>
            <w:shd w:val="clear" w:color="auto" w:fill="auto"/>
            <w:noWrap/>
            <w:vAlign w:val="bottom"/>
            <w:hideMark/>
          </w:tcPr>
          <w:p w14:paraId="234F106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5.9e-07***</w:t>
            </w:r>
          </w:p>
        </w:tc>
        <w:tc>
          <w:tcPr>
            <w:tcW w:w="352" w:type="dxa"/>
            <w:tcBorders>
              <w:top w:val="nil"/>
              <w:left w:val="nil"/>
              <w:bottom w:val="nil"/>
              <w:right w:val="nil"/>
            </w:tcBorders>
            <w:shd w:val="clear" w:color="auto" w:fill="auto"/>
            <w:noWrap/>
            <w:vAlign w:val="bottom"/>
            <w:hideMark/>
          </w:tcPr>
          <w:p w14:paraId="2B361AF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nil"/>
              <w:right w:val="nil"/>
            </w:tcBorders>
            <w:shd w:val="clear" w:color="auto" w:fill="auto"/>
            <w:noWrap/>
            <w:vAlign w:val="bottom"/>
            <w:hideMark/>
          </w:tcPr>
          <w:p w14:paraId="55B42DE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4.66   </w:t>
            </w:r>
          </w:p>
        </w:tc>
        <w:tc>
          <w:tcPr>
            <w:tcW w:w="1427" w:type="dxa"/>
            <w:gridSpan w:val="2"/>
            <w:tcBorders>
              <w:top w:val="nil"/>
              <w:left w:val="nil"/>
              <w:bottom w:val="nil"/>
              <w:right w:val="nil"/>
            </w:tcBorders>
            <w:shd w:val="clear" w:color="auto" w:fill="auto"/>
            <w:noWrap/>
            <w:vAlign w:val="bottom"/>
            <w:hideMark/>
          </w:tcPr>
          <w:p w14:paraId="7C5199A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0.037*  </w:t>
            </w:r>
          </w:p>
        </w:tc>
        <w:tc>
          <w:tcPr>
            <w:tcW w:w="352" w:type="dxa"/>
            <w:tcBorders>
              <w:top w:val="nil"/>
              <w:left w:val="nil"/>
              <w:bottom w:val="nil"/>
              <w:right w:val="nil"/>
            </w:tcBorders>
            <w:shd w:val="clear" w:color="auto" w:fill="auto"/>
            <w:noWrap/>
            <w:vAlign w:val="bottom"/>
            <w:hideMark/>
          </w:tcPr>
          <w:p w14:paraId="6181B33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nil"/>
              <w:right w:val="nil"/>
            </w:tcBorders>
            <w:shd w:val="clear" w:color="auto" w:fill="auto"/>
            <w:noWrap/>
            <w:vAlign w:val="bottom"/>
            <w:hideMark/>
          </w:tcPr>
          <w:p w14:paraId="47C4A9A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0.79   </w:t>
            </w:r>
          </w:p>
        </w:tc>
        <w:tc>
          <w:tcPr>
            <w:tcW w:w="863" w:type="dxa"/>
            <w:tcBorders>
              <w:top w:val="nil"/>
              <w:left w:val="nil"/>
              <w:bottom w:val="nil"/>
              <w:right w:val="nil"/>
            </w:tcBorders>
            <w:shd w:val="clear" w:color="auto" w:fill="auto"/>
            <w:noWrap/>
            <w:vAlign w:val="bottom"/>
            <w:hideMark/>
          </w:tcPr>
          <w:p w14:paraId="5EAC7A3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0.459</w:t>
            </w:r>
          </w:p>
        </w:tc>
      </w:tr>
      <w:tr w:rsidR="00BF63BE" w:rsidRPr="006B7666" w14:paraId="15F4B351" w14:textId="77777777" w:rsidTr="00BF63BE">
        <w:trPr>
          <w:trHeight w:val="279"/>
        </w:trPr>
        <w:tc>
          <w:tcPr>
            <w:tcW w:w="1724" w:type="dxa"/>
            <w:tcBorders>
              <w:top w:val="nil"/>
              <w:left w:val="nil"/>
              <w:right w:val="nil"/>
            </w:tcBorders>
            <w:shd w:val="clear" w:color="auto" w:fill="auto"/>
            <w:noWrap/>
            <w:vAlign w:val="bottom"/>
            <w:hideMark/>
          </w:tcPr>
          <w:p w14:paraId="55F6E893"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SLA</w:t>
            </w:r>
          </w:p>
        </w:tc>
        <w:tc>
          <w:tcPr>
            <w:tcW w:w="428" w:type="dxa"/>
            <w:tcBorders>
              <w:top w:val="nil"/>
              <w:left w:val="nil"/>
              <w:right w:val="nil"/>
            </w:tcBorders>
            <w:shd w:val="clear" w:color="auto" w:fill="auto"/>
            <w:noWrap/>
            <w:vAlign w:val="bottom"/>
            <w:hideMark/>
          </w:tcPr>
          <w:p w14:paraId="7C453108"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right w:val="nil"/>
            </w:tcBorders>
            <w:shd w:val="clear" w:color="auto" w:fill="auto"/>
            <w:noWrap/>
            <w:vAlign w:val="bottom"/>
            <w:hideMark/>
          </w:tcPr>
          <w:p w14:paraId="0576F3C0"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10.98 </w:t>
            </w:r>
          </w:p>
        </w:tc>
        <w:tc>
          <w:tcPr>
            <w:tcW w:w="1383" w:type="dxa"/>
            <w:gridSpan w:val="2"/>
            <w:tcBorders>
              <w:top w:val="nil"/>
              <w:left w:val="nil"/>
              <w:right w:val="nil"/>
            </w:tcBorders>
            <w:shd w:val="clear" w:color="auto" w:fill="auto"/>
            <w:noWrap/>
            <w:vAlign w:val="bottom"/>
            <w:hideMark/>
          </w:tcPr>
          <w:p w14:paraId="3F71B95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0.0001***</w:t>
            </w:r>
          </w:p>
        </w:tc>
        <w:tc>
          <w:tcPr>
            <w:tcW w:w="352" w:type="dxa"/>
            <w:tcBorders>
              <w:top w:val="nil"/>
              <w:left w:val="nil"/>
              <w:right w:val="nil"/>
            </w:tcBorders>
            <w:shd w:val="clear" w:color="auto" w:fill="auto"/>
            <w:noWrap/>
            <w:vAlign w:val="bottom"/>
            <w:hideMark/>
          </w:tcPr>
          <w:p w14:paraId="08DFCEA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right w:val="nil"/>
            </w:tcBorders>
            <w:shd w:val="clear" w:color="auto" w:fill="auto"/>
            <w:noWrap/>
            <w:vAlign w:val="bottom"/>
            <w:hideMark/>
          </w:tcPr>
          <w:p w14:paraId="0D073E7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 2.71 </w:t>
            </w:r>
          </w:p>
        </w:tc>
        <w:tc>
          <w:tcPr>
            <w:tcW w:w="1427" w:type="dxa"/>
            <w:gridSpan w:val="2"/>
            <w:tcBorders>
              <w:top w:val="nil"/>
              <w:left w:val="nil"/>
              <w:right w:val="nil"/>
            </w:tcBorders>
            <w:shd w:val="clear" w:color="auto" w:fill="auto"/>
            <w:noWrap/>
            <w:vAlign w:val="bottom"/>
            <w:hideMark/>
          </w:tcPr>
          <w:p w14:paraId="69F47A1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0.107</w:t>
            </w:r>
          </w:p>
        </w:tc>
        <w:tc>
          <w:tcPr>
            <w:tcW w:w="352" w:type="dxa"/>
            <w:tcBorders>
              <w:top w:val="nil"/>
              <w:left w:val="nil"/>
              <w:right w:val="nil"/>
            </w:tcBorders>
            <w:shd w:val="clear" w:color="auto" w:fill="auto"/>
            <w:noWrap/>
            <w:vAlign w:val="bottom"/>
            <w:hideMark/>
          </w:tcPr>
          <w:p w14:paraId="62FC2E1A"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right w:val="nil"/>
            </w:tcBorders>
            <w:shd w:val="clear" w:color="auto" w:fill="auto"/>
            <w:noWrap/>
            <w:vAlign w:val="bottom"/>
            <w:hideMark/>
          </w:tcPr>
          <w:p w14:paraId="7F81774E"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0.01    </w:t>
            </w:r>
          </w:p>
        </w:tc>
        <w:tc>
          <w:tcPr>
            <w:tcW w:w="863" w:type="dxa"/>
            <w:tcBorders>
              <w:top w:val="nil"/>
              <w:left w:val="nil"/>
              <w:right w:val="nil"/>
            </w:tcBorders>
            <w:shd w:val="clear" w:color="auto" w:fill="auto"/>
            <w:noWrap/>
            <w:vAlign w:val="bottom"/>
            <w:hideMark/>
          </w:tcPr>
          <w:p w14:paraId="24CADFB4"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0.98699 </w:t>
            </w:r>
          </w:p>
        </w:tc>
      </w:tr>
      <w:tr w:rsidR="00BF63BE" w:rsidRPr="006B7666" w14:paraId="7613F507" w14:textId="77777777" w:rsidTr="00BF63BE">
        <w:trPr>
          <w:trHeight w:val="279"/>
        </w:trPr>
        <w:tc>
          <w:tcPr>
            <w:tcW w:w="1724" w:type="dxa"/>
            <w:tcBorders>
              <w:top w:val="nil"/>
              <w:left w:val="nil"/>
              <w:bottom w:val="single" w:sz="4" w:space="0" w:color="auto"/>
              <w:right w:val="nil"/>
            </w:tcBorders>
            <w:shd w:val="clear" w:color="auto" w:fill="auto"/>
            <w:noWrap/>
            <w:vAlign w:val="bottom"/>
            <w:hideMark/>
          </w:tcPr>
          <w:p w14:paraId="678FE35F"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RWC </w:t>
            </w:r>
          </w:p>
        </w:tc>
        <w:tc>
          <w:tcPr>
            <w:tcW w:w="428" w:type="dxa"/>
            <w:tcBorders>
              <w:top w:val="nil"/>
              <w:left w:val="nil"/>
              <w:bottom w:val="single" w:sz="4" w:space="0" w:color="auto"/>
              <w:right w:val="nil"/>
            </w:tcBorders>
            <w:shd w:val="clear" w:color="auto" w:fill="auto"/>
            <w:noWrap/>
            <w:vAlign w:val="bottom"/>
            <w:hideMark/>
          </w:tcPr>
          <w:p w14:paraId="16128F27"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685" w:type="dxa"/>
            <w:tcBorders>
              <w:top w:val="nil"/>
              <w:left w:val="nil"/>
              <w:bottom w:val="single" w:sz="4" w:space="0" w:color="auto"/>
              <w:right w:val="nil"/>
            </w:tcBorders>
            <w:shd w:val="clear" w:color="auto" w:fill="auto"/>
            <w:noWrap/>
            <w:vAlign w:val="bottom"/>
            <w:hideMark/>
          </w:tcPr>
          <w:p w14:paraId="610A8443"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8.60 </w:t>
            </w:r>
          </w:p>
        </w:tc>
        <w:tc>
          <w:tcPr>
            <w:tcW w:w="1383" w:type="dxa"/>
            <w:gridSpan w:val="2"/>
            <w:tcBorders>
              <w:top w:val="nil"/>
              <w:left w:val="nil"/>
              <w:bottom w:val="single" w:sz="4" w:space="0" w:color="auto"/>
              <w:right w:val="nil"/>
            </w:tcBorders>
            <w:shd w:val="clear" w:color="auto" w:fill="auto"/>
            <w:noWrap/>
            <w:vAlign w:val="bottom"/>
            <w:hideMark/>
          </w:tcPr>
          <w:p w14:paraId="6B80E7E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0.0007***</w:t>
            </w:r>
          </w:p>
        </w:tc>
        <w:tc>
          <w:tcPr>
            <w:tcW w:w="352" w:type="dxa"/>
            <w:tcBorders>
              <w:top w:val="nil"/>
              <w:left w:val="nil"/>
              <w:bottom w:val="single" w:sz="4" w:space="0" w:color="auto"/>
              <w:right w:val="nil"/>
            </w:tcBorders>
            <w:shd w:val="clear" w:color="auto" w:fill="auto"/>
            <w:noWrap/>
            <w:vAlign w:val="bottom"/>
            <w:hideMark/>
          </w:tcPr>
          <w:p w14:paraId="4B4DD33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1</w:t>
            </w:r>
          </w:p>
        </w:tc>
        <w:tc>
          <w:tcPr>
            <w:tcW w:w="675" w:type="dxa"/>
            <w:tcBorders>
              <w:top w:val="nil"/>
              <w:left w:val="nil"/>
              <w:bottom w:val="single" w:sz="4" w:space="0" w:color="auto"/>
              <w:right w:val="nil"/>
            </w:tcBorders>
            <w:shd w:val="clear" w:color="auto" w:fill="auto"/>
            <w:noWrap/>
            <w:vAlign w:val="bottom"/>
            <w:hideMark/>
          </w:tcPr>
          <w:p w14:paraId="03AD1C09"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4.27 </w:t>
            </w:r>
          </w:p>
        </w:tc>
        <w:tc>
          <w:tcPr>
            <w:tcW w:w="1427" w:type="dxa"/>
            <w:gridSpan w:val="2"/>
            <w:tcBorders>
              <w:top w:val="nil"/>
              <w:left w:val="nil"/>
              <w:bottom w:val="single" w:sz="4" w:space="0" w:color="auto"/>
              <w:right w:val="nil"/>
            </w:tcBorders>
            <w:shd w:val="clear" w:color="auto" w:fill="auto"/>
            <w:noWrap/>
            <w:vAlign w:val="bottom"/>
            <w:hideMark/>
          </w:tcPr>
          <w:p w14:paraId="23192F15"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0.045*  </w:t>
            </w:r>
          </w:p>
        </w:tc>
        <w:tc>
          <w:tcPr>
            <w:tcW w:w="352" w:type="dxa"/>
            <w:tcBorders>
              <w:top w:val="nil"/>
              <w:left w:val="nil"/>
              <w:bottom w:val="single" w:sz="4" w:space="0" w:color="auto"/>
              <w:right w:val="nil"/>
            </w:tcBorders>
            <w:shd w:val="clear" w:color="auto" w:fill="auto"/>
            <w:noWrap/>
            <w:vAlign w:val="bottom"/>
            <w:hideMark/>
          </w:tcPr>
          <w:p w14:paraId="182FF9BF"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lang w:eastAsia="es-CO"/>
              </w:rPr>
              <w:t>2</w:t>
            </w:r>
          </w:p>
        </w:tc>
        <w:tc>
          <w:tcPr>
            <w:tcW w:w="586" w:type="dxa"/>
            <w:tcBorders>
              <w:top w:val="nil"/>
              <w:left w:val="nil"/>
              <w:bottom w:val="single" w:sz="4" w:space="0" w:color="auto"/>
              <w:right w:val="nil"/>
            </w:tcBorders>
            <w:shd w:val="clear" w:color="auto" w:fill="auto"/>
            <w:noWrap/>
            <w:vAlign w:val="bottom"/>
            <w:hideMark/>
          </w:tcPr>
          <w:p w14:paraId="038CC1F2"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 xml:space="preserve">0.09 </w:t>
            </w:r>
          </w:p>
        </w:tc>
        <w:tc>
          <w:tcPr>
            <w:tcW w:w="863" w:type="dxa"/>
            <w:tcBorders>
              <w:top w:val="nil"/>
              <w:left w:val="nil"/>
              <w:bottom w:val="single" w:sz="4" w:space="0" w:color="auto"/>
              <w:right w:val="nil"/>
            </w:tcBorders>
            <w:shd w:val="clear" w:color="auto" w:fill="auto"/>
            <w:noWrap/>
            <w:vAlign w:val="bottom"/>
            <w:hideMark/>
          </w:tcPr>
          <w:p w14:paraId="49F9252C" w14:textId="77777777" w:rsidR="00BF63BE" w:rsidRPr="00236E07" w:rsidRDefault="00BF63BE" w:rsidP="00BF63BE">
            <w:pPr>
              <w:contextualSpacing/>
              <w:jc w:val="both"/>
              <w:rPr>
                <w:rFonts w:ascii="Arial" w:hAnsi="Arial" w:cs="Arial"/>
                <w:color w:val="000000"/>
                <w:lang w:eastAsia="es-CO"/>
              </w:rPr>
            </w:pPr>
            <w:r w:rsidRPr="00236E07">
              <w:rPr>
                <w:rFonts w:ascii="Arial" w:hAnsi="Arial" w:cs="Arial"/>
                <w:color w:val="000000"/>
              </w:rPr>
              <w:t>0.91217</w:t>
            </w:r>
          </w:p>
        </w:tc>
      </w:tr>
    </w:tbl>
    <w:p w14:paraId="76AC0AE5" w14:textId="77777777" w:rsidR="00E6065F" w:rsidRPr="00050D12" w:rsidRDefault="00050D12" w:rsidP="00441B6F">
      <w:pPr>
        <w:pStyle w:val="Body"/>
        <w:spacing w:after="0"/>
        <w:rPr>
          <w:rFonts w:ascii="Arial" w:hAnsi="Arial" w:cs="Arial"/>
          <w:i/>
          <w:sz w:val="18"/>
          <w:szCs w:val="18"/>
        </w:rPr>
      </w:pPr>
      <w:r w:rsidRPr="00050D12">
        <w:rPr>
          <w:rFonts w:ascii="Arial" w:hAnsi="Arial" w:cs="Arial"/>
          <w:i/>
          <w:sz w:val="18"/>
          <w:szCs w:val="18"/>
        </w:rPr>
        <w:t>Table footer: LA = leaf area, SLA = specific leaf area, RWC = relative water. Comparisons that are significantly different are indicated with an asterisk</w:t>
      </w:r>
      <w:r>
        <w:rPr>
          <w:rFonts w:ascii="Arial" w:hAnsi="Arial" w:cs="Arial"/>
          <w:i/>
          <w:sz w:val="18"/>
          <w:szCs w:val="18"/>
        </w:rPr>
        <w:t xml:space="preserve"> </w:t>
      </w:r>
      <w:proofErr w:type="gramStart"/>
      <w:r>
        <w:rPr>
          <w:rFonts w:ascii="Arial" w:hAnsi="Arial" w:cs="Arial"/>
          <w:i/>
          <w:sz w:val="18"/>
          <w:szCs w:val="18"/>
        </w:rPr>
        <w:t>=</w:t>
      </w:r>
      <w:r w:rsidRPr="00050D12">
        <w:rPr>
          <w:rFonts w:ascii="Arial" w:hAnsi="Arial" w:cs="Arial"/>
          <w:i/>
          <w:sz w:val="18"/>
          <w:szCs w:val="18"/>
        </w:rPr>
        <w:t>.</w:t>
      </w:r>
      <w:r w:rsidRPr="008247A6">
        <w:rPr>
          <w:rFonts w:ascii="Arial" w:hAnsi="Arial" w:cs="Arial"/>
          <w:i/>
          <w:sz w:val="18"/>
        </w:rPr>
        <w:t>*</w:t>
      </w:r>
      <w:proofErr w:type="gramEnd"/>
      <w:r w:rsidRPr="008247A6">
        <w:rPr>
          <w:rFonts w:ascii="Arial" w:hAnsi="Arial" w:cs="Arial"/>
          <w:i/>
          <w:sz w:val="18"/>
        </w:rPr>
        <w:t xml:space="preserve"> P &lt; 0.05;</w:t>
      </w:r>
      <w:r w:rsidRPr="00050D12">
        <w:rPr>
          <w:rFonts w:ascii="Arial" w:hAnsi="Arial" w:cs="Arial"/>
          <w:i/>
          <w:sz w:val="18"/>
        </w:rPr>
        <w:t xml:space="preserve"> </w:t>
      </w:r>
      <w:r>
        <w:rPr>
          <w:rFonts w:ascii="Arial" w:hAnsi="Arial" w:cs="Arial"/>
          <w:i/>
          <w:sz w:val="18"/>
        </w:rPr>
        <w:t>*</w:t>
      </w:r>
      <w:r w:rsidRPr="008247A6">
        <w:rPr>
          <w:rFonts w:ascii="Arial" w:hAnsi="Arial" w:cs="Arial"/>
          <w:i/>
          <w:sz w:val="18"/>
        </w:rPr>
        <w:t>* P &lt; 0.0</w:t>
      </w:r>
      <w:r>
        <w:rPr>
          <w:rFonts w:ascii="Arial" w:hAnsi="Arial" w:cs="Arial"/>
          <w:i/>
          <w:sz w:val="18"/>
        </w:rPr>
        <w:t>1</w:t>
      </w:r>
      <w:r w:rsidRPr="008247A6">
        <w:rPr>
          <w:rFonts w:ascii="Arial" w:hAnsi="Arial" w:cs="Arial"/>
          <w:i/>
          <w:sz w:val="18"/>
        </w:rPr>
        <w:t>; ** P &lt; 0.001</w:t>
      </w:r>
      <w:r>
        <w:rPr>
          <w:rFonts w:ascii="Arial" w:hAnsi="Arial" w:cs="Arial"/>
          <w:i/>
          <w:sz w:val="18"/>
        </w:rPr>
        <w:t>.</w:t>
      </w:r>
    </w:p>
    <w:p w14:paraId="412AEF0C" w14:textId="77777777" w:rsidR="00BF63BE" w:rsidRDefault="00BF63BE" w:rsidP="00441B6F">
      <w:pPr>
        <w:pStyle w:val="Body"/>
        <w:spacing w:after="0"/>
        <w:rPr>
          <w:rFonts w:ascii="Arial" w:hAnsi="Arial" w:cs="Arial"/>
        </w:rPr>
      </w:pPr>
    </w:p>
    <w:p w14:paraId="272182F1"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3.1 Effects of Light Intensity</w:t>
      </w:r>
    </w:p>
    <w:p w14:paraId="4BA91A63" w14:textId="77777777" w:rsidR="003E4504" w:rsidRPr="003E4504" w:rsidRDefault="003E4504" w:rsidP="003E4504">
      <w:pPr>
        <w:pStyle w:val="Body"/>
        <w:rPr>
          <w:rFonts w:ascii="Arial" w:hAnsi="Arial" w:cs="Arial"/>
        </w:rPr>
      </w:pPr>
      <w:r w:rsidRPr="003E4504">
        <w:rPr>
          <w:rFonts w:ascii="Arial" w:hAnsi="Arial" w:cs="Arial"/>
        </w:rPr>
        <w:t>Plants grown under 35% daylight exhibited significantly greater height, LA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1), and SLA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2) compared to those under 65% and 100% daylight. These results align with previous studies discussing the potential benefits from shade management in agroforestry systems for </w:t>
      </w:r>
      <w:r w:rsidRPr="004F0CC6">
        <w:rPr>
          <w:rFonts w:ascii="Arial" w:hAnsi="Arial" w:cs="Arial"/>
          <w:i/>
        </w:rPr>
        <w:t>C. esculenta</w:t>
      </w:r>
      <w:r w:rsidRPr="003E4504">
        <w:rPr>
          <w:rFonts w:ascii="Arial" w:hAnsi="Arial" w:cs="Arial"/>
        </w:rPr>
        <w:t xml:space="preserve"> cropping </w:t>
      </w:r>
      <w:r w:rsidRPr="00D81EA8">
        <w:rPr>
          <w:rFonts w:ascii="Arial" w:hAnsi="Arial" w:cs="Arial"/>
        </w:rPr>
        <w:t>(Rogers &amp; Iosefa, 1993; Pant et al., 2010; Amin, et al., 2022</w:t>
      </w:r>
      <w:r w:rsidRPr="003E4504">
        <w:rPr>
          <w:rFonts w:ascii="Arial" w:hAnsi="Arial" w:cs="Arial"/>
        </w:rPr>
        <w:t xml:space="preserve">). The phenomenon can be attributed to the plant's adaptive response to limited light availability, which often leads to increased stem elongation as a mechanism to reach more favorable light conditions </w:t>
      </w:r>
      <w:r w:rsidRPr="00D81EA8">
        <w:rPr>
          <w:rFonts w:ascii="Arial" w:hAnsi="Arial" w:cs="Arial"/>
        </w:rPr>
        <w:t>(Semchenko et al., 2012</w:t>
      </w:r>
      <w:r w:rsidRPr="003E4504">
        <w:rPr>
          <w:rFonts w:ascii="Arial" w:hAnsi="Arial" w:cs="Arial"/>
        </w:rPr>
        <w:t>), and major leaf area and thinner leaves in order to optimize light interception under suboptimal light conditions, enhancing photosynthetic efficiency (</w:t>
      </w:r>
      <w:r w:rsidRPr="00D81EA8">
        <w:rPr>
          <w:rFonts w:ascii="Arial" w:hAnsi="Arial" w:cs="Arial"/>
        </w:rPr>
        <w:t xml:space="preserve">Feng &amp; van </w:t>
      </w:r>
      <w:proofErr w:type="spellStart"/>
      <w:r w:rsidRPr="00D81EA8">
        <w:rPr>
          <w:rFonts w:ascii="Arial" w:hAnsi="Arial" w:cs="Arial"/>
        </w:rPr>
        <w:t>Kleunen</w:t>
      </w:r>
      <w:proofErr w:type="spellEnd"/>
      <w:r w:rsidRPr="00D81EA8">
        <w:rPr>
          <w:rFonts w:ascii="Arial" w:hAnsi="Arial" w:cs="Arial"/>
        </w:rPr>
        <w:t>, 2014</w:t>
      </w:r>
      <w:r w:rsidRPr="003E4504">
        <w:rPr>
          <w:rFonts w:ascii="Arial" w:hAnsi="Arial" w:cs="Arial"/>
        </w:rPr>
        <w:t>). Conversely, plants grown under full sunlight had the lowest SLA values, consistent with thicker leaves that are typical of plants exposed to high light intensities, where water loss and photoinhibition become primary concerns (</w:t>
      </w:r>
      <w:r w:rsidRPr="001E2B60">
        <w:rPr>
          <w:rFonts w:ascii="Arial" w:hAnsi="Arial" w:cs="Arial"/>
        </w:rPr>
        <w:t>Valladares &amp; Niinemets, 2008</w:t>
      </w:r>
      <w:r w:rsidRPr="003E4504">
        <w:rPr>
          <w:rFonts w:ascii="Arial" w:hAnsi="Arial" w:cs="Arial"/>
        </w:rPr>
        <w:t>). Interestingly, while higher shade levels correlated with increased leaf area, they did not affect dry mass accumulation (Table 1). This finding suggests that while plants may allocate resources towards leaf expansion under shaded conditions, this does not necessarily translate into increased biomass. Such a pattern has been documented in other species where shade-induced growth strategies prioritize leaf area over structural growth (</w:t>
      </w:r>
      <w:r w:rsidRPr="001E2B60">
        <w:rPr>
          <w:rFonts w:ascii="Arial" w:hAnsi="Arial" w:cs="Arial"/>
        </w:rPr>
        <w:t>Martinez</w:t>
      </w:r>
      <w:r w:rsidRPr="001E2B60">
        <w:rPr>
          <w:rFonts w:ascii="Cambria Math" w:hAnsi="Cambria Math" w:cs="Cambria Math"/>
        </w:rPr>
        <w:t>‐</w:t>
      </w:r>
      <w:r w:rsidRPr="001E2B60">
        <w:rPr>
          <w:rFonts w:ascii="Arial" w:hAnsi="Arial" w:cs="Arial"/>
        </w:rPr>
        <w:t>Garcia &amp; Rodriguez</w:t>
      </w:r>
      <w:r w:rsidRPr="001E2B60">
        <w:rPr>
          <w:rFonts w:ascii="Cambria Math" w:hAnsi="Cambria Math" w:cs="Cambria Math"/>
        </w:rPr>
        <w:t>‐</w:t>
      </w:r>
      <w:r w:rsidRPr="001E2B60">
        <w:rPr>
          <w:rFonts w:ascii="Arial" w:hAnsi="Arial" w:cs="Arial"/>
        </w:rPr>
        <w:t>Concepcion, 2023</w:t>
      </w:r>
      <w:r w:rsidRPr="003E4504">
        <w:rPr>
          <w:rFonts w:ascii="Arial" w:hAnsi="Arial" w:cs="Arial"/>
        </w:rPr>
        <w:t>). In this study the corm mass was not affected by shade (Fig</w:t>
      </w:r>
      <w:r w:rsidR="00331545">
        <w:rPr>
          <w:rFonts w:ascii="Arial" w:hAnsi="Arial" w:cs="Arial"/>
        </w:rPr>
        <w:t>.</w:t>
      </w:r>
      <w:r w:rsidRPr="003E4504">
        <w:rPr>
          <w:rFonts w:ascii="Arial" w:hAnsi="Arial" w:cs="Arial"/>
        </w:rPr>
        <w:t xml:space="preserve"> 1), but it is noteworthy, that yield response of Chinese potato to shade can vary with the type of cultivars, with some having increase, reduction or no effect (</w:t>
      </w:r>
      <w:r w:rsidRPr="001E2B60">
        <w:rPr>
          <w:rFonts w:ascii="Arial" w:hAnsi="Arial" w:cs="Arial"/>
        </w:rPr>
        <w:t>Rogers &amp; Iosefa, 1993</w:t>
      </w:r>
      <w:r w:rsidR="00191EFB" w:rsidRPr="001E2B60">
        <w:rPr>
          <w:rFonts w:ascii="Arial" w:hAnsi="Arial" w:cs="Arial"/>
        </w:rPr>
        <w:t>, Sanou et al., 2012</w:t>
      </w:r>
      <w:r w:rsidRPr="003E4504">
        <w:rPr>
          <w:rFonts w:ascii="Arial" w:hAnsi="Arial" w:cs="Arial"/>
        </w:rPr>
        <w:t>).</w:t>
      </w:r>
    </w:p>
    <w:p w14:paraId="316622B4"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3.2 Effects of Soil Moisture</w:t>
      </w:r>
    </w:p>
    <w:p w14:paraId="364E2BF5" w14:textId="77777777" w:rsidR="003E4504" w:rsidRDefault="003E4504" w:rsidP="003E4504">
      <w:pPr>
        <w:pStyle w:val="Body"/>
        <w:rPr>
          <w:rFonts w:ascii="Arial" w:hAnsi="Arial" w:cs="Arial"/>
        </w:rPr>
      </w:pPr>
      <w:r w:rsidRPr="003E4504">
        <w:rPr>
          <w:rFonts w:ascii="Arial" w:hAnsi="Arial" w:cs="Arial"/>
        </w:rPr>
        <w:t>Water availability is another key factor that influences plant growth and physiology, particularly in water-demanding crops like Chinese potato. In this study, soil moisture levels significantly affected dry mass accumulation, with fully irrigated plants showing higher total dry mass (12.5 g/plant) compared to plants subjected to water deficit (8.4 g/plant)</w:t>
      </w:r>
      <w:r w:rsidR="00331545">
        <w:rPr>
          <w:rFonts w:ascii="Arial" w:hAnsi="Arial" w:cs="Arial"/>
        </w:rPr>
        <w:t xml:space="preserve"> (Fig. 2)</w:t>
      </w:r>
      <w:r w:rsidRPr="003E4504">
        <w:rPr>
          <w:rFonts w:ascii="Arial" w:hAnsi="Arial" w:cs="Arial"/>
        </w:rPr>
        <w:t>. The observed decrease in dry mass under deficit irrigation conditions aligns with findings from other studies that report reduced growth rates and physiological stress when Chinese potato plants experience water scarcity (</w:t>
      </w:r>
      <w:proofErr w:type="spellStart"/>
      <w:r w:rsidRPr="001E2B60">
        <w:rPr>
          <w:rFonts w:ascii="Arial" w:hAnsi="Arial" w:cs="Arial"/>
        </w:rPr>
        <w:t>Mabhaudh</w:t>
      </w:r>
      <w:proofErr w:type="spellEnd"/>
      <w:r w:rsidRPr="001E2B60">
        <w:rPr>
          <w:rFonts w:ascii="Arial" w:hAnsi="Arial" w:cs="Arial"/>
        </w:rPr>
        <w:t xml:space="preserve"> et al., 2011; Gouveia et al., 2020</w:t>
      </w:r>
      <w:r w:rsidRPr="003E4504">
        <w:rPr>
          <w:rFonts w:ascii="Arial" w:hAnsi="Arial" w:cs="Arial"/>
        </w:rPr>
        <w:t>). Fully irrigated plants also had larger leaf areas and higher RWC compared to those under 50% soil moisture (</w:t>
      </w:r>
      <w:r w:rsidR="00331545">
        <w:rPr>
          <w:rFonts w:ascii="Arial" w:hAnsi="Arial" w:cs="Arial"/>
        </w:rPr>
        <w:t xml:space="preserve">Table 1; </w:t>
      </w:r>
      <w:r w:rsidRPr="003E4504">
        <w:rPr>
          <w:rFonts w:ascii="Arial" w:hAnsi="Arial" w:cs="Arial"/>
        </w:rPr>
        <w:t>Fig</w:t>
      </w:r>
      <w:r w:rsidR="00331545">
        <w:rPr>
          <w:rFonts w:ascii="Arial" w:hAnsi="Arial" w:cs="Arial"/>
        </w:rPr>
        <w:t>.</w:t>
      </w:r>
      <w:r w:rsidRPr="003E4504">
        <w:rPr>
          <w:rFonts w:ascii="Arial" w:hAnsi="Arial" w:cs="Arial"/>
        </w:rPr>
        <w:t xml:space="preserve"> 2), further demonstrating the importance of water availability in maintaining plant growth. The reduction in leaf area under water deficit may represent a protective strategy to minimize water loss through transpiration, as smaller leaves have a lower surface area </w:t>
      </w:r>
      <w:r w:rsidRPr="003E4504">
        <w:rPr>
          <w:rFonts w:ascii="Arial" w:hAnsi="Arial" w:cs="Arial"/>
        </w:rPr>
        <w:lastRenderedPageBreak/>
        <w:t xml:space="preserve">exposed to evaporative demand </w:t>
      </w:r>
      <w:r w:rsidRPr="001E2B60">
        <w:rPr>
          <w:rFonts w:ascii="Arial" w:hAnsi="Arial" w:cs="Arial"/>
        </w:rPr>
        <w:t>(Fang &amp; Xiong, 2015</w:t>
      </w:r>
      <w:r w:rsidRPr="003E4504">
        <w:rPr>
          <w:rFonts w:ascii="Arial" w:hAnsi="Arial" w:cs="Arial"/>
        </w:rPr>
        <w:t>). This adaptation is crucial for taro, as water stress can severely limit its productivity (</w:t>
      </w:r>
      <w:proofErr w:type="spellStart"/>
      <w:r w:rsidRPr="001E2B60">
        <w:rPr>
          <w:rFonts w:ascii="Arial" w:hAnsi="Arial" w:cs="Arial"/>
        </w:rPr>
        <w:t>Mabhaudh</w:t>
      </w:r>
      <w:proofErr w:type="spellEnd"/>
      <w:r w:rsidRPr="001E2B60">
        <w:rPr>
          <w:rFonts w:ascii="Arial" w:hAnsi="Arial" w:cs="Arial"/>
        </w:rPr>
        <w:t xml:space="preserve"> et al., 2011</w:t>
      </w:r>
      <w:r w:rsidRPr="003E4504">
        <w:rPr>
          <w:rFonts w:ascii="Arial" w:hAnsi="Arial" w:cs="Arial"/>
        </w:rPr>
        <w:t xml:space="preserve">). The ability of Chinese potato to maintain relatively high RWC even under reduced irrigation suggests a degree of drought tolerance; however, it is evident that prolonged water deficit negatively impacts overall growth metrics. </w:t>
      </w:r>
    </w:p>
    <w:p w14:paraId="6FF9244D" w14:textId="77777777" w:rsidR="00050D12" w:rsidRDefault="00050D12" w:rsidP="003E4504">
      <w:pPr>
        <w:pStyle w:val="Body"/>
        <w:rPr>
          <w:rFonts w:ascii="Arial" w:hAnsi="Arial" w:cs="Arial"/>
        </w:rPr>
      </w:pPr>
      <w:r>
        <w:rPr>
          <w:noProof/>
          <w:lang w:val="es-CO" w:eastAsia="es-CO"/>
        </w:rPr>
        <w:drawing>
          <wp:inline distT="0" distB="0" distL="0" distR="0" wp14:anchorId="27113D95" wp14:editId="5B744B0E">
            <wp:extent cx="5133975" cy="4533913"/>
            <wp:effectExtent l="0" t="0" r="0" b="0"/>
            <wp:docPr id="12943579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2844" cy="4568239"/>
                    </a:xfrm>
                    <a:prstGeom prst="rect">
                      <a:avLst/>
                    </a:prstGeom>
                    <a:noFill/>
                  </pic:spPr>
                </pic:pic>
              </a:graphicData>
            </a:graphic>
          </wp:inline>
        </w:drawing>
      </w:r>
    </w:p>
    <w:p w14:paraId="43F2970F" w14:textId="77777777" w:rsidR="00050D12" w:rsidRPr="008247A6" w:rsidRDefault="00050D12" w:rsidP="00050D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050D12">
        <w:rPr>
          <w:rFonts w:ascii="Arial" w:hAnsi="Arial" w:cs="Arial"/>
          <w:b/>
          <w:bCs/>
          <w:szCs w:val="22"/>
        </w:rPr>
        <w:t xml:space="preserve">Morphological and physiological variables in </w:t>
      </w:r>
      <w:r w:rsidR="008D42C0">
        <w:rPr>
          <w:rFonts w:ascii="Arial" w:hAnsi="Arial" w:cs="Arial"/>
          <w:b/>
          <w:bCs/>
          <w:szCs w:val="22"/>
        </w:rPr>
        <w:t>Chinese potato</w:t>
      </w:r>
      <w:r w:rsidRPr="00050D12">
        <w:rPr>
          <w:rFonts w:ascii="Arial" w:hAnsi="Arial" w:cs="Arial"/>
          <w:b/>
          <w:bCs/>
          <w:szCs w:val="22"/>
        </w:rPr>
        <w:t xml:space="preserve"> plants grown with three shading conditions (0, 35%, and 65%) and two irrigation levels (full and deficit). Different letters indicate significant difference at P &lt; 0.05 as determined by the Tukey HSD test (n = 8). Vertical bars represent standard error of mean (SE).</w:t>
      </w:r>
    </w:p>
    <w:p w14:paraId="4C99E24E" w14:textId="77777777" w:rsidR="00050D12" w:rsidRDefault="00050D12" w:rsidP="003E4504">
      <w:pPr>
        <w:pStyle w:val="Body"/>
        <w:rPr>
          <w:rFonts w:ascii="Arial" w:hAnsi="Arial" w:cs="Arial"/>
        </w:rPr>
      </w:pPr>
    </w:p>
    <w:p w14:paraId="468BAB98"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 xml:space="preserve">3.3 Combined effects and interactions </w:t>
      </w:r>
    </w:p>
    <w:p w14:paraId="7742B737" w14:textId="77777777" w:rsidR="003E4504" w:rsidRDefault="003E4504" w:rsidP="003E4504">
      <w:pPr>
        <w:pStyle w:val="Body"/>
        <w:rPr>
          <w:rFonts w:ascii="Arial" w:hAnsi="Arial" w:cs="Arial"/>
        </w:rPr>
      </w:pPr>
      <w:r w:rsidRPr="003E4504">
        <w:rPr>
          <w:rFonts w:ascii="Arial" w:hAnsi="Arial" w:cs="Arial"/>
        </w:rPr>
        <w:t xml:space="preserve">The absence of significant interaction effects between light intensity and soil moisture is noteworthy. This suggests that while both factors independently influence growth parameters, their combined effects do not amplify or mitigate each other in a significant manner for Chinese potato. Such findings may indicate a level of resilience in </w:t>
      </w:r>
      <w:r w:rsidRPr="004F0CC6">
        <w:rPr>
          <w:rFonts w:ascii="Arial" w:hAnsi="Arial" w:cs="Arial"/>
          <w:i/>
        </w:rPr>
        <w:t>C. esculenta</w:t>
      </w:r>
      <w:r w:rsidRPr="003E4504">
        <w:rPr>
          <w:rFonts w:ascii="Arial" w:hAnsi="Arial" w:cs="Arial"/>
        </w:rPr>
        <w:t xml:space="preserve"> to varying environmental conditions, allowing it to adapt effectively without exhibiting compounded stress responses. This observation contrasts with other studies where interactions between light and </w:t>
      </w:r>
      <w:r w:rsidRPr="003E4504">
        <w:rPr>
          <w:rFonts w:ascii="Arial" w:hAnsi="Arial" w:cs="Arial"/>
        </w:rPr>
        <w:lastRenderedPageBreak/>
        <w:t xml:space="preserve">water availability have shown significant synergistic or antagonistic effects on plant growth </w:t>
      </w:r>
      <w:r w:rsidRPr="001E2B60">
        <w:rPr>
          <w:rFonts w:ascii="Arial" w:hAnsi="Arial" w:cs="Arial"/>
        </w:rPr>
        <w:t>(Madsen, 1994</w:t>
      </w:r>
      <w:r w:rsidR="00893A56" w:rsidRPr="001E2B60">
        <w:rPr>
          <w:rFonts w:ascii="Arial" w:hAnsi="Arial" w:cs="Arial"/>
        </w:rPr>
        <w:t>; Löf et al., 2005; Guidi et al., 2008; Silverio et al., 2024</w:t>
      </w:r>
      <w:r w:rsidRPr="003E4504">
        <w:rPr>
          <w:rFonts w:ascii="Arial" w:hAnsi="Arial" w:cs="Arial"/>
        </w:rPr>
        <w:t xml:space="preserve">). </w:t>
      </w:r>
    </w:p>
    <w:p w14:paraId="557BA061" w14:textId="77777777" w:rsidR="00002385" w:rsidRDefault="00002385" w:rsidP="003E4504">
      <w:pPr>
        <w:pStyle w:val="Body"/>
        <w:rPr>
          <w:rFonts w:ascii="Arial" w:hAnsi="Arial" w:cs="Arial"/>
        </w:rPr>
      </w:pPr>
      <w:r>
        <w:rPr>
          <w:noProof/>
          <w:lang w:val="es-CO" w:eastAsia="es-CO"/>
        </w:rPr>
        <w:drawing>
          <wp:inline distT="0" distB="0" distL="0" distR="0" wp14:anchorId="17702E55" wp14:editId="45AE28FA">
            <wp:extent cx="5802478" cy="3486150"/>
            <wp:effectExtent l="0" t="0" r="8255" b="0"/>
            <wp:docPr id="12086794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765" cy="3498338"/>
                    </a:xfrm>
                    <a:prstGeom prst="rect">
                      <a:avLst/>
                    </a:prstGeom>
                    <a:noFill/>
                  </pic:spPr>
                </pic:pic>
              </a:graphicData>
            </a:graphic>
          </wp:inline>
        </w:drawing>
      </w:r>
    </w:p>
    <w:p w14:paraId="02C49C8F" w14:textId="77777777" w:rsidR="00002385" w:rsidRDefault="00002385" w:rsidP="003E4504">
      <w:pPr>
        <w:pStyle w:val="Body"/>
        <w:rPr>
          <w:rFonts w:ascii="Arial" w:hAnsi="Arial" w:cs="Arial"/>
        </w:rPr>
      </w:pPr>
      <w:r>
        <w:rPr>
          <w:rFonts w:ascii="Arial" w:hAnsi="Arial" w:cs="Arial"/>
          <w:b/>
          <w:bCs/>
          <w:szCs w:val="22"/>
        </w:rPr>
        <w:t>Fig.</w:t>
      </w:r>
      <w:r w:rsidRPr="008247A6">
        <w:rPr>
          <w:rFonts w:ascii="Arial" w:hAnsi="Arial" w:cs="Arial"/>
          <w:b/>
          <w:bCs/>
          <w:szCs w:val="22"/>
        </w:rPr>
        <w:t xml:space="preserve"> </w:t>
      </w:r>
      <w:r w:rsidR="00331545">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8D42C0" w:rsidRPr="008D42C0">
        <w:rPr>
          <w:rFonts w:ascii="Arial" w:hAnsi="Arial" w:cs="Arial"/>
          <w:b/>
          <w:bCs/>
          <w:szCs w:val="22"/>
        </w:rPr>
        <w:t xml:space="preserve">Morphological and physiological variables in </w:t>
      </w:r>
      <w:r w:rsidR="008D42C0">
        <w:rPr>
          <w:rFonts w:ascii="Arial" w:hAnsi="Arial" w:cs="Arial"/>
          <w:b/>
          <w:bCs/>
          <w:szCs w:val="22"/>
        </w:rPr>
        <w:t>Chinese potato</w:t>
      </w:r>
      <w:r w:rsidR="008D42C0" w:rsidRPr="008D42C0">
        <w:rPr>
          <w:rFonts w:ascii="Arial" w:hAnsi="Arial" w:cs="Arial"/>
          <w:b/>
          <w:bCs/>
          <w:szCs w:val="22"/>
        </w:rPr>
        <w:t xml:space="preserve"> plants grown with three shading conditions (0, 35%, and 65%) and two irrigation levels (full and deficit). Different letters indicate significant difference at P &lt; 0.05 as determined by the Tukey HSD test (n = 8). Vertical bars represent standard error of mean (SE).</w:t>
      </w:r>
    </w:p>
    <w:p w14:paraId="4BB6BBF7" w14:textId="77777777" w:rsidR="00002385" w:rsidRPr="003E4504" w:rsidRDefault="00002385" w:rsidP="003E4504">
      <w:pPr>
        <w:pStyle w:val="Body"/>
        <w:rPr>
          <w:rFonts w:ascii="Arial" w:hAnsi="Arial" w:cs="Arial"/>
        </w:rPr>
      </w:pPr>
    </w:p>
    <w:p w14:paraId="3C55DE68" w14:textId="77777777" w:rsidR="003E4504" w:rsidRPr="00E6065F" w:rsidRDefault="003E4504" w:rsidP="003E4504">
      <w:pPr>
        <w:pStyle w:val="Body"/>
        <w:rPr>
          <w:rFonts w:ascii="Arial" w:hAnsi="Arial" w:cs="Arial"/>
          <w:b/>
          <w:sz w:val="22"/>
          <w:szCs w:val="22"/>
        </w:rPr>
      </w:pPr>
      <w:r w:rsidRPr="00E6065F">
        <w:rPr>
          <w:rFonts w:ascii="Arial" w:hAnsi="Arial" w:cs="Arial"/>
          <w:b/>
          <w:sz w:val="22"/>
          <w:szCs w:val="22"/>
        </w:rPr>
        <w:t>3.4 Practical Implications</w:t>
      </w:r>
    </w:p>
    <w:p w14:paraId="454206EF" w14:textId="77777777" w:rsidR="003E4504" w:rsidRDefault="003E4504" w:rsidP="003E4504">
      <w:pPr>
        <w:pStyle w:val="Body"/>
        <w:spacing w:after="0"/>
        <w:rPr>
          <w:rFonts w:ascii="Arial" w:hAnsi="Arial" w:cs="Arial"/>
        </w:rPr>
      </w:pPr>
      <w:r w:rsidRPr="003E4504">
        <w:rPr>
          <w:rFonts w:ascii="Arial" w:hAnsi="Arial" w:cs="Arial"/>
        </w:rPr>
        <w:t>The findings of this study have important implications for the cultivation of Chinese potato under abiotic stress. The positive effects of shading on morphological traits suggest that moderate shade (e.g., 35% daylight) may be beneficial for optimizing plant height and leaf area. This has practical relevance for agroforestry systems where shade management can improve crop performance (</w:t>
      </w:r>
      <w:r w:rsidRPr="001E2B60">
        <w:rPr>
          <w:rFonts w:ascii="Arial" w:hAnsi="Arial" w:cs="Arial"/>
        </w:rPr>
        <w:t>Rogers &amp; Iosefa, 1993</w:t>
      </w:r>
      <w:r w:rsidRPr="003E4504">
        <w:rPr>
          <w:rFonts w:ascii="Arial" w:hAnsi="Arial" w:cs="Arial"/>
        </w:rPr>
        <w:t>). Conversely, irrigation remains critical for maximizing biomass production, highlighting the need for efficient water management practices in regions prone to drought. The absence of interaction effects suggests that shading and irrigation can be managed independently to address specific environmental challenges. For example, moderate shading can mitigate heat and light stress in high-temperature regions, while adequate irrigation ensures sustained growth during dry periods.</w:t>
      </w:r>
    </w:p>
    <w:p w14:paraId="1110DFC9" w14:textId="77777777" w:rsidR="00790ADA" w:rsidRPr="00502516" w:rsidRDefault="00790ADA" w:rsidP="00441B6F">
      <w:pPr>
        <w:pStyle w:val="Body"/>
        <w:spacing w:after="0"/>
        <w:rPr>
          <w:rFonts w:ascii="Arial" w:hAnsi="Arial" w:cs="Arial"/>
        </w:rPr>
      </w:pPr>
    </w:p>
    <w:p w14:paraId="4F65D7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FB77F7" w14:textId="77777777" w:rsidR="00790ADA" w:rsidRPr="00FB3A86" w:rsidRDefault="00790ADA" w:rsidP="00441B6F">
      <w:pPr>
        <w:pStyle w:val="ConcHead"/>
        <w:spacing w:after="0"/>
        <w:jc w:val="both"/>
        <w:rPr>
          <w:rFonts w:ascii="Arial" w:hAnsi="Arial" w:cs="Arial"/>
        </w:rPr>
      </w:pPr>
    </w:p>
    <w:p w14:paraId="1A360A30" w14:textId="77777777" w:rsidR="00AE6E50" w:rsidRDefault="00AE6E50" w:rsidP="00441B6F">
      <w:pPr>
        <w:pStyle w:val="Body"/>
        <w:spacing w:after="0"/>
        <w:rPr>
          <w:rFonts w:ascii="Arial" w:hAnsi="Arial" w:cs="Arial"/>
        </w:rPr>
      </w:pPr>
      <w:r w:rsidRPr="00AE6E50">
        <w:rPr>
          <w:rFonts w:ascii="Arial" w:hAnsi="Arial" w:cs="Arial"/>
        </w:rPr>
        <w:t xml:space="preserve">This study demonstrates that light intensity and soil moisture independently influence the growth and physiology of Chinese potato, with significant effects on traits such as plant height, leaf area, SLA, and dry mass. The absence of interaction effects underscores the resilience </w:t>
      </w:r>
      <w:r w:rsidRPr="00AE6E50">
        <w:rPr>
          <w:rFonts w:ascii="Arial" w:hAnsi="Arial" w:cs="Arial"/>
        </w:rPr>
        <w:lastRenderedPageBreak/>
        <w:t>of this crop to individual stressors and provides flexibility in managing these factors. These findings inform sustainable cultivation practices for Chinese potato, particularly in regions facing abiotic stress, and highlight the need for further research on cultivar-specific adaptations and long-term stress responses</w:t>
      </w:r>
      <w:r w:rsidR="00104054">
        <w:rPr>
          <w:rFonts w:ascii="Arial" w:hAnsi="Arial" w:cs="Arial"/>
        </w:rPr>
        <w:t>.</w:t>
      </w:r>
    </w:p>
    <w:p w14:paraId="2631838B" w14:textId="77777777" w:rsidR="00790ADA" w:rsidRPr="00FB3A86" w:rsidRDefault="00790ADA" w:rsidP="00441B6F">
      <w:pPr>
        <w:pStyle w:val="Body"/>
        <w:spacing w:after="0"/>
        <w:rPr>
          <w:rFonts w:ascii="Arial" w:hAnsi="Arial" w:cs="Arial"/>
        </w:rPr>
      </w:pPr>
    </w:p>
    <w:p w14:paraId="06ED308B" w14:textId="77777777" w:rsidR="00331545" w:rsidRDefault="00331545" w:rsidP="00441B6F">
      <w:pPr>
        <w:pStyle w:val="ReferHead"/>
        <w:spacing w:after="0"/>
        <w:jc w:val="both"/>
        <w:rPr>
          <w:rFonts w:ascii="Arial" w:hAnsi="Arial" w:cs="Arial"/>
          <w:b w:val="0"/>
          <w:caps w:val="0"/>
          <w:sz w:val="20"/>
          <w:u w:val="single"/>
        </w:rPr>
      </w:pPr>
    </w:p>
    <w:p w14:paraId="546BFE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037265" w14:textId="77777777" w:rsidR="00790ADA" w:rsidRDefault="00790ADA" w:rsidP="00441B6F">
      <w:pPr>
        <w:pStyle w:val="ReferHead"/>
        <w:spacing w:after="0"/>
        <w:jc w:val="both"/>
        <w:rPr>
          <w:rFonts w:ascii="Arial" w:hAnsi="Arial" w:cs="Arial"/>
        </w:rPr>
      </w:pPr>
    </w:p>
    <w:p w14:paraId="7548694D" w14:textId="77777777" w:rsidR="00AF4B2A" w:rsidRPr="00D81EA8" w:rsidRDefault="00AE4E82" w:rsidP="00441B6F">
      <w:pPr>
        <w:pStyle w:val="Body"/>
        <w:spacing w:after="0"/>
        <w:rPr>
          <w:lang w:val="es-CO"/>
        </w:rPr>
      </w:pPr>
      <w:r w:rsidRPr="00331545">
        <w:t xml:space="preserve">Ararat, M. C. A., Garcés, C. L. S., &amp; Rivera, C. H. (2014). </w:t>
      </w:r>
      <w:r w:rsidRPr="00AE4E82">
        <w:rPr>
          <w:lang w:val="es-CO"/>
        </w:rPr>
        <w:t>Valoraciones agronómicas y de rendimiento en la cosecha de “papa china” (</w:t>
      </w:r>
      <w:r w:rsidRPr="0050343F">
        <w:rPr>
          <w:i/>
          <w:lang w:val="es-CO"/>
        </w:rPr>
        <w:t xml:space="preserve">Colocasia </w:t>
      </w:r>
      <w:proofErr w:type="spellStart"/>
      <w:r w:rsidRPr="0050343F">
        <w:rPr>
          <w:i/>
          <w:lang w:val="es-CO"/>
        </w:rPr>
        <w:t>esculenta</w:t>
      </w:r>
      <w:proofErr w:type="spellEnd"/>
      <w:r w:rsidRPr="00AE4E82">
        <w:rPr>
          <w:lang w:val="es-CO"/>
        </w:rPr>
        <w:t xml:space="preserve"> L.) en el trópico húmedo colombiano. </w:t>
      </w:r>
      <w:r w:rsidRPr="00D81EA8">
        <w:rPr>
          <w:lang w:val="es-CO"/>
        </w:rPr>
        <w:t>Revista de Investigación Agraria y Ambiental, 5(2), 169-180.</w:t>
      </w:r>
      <w:r w:rsidR="002A6518" w:rsidRPr="00D81EA8">
        <w:rPr>
          <w:lang w:val="es-CO"/>
        </w:rPr>
        <w:t xml:space="preserve"> https://doi.org/10.22490/21456453.1335</w:t>
      </w:r>
    </w:p>
    <w:p w14:paraId="75FC9C4A" w14:textId="77777777" w:rsidR="00AE4E82" w:rsidRDefault="00AE4E82" w:rsidP="00441B6F">
      <w:pPr>
        <w:pStyle w:val="Body"/>
        <w:spacing w:after="0"/>
        <w:rPr>
          <w:lang w:val="es-CO"/>
        </w:rPr>
      </w:pPr>
    </w:p>
    <w:p w14:paraId="7704C3AE" w14:textId="77777777" w:rsidR="00AE4E82" w:rsidRPr="00D81EA8" w:rsidRDefault="00AE4E82" w:rsidP="00441B6F">
      <w:pPr>
        <w:pStyle w:val="Body"/>
        <w:spacing w:after="0"/>
        <w:rPr>
          <w:lang w:val="es-CO"/>
        </w:rPr>
      </w:pPr>
      <w:r w:rsidRPr="00AE4E82">
        <w:rPr>
          <w:lang w:val="es-CO"/>
        </w:rPr>
        <w:t>Lozada, A. (2005). Producción del cultivo de papa china (</w:t>
      </w:r>
      <w:r w:rsidRPr="0050343F">
        <w:rPr>
          <w:i/>
          <w:lang w:val="es-CO"/>
        </w:rPr>
        <w:t xml:space="preserve">Colocasia </w:t>
      </w:r>
      <w:proofErr w:type="spellStart"/>
      <w:r w:rsidRPr="0050343F">
        <w:rPr>
          <w:i/>
          <w:lang w:val="es-CO"/>
        </w:rPr>
        <w:t>esculenta</w:t>
      </w:r>
      <w:proofErr w:type="spellEnd"/>
      <w:r w:rsidRPr="00AE4E82">
        <w:rPr>
          <w:lang w:val="es-CO"/>
        </w:rPr>
        <w:t xml:space="preserve">) utilizando dos métodos de propagación asexual bajo cuatro niveles de fertilización orgánica. </w:t>
      </w:r>
      <w:r w:rsidRPr="00D81EA8">
        <w:rPr>
          <w:lang w:val="es-CO"/>
        </w:rPr>
        <w:t>Quito: ESPE.</w:t>
      </w:r>
    </w:p>
    <w:p w14:paraId="0CD3F3B5" w14:textId="77777777" w:rsidR="00AE4E82" w:rsidRDefault="00AE4E82" w:rsidP="00AE4E82">
      <w:pPr>
        <w:pStyle w:val="Body"/>
        <w:spacing w:after="0"/>
        <w:rPr>
          <w:lang w:val="es-CO"/>
        </w:rPr>
      </w:pPr>
    </w:p>
    <w:p w14:paraId="3A392638" w14:textId="77777777" w:rsidR="00AE4E82" w:rsidRPr="00115ED8" w:rsidRDefault="00AE4E82" w:rsidP="00AE4E82">
      <w:pPr>
        <w:pStyle w:val="Body"/>
        <w:spacing w:after="0"/>
        <w:rPr>
          <w:lang w:val="es-CO"/>
        </w:rPr>
      </w:pPr>
      <w:r w:rsidRPr="00AF4B2A">
        <w:rPr>
          <w:lang w:val="es-CO"/>
        </w:rPr>
        <w:t xml:space="preserve">Lasso-Rivas N.L. &amp; </w:t>
      </w:r>
      <w:proofErr w:type="spellStart"/>
      <w:r w:rsidRPr="00AF4B2A">
        <w:rPr>
          <w:lang w:val="es-CO"/>
        </w:rPr>
        <w:t>Cundumí</w:t>
      </w:r>
      <w:proofErr w:type="spellEnd"/>
      <w:r w:rsidRPr="00AF4B2A">
        <w:rPr>
          <w:lang w:val="es-CO"/>
        </w:rPr>
        <w:t xml:space="preserve">- </w:t>
      </w:r>
      <w:proofErr w:type="spellStart"/>
      <w:r w:rsidRPr="00AF4B2A">
        <w:rPr>
          <w:lang w:val="es-CO"/>
        </w:rPr>
        <w:t>Jori</w:t>
      </w:r>
      <w:proofErr w:type="spellEnd"/>
      <w:r w:rsidRPr="00AF4B2A">
        <w:rPr>
          <w:lang w:val="es-CO"/>
        </w:rPr>
        <w:t xml:space="preserve"> I. (2016). Efecto de abono orgánico y densidad de siembra en crecimiento y producción de papa china (</w:t>
      </w:r>
      <w:r w:rsidRPr="0050343F">
        <w:rPr>
          <w:i/>
          <w:lang w:val="es-CO"/>
        </w:rPr>
        <w:t xml:space="preserve">Colocasia </w:t>
      </w:r>
      <w:proofErr w:type="spellStart"/>
      <w:r w:rsidRPr="0050343F">
        <w:rPr>
          <w:i/>
          <w:lang w:val="es-CO"/>
        </w:rPr>
        <w:t>esculenta</w:t>
      </w:r>
      <w:proofErr w:type="spellEnd"/>
      <w:r w:rsidRPr="00AF4B2A">
        <w:rPr>
          <w:lang w:val="es-CO"/>
        </w:rPr>
        <w:t xml:space="preserve"> L.) </w:t>
      </w:r>
      <w:r w:rsidRPr="00115ED8">
        <w:rPr>
          <w:lang w:val="es-CO"/>
        </w:rPr>
        <w:t>Revista de Investigación Agraria y Ambiental. 7 (1). 8.</w:t>
      </w:r>
      <w:r w:rsidR="002A6518" w:rsidRPr="00D81EA8">
        <w:rPr>
          <w:lang w:val="es-CO"/>
        </w:rPr>
        <w:t xml:space="preserve"> </w:t>
      </w:r>
      <w:r w:rsidR="002A6518" w:rsidRPr="002A6518">
        <w:rPr>
          <w:lang w:val="es-CO"/>
        </w:rPr>
        <w:t>https://doi.org/10.22490/21456453.1535</w:t>
      </w:r>
    </w:p>
    <w:p w14:paraId="3D7C066A" w14:textId="77777777" w:rsidR="00115ED8" w:rsidRDefault="00115ED8" w:rsidP="00441B6F">
      <w:pPr>
        <w:pStyle w:val="Body"/>
        <w:spacing w:after="0"/>
        <w:rPr>
          <w:lang w:val="es-CO"/>
        </w:rPr>
      </w:pPr>
    </w:p>
    <w:p w14:paraId="5A0EE2B4" w14:textId="77777777" w:rsidR="00AE4E82" w:rsidRDefault="00115ED8" w:rsidP="00441B6F">
      <w:pPr>
        <w:pStyle w:val="Body"/>
        <w:spacing w:after="0"/>
      </w:pPr>
      <w:proofErr w:type="spellStart"/>
      <w:r w:rsidRPr="00D81EA8">
        <w:rPr>
          <w:lang w:val="es-CO"/>
        </w:rPr>
        <w:t>Sanou</w:t>
      </w:r>
      <w:proofErr w:type="spellEnd"/>
      <w:r w:rsidRPr="00D81EA8">
        <w:rPr>
          <w:lang w:val="es-CO"/>
        </w:rPr>
        <w:t xml:space="preserve">, J., </w:t>
      </w:r>
      <w:proofErr w:type="spellStart"/>
      <w:r w:rsidRPr="00D81EA8">
        <w:rPr>
          <w:lang w:val="es-CO"/>
        </w:rPr>
        <w:t>Bayala</w:t>
      </w:r>
      <w:proofErr w:type="spellEnd"/>
      <w:r w:rsidRPr="00D81EA8">
        <w:rPr>
          <w:lang w:val="es-CO"/>
        </w:rPr>
        <w:t xml:space="preserve">, J., </w:t>
      </w:r>
      <w:proofErr w:type="spellStart"/>
      <w:r w:rsidRPr="00D81EA8">
        <w:rPr>
          <w:lang w:val="es-CO"/>
        </w:rPr>
        <w:t>Teklehaimanot</w:t>
      </w:r>
      <w:proofErr w:type="spellEnd"/>
      <w:r w:rsidRPr="00D81EA8">
        <w:rPr>
          <w:lang w:val="es-CO"/>
        </w:rPr>
        <w:t xml:space="preserve">, Z., &amp; </w:t>
      </w:r>
      <w:proofErr w:type="spellStart"/>
      <w:r w:rsidRPr="00D81EA8">
        <w:rPr>
          <w:lang w:val="es-CO"/>
        </w:rPr>
        <w:t>Bazié</w:t>
      </w:r>
      <w:proofErr w:type="spellEnd"/>
      <w:r w:rsidRPr="00D81EA8">
        <w:rPr>
          <w:lang w:val="es-CO"/>
        </w:rPr>
        <w:t xml:space="preserve">, P. (2012). </w:t>
      </w:r>
      <w:r w:rsidRPr="00115ED8">
        <w:t>Effect of shading by baobab (</w:t>
      </w:r>
      <w:proofErr w:type="spellStart"/>
      <w:r w:rsidRPr="0050343F">
        <w:rPr>
          <w:i/>
        </w:rPr>
        <w:t>Adansonia</w:t>
      </w:r>
      <w:proofErr w:type="spellEnd"/>
      <w:r w:rsidRPr="0050343F">
        <w:rPr>
          <w:i/>
        </w:rPr>
        <w:t xml:space="preserve"> </w:t>
      </w:r>
      <w:proofErr w:type="spellStart"/>
      <w:r w:rsidRPr="0050343F">
        <w:rPr>
          <w:i/>
        </w:rPr>
        <w:t>digitata</w:t>
      </w:r>
      <w:proofErr w:type="spellEnd"/>
      <w:r w:rsidRPr="00115ED8">
        <w:t xml:space="preserve">) and </w:t>
      </w:r>
      <w:proofErr w:type="spellStart"/>
      <w:r w:rsidRPr="00115ED8">
        <w:t>néré</w:t>
      </w:r>
      <w:proofErr w:type="spellEnd"/>
      <w:r w:rsidRPr="00115ED8">
        <w:t xml:space="preserve"> (</w:t>
      </w:r>
      <w:proofErr w:type="spellStart"/>
      <w:r w:rsidRPr="0050343F">
        <w:rPr>
          <w:i/>
        </w:rPr>
        <w:t>Parkia</w:t>
      </w:r>
      <w:proofErr w:type="spellEnd"/>
      <w:r w:rsidRPr="0050343F">
        <w:rPr>
          <w:i/>
        </w:rPr>
        <w:t xml:space="preserve"> </w:t>
      </w:r>
      <w:proofErr w:type="spellStart"/>
      <w:r w:rsidRPr="0050343F">
        <w:rPr>
          <w:i/>
        </w:rPr>
        <w:t>biglobosa</w:t>
      </w:r>
      <w:proofErr w:type="spellEnd"/>
      <w:r w:rsidRPr="00115ED8">
        <w:t>) on yields of millet (</w:t>
      </w:r>
      <w:r w:rsidRPr="0050343F">
        <w:rPr>
          <w:i/>
        </w:rPr>
        <w:t>Pennisetum glaucum</w:t>
      </w:r>
      <w:r w:rsidRPr="00115ED8">
        <w:t>) and taro (</w:t>
      </w:r>
      <w:r w:rsidRPr="0050343F">
        <w:rPr>
          <w:i/>
        </w:rPr>
        <w:t>Colocasia esculenta</w:t>
      </w:r>
      <w:r w:rsidRPr="00115ED8">
        <w:t>) in parkland systems in Burkina Faso, West Africa. Agroforestry Systems, 85, 431-441.</w:t>
      </w:r>
      <w:r w:rsidR="002A6518" w:rsidRPr="002A6518">
        <w:t xml:space="preserve"> https://doi.org/10.1007/s10457-011-9405-4</w:t>
      </w:r>
    </w:p>
    <w:p w14:paraId="081BF733" w14:textId="77777777" w:rsidR="00115ED8" w:rsidRDefault="00115ED8" w:rsidP="00441B6F">
      <w:pPr>
        <w:pStyle w:val="Body"/>
        <w:spacing w:after="0"/>
      </w:pPr>
    </w:p>
    <w:p w14:paraId="33E710E8" w14:textId="77777777" w:rsidR="00115ED8" w:rsidRDefault="00115ED8" w:rsidP="00441B6F">
      <w:pPr>
        <w:pStyle w:val="Body"/>
        <w:spacing w:after="0"/>
      </w:pPr>
      <w:proofErr w:type="spellStart"/>
      <w:r w:rsidRPr="00115ED8">
        <w:t>Mabhaudhi</w:t>
      </w:r>
      <w:proofErr w:type="spellEnd"/>
      <w:r w:rsidRPr="00115ED8">
        <w:t xml:space="preserve">, T., Modi, A. T., &amp; </w:t>
      </w:r>
      <w:proofErr w:type="spellStart"/>
      <w:r w:rsidRPr="00115ED8">
        <w:t>Beletse</w:t>
      </w:r>
      <w:proofErr w:type="spellEnd"/>
      <w:r w:rsidRPr="00115ED8">
        <w:t>, Y. G. (2011, June). Growth response of selected taro [</w:t>
      </w:r>
      <w:r w:rsidRPr="0050343F">
        <w:rPr>
          <w:i/>
        </w:rPr>
        <w:t>Colocasia esculenta</w:t>
      </w:r>
      <w:r w:rsidRPr="00115ED8">
        <w:t xml:space="preserve"> (L.) </w:t>
      </w:r>
      <w:proofErr w:type="spellStart"/>
      <w:r w:rsidRPr="00115ED8">
        <w:t>schott</w:t>
      </w:r>
      <w:proofErr w:type="spellEnd"/>
      <w:r w:rsidRPr="00115ED8">
        <w:t>] landraces to water stress. In II International Symposium on Underutilized Plant Species: Crops for the Future-Beyond Food Security 979 (pp. 327-334).</w:t>
      </w:r>
    </w:p>
    <w:p w14:paraId="428062A8" w14:textId="77777777" w:rsidR="009E107A" w:rsidRDefault="009E107A" w:rsidP="00441B6F">
      <w:pPr>
        <w:pStyle w:val="Body"/>
        <w:spacing w:after="0"/>
      </w:pPr>
    </w:p>
    <w:p w14:paraId="5255A0B8" w14:textId="77777777" w:rsidR="009E107A" w:rsidRDefault="0050343F" w:rsidP="0050343F">
      <w:pPr>
        <w:pStyle w:val="Body"/>
      </w:pPr>
      <w:proofErr w:type="spellStart"/>
      <w:r>
        <w:t>Lebot</w:t>
      </w:r>
      <w:proofErr w:type="spellEnd"/>
      <w:r>
        <w:t>, V., 2009. Tropical root and tuber crops: cassava, sweet potato, yams and aroids. CABI, Reading, UK</w:t>
      </w:r>
    </w:p>
    <w:p w14:paraId="3A039CF1" w14:textId="77777777" w:rsidR="0050343F" w:rsidRDefault="0050343F" w:rsidP="0050343F">
      <w:pPr>
        <w:pStyle w:val="Body"/>
      </w:pPr>
      <w:r w:rsidRPr="0050343F">
        <w:t xml:space="preserve">Gouveia, C. S., </w:t>
      </w:r>
      <w:proofErr w:type="spellStart"/>
      <w:r w:rsidRPr="0050343F">
        <w:t>Lebot</w:t>
      </w:r>
      <w:proofErr w:type="spellEnd"/>
      <w:r w:rsidRPr="0050343F">
        <w:t>, V., &amp; Pinheiro de Carvalho, M. (2020). NIRS estimation of drought stress on chemical quality constituents of taro (</w:t>
      </w:r>
      <w:r w:rsidRPr="0050343F">
        <w:rPr>
          <w:i/>
        </w:rPr>
        <w:t>Colocasia esculenta</w:t>
      </w:r>
      <w:r w:rsidRPr="0050343F">
        <w:t xml:space="preserve"> L.) and sweet potato (Ipomoea batatas L.) flours. Applied Sciences, 10(23), 8724.</w:t>
      </w:r>
      <w:r w:rsidR="002A6518" w:rsidRPr="002A6518">
        <w:t xml:space="preserve"> https://doi.org/10.3390/app10238724</w:t>
      </w:r>
    </w:p>
    <w:p w14:paraId="37A8AB2F" w14:textId="77777777" w:rsidR="008F585B" w:rsidRDefault="004F0CC6" w:rsidP="0050343F">
      <w:pPr>
        <w:pStyle w:val="Body"/>
      </w:pPr>
      <w:r w:rsidRPr="004F0CC6">
        <w:t>Turner, N. C. (1981). Techniques and experimental approaches for the measurement of plant water status. Plant and soil, 58, 339-366.</w:t>
      </w:r>
    </w:p>
    <w:p w14:paraId="5CBBF78C" w14:textId="77777777" w:rsidR="004F0CC6" w:rsidRDefault="004F0CC6" w:rsidP="0050343F">
      <w:pPr>
        <w:pStyle w:val="Body"/>
      </w:pPr>
      <w:r w:rsidRPr="004F0CC6">
        <w:t>Rogers, S., &amp; Iosefa, T. (1993). Potentials for shade management in agroforestry systems for taro cropping.</w:t>
      </w:r>
    </w:p>
    <w:p w14:paraId="3214AF05" w14:textId="77777777" w:rsidR="004F0CC6" w:rsidRDefault="004F0CC6" w:rsidP="0050343F">
      <w:pPr>
        <w:pStyle w:val="Body"/>
      </w:pPr>
      <w:r w:rsidRPr="004F0CC6">
        <w:t xml:space="preserve">Pant, K. S., Mishra, V. K., </w:t>
      </w:r>
      <w:proofErr w:type="spellStart"/>
      <w:r w:rsidRPr="004F0CC6">
        <w:t>Sanwal</w:t>
      </w:r>
      <w:proofErr w:type="spellEnd"/>
      <w:r w:rsidRPr="004F0CC6">
        <w:t xml:space="preserve">, C. S., &amp; </w:t>
      </w:r>
      <w:proofErr w:type="spellStart"/>
      <w:r w:rsidRPr="004F0CC6">
        <w:t>Dinssa</w:t>
      </w:r>
      <w:proofErr w:type="spellEnd"/>
      <w:r w:rsidRPr="004F0CC6">
        <w:t>, K. U. (2010). Effect of nitrogen and poplar spacing on yield and nutrients content of Taro (</w:t>
      </w:r>
      <w:r w:rsidRPr="004F0CC6">
        <w:rPr>
          <w:i/>
        </w:rPr>
        <w:t>Colocasia esculenta</w:t>
      </w:r>
      <w:r w:rsidRPr="004F0CC6">
        <w:t xml:space="preserve"> L.). Indian Journal of Agroforestry, 12(1).</w:t>
      </w:r>
    </w:p>
    <w:p w14:paraId="5E8B21A4" w14:textId="77777777" w:rsidR="009E107A" w:rsidRDefault="003A6AFE" w:rsidP="00441B6F">
      <w:pPr>
        <w:pStyle w:val="Body"/>
        <w:spacing w:after="0"/>
      </w:pPr>
      <w:r w:rsidRPr="003A6AFE">
        <w:t xml:space="preserve">Amin, M. H. A., Sumi, S., </w:t>
      </w:r>
      <w:proofErr w:type="spellStart"/>
      <w:r w:rsidRPr="003A6AFE">
        <w:t>Jutidamrongphan</w:t>
      </w:r>
      <w:proofErr w:type="spellEnd"/>
      <w:r w:rsidRPr="003A6AFE">
        <w:t xml:space="preserve">, W., &amp; </w:t>
      </w:r>
      <w:proofErr w:type="spellStart"/>
      <w:r w:rsidRPr="003A6AFE">
        <w:t>Techato</w:t>
      </w:r>
      <w:proofErr w:type="spellEnd"/>
      <w:r w:rsidRPr="003A6AFE">
        <w:t>, K. A. (2022). Economic potentiality of Colocasia esculenta L. under multipurpose tree-based agroforestry systems. Asian J Agric &amp; Biol. 3, 1-10. DOI: 10.35495/ajab.2021.01.059</w:t>
      </w:r>
    </w:p>
    <w:p w14:paraId="1A966DB7" w14:textId="77777777" w:rsidR="003A6AFE" w:rsidRDefault="003A6AFE" w:rsidP="00441B6F">
      <w:pPr>
        <w:pStyle w:val="Body"/>
        <w:spacing w:after="0"/>
      </w:pPr>
    </w:p>
    <w:p w14:paraId="17FBD6DB" w14:textId="77777777" w:rsidR="00B93437" w:rsidRDefault="00B93437" w:rsidP="00441B6F">
      <w:pPr>
        <w:pStyle w:val="Body"/>
        <w:spacing w:after="0"/>
      </w:pPr>
      <w:r w:rsidRPr="00B93437">
        <w:lastRenderedPageBreak/>
        <w:t xml:space="preserve">Semchenko, M., Lepik, M., </w:t>
      </w:r>
      <w:proofErr w:type="spellStart"/>
      <w:r w:rsidRPr="00B93437">
        <w:t>Götzenberger</w:t>
      </w:r>
      <w:proofErr w:type="spellEnd"/>
      <w:r w:rsidRPr="00B93437">
        <w:t xml:space="preserve">, L., &amp; Zobel, K. (2012). Positive effect of shade on plant growth: amelioration of stress or active regulation of growth </w:t>
      </w:r>
      <w:proofErr w:type="gramStart"/>
      <w:r w:rsidRPr="00B93437">
        <w:t>rate?.</w:t>
      </w:r>
      <w:proofErr w:type="gramEnd"/>
      <w:r w:rsidRPr="00B93437">
        <w:t xml:space="preserve"> Journal of ecology, 100(2), 459-466.</w:t>
      </w:r>
      <w:r w:rsidR="002A6518" w:rsidRPr="002A6518">
        <w:t xml:space="preserve"> https://doi.org/10.1111/j.1365-2745.2011.01936.x</w:t>
      </w:r>
    </w:p>
    <w:p w14:paraId="336E4D13" w14:textId="77777777" w:rsidR="00B93437" w:rsidRDefault="00B93437" w:rsidP="00441B6F">
      <w:pPr>
        <w:pStyle w:val="Body"/>
        <w:spacing w:after="0"/>
      </w:pPr>
    </w:p>
    <w:p w14:paraId="298FB09D" w14:textId="77777777" w:rsidR="00B93437" w:rsidRDefault="008A7C80" w:rsidP="00441B6F">
      <w:pPr>
        <w:pStyle w:val="Body"/>
        <w:spacing w:after="0"/>
      </w:pPr>
      <w:r w:rsidRPr="00D81EA8">
        <w:t xml:space="preserve">Feng Y, van </w:t>
      </w:r>
      <w:proofErr w:type="spellStart"/>
      <w:r w:rsidRPr="00D81EA8">
        <w:t>Kleunen</w:t>
      </w:r>
      <w:proofErr w:type="spellEnd"/>
      <w:r w:rsidRPr="00D81EA8">
        <w:t xml:space="preserve"> M. (2014). </w:t>
      </w:r>
      <w:r w:rsidRPr="008A7C80">
        <w:t>Responses to shading of naturalized and nonnaturalized exotic woody species. Annals of Botany 114: 981–989.</w:t>
      </w:r>
      <w:r w:rsidR="002A6518" w:rsidRPr="002A6518">
        <w:t xml:space="preserve"> https://doi.org/10.1093/aob/mcu163</w:t>
      </w:r>
    </w:p>
    <w:p w14:paraId="0877414B" w14:textId="77777777" w:rsidR="008A7C80" w:rsidRDefault="008A7C80" w:rsidP="00441B6F">
      <w:pPr>
        <w:pStyle w:val="Body"/>
        <w:spacing w:after="0"/>
      </w:pPr>
    </w:p>
    <w:p w14:paraId="62108DF2" w14:textId="77777777" w:rsidR="008A7C80" w:rsidRDefault="008A7C80" w:rsidP="00441B6F">
      <w:pPr>
        <w:pStyle w:val="Body"/>
        <w:spacing w:after="0"/>
      </w:pPr>
      <w:r w:rsidRPr="008A7C80">
        <w:t>Valladares F. &amp; Niinemets U. (2008). Shade tolerance, a key plant feature of complex nature and consequences. Annual Review of Ecology, Evolution, and Systematics 39: 237–257.</w:t>
      </w:r>
      <w:r w:rsidR="00EC0CAB" w:rsidRPr="00EC0CAB">
        <w:t xml:space="preserve"> https://doi.org/10.1146/annurev.ecolsys.39.110707.173506</w:t>
      </w:r>
    </w:p>
    <w:p w14:paraId="3022637E" w14:textId="77777777" w:rsidR="008A7C80" w:rsidRDefault="008A7C80" w:rsidP="00441B6F">
      <w:pPr>
        <w:pStyle w:val="Body"/>
        <w:spacing w:after="0"/>
      </w:pPr>
    </w:p>
    <w:p w14:paraId="324FA5CD" w14:textId="77777777" w:rsidR="008A7C80" w:rsidRDefault="008A7C80" w:rsidP="00441B6F">
      <w:pPr>
        <w:pStyle w:val="Body"/>
        <w:spacing w:after="0"/>
      </w:pPr>
      <w:proofErr w:type="spellStart"/>
      <w:r w:rsidRPr="008A7C80">
        <w:rPr>
          <w:lang w:val="es-CO"/>
        </w:rPr>
        <w:t>Martinez</w:t>
      </w:r>
      <w:r w:rsidRPr="008A7C80">
        <w:rPr>
          <w:rFonts w:ascii="Cambria Math" w:hAnsi="Cambria Math" w:cs="Cambria Math"/>
          <w:lang w:val="es-CO"/>
        </w:rPr>
        <w:t>‐</w:t>
      </w:r>
      <w:r w:rsidRPr="008A7C80">
        <w:rPr>
          <w:lang w:val="es-CO"/>
        </w:rPr>
        <w:t>Garcia</w:t>
      </w:r>
      <w:proofErr w:type="spellEnd"/>
      <w:r w:rsidRPr="008A7C80">
        <w:rPr>
          <w:lang w:val="es-CO"/>
        </w:rPr>
        <w:t xml:space="preserve">, J. F., &amp; </w:t>
      </w:r>
      <w:proofErr w:type="spellStart"/>
      <w:r w:rsidRPr="008A7C80">
        <w:rPr>
          <w:lang w:val="es-CO"/>
        </w:rPr>
        <w:t>Rodriguez</w:t>
      </w:r>
      <w:r w:rsidRPr="008A7C80">
        <w:rPr>
          <w:rFonts w:ascii="Cambria Math" w:hAnsi="Cambria Math" w:cs="Cambria Math"/>
          <w:lang w:val="es-CO"/>
        </w:rPr>
        <w:t>‐</w:t>
      </w:r>
      <w:r w:rsidRPr="008A7C80">
        <w:rPr>
          <w:lang w:val="es-CO"/>
        </w:rPr>
        <w:t>Concepcion</w:t>
      </w:r>
      <w:proofErr w:type="spellEnd"/>
      <w:r w:rsidRPr="008A7C80">
        <w:rPr>
          <w:lang w:val="es-CO"/>
        </w:rPr>
        <w:t xml:space="preserve">, M. (2023). </w:t>
      </w:r>
      <w:r w:rsidRPr="008A7C80">
        <w:t>Molecular mechanisms of shade tolerance in plants. New Phytologist, 239(4), 1190-1202.</w:t>
      </w:r>
      <w:r w:rsidR="00EC0CAB" w:rsidRPr="00EC0CAB">
        <w:t xml:space="preserve"> https://doi.org/10.1111/nph.19047</w:t>
      </w:r>
    </w:p>
    <w:p w14:paraId="349878D3" w14:textId="77777777" w:rsidR="008A7C80" w:rsidRDefault="008A7C80" w:rsidP="00441B6F">
      <w:pPr>
        <w:pStyle w:val="Body"/>
        <w:spacing w:after="0"/>
      </w:pPr>
    </w:p>
    <w:p w14:paraId="585FF7D7" w14:textId="77777777" w:rsidR="008A7C80" w:rsidRDefault="00186FD8" w:rsidP="00441B6F">
      <w:pPr>
        <w:pStyle w:val="Body"/>
        <w:spacing w:after="0"/>
      </w:pPr>
      <w:r w:rsidRPr="00186FD8">
        <w:rPr>
          <w:lang w:val="es-CO"/>
        </w:rPr>
        <w:t xml:space="preserve">Gouveia, C. S., </w:t>
      </w:r>
      <w:proofErr w:type="spellStart"/>
      <w:r w:rsidRPr="00186FD8">
        <w:rPr>
          <w:lang w:val="es-CO"/>
        </w:rPr>
        <w:t>Ganança</w:t>
      </w:r>
      <w:proofErr w:type="spellEnd"/>
      <w:r w:rsidRPr="00186FD8">
        <w:rPr>
          <w:lang w:val="es-CO"/>
        </w:rPr>
        <w:t xml:space="preserve">, J. F., de Nóbrega, H. G., de Freitas, J. G., </w:t>
      </w:r>
      <w:proofErr w:type="spellStart"/>
      <w:r w:rsidRPr="00186FD8">
        <w:rPr>
          <w:lang w:val="es-CO"/>
        </w:rPr>
        <w:t>Lebot</w:t>
      </w:r>
      <w:proofErr w:type="spellEnd"/>
      <w:r w:rsidRPr="00186FD8">
        <w:rPr>
          <w:lang w:val="es-CO"/>
        </w:rPr>
        <w:t xml:space="preserve">, V., &amp; </w:t>
      </w:r>
      <w:proofErr w:type="spellStart"/>
      <w:r w:rsidRPr="00186FD8">
        <w:rPr>
          <w:lang w:val="es-CO"/>
        </w:rPr>
        <w:t>Pinheiro</w:t>
      </w:r>
      <w:proofErr w:type="spellEnd"/>
      <w:r w:rsidRPr="00186FD8">
        <w:rPr>
          <w:lang w:val="es-CO"/>
        </w:rPr>
        <w:t xml:space="preserve"> de Carvalho, M. A. (2020). </w:t>
      </w:r>
      <w:r w:rsidRPr="00186FD8">
        <w:t>Phenotypic flexibility and drought avoidance in taro (Colocasia esculenta (L.) Schott). Emirates Journal of Food and Agriculture. 32(2): 150-159</w:t>
      </w:r>
      <w:r w:rsidR="00EC0CAB">
        <w:t xml:space="preserve">. </w:t>
      </w:r>
      <w:r w:rsidR="00EC0CAB" w:rsidRPr="00EC0CAB">
        <w:t>DOI:10.9755/</w:t>
      </w:r>
      <w:proofErr w:type="gramStart"/>
      <w:r w:rsidR="00EC0CAB" w:rsidRPr="00EC0CAB">
        <w:t>ejfa.2020.v</w:t>
      </w:r>
      <w:proofErr w:type="gramEnd"/>
      <w:r w:rsidR="00EC0CAB" w:rsidRPr="00EC0CAB">
        <w:t>32.i2.2075</w:t>
      </w:r>
    </w:p>
    <w:p w14:paraId="74B3CDFE" w14:textId="77777777" w:rsidR="00B93437" w:rsidRDefault="00B93437" w:rsidP="00441B6F">
      <w:pPr>
        <w:pStyle w:val="Body"/>
        <w:spacing w:after="0"/>
      </w:pPr>
    </w:p>
    <w:p w14:paraId="30F26FC7" w14:textId="77777777" w:rsidR="00186FD8" w:rsidRDefault="00186FD8" w:rsidP="00441B6F">
      <w:pPr>
        <w:pStyle w:val="Body"/>
        <w:spacing w:after="0"/>
      </w:pPr>
      <w:r w:rsidRPr="00186FD8">
        <w:t>Fang, Y., &amp; Xiong, L. (2015). General mechanisms of drought response and their application in drought resistance improvement in plants. Cellular and molecular life sciences, 72, 673-689</w:t>
      </w:r>
      <w:r w:rsidR="00342C6B">
        <w:t>. DOI:</w:t>
      </w:r>
      <w:r w:rsidR="00342C6B" w:rsidRPr="00342C6B">
        <w:t xml:space="preserve"> 10.1007/s00018-014-1767-0</w:t>
      </w:r>
    </w:p>
    <w:p w14:paraId="5FB6EB59" w14:textId="77777777" w:rsidR="00186FD8" w:rsidRDefault="00186FD8" w:rsidP="00441B6F">
      <w:pPr>
        <w:pStyle w:val="Body"/>
        <w:spacing w:after="0"/>
      </w:pPr>
    </w:p>
    <w:p w14:paraId="076FAF2B" w14:textId="77777777" w:rsidR="00186FD8" w:rsidRDefault="00186FD8" w:rsidP="00441B6F">
      <w:pPr>
        <w:pStyle w:val="Body"/>
        <w:spacing w:after="0"/>
      </w:pPr>
      <w:r w:rsidRPr="00D81EA8">
        <w:t xml:space="preserve">Silverio, J. M., </w:t>
      </w:r>
      <w:proofErr w:type="spellStart"/>
      <w:r w:rsidRPr="00D81EA8">
        <w:t>Scalon</w:t>
      </w:r>
      <w:proofErr w:type="spellEnd"/>
      <w:r w:rsidRPr="00D81EA8">
        <w:t xml:space="preserve">, S. D. P. Q., Santos, C. C., Linné, J. A., Dias, A. D. S., Bernardes, R. D. S., &amp; Dantas, T. (2024). </w:t>
      </w:r>
      <w:r w:rsidRPr="00186FD8">
        <w:t xml:space="preserve">Water-Light Interaction and Its Effect on the </w:t>
      </w:r>
      <w:proofErr w:type="spellStart"/>
      <w:r w:rsidRPr="00186FD8">
        <w:t>Morphophysiology</w:t>
      </w:r>
      <w:proofErr w:type="spellEnd"/>
      <w:r w:rsidRPr="00186FD8">
        <w:t xml:space="preserve"> of </w:t>
      </w:r>
      <w:proofErr w:type="spellStart"/>
      <w:r w:rsidRPr="00186FD8">
        <w:t>Cedrela</w:t>
      </w:r>
      <w:proofErr w:type="spellEnd"/>
      <w:r w:rsidRPr="00186FD8">
        <w:t xml:space="preserve"> </w:t>
      </w:r>
      <w:proofErr w:type="spellStart"/>
      <w:r w:rsidRPr="00186FD8">
        <w:t>fissilis</w:t>
      </w:r>
      <w:proofErr w:type="spellEnd"/>
      <w:r w:rsidRPr="00186FD8">
        <w:t xml:space="preserve"> Vell. Seedlings. Plants, 13(18), 2654.</w:t>
      </w:r>
      <w:r w:rsidR="00085A44" w:rsidRPr="00085A44">
        <w:t xml:space="preserve"> https://doi.org/10.3390/plants13182654</w:t>
      </w:r>
    </w:p>
    <w:p w14:paraId="629FC56F" w14:textId="77777777" w:rsidR="00186FD8" w:rsidRDefault="00186FD8" w:rsidP="00441B6F">
      <w:pPr>
        <w:pStyle w:val="Body"/>
        <w:spacing w:after="0"/>
      </w:pPr>
    </w:p>
    <w:p w14:paraId="266611BC" w14:textId="77777777" w:rsidR="00186FD8" w:rsidRDefault="00186FD8" w:rsidP="00441B6F">
      <w:pPr>
        <w:pStyle w:val="Body"/>
        <w:spacing w:after="0"/>
      </w:pPr>
      <w:r w:rsidRPr="00186FD8">
        <w:t xml:space="preserve">Guidi, L., </w:t>
      </w:r>
      <w:proofErr w:type="spellStart"/>
      <w:r w:rsidRPr="00186FD8">
        <w:t>Degl'Innocenti</w:t>
      </w:r>
      <w:proofErr w:type="spellEnd"/>
      <w:r w:rsidRPr="00186FD8">
        <w:t xml:space="preserve">, E., </w:t>
      </w:r>
      <w:proofErr w:type="spellStart"/>
      <w:r w:rsidRPr="00186FD8">
        <w:t>Remorini</w:t>
      </w:r>
      <w:proofErr w:type="spellEnd"/>
      <w:r w:rsidRPr="00186FD8">
        <w:t xml:space="preserve">, D., Massai, R., &amp; </w:t>
      </w:r>
      <w:proofErr w:type="spellStart"/>
      <w:r w:rsidRPr="00186FD8">
        <w:t>Tattini</w:t>
      </w:r>
      <w:proofErr w:type="spellEnd"/>
      <w:r w:rsidRPr="00186FD8">
        <w:t>, M. (2008). Interactions of water stress and solar irradiance on the physiology and biochemistry of Ligustrum vulgare. Tree Physiology, 28(6), 873-883</w:t>
      </w:r>
      <w:r w:rsidR="00085A44">
        <w:t xml:space="preserve">. </w:t>
      </w:r>
      <w:r w:rsidR="00085A44" w:rsidRPr="00085A44">
        <w:t>DOI: 10.1093/</w:t>
      </w:r>
      <w:proofErr w:type="spellStart"/>
      <w:r w:rsidR="00085A44" w:rsidRPr="00085A44">
        <w:t>treephys</w:t>
      </w:r>
      <w:proofErr w:type="spellEnd"/>
      <w:r w:rsidR="00085A44" w:rsidRPr="00085A44">
        <w:t>/28.6.873</w:t>
      </w:r>
    </w:p>
    <w:p w14:paraId="34C32E0B" w14:textId="77777777" w:rsidR="00186FD8" w:rsidRDefault="00186FD8" w:rsidP="00441B6F">
      <w:pPr>
        <w:pStyle w:val="Body"/>
        <w:spacing w:after="0"/>
      </w:pPr>
    </w:p>
    <w:p w14:paraId="3ECA202E" w14:textId="77777777" w:rsidR="00186FD8" w:rsidRDefault="00186FD8" w:rsidP="00441B6F">
      <w:pPr>
        <w:pStyle w:val="Body"/>
        <w:spacing w:after="0"/>
      </w:pPr>
      <w:r w:rsidRPr="00186FD8">
        <w:t>Löf, M., Bolte, A., &amp; Welander, N. T. (2005). Interacting effects of irradiance and water stress on dry weight and biomass partitioning in Fagus sylvatica seedlings. Scandinavian Journal of Forest Research, 20(4), 322-328.</w:t>
      </w:r>
      <w:r w:rsidR="00085A44" w:rsidRPr="00085A44">
        <w:t xml:space="preserve"> DOI:10.1080/02827580500201593</w:t>
      </w:r>
    </w:p>
    <w:p w14:paraId="6B4169C9" w14:textId="77777777" w:rsidR="00186FD8" w:rsidRDefault="00186FD8" w:rsidP="00441B6F">
      <w:pPr>
        <w:pStyle w:val="Body"/>
        <w:spacing w:after="0"/>
      </w:pPr>
    </w:p>
    <w:p w14:paraId="4784457F" w14:textId="77777777" w:rsidR="00186FD8" w:rsidRDefault="00AC6D59" w:rsidP="00441B6F">
      <w:pPr>
        <w:pStyle w:val="Body"/>
        <w:spacing w:after="0"/>
      </w:pPr>
      <w:r w:rsidRPr="00AC6D59">
        <w:t>Madsen, P. (1994). Growth and survival of Fagus sylvatica seedlings in relation to light and soil water content. Scandinavian Journal of Forest Research, 9, 316/322</w:t>
      </w:r>
      <w:r w:rsidR="00085A44">
        <w:t xml:space="preserve">. </w:t>
      </w:r>
      <w:r w:rsidR="00085A44" w:rsidRPr="00085A44">
        <w:t>https://doi.org/10.1080/02827589409382846</w:t>
      </w:r>
    </w:p>
    <w:p w14:paraId="386AEE2E" w14:textId="77777777" w:rsidR="00207B95" w:rsidRDefault="00207B95" w:rsidP="00441B6F">
      <w:pPr>
        <w:pStyle w:val="Body"/>
        <w:spacing w:after="0"/>
      </w:pPr>
    </w:p>
    <w:sectPr w:rsidR="00207B95" w:rsidSect="002353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B83B" w14:textId="77777777" w:rsidR="00241041" w:rsidRDefault="00241041" w:rsidP="00C37E61">
      <w:r>
        <w:separator/>
      </w:r>
    </w:p>
  </w:endnote>
  <w:endnote w:type="continuationSeparator" w:id="0">
    <w:p w14:paraId="5B7BEDA6" w14:textId="77777777" w:rsidR="00241041" w:rsidRDefault="002410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4369" w14:textId="77777777" w:rsidR="00235335" w:rsidRDefault="0023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3262" w14:textId="77777777" w:rsidR="00235335" w:rsidRDefault="00235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DCA1" w14:textId="741AE57C" w:rsidR="00754C9A" w:rsidRPr="00235335" w:rsidRDefault="00754C9A" w:rsidP="0023533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8BCD" w14:textId="77777777" w:rsidR="00241041" w:rsidRDefault="00241041" w:rsidP="00C37E61">
      <w:r>
        <w:separator/>
      </w:r>
    </w:p>
  </w:footnote>
  <w:footnote w:type="continuationSeparator" w:id="0">
    <w:p w14:paraId="3BE42212" w14:textId="77777777" w:rsidR="00241041" w:rsidRDefault="002410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C767" w14:textId="52AA1FDA" w:rsidR="00235335" w:rsidRDefault="00235335">
    <w:pPr>
      <w:pStyle w:val="Header"/>
    </w:pPr>
    <w:r>
      <w:rPr>
        <w:noProof/>
      </w:rPr>
      <w:pict w14:anchorId="641D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544" w14:textId="16D2C700" w:rsidR="00235335" w:rsidRDefault="00235335">
    <w:pPr>
      <w:pStyle w:val="Header"/>
    </w:pPr>
    <w:r>
      <w:rPr>
        <w:noProof/>
      </w:rPr>
      <w:pict w14:anchorId="57B0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E86C" w14:textId="3260DFED" w:rsidR="00296529" w:rsidRPr="00296529" w:rsidRDefault="00235335" w:rsidP="00296529">
    <w:pPr>
      <w:ind w:left="2160"/>
      <w:jc w:val="center"/>
      <w:rPr>
        <w:rFonts w:ascii="Times New Roman" w:eastAsia="Calibri" w:hAnsi="Times New Roman"/>
        <w:i/>
        <w:sz w:val="18"/>
        <w:szCs w:val="22"/>
      </w:rPr>
    </w:pPr>
    <w:r>
      <w:rPr>
        <w:noProof/>
      </w:rPr>
      <w:pict w14:anchorId="588CF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4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5E4D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D4DD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4334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4E3F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EC71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C0F1E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385"/>
    <w:rsid w:val="00030174"/>
    <w:rsid w:val="0004579C"/>
    <w:rsid w:val="00050D12"/>
    <w:rsid w:val="00085A44"/>
    <w:rsid w:val="000A47FA"/>
    <w:rsid w:val="000A65D3"/>
    <w:rsid w:val="000B1E33"/>
    <w:rsid w:val="000D689F"/>
    <w:rsid w:val="000E7B7B"/>
    <w:rsid w:val="000E7D62"/>
    <w:rsid w:val="000F7109"/>
    <w:rsid w:val="00103357"/>
    <w:rsid w:val="00104054"/>
    <w:rsid w:val="00115ED8"/>
    <w:rsid w:val="00123C9F"/>
    <w:rsid w:val="00126190"/>
    <w:rsid w:val="00130F17"/>
    <w:rsid w:val="001320BF"/>
    <w:rsid w:val="00161A21"/>
    <w:rsid w:val="00163BC4"/>
    <w:rsid w:val="00172BD4"/>
    <w:rsid w:val="00186FD8"/>
    <w:rsid w:val="00191062"/>
    <w:rsid w:val="00191EFB"/>
    <w:rsid w:val="00192B72"/>
    <w:rsid w:val="001A29D8"/>
    <w:rsid w:val="001A5CAA"/>
    <w:rsid w:val="001B0427"/>
    <w:rsid w:val="001D3A51"/>
    <w:rsid w:val="001E10D2"/>
    <w:rsid w:val="001E1EF3"/>
    <w:rsid w:val="001E25B4"/>
    <w:rsid w:val="001E2B60"/>
    <w:rsid w:val="001E44FE"/>
    <w:rsid w:val="00200595"/>
    <w:rsid w:val="00204835"/>
    <w:rsid w:val="00207B95"/>
    <w:rsid w:val="00231920"/>
    <w:rsid w:val="0023195C"/>
    <w:rsid w:val="00235335"/>
    <w:rsid w:val="00241041"/>
    <w:rsid w:val="0024282C"/>
    <w:rsid w:val="002460DC"/>
    <w:rsid w:val="00250985"/>
    <w:rsid w:val="002556F6"/>
    <w:rsid w:val="00283105"/>
    <w:rsid w:val="00284C4C"/>
    <w:rsid w:val="00287E68"/>
    <w:rsid w:val="002921F6"/>
    <w:rsid w:val="00296529"/>
    <w:rsid w:val="002A6518"/>
    <w:rsid w:val="002B27FB"/>
    <w:rsid w:val="002B685A"/>
    <w:rsid w:val="002C57D2"/>
    <w:rsid w:val="002E0D56"/>
    <w:rsid w:val="002E5524"/>
    <w:rsid w:val="00315186"/>
    <w:rsid w:val="00331545"/>
    <w:rsid w:val="0033343E"/>
    <w:rsid w:val="00342C6B"/>
    <w:rsid w:val="003512C2"/>
    <w:rsid w:val="00371FB6"/>
    <w:rsid w:val="003763C1"/>
    <w:rsid w:val="00376BBE"/>
    <w:rsid w:val="00381EEE"/>
    <w:rsid w:val="0039224F"/>
    <w:rsid w:val="003A43A4"/>
    <w:rsid w:val="003A6AFE"/>
    <w:rsid w:val="003A7E18"/>
    <w:rsid w:val="003C4C86"/>
    <w:rsid w:val="003C6258"/>
    <w:rsid w:val="003E2904"/>
    <w:rsid w:val="003E4504"/>
    <w:rsid w:val="00401927"/>
    <w:rsid w:val="0041027F"/>
    <w:rsid w:val="00412475"/>
    <w:rsid w:val="00423789"/>
    <w:rsid w:val="00440F43"/>
    <w:rsid w:val="00441B6F"/>
    <w:rsid w:val="00446221"/>
    <w:rsid w:val="00450E62"/>
    <w:rsid w:val="004539DB"/>
    <w:rsid w:val="00471A80"/>
    <w:rsid w:val="004D305E"/>
    <w:rsid w:val="004D4277"/>
    <w:rsid w:val="004D72A2"/>
    <w:rsid w:val="004D75D7"/>
    <w:rsid w:val="004F0CC6"/>
    <w:rsid w:val="00502516"/>
    <w:rsid w:val="0050343F"/>
    <w:rsid w:val="00505F06"/>
    <w:rsid w:val="00506828"/>
    <w:rsid w:val="0053056E"/>
    <w:rsid w:val="00537EDE"/>
    <w:rsid w:val="00554FDA"/>
    <w:rsid w:val="005B3285"/>
    <w:rsid w:val="005C784C"/>
    <w:rsid w:val="005D17F6"/>
    <w:rsid w:val="005E5539"/>
    <w:rsid w:val="00602BF5"/>
    <w:rsid w:val="00617FDD"/>
    <w:rsid w:val="00620077"/>
    <w:rsid w:val="00633614"/>
    <w:rsid w:val="00633F68"/>
    <w:rsid w:val="00636EB2"/>
    <w:rsid w:val="006375B8"/>
    <w:rsid w:val="0066510A"/>
    <w:rsid w:val="00667BB5"/>
    <w:rsid w:val="00673F9F"/>
    <w:rsid w:val="00686953"/>
    <w:rsid w:val="00687DEA"/>
    <w:rsid w:val="00687E67"/>
    <w:rsid w:val="006967F7"/>
    <w:rsid w:val="006A250C"/>
    <w:rsid w:val="006B21D3"/>
    <w:rsid w:val="006B57D0"/>
    <w:rsid w:val="006C4B6B"/>
    <w:rsid w:val="006D30FF"/>
    <w:rsid w:val="006D6940"/>
    <w:rsid w:val="006F11EC"/>
    <w:rsid w:val="0070082C"/>
    <w:rsid w:val="0071420B"/>
    <w:rsid w:val="007369E6"/>
    <w:rsid w:val="00746E59"/>
    <w:rsid w:val="00754C9A"/>
    <w:rsid w:val="0075599A"/>
    <w:rsid w:val="00761D52"/>
    <w:rsid w:val="007715D5"/>
    <w:rsid w:val="0077749E"/>
    <w:rsid w:val="00790ADA"/>
    <w:rsid w:val="007D2288"/>
    <w:rsid w:val="007D669B"/>
    <w:rsid w:val="007E088F"/>
    <w:rsid w:val="007F7B32"/>
    <w:rsid w:val="00804BC2"/>
    <w:rsid w:val="0081431A"/>
    <w:rsid w:val="0083216F"/>
    <w:rsid w:val="00860000"/>
    <w:rsid w:val="00863BD3"/>
    <w:rsid w:val="008641ED"/>
    <w:rsid w:val="00866D66"/>
    <w:rsid w:val="008671C6"/>
    <w:rsid w:val="00875803"/>
    <w:rsid w:val="00893A56"/>
    <w:rsid w:val="008A7C80"/>
    <w:rsid w:val="008B459E"/>
    <w:rsid w:val="008D42C0"/>
    <w:rsid w:val="008E13AE"/>
    <w:rsid w:val="008E1506"/>
    <w:rsid w:val="008E710C"/>
    <w:rsid w:val="008F585B"/>
    <w:rsid w:val="008F69D6"/>
    <w:rsid w:val="008F767B"/>
    <w:rsid w:val="00902823"/>
    <w:rsid w:val="00915CA6"/>
    <w:rsid w:val="00927834"/>
    <w:rsid w:val="0094050C"/>
    <w:rsid w:val="009500A6"/>
    <w:rsid w:val="00957C18"/>
    <w:rsid w:val="009659BA"/>
    <w:rsid w:val="00966F0D"/>
    <w:rsid w:val="00983040"/>
    <w:rsid w:val="009964EE"/>
    <w:rsid w:val="009B3FB9"/>
    <w:rsid w:val="009C0635"/>
    <w:rsid w:val="009C2465"/>
    <w:rsid w:val="009D35A0"/>
    <w:rsid w:val="009D75CB"/>
    <w:rsid w:val="009D7EB7"/>
    <w:rsid w:val="009E048A"/>
    <w:rsid w:val="009E08E9"/>
    <w:rsid w:val="009E107A"/>
    <w:rsid w:val="009E3DB9"/>
    <w:rsid w:val="009E6E35"/>
    <w:rsid w:val="009F0EDA"/>
    <w:rsid w:val="00A03B96"/>
    <w:rsid w:val="00A05B19"/>
    <w:rsid w:val="00A1134E"/>
    <w:rsid w:val="00A24E7E"/>
    <w:rsid w:val="00A258C3"/>
    <w:rsid w:val="00A347C0"/>
    <w:rsid w:val="00A44115"/>
    <w:rsid w:val="00A51431"/>
    <w:rsid w:val="00A539AD"/>
    <w:rsid w:val="00A90D24"/>
    <w:rsid w:val="00A94063"/>
    <w:rsid w:val="00AA6219"/>
    <w:rsid w:val="00AA74E0"/>
    <w:rsid w:val="00AB703F"/>
    <w:rsid w:val="00AC6BB8"/>
    <w:rsid w:val="00AC6D59"/>
    <w:rsid w:val="00AE008F"/>
    <w:rsid w:val="00AE4E82"/>
    <w:rsid w:val="00AE6E50"/>
    <w:rsid w:val="00AF4B2A"/>
    <w:rsid w:val="00B01FCD"/>
    <w:rsid w:val="00B1776C"/>
    <w:rsid w:val="00B52583"/>
    <w:rsid w:val="00B52896"/>
    <w:rsid w:val="00B93437"/>
    <w:rsid w:val="00B95236"/>
    <w:rsid w:val="00B96BD9"/>
    <w:rsid w:val="00B9733B"/>
    <w:rsid w:val="00BA1B01"/>
    <w:rsid w:val="00BA2641"/>
    <w:rsid w:val="00BA7803"/>
    <w:rsid w:val="00BB37AA"/>
    <w:rsid w:val="00BC33C8"/>
    <w:rsid w:val="00BC53A0"/>
    <w:rsid w:val="00BC72F2"/>
    <w:rsid w:val="00BE62AD"/>
    <w:rsid w:val="00BF121F"/>
    <w:rsid w:val="00BF1F80"/>
    <w:rsid w:val="00BF63BE"/>
    <w:rsid w:val="00C166EF"/>
    <w:rsid w:val="00C17EB0"/>
    <w:rsid w:val="00C27F5F"/>
    <w:rsid w:val="00C30A0F"/>
    <w:rsid w:val="00C37E61"/>
    <w:rsid w:val="00C548EB"/>
    <w:rsid w:val="00C70F1B"/>
    <w:rsid w:val="00C71A47"/>
    <w:rsid w:val="00C7464C"/>
    <w:rsid w:val="00C85588"/>
    <w:rsid w:val="00CD6755"/>
    <w:rsid w:val="00CD6856"/>
    <w:rsid w:val="00CE0089"/>
    <w:rsid w:val="00CE793C"/>
    <w:rsid w:val="00CF193C"/>
    <w:rsid w:val="00D173F1"/>
    <w:rsid w:val="00D74CB0"/>
    <w:rsid w:val="00D81EA8"/>
    <w:rsid w:val="00D8295D"/>
    <w:rsid w:val="00DA1853"/>
    <w:rsid w:val="00DC2A65"/>
    <w:rsid w:val="00DD4044"/>
    <w:rsid w:val="00DE15F0"/>
    <w:rsid w:val="00DE5663"/>
    <w:rsid w:val="00DE78AA"/>
    <w:rsid w:val="00E053D0"/>
    <w:rsid w:val="00E15385"/>
    <w:rsid w:val="00E15994"/>
    <w:rsid w:val="00E3114E"/>
    <w:rsid w:val="00E31A70"/>
    <w:rsid w:val="00E35B02"/>
    <w:rsid w:val="00E6065F"/>
    <w:rsid w:val="00E66496"/>
    <w:rsid w:val="00E66B35"/>
    <w:rsid w:val="00E66E10"/>
    <w:rsid w:val="00E769F6"/>
    <w:rsid w:val="00E8407C"/>
    <w:rsid w:val="00E84F3C"/>
    <w:rsid w:val="00EA012C"/>
    <w:rsid w:val="00EC0CAB"/>
    <w:rsid w:val="00EC6A55"/>
    <w:rsid w:val="00ED0288"/>
    <w:rsid w:val="00EE52CB"/>
    <w:rsid w:val="00EF581D"/>
    <w:rsid w:val="00EF7FD8"/>
    <w:rsid w:val="00F06F59"/>
    <w:rsid w:val="00F17988"/>
    <w:rsid w:val="00F35012"/>
    <w:rsid w:val="00F469F0"/>
    <w:rsid w:val="00F53273"/>
    <w:rsid w:val="00F755E4"/>
    <w:rsid w:val="00F77D02"/>
    <w:rsid w:val="00F83D01"/>
    <w:rsid w:val="00FB3A86"/>
    <w:rsid w:val="00FD36C8"/>
    <w:rsid w:val="00FE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AFB4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95067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99972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232E-2933-47C7-879B-8C22B876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502</TotalTime>
  <Pages>8</Pages>
  <Words>3220</Words>
  <Characters>18356</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21533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2025-02-04T19:26:00Z</dcterms:created>
  <dcterms:modified xsi:type="dcterms:W3CDTF">2025-02-07T10:03:00Z</dcterms:modified>
</cp:coreProperties>
</file>